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44A04">
      <w:pPr>
        <w:widowControl/>
        <w:autoSpaceDE w:val="0"/>
        <w:autoSpaceDN w:val="0"/>
        <w:jc w:val="center"/>
        <w:textAlignment w:val="bottom"/>
        <w:rPr>
          <w:b/>
          <w:color w:val="auto"/>
          <w:sz w:val="48"/>
          <w:szCs w:val="48"/>
          <w:highlight w:val="none"/>
        </w:rPr>
      </w:pPr>
    </w:p>
    <w:p w14:paraId="57A15DA5">
      <w:pPr>
        <w:widowControl/>
        <w:autoSpaceDE w:val="0"/>
        <w:autoSpaceDN w:val="0"/>
        <w:jc w:val="center"/>
        <w:textAlignment w:val="bottom"/>
        <w:rPr>
          <w:b/>
          <w:color w:val="auto"/>
          <w:sz w:val="48"/>
          <w:szCs w:val="48"/>
          <w:highlight w:val="none"/>
        </w:rPr>
      </w:pPr>
    </w:p>
    <w:p w14:paraId="4419E94F">
      <w:pPr>
        <w:spacing w:line="216" w:lineRule="auto"/>
        <w:rPr>
          <w:rFonts w:eastAsia="黑体"/>
          <w:bCs/>
          <w:color w:val="auto"/>
          <w:sz w:val="72"/>
          <w:highlight w:val="none"/>
        </w:rPr>
      </w:pPr>
    </w:p>
    <w:p w14:paraId="02437DAD">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rPr>
        <w:t>中共浙江省委老干部局</w:t>
      </w:r>
    </w:p>
    <w:p w14:paraId="2A0C858F">
      <w:pPr>
        <w:spacing w:line="216" w:lineRule="auto"/>
        <w:jc w:val="center"/>
        <w:rPr>
          <w:rFonts w:ascii="黑体" w:hAnsi="宋体" w:eastAsia="黑体"/>
          <w:b/>
          <w:color w:val="auto"/>
          <w:sz w:val="28"/>
          <w:highlight w:val="none"/>
        </w:rPr>
      </w:pPr>
    </w:p>
    <w:p w14:paraId="2B09FCFC">
      <w:pPr>
        <w:spacing w:line="216" w:lineRule="auto"/>
        <w:jc w:val="center"/>
        <w:rPr>
          <w:rFonts w:ascii="黑体" w:hAnsi="宋体" w:eastAsia="黑体"/>
          <w:b/>
          <w:color w:val="auto"/>
          <w:sz w:val="28"/>
          <w:highlight w:val="none"/>
        </w:rPr>
      </w:pPr>
    </w:p>
    <w:p w14:paraId="4602740D">
      <w:pPr>
        <w:spacing w:line="216" w:lineRule="auto"/>
        <w:jc w:val="center"/>
        <w:rPr>
          <w:rFonts w:ascii="黑体" w:hAnsi="宋体" w:eastAsia="黑体"/>
          <w:b/>
          <w:color w:val="auto"/>
          <w:sz w:val="28"/>
          <w:highlight w:val="none"/>
        </w:rPr>
      </w:pPr>
    </w:p>
    <w:p w14:paraId="448185A7">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rPr>
        <w:t>竞争性磋商</w:t>
      </w:r>
    </w:p>
    <w:p w14:paraId="49C7DD1A">
      <w:pPr>
        <w:spacing w:line="216" w:lineRule="auto"/>
        <w:jc w:val="center"/>
        <w:rPr>
          <w:rFonts w:ascii="黑体" w:hAnsi="宋体" w:eastAsia="黑体"/>
          <w:color w:val="auto"/>
          <w:sz w:val="72"/>
          <w:highlight w:val="none"/>
        </w:rPr>
      </w:pPr>
      <w:r>
        <w:rPr>
          <w:rFonts w:hint="eastAsia" w:ascii="黑体" w:hAnsi="宋体" w:eastAsia="黑体"/>
          <w:color w:val="auto"/>
          <w:sz w:val="72"/>
          <w:highlight w:val="none"/>
        </w:rPr>
        <w:t>采购文件</w:t>
      </w:r>
    </w:p>
    <w:p w14:paraId="5BECD086">
      <w:pPr>
        <w:widowControl/>
        <w:autoSpaceDE w:val="0"/>
        <w:autoSpaceDN w:val="0"/>
        <w:textAlignment w:val="bottom"/>
        <w:rPr>
          <w:color w:val="auto"/>
          <w:sz w:val="32"/>
          <w:highlight w:val="none"/>
        </w:rPr>
      </w:pPr>
    </w:p>
    <w:p w14:paraId="112F777B">
      <w:pPr>
        <w:widowControl/>
        <w:autoSpaceDE w:val="0"/>
        <w:autoSpaceDN w:val="0"/>
        <w:textAlignment w:val="bottom"/>
        <w:rPr>
          <w:color w:val="auto"/>
          <w:sz w:val="32"/>
          <w:highlight w:val="none"/>
        </w:rPr>
      </w:pPr>
    </w:p>
    <w:p w14:paraId="50F0997A">
      <w:pPr>
        <w:widowControl/>
        <w:autoSpaceDE w:val="0"/>
        <w:autoSpaceDN w:val="0"/>
        <w:textAlignment w:val="bottom"/>
        <w:rPr>
          <w:color w:val="auto"/>
          <w:sz w:val="32"/>
          <w:highlight w:val="none"/>
        </w:rPr>
      </w:pPr>
    </w:p>
    <w:tbl>
      <w:tblPr>
        <w:tblStyle w:val="24"/>
        <w:tblW w:w="7467" w:type="dxa"/>
        <w:jc w:val="center"/>
        <w:tblLayout w:type="fixed"/>
        <w:tblCellMar>
          <w:top w:w="0" w:type="dxa"/>
          <w:left w:w="108" w:type="dxa"/>
          <w:bottom w:w="0" w:type="dxa"/>
          <w:right w:w="108" w:type="dxa"/>
        </w:tblCellMar>
      </w:tblPr>
      <w:tblGrid>
        <w:gridCol w:w="2369"/>
        <w:gridCol w:w="5098"/>
      </w:tblGrid>
      <w:tr w14:paraId="65E5B1C6">
        <w:tblPrEx>
          <w:tblCellMar>
            <w:top w:w="0" w:type="dxa"/>
            <w:left w:w="108" w:type="dxa"/>
            <w:bottom w:w="0" w:type="dxa"/>
            <w:right w:w="108" w:type="dxa"/>
          </w:tblCellMar>
        </w:tblPrEx>
        <w:trPr>
          <w:trHeight w:val="708" w:hRule="atLeast"/>
          <w:jc w:val="center"/>
        </w:trPr>
        <w:tc>
          <w:tcPr>
            <w:tcW w:w="2369" w:type="dxa"/>
            <w:vAlign w:val="center"/>
          </w:tcPr>
          <w:p w14:paraId="798F1888">
            <w:pPr>
              <w:widowControl/>
              <w:autoSpaceDE w:val="0"/>
              <w:autoSpaceDN w:val="0"/>
              <w:textAlignment w:val="bottom"/>
              <w:rPr>
                <w:color w:val="auto"/>
                <w:sz w:val="32"/>
                <w:highlight w:val="none"/>
              </w:rPr>
            </w:pPr>
            <w:r>
              <w:rPr>
                <w:rFonts w:hint="eastAsia" w:ascii="黑体" w:hAnsi="宋体" w:eastAsia="黑体"/>
                <w:b/>
                <w:color w:val="auto"/>
                <w:sz w:val="32"/>
                <w:highlight w:val="none"/>
              </w:rPr>
              <w:t>磋商项目编号</w:t>
            </w:r>
            <w:r>
              <w:rPr>
                <w:rFonts w:hint="eastAsia" w:ascii="黑体" w:hAnsi="宋体" w:eastAsia="黑体"/>
                <w:b/>
                <w:bCs/>
                <w:color w:val="auto"/>
                <w:sz w:val="32"/>
                <w:highlight w:val="none"/>
              </w:rPr>
              <w:t>：</w:t>
            </w:r>
          </w:p>
        </w:tc>
        <w:tc>
          <w:tcPr>
            <w:tcW w:w="5098" w:type="dxa"/>
            <w:vAlign w:val="center"/>
          </w:tcPr>
          <w:p w14:paraId="4228B08A">
            <w:pPr>
              <w:widowControl/>
              <w:autoSpaceDE w:val="0"/>
              <w:autoSpaceDN w:val="0"/>
              <w:textAlignment w:val="bottom"/>
              <w:rPr>
                <w:rFonts w:hint="eastAsia" w:eastAsia="宋体"/>
                <w:color w:val="auto"/>
                <w:sz w:val="32"/>
                <w:highlight w:val="none"/>
                <w:lang w:eastAsia="zh-CN"/>
              </w:rPr>
            </w:pPr>
            <w:r>
              <w:rPr>
                <w:rFonts w:hint="eastAsia" w:ascii="黑体" w:hAnsi="宋体" w:eastAsia="黑体"/>
                <w:b/>
                <w:color w:val="auto"/>
                <w:sz w:val="32"/>
                <w:highlight w:val="none"/>
                <w:lang w:eastAsia="zh-CN"/>
              </w:rPr>
              <w:t>HZYX-LGB-25213CS</w:t>
            </w:r>
          </w:p>
        </w:tc>
      </w:tr>
      <w:tr w14:paraId="3B803BA2">
        <w:tblPrEx>
          <w:tblCellMar>
            <w:top w:w="0" w:type="dxa"/>
            <w:left w:w="108" w:type="dxa"/>
            <w:bottom w:w="0" w:type="dxa"/>
            <w:right w:w="108" w:type="dxa"/>
          </w:tblCellMar>
        </w:tblPrEx>
        <w:trPr>
          <w:trHeight w:val="730" w:hRule="atLeast"/>
          <w:jc w:val="center"/>
        </w:trPr>
        <w:tc>
          <w:tcPr>
            <w:tcW w:w="2369" w:type="dxa"/>
            <w:vAlign w:val="center"/>
          </w:tcPr>
          <w:p w14:paraId="2E01C04E">
            <w:pPr>
              <w:widowControl/>
              <w:autoSpaceDE w:val="0"/>
              <w:autoSpaceDN w:val="0"/>
              <w:textAlignment w:val="bottom"/>
              <w:rPr>
                <w:color w:val="auto"/>
                <w:sz w:val="32"/>
                <w:highlight w:val="none"/>
              </w:rPr>
            </w:pPr>
            <w:r>
              <w:rPr>
                <w:rFonts w:hint="eastAsia" w:ascii="黑体" w:hAnsi="宋体" w:eastAsia="黑体"/>
                <w:b/>
                <w:color w:val="auto"/>
                <w:sz w:val="32"/>
                <w:highlight w:val="none"/>
              </w:rPr>
              <w:t>磋商项目</w:t>
            </w:r>
            <w:r>
              <w:rPr>
                <w:rFonts w:hint="eastAsia" w:ascii="黑体" w:hAnsi="宋体" w:eastAsia="黑体"/>
                <w:b/>
                <w:bCs/>
                <w:color w:val="auto"/>
                <w:sz w:val="32"/>
                <w:highlight w:val="none"/>
              </w:rPr>
              <w:t>名称：</w:t>
            </w:r>
          </w:p>
        </w:tc>
        <w:tc>
          <w:tcPr>
            <w:tcW w:w="5098" w:type="dxa"/>
            <w:vAlign w:val="center"/>
          </w:tcPr>
          <w:p w14:paraId="4A943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b/>
                <w:color w:val="auto"/>
                <w:sz w:val="32"/>
                <w:highlight w:val="none"/>
                <w:lang w:eastAsia="zh-CN"/>
              </w:rPr>
            </w:pPr>
            <w:r>
              <w:rPr>
                <w:rFonts w:hint="eastAsia" w:ascii="黑体" w:hAnsi="宋体" w:eastAsia="黑体"/>
                <w:b/>
                <w:color w:val="auto"/>
                <w:sz w:val="32"/>
                <w:highlight w:val="none"/>
                <w:lang w:eastAsia="zh-CN"/>
              </w:rPr>
              <w:t>浙江省离休干部红色档案挖掘保护和宣传展示项目</w:t>
            </w:r>
          </w:p>
        </w:tc>
      </w:tr>
      <w:tr w14:paraId="37D6513F">
        <w:tblPrEx>
          <w:tblCellMar>
            <w:top w:w="0" w:type="dxa"/>
            <w:left w:w="108" w:type="dxa"/>
            <w:bottom w:w="0" w:type="dxa"/>
            <w:right w:w="108" w:type="dxa"/>
          </w:tblCellMar>
        </w:tblPrEx>
        <w:trPr>
          <w:trHeight w:val="712" w:hRule="atLeast"/>
          <w:jc w:val="center"/>
        </w:trPr>
        <w:tc>
          <w:tcPr>
            <w:tcW w:w="2369" w:type="dxa"/>
            <w:vAlign w:val="center"/>
          </w:tcPr>
          <w:p w14:paraId="14B4AF3D">
            <w:pPr>
              <w:widowControl/>
              <w:tabs>
                <w:tab w:val="left" w:pos="35"/>
                <w:tab w:val="right" w:pos="2332"/>
              </w:tabs>
              <w:autoSpaceDE w:val="0"/>
              <w:autoSpaceDN w:val="0"/>
              <w:textAlignment w:val="bottom"/>
              <w:rPr>
                <w:rFonts w:ascii="黑体" w:hAnsi="宋体" w:eastAsia="黑体"/>
                <w:b/>
                <w:color w:val="auto"/>
                <w:sz w:val="32"/>
                <w:highlight w:val="none"/>
              </w:rPr>
            </w:pPr>
            <w:r>
              <w:rPr>
                <w:rFonts w:eastAsia="黑体"/>
                <w:b/>
                <w:color w:val="auto"/>
                <w:sz w:val="32"/>
                <w:highlight w:val="none"/>
              </w:rPr>
              <w:tab/>
            </w:r>
            <w:r>
              <w:rPr>
                <w:rFonts w:hint="eastAsia" w:eastAsia="黑体"/>
                <w:b/>
                <w:color w:val="auto"/>
                <w:sz w:val="32"/>
                <w:highlight w:val="none"/>
              </w:rPr>
              <w:t>采购计划文号：</w:t>
            </w:r>
          </w:p>
        </w:tc>
        <w:tc>
          <w:tcPr>
            <w:tcW w:w="5098" w:type="dxa"/>
            <w:vAlign w:val="center"/>
          </w:tcPr>
          <w:p w14:paraId="62A96E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b/>
                <w:color w:val="auto"/>
                <w:sz w:val="32"/>
                <w:highlight w:val="none"/>
                <w:lang w:eastAsia="zh-CN"/>
              </w:rPr>
            </w:pPr>
            <w:r>
              <w:rPr>
                <w:rFonts w:hint="eastAsia" w:ascii="黑体" w:hAnsi="宋体" w:eastAsia="黑体"/>
                <w:b/>
                <w:color w:val="auto"/>
                <w:sz w:val="32"/>
                <w:highlight w:val="none"/>
                <w:lang w:eastAsia="zh-CN"/>
              </w:rPr>
              <w:t>[2025]36064号、[2025]3606</w:t>
            </w:r>
            <w:r>
              <w:rPr>
                <w:rFonts w:hint="eastAsia" w:ascii="黑体" w:hAnsi="宋体" w:eastAsia="黑体"/>
                <w:b/>
                <w:color w:val="auto"/>
                <w:sz w:val="32"/>
                <w:highlight w:val="none"/>
                <w:lang w:val="en-US" w:eastAsia="zh-CN"/>
              </w:rPr>
              <w:t>5</w:t>
            </w:r>
            <w:r>
              <w:rPr>
                <w:rFonts w:hint="eastAsia" w:ascii="黑体" w:hAnsi="宋体" w:eastAsia="黑体"/>
                <w:b/>
                <w:color w:val="auto"/>
                <w:sz w:val="32"/>
                <w:highlight w:val="none"/>
                <w:lang w:eastAsia="zh-CN"/>
              </w:rPr>
              <w:t>号、[2025]3606</w:t>
            </w:r>
            <w:r>
              <w:rPr>
                <w:rFonts w:hint="eastAsia" w:ascii="黑体" w:hAnsi="宋体" w:eastAsia="黑体"/>
                <w:b/>
                <w:color w:val="auto"/>
                <w:sz w:val="32"/>
                <w:highlight w:val="none"/>
                <w:lang w:val="en-US" w:eastAsia="zh-CN"/>
              </w:rPr>
              <w:t>6</w:t>
            </w:r>
            <w:r>
              <w:rPr>
                <w:rFonts w:hint="eastAsia" w:ascii="黑体" w:hAnsi="宋体" w:eastAsia="黑体"/>
                <w:b/>
                <w:color w:val="auto"/>
                <w:sz w:val="32"/>
                <w:highlight w:val="none"/>
                <w:lang w:eastAsia="zh-CN"/>
              </w:rPr>
              <w:t>号、[2025]3606</w:t>
            </w:r>
            <w:r>
              <w:rPr>
                <w:rFonts w:hint="eastAsia" w:ascii="黑体" w:hAnsi="宋体" w:eastAsia="黑体"/>
                <w:b/>
                <w:color w:val="auto"/>
                <w:sz w:val="32"/>
                <w:highlight w:val="none"/>
                <w:lang w:val="en-US" w:eastAsia="zh-CN"/>
              </w:rPr>
              <w:t>7</w:t>
            </w:r>
            <w:r>
              <w:rPr>
                <w:rFonts w:hint="eastAsia" w:ascii="黑体" w:hAnsi="宋体" w:eastAsia="黑体"/>
                <w:b/>
                <w:color w:val="auto"/>
                <w:sz w:val="32"/>
                <w:highlight w:val="none"/>
                <w:lang w:eastAsia="zh-CN"/>
              </w:rPr>
              <w:t>号</w:t>
            </w:r>
          </w:p>
        </w:tc>
      </w:tr>
    </w:tbl>
    <w:p w14:paraId="7B03943F">
      <w:pPr>
        <w:spacing w:line="360" w:lineRule="auto"/>
        <w:ind w:firstLine="1584" w:firstLineChars="495"/>
        <w:rPr>
          <w:color w:val="auto"/>
          <w:sz w:val="32"/>
          <w:highlight w:val="none"/>
        </w:rPr>
      </w:pPr>
    </w:p>
    <w:p w14:paraId="75167E36">
      <w:pPr>
        <w:spacing w:line="360" w:lineRule="auto"/>
        <w:ind w:firstLine="1590" w:firstLineChars="495"/>
        <w:rPr>
          <w:rFonts w:ascii="黑体" w:hAnsi="宋体" w:eastAsia="黑体"/>
          <w:b/>
          <w:color w:val="auto"/>
          <w:sz w:val="32"/>
          <w:highlight w:val="none"/>
        </w:rPr>
      </w:pPr>
    </w:p>
    <w:p w14:paraId="5E12022E">
      <w:pPr>
        <w:spacing w:line="216" w:lineRule="auto"/>
        <w:rPr>
          <w:rFonts w:ascii="黑体" w:hAnsi="宋体" w:eastAsia="黑体"/>
          <w:color w:val="auto"/>
          <w:sz w:val="36"/>
          <w:highlight w:val="none"/>
        </w:rPr>
      </w:pPr>
    </w:p>
    <w:p w14:paraId="1A0AD36E">
      <w:pPr>
        <w:widowControl/>
        <w:autoSpaceDE w:val="0"/>
        <w:autoSpaceDN w:val="0"/>
        <w:spacing w:line="360" w:lineRule="auto"/>
        <w:jc w:val="center"/>
        <w:textAlignment w:val="bottom"/>
        <w:rPr>
          <w:rFonts w:ascii="黑体" w:hAnsi="宋体" w:eastAsia="黑体"/>
          <w:color w:val="auto"/>
          <w:sz w:val="30"/>
          <w:highlight w:val="none"/>
        </w:rPr>
      </w:pPr>
      <w:r>
        <w:rPr>
          <w:rFonts w:hint="eastAsia" w:ascii="黑体" w:hAnsi="宋体" w:eastAsia="黑体"/>
          <w:color w:val="auto"/>
          <w:kern w:val="0"/>
          <w:sz w:val="30"/>
          <w:highlight w:val="none"/>
        </w:rPr>
        <w:t>采购单位</w:t>
      </w:r>
      <w:r>
        <w:rPr>
          <w:rFonts w:hint="eastAsia" w:ascii="黑体" w:hAnsi="宋体" w:eastAsia="黑体"/>
          <w:color w:val="auto"/>
          <w:sz w:val="30"/>
          <w:highlight w:val="none"/>
        </w:rPr>
        <w:t>：中共浙江省委老干部局</w:t>
      </w:r>
    </w:p>
    <w:p w14:paraId="3C14CC59">
      <w:pPr>
        <w:widowControl/>
        <w:autoSpaceDE w:val="0"/>
        <w:autoSpaceDN w:val="0"/>
        <w:spacing w:line="360" w:lineRule="auto"/>
        <w:jc w:val="center"/>
        <w:textAlignment w:val="bottom"/>
        <w:rPr>
          <w:rFonts w:ascii="黑体" w:hAnsi="宋体" w:eastAsia="黑体"/>
          <w:color w:val="auto"/>
          <w:sz w:val="30"/>
          <w:highlight w:val="none"/>
        </w:rPr>
      </w:pPr>
      <w:r>
        <w:rPr>
          <w:rFonts w:hint="eastAsia" w:ascii="黑体" w:hAnsi="宋体" w:eastAsia="黑体"/>
          <w:color w:val="auto"/>
          <w:sz w:val="30"/>
          <w:highlight w:val="none"/>
        </w:rPr>
        <w:t>采购代理机构：杭州意信招标代理有限公司</w:t>
      </w:r>
    </w:p>
    <w:p w14:paraId="718D0ACA">
      <w:pPr>
        <w:spacing w:line="360" w:lineRule="auto"/>
        <w:jc w:val="center"/>
        <w:rPr>
          <w:rFonts w:ascii="黑体" w:hAnsi="宋体" w:eastAsia="黑体"/>
          <w:color w:val="auto"/>
          <w:sz w:val="30"/>
          <w:highlight w:val="none"/>
        </w:rPr>
      </w:pPr>
      <w:r>
        <w:rPr>
          <w:rFonts w:hint="eastAsia" w:ascii="黑体" w:hAnsi="宋体" w:eastAsia="黑体"/>
          <w:color w:val="auto"/>
          <w:sz w:val="30"/>
          <w:highlight w:val="none"/>
        </w:rPr>
        <w:t>二</w:t>
      </w:r>
      <w:r>
        <w:rPr>
          <w:rFonts w:hint="eastAsia" w:ascii="黑体" w:hAnsi="宋体" w:eastAsia="黑体"/>
          <w:b/>
          <w:color w:val="auto"/>
          <w:sz w:val="30"/>
          <w:highlight w:val="none"/>
        </w:rPr>
        <w:t>Ｏ</w:t>
      </w:r>
      <w:r>
        <w:rPr>
          <w:rFonts w:hint="eastAsia" w:ascii="黑体" w:hAnsi="宋体" w:eastAsia="黑体"/>
          <w:color w:val="auto"/>
          <w:sz w:val="30"/>
          <w:highlight w:val="none"/>
        </w:rPr>
        <w:t>二</w:t>
      </w:r>
      <w:r>
        <w:rPr>
          <w:rFonts w:hint="eastAsia" w:ascii="黑体" w:hAnsi="宋体" w:eastAsia="黑体"/>
          <w:color w:val="auto"/>
          <w:sz w:val="30"/>
          <w:highlight w:val="none"/>
          <w:lang w:val="en-US" w:eastAsia="zh-CN"/>
        </w:rPr>
        <w:t>五</w:t>
      </w:r>
      <w:r>
        <w:rPr>
          <w:rFonts w:hint="eastAsia" w:ascii="黑体" w:hAnsi="宋体" w:eastAsia="黑体"/>
          <w:color w:val="auto"/>
          <w:sz w:val="30"/>
          <w:highlight w:val="none"/>
        </w:rPr>
        <w:t>年</w:t>
      </w:r>
      <w:r>
        <w:rPr>
          <w:rFonts w:hint="eastAsia" w:ascii="黑体" w:hAnsi="宋体" w:eastAsia="黑体"/>
          <w:color w:val="auto"/>
          <w:sz w:val="30"/>
          <w:highlight w:val="none"/>
          <w:lang w:val="en-US" w:eastAsia="zh-CN"/>
        </w:rPr>
        <w:t>六</w:t>
      </w:r>
      <w:r>
        <w:rPr>
          <w:rFonts w:hint="eastAsia" w:ascii="黑体" w:hAnsi="宋体" w:eastAsia="黑体"/>
          <w:color w:val="auto"/>
          <w:sz w:val="30"/>
          <w:highlight w:val="none"/>
        </w:rPr>
        <w:t>月</w:t>
      </w:r>
    </w:p>
    <w:p w14:paraId="5EFADD35">
      <w:pPr>
        <w:autoSpaceDE w:val="0"/>
        <w:autoSpaceDN w:val="0"/>
        <w:jc w:val="center"/>
        <w:textAlignment w:val="bottom"/>
        <w:outlineLvl w:val="0"/>
        <w:rPr>
          <w:b/>
          <w:color w:val="auto"/>
          <w:sz w:val="52"/>
          <w:szCs w:val="52"/>
          <w:highlight w:val="none"/>
        </w:rPr>
      </w:pPr>
    </w:p>
    <w:p w14:paraId="734B1C82">
      <w:pPr>
        <w:autoSpaceDE w:val="0"/>
        <w:autoSpaceDN w:val="0"/>
        <w:jc w:val="center"/>
        <w:textAlignment w:val="bottom"/>
        <w:outlineLvl w:val="0"/>
        <w:rPr>
          <w:b/>
          <w:color w:val="auto"/>
          <w:sz w:val="52"/>
          <w:szCs w:val="52"/>
          <w:highlight w:val="none"/>
        </w:rPr>
      </w:pPr>
    </w:p>
    <w:p w14:paraId="6ABE0F0B">
      <w:pPr>
        <w:autoSpaceDE w:val="0"/>
        <w:autoSpaceDN w:val="0"/>
        <w:jc w:val="center"/>
        <w:textAlignment w:val="bottom"/>
        <w:outlineLvl w:val="0"/>
        <w:rPr>
          <w:b/>
          <w:color w:val="auto"/>
          <w:sz w:val="52"/>
          <w:szCs w:val="52"/>
          <w:highlight w:val="none"/>
        </w:rPr>
      </w:pPr>
    </w:p>
    <w:p w14:paraId="44048AFA">
      <w:pPr>
        <w:autoSpaceDE w:val="0"/>
        <w:autoSpaceDN w:val="0"/>
        <w:jc w:val="center"/>
        <w:textAlignment w:val="bottom"/>
        <w:outlineLvl w:val="0"/>
        <w:rPr>
          <w:b/>
          <w:color w:val="auto"/>
          <w:sz w:val="52"/>
          <w:szCs w:val="52"/>
          <w:highlight w:val="none"/>
        </w:rPr>
      </w:pPr>
      <w:r>
        <w:rPr>
          <w:b/>
          <w:color w:val="auto"/>
          <w:sz w:val="52"/>
          <w:szCs w:val="52"/>
          <w:highlight w:val="none"/>
        </w:rPr>
        <w:t>目</w:t>
      </w:r>
      <w:r>
        <w:rPr>
          <w:rFonts w:hint="eastAsia"/>
          <w:b/>
          <w:color w:val="auto"/>
          <w:sz w:val="52"/>
          <w:szCs w:val="52"/>
          <w:highlight w:val="none"/>
        </w:rPr>
        <w:t xml:space="preserve">  </w:t>
      </w:r>
      <w:r>
        <w:rPr>
          <w:b/>
          <w:color w:val="auto"/>
          <w:sz w:val="52"/>
          <w:szCs w:val="52"/>
          <w:highlight w:val="none"/>
        </w:rPr>
        <w:t>录</w:t>
      </w:r>
    </w:p>
    <w:p w14:paraId="41A27563">
      <w:pPr>
        <w:autoSpaceDE w:val="0"/>
        <w:autoSpaceDN w:val="0"/>
        <w:jc w:val="center"/>
        <w:textAlignment w:val="bottom"/>
        <w:outlineLvl w:val="0"/>
        <w:rPr>
          <w:b/>
          <w:color w:val="auto"/>
          <w:sz w:val="44"/>
          <w:highlight w:val="none"/>
        </w:rPr>
      </w:pPr>
    </w:p>
    <w:p w14:paraId="539284A1">
      <w:pPr>
        <w:rPr>
          <w:b/>
          <w:bCs/>
          <w:color w:val="auto"/>
          <w:sz w:val="32"/>
          <w:highlight w:val="none"/>
        </w:rPr>
      </w:pPr>
    </w:p>
    <w:p w14:paraId="591B3E92">
      <w:pPr>
        <w:spacing w:line="360" w:lineRule="auto"/>
        <w:ind w:firstLine="1360" w:firstLineChars="425"/>
        <w:rPr>
          <w:color w:val="auto"/>
          <w:sz w:val="32"/>
          <w:highlight w:val="none"/>
        </w:rPr>
      </w:pPr>
      <w:r>
        <w:rPr>
          <w:color w:val="auto"/>
          <w:sz w:val="32"/>
          <w:highlight w:val="none"/>
        </w:rPr>
        <w:t>第一章</w:t>
      </w:r>
      <w:r>
        <w:rPr>
          <w:rFonts w:hint="eastAsia"/>
          <w:color w:val="auto"/>
          <w:sz w:val="32"/>
          <w:highlight w:val="none"/>
        </w:rPr>
        <w:t xml:space="preserve">  采购公告</w:t>
      </w:r>
    </w:p>
    <w:p w14:paraId="544AAF41">
      <w:pPr>
        <w:spacing w:line="360" w:lineRule="auto"/>
        <w:ind w:firstLine="1360" w:firstLineChars="425"/>
        <w:rPr>
          <w:color w:val="auto"/>
          <w:sz w:val="32"/>
          <w:highlight w:val="none"/>
        </w:rPr>
      </w:pPr>
      <w:r>
        <w:rPr>
          <w:color w:val="auto"/>
          <w:sz w:val="32"/>
          <w:highlight w:val="none"/>
        </w:rPr>
        <w:t>第二章</w:t>
      </w:r>
      <w:r>
        <w:rPr>
          <w:rFonts w:hint="eastAsia"/>
          <w:color w:val="auto"/>
          <w:sz w:val="32"/>
          <w:highlight w:val="none"/>
        </w:rPr>
        <w:t xml:space="preserve">  磋商响应</w:t>
      </w:r>
      <w:r>
        <w:rPr>
          <w:color w:val="auto"/>
          <w:sz w:val="32"/>
          <w:highlight w:val="none"/>
        </w:rPr>
        <w:t>须知</w:t>
      </w:r>
    </w:p>
    <w:p w14:paraId="175A385C">
      <w:pPr>
        <w:spacing w:line="360" w:lineRule="auto"/>
        <w:ind w:firstLine="1360" w:firstLineChars="425"/>
        <w:rPr>
          <w:rFonts w:hint="eastAsia" w:eastAsia="宋体"/>
          <w:color w:val="auto"/>
          <w:sz w:val="32"/>
          <w:highlight w:val="none"/>
          <w:lang w:eastAsia="zh-CN"/>
        </w:rPr>
      </w:pPr>
      <w:r>
        <w:rPr>
          <w:color w:val="auto"/>
          <w:sz w:val="32"/>
          <w:highlight w:val="none"/>
        </w:rPr>
        <w:t>第</w:t>
      </w:r>
      <w:r>
        <w:rPr>
          <w:rFonts w:hint="eastAsia"/>
          <w:color w:val="auto"/>
          <w:sz w:val="32"/>
          <w:highlight w:val="none"/>
        </w:rPr>
        <w:t>三</w:t>
      </w:r>
      <w:r>
        <w:rPr>
          <w:color w:val="auto"/>
          <w:sz w:val="32"/>
          <w:highlight w:val="none"/>
        </w:rPr>
        <w:t>章</w:t>
      </w:r>
      <w:r>
        <w:rPr>
          <w:rFonts w:hint="eastAsia"/>
          <w:color w:val="auto"/>
          <w:sz w:val="32"/>
          <w:highlight w:val="none"/>
        </w:rPr>
        <w:t xml:space="preserve">  </w:t>
      </w:r>
      <w:r>
        <w:rPr>
          <w:rFonts w:hint="eastAsia"/>
          <w:color w:val="auto"/>
          <w:sz w:val="32"/>
          <w:highlight w:val="none"/>
          <w:lang w:eastAsia="zh-CN"/>
        </w:rPr>
        <w:t>采购需求</w:t>
      </w:r>
    </w:p>
    <w:p w14:paraId="4CE6ED6C">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四</w:t>
      </w:r>
      <w:r>
        <w:rPr>
          <w:color w:val="auto"/>
          <w:sz w:val="32"/>
          <w:highlight w:val="none"/>
        </w:rPr>
        <w:t>章</w:t>
      </w:r>
      <w:r>
        <w:rPr>
          <w:rFonts w:hint="eastAsia"/>
          <w:color w:val="auto"/>
          <w:sz w:val="32"/>
          <w:highlight w:val="none"/>
        </w:rPr>
        <w:t xml:space="preserve">  采购合同一般和特殊条款</w:t>
      </w:r>
    </w:p>
    <w:p w14:paraId="27F22FE1">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五</w:t>
      </w:r>
      <w:r>
        <w:rPr>
          <w:color w:val="auto"/>
          <w:sz w:val="32"/>
          <w:highlight w:val="none"/>
        </w:rPr>
        <w:t>章</w:t>
      </w:r>
      <w:r>
        <w:rPr>
          <w:rFonts w:hint="eastAsia"/>
          <w:color w:val="auto"/>
          <w:sz w:val="32"/>
          <w:highlight w:val="none"/>
        </w:rPr>
        <w:t xml:space="preserve">  磋商响应</w:t>
      </w:r>
      <w:r>
        <w:rPr>
          <w:color w:val="auto"/>
          <w:sz w:val="32"/>
          <w:highlight w:val="none"/>
        </w:rPr>
        <w:t>文件格式及其附件</w:t>
      </w:r>
    </w:p>
    <w:p w14:paraId="74255A7B">
      <w:pPr>
        <w:widowControl/>
        <w:autoSpaceDE w:val="0"/>
        <w:autoSpaceDN w:val="0"/>
        <w:textAlignment w:val="bottom"/>
        <w:rPr>
          <w:b/>
          <w:color w:val="auto"/>
          <w:sz w:val="32"/>
          <w:highlight w:val="none"/>
        </w:rPr>
      </w:pPr>
    </w:p>
    <w:p w14:paraId="407736C0">
      <w:pPr>
        <w:widowControl/>
        <w:autoSpaceDE w:val="0"/>
        <w:autoSpaceDN w:val="0"/>
        <w:textAlignment w:val="bottom"/>
        <w:rPr>
          <w:color w:val="auto"/>
          <w:sz w:val="32"/>
          <w:highlight w:val="none"/>
        </w:rPr>
      </w:pPr>
    </w:p>
    <w:p w14:paraId="6C0DB9E9">
      <w:pPr>
        <w:widowControl/>
        <w:autoSpaceDE w:val="0"/>
        <w:autoSpaceDN w:val="0"/>
        <w:textAlignment w:val="bottom"/>
        <w:rPr>
          <w:color w:val="auto"/>
          <w:sz w:val="32"/>
          <w:highlight w:val="none"/>
        </w:rPr>
      </w:pPr>
    </w:p>
    <w:p w14:paraId="06D54956">
      <w:pPr>
        <w:widowControl/>
        <w:autoSpaceDE w:val="0"/>
        <w:autoSpaceDN w:val="0"/>
        <w:textAlignment w:val="bottom"/>
        <w:rPr>
          <w:color w:val="auto"/>
          <w:sz w:val="32"/>
          <w:highlight w:val="none"/>
        </w:rPr>
      </w:pPr>
    </w:p>
    <w:p w14:paraId="2398AF20">
      <w:pPr>
        <w:widowControl/>
        <w:autoSpaceDE w:val="0"/>
        <w:autoSpaceDN w:val="0"/>
        <w:textAlignment w:val="bottom"/>
        <w:rPr>
          <w:color w:val="auto"/>
          <w:sz w:val="32"/>
          <w:highlight w:val="none"/>
        </w:rPr>
      </w:pPr>
    </w:p>
    <w:p w14:paraId="74B39B6D">
      <w:pPr>
        <w:widowControl/>
        <w:autoSpaceDE w:val="0"/>
        <w:autoSpaceDN w:val="0"/>
        <w:textAlignment w:val="bottom"/>
        <w:rPr>
          <w:color w:val="auto"/>
          <w:sz w:val="32"/>
          <w:highlight w:val="none"/>
        </w:rPr>
      </w:pPr>
    </w:p>
    <w:p w14:paraId="461985C2">
      <w:pPr>
        <w:widowControl/>
        <w:autoSpaceDE w:val="0"/>
        <w:autoSpaceDN w:val="0"/>
        <w:textAlignment w:val="bottom"/>
        <w:rPr>
          <w:color w:val="auto"/>
          <w:sz w:val="32"/>
          <w:highlight w:val="none"/>
        </w:rPr>
      </w:pPr>
    </w:p>
    <w:p w14:paraId="0404482F">
      <w:pPr>
        <w:widowControl/>
        <w:autoSpaceDE w:val="0"/>
        <w:autoSpaceDN w:val="0"/>
        <w:textAlignment w:val="bottom"/>
        <w:rPr>
          <w:bCs/>
          <w:color w:val="auto"/>
          <w:sz w:val="44"/>
          <w:highlight w:val="none"/>
        </w:rPr>
      </w:pPr>
    </w:p>
    <w:p w14:paraId="454EFE6C">
      <w:pPr>
        <w:widowControl/>
        <w:autoSpaceDE w:val="0"/>
        <w:autoSpaceDN w:val="0"/>
        <w:textAlignment w:val="bottom"/>
        <w:rPr>
          <w:b/>
          <w:color w:val="auto"/>
          <w:sz w:val="44"/>
          <w:highlight w:val="none"/>
        </w:rPr>
        <w:sectPr>
          <w:headerReference r:id="rId4" w:type="first"/>
          <w:headerReference r:id="rId3" w:type="default"/>
          <w:footerReference r:id="rId5" w:type="default"/>
          <w:footerReference r:id="rId6" w:type="even"/>
          <w:pgSz w:w="11906" w:h="16838"/>
          <w:pgMar w:top="1440" w:right="1474" w:bottom="1440" w:left="1474" w:header="851" w:footer="1247" w:gutter="284"/>
          <w:pgNumType w:fmt="decimal" w:start="1"/>
          <w:cols w:space="720" w:num="1"/>
          <w:docGrid w:linePitch="285" w:charSpace="0"/>
        </w:sectPr>
      </w:pPr>
    </w:p>
    <w:p w14:paraId="795E4133">
      <w:pPr>
        <w:spacing w:line="360" w:lineRule="auto"/>
        <w:jc w:val="center"/>
        <w:rPr>
          <w:b/>
          <w:color w:val="auto"/>
          <w:sz w:val="36"/>
          <w:highlight w:val="none"/>
        </w:rPr>
      </w:pPr>
      <w:r>
        <w:rPr>
          <w:b/>
          <w:color w:val="auto"/>
          <w:sz w:val="36"/>
          <w:highlight w:val="none"/>
        </w:rPr>
        <w:t>第一章</w:t>
      </w:r>
      <w:r>
        <w:rPr>
          <w:rFonts w:hint="eastAsia"/>
          <w:b/>
          <w:color w:val="auto"/>
          <w:sz w:val="36"/>
          <w:highlight w:val="none"/>
        </w:rPr>
        <w:t>、采购公告</w:t>
      </w:r>
    </w:p>
    <w:p w14:paraId="1635B38F">
      <w:pPr>
        <w:spacing w:line="312" w:lineRule="auto"/>
        <w:jc w:val="center"/>
        <w:outlineLvl w:val="0"/>
        <w:rPr>
          <w:b/>
          <w:color w:val="auto"/>
          <w:sz w:val="36"/>
          <w:highlight w:val="none"/>
        </w:rPr>
      </w:pPr>
    </w:p>
    <w:p w14:paraId="117771AB">
      <w:pPr>
        <w:pBdr>
          <w:top w:val="single" w:color="auto" w:sz="4" w:space="1"/>
          <w:left w:val="single" w:color="auto" w:sz="4" w:space="4"/>
          <w:bottom w:val="single" w:color="auto" w:sz="4" w:space="0"/>
          <w:right w:val="single" w:color="auto" w:sz="4" w:space="0"/>
        </w:pBdr>
        <w:spacing w:line="28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1C3A54D">
      <w:pPr>
        <w:pBdr>
          <w:top w:val="single" w:color="auto" w:sz="4" w:space="1"/>
          <w:left w:val="single" w:color="auto" w:sz="4" w:space="4"/>
          <w:bottom w:val="single" w:color="auto" w:sz="4" w:space="0"/>
          <w:right w:val="single" w:color="auto" w:sz="4" w:space="0"/>
        </w:pBdr>
        <w:spacing w:line="360" w:lineRule="auto"/>
        <w:ind w:firstLine="480" w:firstLineChars="200"/>
        <w:contextualSpacing/>
        <w:rPr>
          <w:rFonts w:ascii="宋体" w:hAnsi="宋体" w:cs="宋体"/>
          <w:bCs/>
          <w:color w:val="auto"/>
          <w:sz w:val="24"/>
          <w:highlight w:val="none"/>
        </w:rPr>
      </w:pPr>
      <w:r>
        <w:rPr>
          <w:rFonts w:hint="eastAsia" w:ascii="宋体" w:hAnsi="宋体"/>
          <w:color w:val="auto"/>
          <w:sz w:val="24"/>
          <w:highlight w:val="none"/>
          <w:u w:val="single"/>
          <w:lang w:eastAsia="zh-CN"/>
        </w:rPr>
        <w:t>浙江省离休干部红色档案挖掘保护和宣传展示项目</w:t>
      </w:r>
      <w:r>
        <w:rPr>
          <w:rFonts w:hint="eastAsia" w:ascii="宋体" w:hAnsi="宋体"/>
          <w:color w:val="auto"/>
          <w:sz w:val="24"/>
          <w:highlight w:val="none"/>
        </w:rPr>
        <w:t>采购项目的潜在供应商在</w:t>
      </w:r>
      <w:r>
        <w:rPr>
          <w:rFonts w:hint="eastAsia" w:ascii="宋体" w:hAnsi="宋体"/>
          <w:color w:val="auto"/>
          <w:sz w:val="24"/>
          <w:highlight w:val="none"/>
          <w:u w:val="single"/>
        </w:rPr>
        <w:t>政采云平台</w:t>
      </w:r>
      <w:r>
        <w:rPr>
          <w:rFonts w:ascii="宋体" w:hAnsi="宋体"/>
          <w:color w:val="auto"/>
          <w:sz w:val="24"/>
          <w:highlight w:val="none"/>
          <w:u w:val="single"/>
        </w:rPr>
        <w:t>（</w:t>
      </w:r>
      <w:r>
        <w:rPr>
          <w:color w:val="auto"/>
          <w:highlight w:val="none"/>
        </w:rPr>
        <w:fldChar w:fldCharType="begin"/>
      </w:r>
      <w:r>
        <w:rPr>
          <w:color w:val="auto"/>
          <w:highlight w:val="none"/>
        </w:rPr>
        <w:instrText xml:space="preserve"> HYPERLINK "http://zfcg.czt.zj.gov.cn）获取（下载）采购文件，并于2022年1月28日10:00时(北京时间)" </w:instrText>
      </w:r>
      <w:r>
        <w:rPr>
          <w:color w:val="auto"/>
          <w:highlight w:val="none"/>
        </w:rPr>
        <w:fldChar w:fldCharType="separate"/>
      </w:r>
      <w:r>
        <w:rPr>
          <w:rStyle w:val="29"/>
          <w:rFonts w:ascii="宋体" w:hAnsi="宋体"/>
          <w:color w:val="auto"/>
          <w:sz w:val="24"/>
          <w:highlight w:val="none"/>
        </w:rPr>
        <w:t>http://zfcg.czt.zj.gov.cn）</w:t>
      </w:r>
      <w:r>
        <w:rPr>
          <w:rStyle w:val="29"/>
          <w:rFonts w:hint="eastAsia" w:ascii="宋体" w:hAnsi="宋体"/>
          <w:color w:val="auto"/>
          <w:sz w:val="24"/>
          <w:highlight w:val="none"/>
        </w:rPr>
        <w:t>获取（下载）采购文件，并</w:t>
      </w:r>
      <w:r>
        <w:rPr>
          <w:rFonts w:hint="eastAsia" w:ascii="宋体" w:hAnsi="宋体"/>
          <w:color w:val="auto"/>
          <w:sz w:val="24"/>
          <w:highlight w:val="none"/>
        </w:rPr>
        <w:t>于202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:30时(</w:t>
      </w:r>
      <w:r>
        <w:rPr>
          <w:rStyle w:val="29"/>
          <w:rFonts w:hint="eastAsia" w:ascii="宋体" w:hAnsi="宋体"/>
          <w:color w:val="auto"/>
          <w:sz w:val="24"/>
          <w:highlight w:val="none"/>
        </w:rPr>
        <w:t>北京时间</w:t>
      </w:r>
      <w:r>
        <w:rPr>
          <w:rStyle w:val="29"/>
          <w:rFonts w:ascii="宋体" w:hAnsi="宋体"/>
          <w:color w:val="auto"/>
          <w:sz w:val="24"/>
          <w:highlight w:val="none"/>
        </w:rPr>
        <w:t>)</w:t>
      </w:r>
      <w:r>
        <w:rPr>
          <w:rStyle w:val="29"/>
          <w:rFonts w:ascii="宋体" w:hAnsi="宋体"/>
          <w:color w:val="auto"/>
          <w:sz w:val="24"/>
          <w:highlight w:val="none"/>
        </w:rPr>
        <w:fldChar w:fldCharType="end"/>
      </w:r>
      <w:r>
        <w:rPr>
          <w:rFonts w:hint="eastAsia" w:ascii="宋体" w:hAnsi="宋体"/>
          <w:color w:val="auto"/>
          <w:sz w:val="24"/>
          <w:highlight w:val="none"/>
        </w:rPr>
        <w:t>前提交响应文件。</w:t>
      </w:r>
    </w:p>
    <w:p w14:paraId="4E0F52B4">
      <w:pPr>
        <w:spacing w:line="288" w:lineRule="auto"/>
        <w:rPr>
          <w:rFonts w:ascii="宋体" w:hAnsi="宋体"/>
          <w:b/>
          <w:color w:val="auto"/>
          <w:sz w:val="24"/>
          <w:highlight w:val="none"/>
        </w:rPr>
      </w:pPr>
    </w:p>
    <w:p w14:paraId="22EB4C02">
      <w:pPr>
        <w:spacing w:line="360" w:lineRule="auto"/>
        <w:contextualSpacing/>
        <w:rPr>
          <w:rFonts w:ascii="宋体" w:hAnsi="宋体"/>
          <w:b/>
          <w:color w:val="auto"/>
          <w:sz w:val="24"/>
          <w:highlight w:val="none"/>
        </w:rPr>
      </w:pPr>
      <w:r>
        <w:rPr>
          <w:rFonts w:hint="eastAsia" w:ascii="宋体" w:hAnsi="宋体"/>
          <w:b/>
          <w:color w:val="auto"/>
          <w:sz w:val="24"/>
          <w:highlight w:val="none"/>
        </w:rPr>
        <w:t>一、项目基本情况</w:t>
      </w:r>
    </w:p>
    <w:p w14:paraId="3AD736F9">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color w:val="auto"/>
          <w:sz w:val="24"/>
          <w:highlight w:val="none"/>
        </w:rPr>
        <w:t>1.</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HZYX-LGB-25213CS</w:t>
      </w:r>
    </w:p>
    <w:p w14:paraId="322FD5BC">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2.项目名称：</w:t>
      </w:r>
      <w:r>
        <w:rPr>
          <w:rFonts w:hint="eastAsia" w:ascii="宋体" w:hAnsi="宋体"/>
          <w:color w:val="auto"/>
          <w:sz w:val="24"/>
          <w:highlight w:val="none"/>
          <w:lang w:eastAsia="zh-CN"/>
        </w:rPr>
        <w:t>浙江省离休干部红色档案挖掘保护和宣传展示项目</w:t>
      </w:r>
    </w:p>
    <w:p w14:paraId="12D3B731">
      <w:pPr>
        <w:spacing w:line="360" w:lineRule="auto"/>
        <w:ind w:firstLine="480" w:firstLineChars="200"/>
        <w:contextualSpacing/>
        <w:rPr>
          <w:rFonts w:hint="default" w:ascii="宋体" w:hAnsi="宋体" w:cs="宋体"/>
          <w:color w:val="auto"/>
          <w:kern w:val="0"/>
          <w:sz w:val="24"/>
          <w:highlight w:val="none"/>
          <w:lang w:val="en-US"/>
        </w:rPr>
      </w:pPr>
      <w:r>
        <w:rPr>
          <w:rFonts w:hint="eastAsia" w:ascii="宋体" w:hAnsi="宋体" w:cs="宋体"/>
          <w:color w:val="auto"/>
          <w:kern w:val="0"/>
          <w:sz w:val="24"/>
          <w:highlight w:val="none"/>
        </w:rPr>
        <w:t>3.预算金额：</w:t>
      </w:r>
      <w:r>
        <w:rPr>
          <w:rFonts w:hint="eastAsia" w:ascii="宋体" w:hAnsi="宋体" w:cs="宋体"/>
          <w:color w:val="auto"/>
          <w:kern w:val="0"/>
          <w:sz w:val="24"/>
          <w:highlight w:val="none"/>
          <w:lang w:val="en-US" w:eastAsia="zh-CN"/>
        </w:rPr>
        <w:t>800000.00</w:t>
      </w:r>
    </w:p>
    <w:p w14:paraId="15F7E991">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4.最高限价：</w:t>
      </w:r>
      <w:r>
        <w:rPr>
          <w:rFonts w:hint="eastAsia" w:ascii="宋体" w:hAnsi="宋体" w:cs="宋体"/>
          <w:color w:val="auto"/>
          <w:kern w:val="0"/>
          <w:sz w:val="24"/>
          <w:highlight w:val="none"/>
          <w:lang w:val="en-US" w:eastAsia="zh-CN"/>
        </w:rPr>
        <w:t>800000.00</w:t>
      </w:r>
    </w:p>
    <w:p w14:paraId="27635BD8">
      <w:pPr>
        <w:adjustRightInd w:val="0"/>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5.采购需求：</w:t>
      </w:r>
    </w:p>
    <w:tbl>
      <w:tblPr>
        <w:tblStyle w:val="24"/>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1000"/>
        <w:gridCol w:w="4588"/>
      </w:tblGrid>
      <w:tr w14:paraId="2B0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vAlign w:val="center"/>
          </w:tcPr>
          <w:p w14:paraId="3FA69EA0">
            <w:pPr>
              <w:tabs>
                <w:tab w:val="left" w:pos="720"/>
              </w:tabs>
              <w:spacing w:line="360" w:lineRule="auto"/>
              <w:jc w:val="center"/>
              <w:rPr>
                <w:b/>
                <w:color w:val="auto"/>
                <w:sz w:val="24"/>
                <w:highlight w:val="none"/>
              </w:rPr>
            </w:pPr>
            <w:r>
              <w:rPr>
                <w:b/>
                <w:color w:val="auto"/>
                <w:sz w:val="24"/>
                <w:highlight w:val="none"/>
              </w:rPr>
              <w:t>项目名称</w:t>
            </w:r>
          </w:p>
        </w:tc>
        <w:tc>
          <w:tcPr>
            <w:tcW w:w="1000" w:type="dxa"/>
            <w:vAlign w:val="center"/>
          </w:tcPr>
          <w:p w14:paraId="458A3209">
            <w:pPr>
              <w:tabs>
                <w:tab w:val="left" w:pos="720"/>
              </w:tabs>
              <w:spacing w:line="360" w:lineRule="auto"/>
              <w:jc w:val="center"/>
              <w:rPr>
                <w:b/>
                <w:color w:val="auto"/>
                <w:sz w:val="24"/>
                <w:highlight w:val="none"/>
              </w:rPr>
            </w:pPr>
            <w:r>
              <w:rPr>
                <w:b/>
                <w:color w:val="auto"/>
                <w:sz w:val="24"/>
                <w:highlight w:val="none"/>
              </w:rPr>
              <w:t>数量</w:t>
            </w:r>
          </w:p>
        </w:tc>
        <w:tc>
          <w:tcPr>
            <w:tcW w:w="4588" w:type="dxa"/>
            <w:vAlign w:val="center"/>
          </w:tcPr>
          <w:p w14:paraId="341A4172">
            <w:pPr>
              <w:widowControl/>
              <w:spacing w:before="60" w:after="60" w:line="360" w:lineRule="auto"/>
              <w:ind w:left="60" w:right="60"/>
              <w:jc w:val="center"/>
              <w:rPr>
                <w:b/>
                <w:color w:val="auto"/>
                <w:sz w:val="24"/>
                <w:highlight w:val="none"/>
              </w:rPr>
            </w:pPr>
            <w:r>
              <w:rPr>
                <w:b/>
                <w:color w:val="auto"/>
                <w:kern w:val="0"/>
                <w:sz w:val="24"/>
                <w:highlight w:val="none"/>
              </w:rPr>
              <w:t>简要技术要求</w:t>
            </w:r>
          </w:p>
        </w:tc>
      </w:tr>
      <w:tr w14:paraId="6C6B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158" w:type="dxa"/>
            <w:vAlign w:val="center"/>
          </w:tcPr>
          <w:p w14:paraId="5FAD7570">
            <w:pPr>
              <w:spacing w:line="360" w:lineRule="auto"/>
              <w:jc w:val="center"/>
              <w:rPr>
                <w:rFonts w:hint="eastAsia" w:ascii="宋体" w:hAnsi="宋体" w:eastAsia="宋体"/>
                <w:color w:val="auto"/>
                <w:kern w:val="0"/>
                <w:sz w:val="24"/>
                <w:highlight w:val="none"/>
                <w:lang w:eastAsia="zh-CN"/>
              </w:rPr>
            </w:pPr>
            <w:r>
              <w:rPr>
                <w:rFonts w:hint="eastAsia" w:ascii="宋体" w:hAnsi="宋体"/>
                <w:color w:val="auto"/>
                <w:sz w:val="24"/>
                <w:highlight w:val="none"/>
                <w:lang w:eastAsia="zh-CN"/>
              </w:rPr>
              <w:t>浙江省离休干部红色档案挖掘保护和宣传展示项目</w:t>
            </w:r>
          </w:p>
        </w:tc>
        <w:tc>
          <w:tcPr>
            <w:tcW w:w="1000" w:type="dxa"/>
            <w:vAlign w:val="center"/>
          </w:tcPr>
          <w:p w14:paraId="0968D911">
            <w:pPr>
              <w:tabs>
                <w:tab w:val="left" w:pos="72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4588" w:type="dxa"/>
            <w:vAlign w:val="center"/>
          </w:tcPr>
          <w:p w14:paraId="38C78E4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color w:val="auto"/>
                <w:kern w:val="0"/>
                <w:sz w:val="24"/>
                <w:highlight w:val="none"/>
              </w:rPr>
            </w:pPr>
            <w:r>
              <w:rPr>
                <w:rFonts w:hint="eastAsia" w:ascii="宋体" w:hAnsi="宋体"/>
                <w:color w:val="auto"/>
                <w:sz w:val="24"/>
                <w:highlight w:val="none"/>
              </w:rPr>
              <w:t>以2025年抗战胜利80周年为契机,开展离休干部红色档案挖掘保护和宣传展示工作。主要内容：1.开展一次融媒传播</w:t>
            </w:r>
            <w:r>
              <w:rPr>
                <w:rFonts w:hint="eastAsia" w:ascii="宋体" w:hAnsi="宋体"/>
                <w:color w:val="auto"/>
                <w:sz w:val="24"/>
                <w:highlight w:val="none"/>
                <w:lang w:eastAsia="zh-CN"/>
              </w:rPr>
              <w:t>；</w:t>
            </w:r>
            <w:r>
              <w:rPr>
                <w:rFonts w:hint="eastAsia" w:ascii="宋体" w:hAnsi="宋体"/>
                <w:color w:val="auto"/>
                <w:sz w:val="24"/>
                <w:highlight w:val="none"/>
              </w:rPr>
              <w:t>2.举办一个主题展览</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rPr>
              <w:t>.出版一本书籍。具体</w:t>
            </w:r>
            <w:r>
              <w:rPr>
                <w:color w:val="auto"/>
                <w:sz w:val="24"/>
                <w:szCs w:val="20"/>
                <w:highlight w:val="none"/>
              </w:rPr>
              <w:t>详见</w:t>
            </w:r>
            <w:r>
              <w:rPr>
                <w:rFonts w:hint="eastAsia"/>
                <w:color w:val="auto"/>
                <w:sz w:val="24"/>
                <w:szCs w:val="20"/>
                <w:highlight w:val="none"/>
                <w:lang w:val="en-US" w:eastAsia="zh-CN"/>
              </w:rPr>
              <w:t>采购文件“</w:t>
            </w:r>
            <w:r>
              <w:rPr>
                <w:color w:val="auto"/>
                <w:sz w:val="24"/>
                <w:szCs w:val="20"/>
                <w:highlight w:val="none"/>
              </w:rPr>
              <w:t>第三章</w:t>
            </w:r>
            <w:r>
              <w:rPr>
                <w:rFonts w:hint="eastAsia"/>
                <w:color w:val="auto"/>
                <w:sz w:val="24"/>
                <w:szCs w:val="20"/>
                <w:highlight w:val="none"/>
                <w:lang w:eastAsia="zh-CN"/>
              </w:rPr>
              <w:t>采购需求”</w:t>
            </w:r>
            <w:r>
              <w:rPr>
                <w:color w:val="auto"/>
                <w:sz w:val="24"/>
                <w:szCs w:val="20"/>
                <w:highlight w:val="none"/>
              </w:rPr>
              <w:t>。</w:t>
            </w:r>
          </w:p>
        </w:tc>
      </w:tr>
    </w:tbl>
    <w:p w14:paraId="76A32D74">
      <w:pPr>
        <w:spacing w:line="360" w:lineRule="auto"/>
        <w:ind w:firstLine="480" w:firstLineChars="200"/>
        <w:contextualSpacing/>
        <w:rPr>
          <w:rFonts w:ascii="宋体" w:hAnsi="宋体"/>
          <w:color w:val="auto"/>
          <w:sz w:val="24"/>
          <w:highlight w:val="none"/>
        </w:rPr>
      </w:pPr>
      <w:r>
        <w:rPr>
          <w:rFonts w:hint="eastAsia" w:ascii="宋体" w:hAnsi="宋体" w:cs="宋体"/>
          <w:color w:val="auto"/>
          <w:kern w:val="0"/>
          <w:sz w:val="24"/>
          <w:highlight w:val="none"/>
        </w:rPr>
        <w:t>6.合同履行期限：</w:t>
      </w:r>
      <w:r>
        <w:rPr>
          <w:rFonts w:hint="eastAsia" w:ascii="宋体" w:hAnsi="宋体" w:cs="宋体"/>
          <w:snapToGrid w:val="0"/>
          <w:color w:val="auto"/>
          <w:kern w:val="0"/>
          <w:sz w:val="24"/>
          <w:szCs w:val="24"/>
          <w:highlight w:val="none"/>
          <w:lang w:val="en-US" w:eastAsia="zh-CN"/>
        </w:rPr>
        <w:t>合同签订之日起至2025年12月10日</w:t>
      </w:r>
      <w:r>
        <w:rPr>
          <w:rFonts w:hint="eastAsia" w:ascii="宋体" w:hAnsi="宋体"/>
          <w:color w:val="auto"/>
          <w:sz w:val="24"/>
          <w:highlight w:val="none"/>
        </w:rPr>
        <w:t>。</w:t>
      </w:r>
    </w:p>
    <w:p w14:paraId="4F562E72">
      <w:pPr>
        <w:spacing w:line="360" w:lineRule="auto"/>
        <w:ind w:firstLine="480" w:firstLineChars="200"/>
        <w:contextualSpacing/>
        <w:rPr>
          <w:color w:val="auto"/>
          <w:kern w:val="0"/>
          <w:sz w:val="24"/>
          <w:highlight w:val="none"/>
        </w:rPr>
      </w:pPr>
      <w:r>
        <w:rPr>
          <w:rFonts w:hint="eastAsia" w:ascii="宋体" w:hAnsi="宋体" w:cs="宋体"/>
          <w:color w:val="auto"/>
          <w:kern w:val="0"/>
          <w:sz w:val="24"/>
          <w:highlight w:val="none"/>
        </w:rPr>
        <w:t>7.</w:t>
      </w:r>
      <w:r>
        <w:rPr>
          <w:rFonts w:ascii="宋体" w:hAnsi="宋体"/>
          <w:color w:val="auto"/>
          <w:kern w:val="0"/>
          <w:sz w:val="24"/>
          <w:highlight w:val="none"/>
        </w:rPr>
        <w:t>本项目接受联合体投</w:t>
      </w:r>
      <w:r>
        <w:rPr>
          <w:color w:val="auto"/>
          <w:kern w:val="0"/>
          <w:sz w:val="24"/>
          <w:highlight w:val="none"/>
        </w:rPr>
        <w:t>标。</w:t>
      </w:r>
      <w:bookmarkStart w:id="0" w:name="_Toc30045"/>
    </w:p>
    <w:p w14:paraId="2963486F">
      <w:pPr>
        <w:spacing w:line="360" w:lineRule="auto"/>
        <w:contextualSpacing/>
        <w:rPr>
          <w:rFonts w:ascii="宋体" w:hAnsi="宋体" w:cs="宋体"/>
          <w:b/>
          <w:color w:val="auto"/>
          <w:sz w:val="24"/>
          <w:highlight w:val="none"/>
        </w:rPr>
      </w:pPr>
      <w:r>
        <w:rPr>
          <w:rFonts w:ascii="宋体" w:hAnsi="宋体" w:cs="宋体"/>
          <w:b/>
          <w:color w:val="auto"/>
          <w:sz w:val="24"/>
          <w:highlight w:val="none"/>
        </w:rPr>
        <w:t>二、申请人的资格要求</w:t>
      </w:r>
      <w:bookmarkEnd w:id="0"/>
    </w:p>
    <w:p w14:paraId="66644187">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D210A8E">
      <w:pPr>
        <w:widowControl/>
        <w:spacing w:line="360" w:lineRule="auto"/>
        <w:ind w:firstLine="480" w:firstLineChars="200"/>
        <w:jc w:val="left"/>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2.落实政府采购政策需满足的资格要求：</w:t>
      </w:r>
      <w:r>
        <w:rPr>
          <w:rFonts w:hint="eastAsia" w:ascii="宋体" w:hAnsi="宋体"/>
          <w:color w:val="auto"/>
          <w:kern w:val="0"/>
          <w:sz w:val="24"/>
          <w:highlight w:val="none"/>
          <w:lang w:val="en-US" w:eastAsia="zh-CN"/>
        </w:rPr>
        <w:t>无</w:t>
      </w:r>
      <w:r>
        <w:rPr>
          <w:rFonts w:hint="eastAsia" w:ascii="宋体" w:hAnsi="宋体"/>
          <w:color w:val="auto"/>
          <w:kern w:val="0"/>
          <w:sz w:val="24"/>
          <w:highlight w:val="none"/>
          <w:lang w:eastAsia="zh-CN"/>
        </w:rPr>
        <w:t>。</w:t>
      </w:r>
    </w:p>
    <w:p w14:paraId="407CEE19">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3.本项目的特定资格要求：无。</w:t>
      </w:r>
    </w:p>
    <w:p w14:paraId="67281000">
      <w:pPr>
        <w:spacing w:line="360" w:lineRule="auto"/>
        <w:contextualSpacing/>
        <w:rPr>
          <w:rFonts w:ascii="宋体" w:hAnsi="宋体" w:cs="宋体"/>
          <w:b/>
          <w:color w:val="auto"/>
          <w:sz w:val="24"/>
          <w:highlight w:val="none"/>
        </w:rPr>
      </w:pPr>
      <w:bookmarkStart w:id="1" w:name="_Toc19793"/>
      <w:r>
        <w:rPr>
          <w:rFonts w:ascii="宋体" w:hAnsi="宋体" w:cs="宋体"/>
          <w:b/>
          <w:color w:val="auto"/>
          <w:sz w:val="24"/>
          <w:highlight w:val="none"/>
        </w:rPr>
        <w:t>三、获取</w:t>
      </w:r>
      <w:r>
        <w:rPr>
          <w:rFonts w:hint="eastAsia" w:ascii="宋体" w:hAnsi="宋体" w:cs="宋体"/>
          <w:b/>
          <w:color w:val="auto"/>
          <w:sz w:val="24"/>
          <w:highlight w:val="none"/>
        </w:rPr>
        <w:t>采购</w:t>
      </w:r>
      <w:r>
        <w:rPr>
          <w:rFonts w:ascii="宋体" w:hAnsi="宋体" w:cs="宋体"/>
          <w:b/>
          <w:color w:val="auto"/>
          <w:sz w:val="24"/>
          <w:highlight w:val="none"/>
        </w:rPr>
        <w:t>文件</w:t>
      </w:r>
      <w:bookmarkEnd w:id="1"/>
    </w:p>
    <w:p w14:paraId="521B86DF">
      <w:pPr>
        <w:spacing w:before="80" w:after="80" w:line="360" w:lineRule="auto"/>
        <w:ind w:right="79" w:firstLine="472" w:firstLineChars="197"/>
        <w:jc w:val="left"/>
        <w:rPr>
          <w:rFonts w:ascii="宋体" w:hAnsi="宋体"/>
          <w:color w:val="auto"/>
          <w:kern w:val="0"/>
          <w:sz w:val="24"/>
          <w:highlight w:val="none"/>
        </w:rPr>
      </w:pPr>
      <w:r>
        <w:rPr>
          <w:rFonts w:hint="eastAsia" w:ascii="宋体" w:hAnsi="宋体"/>
          <w:color w:val="auto"/>
          <w:kern w:val="0"/>
          <w:sz w:val="24"/>
          <w:highlight w:val="none"/>
        </w:rPr>
        <w:t>1.时间：自本公告发布之日起至投标截止时间止（相关法律法规所指的供应商获取采购文件时间以供应商完成获取采购文件申请后下载采购文件的时间为准）</w:t>
      </w:r>
    </w:p>
    <w:p w14:paraId="59DDBFEF">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olor w:val="auto"/>
          <w:sz w:val="24"/>
          <w:highlight w:val="none"/>
        </w:rPr>
        <w:t>地点</w:t>
      </w:r>
      <w:r>
        <w:rPr>
          <w:rFonts w:hint="eastAsia" w:ascii="宋体" w:hAnsi="宋体" w:cs="宋体"/>
          <w:color w:val="auto"/>
          <w:kern w:val="0"/>
          <w:sz w:val="24"/>
          <w:highlight w:val="none"/>
        </w:rPr>
        <w:t>：政采云平台（http://zfcg.czt.zj.gov.cn）；</w:t>
      </w:r>
    </w:p>
    <w:p w14:paraId="149579F8">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3.方式：潜在</w:t>
      </w:r>
      <w:r>
        <w:rPr>
          <w:rFonts w:ascii="宋体" w:hAnsi="宋体" w:cs="宋体"/>
          <w:color w:val="auto"/>
          <w:kern w:val="0"/>
          <w:sz w:val="24"/>
          <w:highlight w:val="none"/>
        </w:rPr>
        <w:t>供应商获取</w:t>
      </w:r>
      <w:r>
        <w:rPr>
          <w:rFonts w:hint="eastAsia" w:ascii="宋体" w:hAnsi="宋体" w:cs="宋体"/>
          <w:color w:val="auto"/>
          <w:kern w:val="0"/>
          <w:sz w:val="24"/>
          <w:highlight w:val="none"/>
        </w:rPr>
        <w:t>采购</w:t>
      </w:r>
      <w:r>
        <w:rPr>
          <w:rFonts w:ascii="宋体" w:hAnsi="宋体" w:cs="宋体"/>
          <w:color w:val="auto"/>
          <w:kern w:val="0"/>
          <w:sz w:val="24"/>
          <w:highlight w:val="none"/>
        </w:rPr>
        <w:t>文件前应先完成“政府采购云平台”的账号注册；</w:t>
      </w:r>
      <w:r>
        <w:rPr>
          <w:rFonts w:hint="eastAsia" w:ascii="宋体" w:hAnsi="宋体" w:cs="宋体"/>
          <w:color w:val="auto"/>
          <w:kern w:val="0"/>
          <w:sz w:val="24"/>
          <w:highlight w:val="none"/>
        </w:rPr>
        <w:t>登陆政采云平台，在线申请免费获取采购文件（进入“项目采购”应用，在获取采购文件菜单中选择项目，申请获取采购文件；仅需浏览采购文件的供应商可点击“游客，浏览采购文件”直接下载采购文件浏览）；</w:t>
      </w:r>
    </w:p>
    <w:p w14:paraId="191335BF">
      <w:pPr>
        <w:spacing w:before="80" w:after="80" w:line="360" w:lineRule="auto"/>
        <w:ind w:right="79" w:firstLine="472" w:firstLineChars="197"/>
        <w:jc w:val="left"/>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bCs/>
          <w:color w:val="auto"/>
          <w:sz w:val="24"/>
          <w:highlight w:val="none"/>
        </w:rPr>
        <w:t>售价</w:t>
      </w:r>
      <w:r>
        <w:rPr>
          <w:rFonts w:hint="eastAsia" w:ascii="宋体" w:hAnsi="宋体" w:cs="宋体"/>
          <w:color w:val="auto"/>
          <w:kern w:val="0"/>
          <w:sz w:val="24"/>
          <w:highlight w:val="none"/>
        </w:rPr>
        <w:t>：免费获取；</w:t>
      </w:r>
    </w:p>
    <w:p w14:paraId="2E9E1DE5">
      <w:pPr>
        <w:spacing w:line="360" w:lineRule="auto"/>
        <w:ind w:right="79" w:firstLine="472" w:firstLineChars="197"/>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5.提示：采购公告附件内的采购文件仅供阅览使用，供应商只有在“政府采购云平台”完成获取采购文件申请并下载了采购文件后才被视为合法获取了采购文件。</w:t>
      </w:r>
    </w:p>
    <w:p w14:paraId="2ADAA5A6">
      <w:pPr>
        <w:widowControl/>
        <w:spacing w:line="360" w:lineRule="auto"/>
        <w:ind w:right="80" w:firstLine="472" w:firstLineChars="197"/>
        <w:contextualSpacing/>
        <w:jc w:val="left"/>
        <w:rPr>
          <w:rFonts w:ascii="宋体"/>
          <w:color w:val="auto"/>
          <w:sz w:val="24"/>
          <w:highlight w:val="none"/>
        </w:rPr>
      </w:pPr>
      <w:r>
        <w:rPr>
          <w:rFonts w:hint="eastAsia" w:ascii="宋体"/>
          <w:color w:val="auto"/>
          <w:sz w:val="24"/>
          <w:highlight w:val="none"/>
        </w:rPr>
        <w:t>注：请供应商按上述要求获取采购文件，如未在“政采云”系统内完成相关流程，引起的投标无效责任自负。</w:t>
      </w:r>
    </w:p>
    <w:p w14:paraId="6221F587">
      <w:pPr>
        <w:spacing w:line="360" w:lineRule="auto"/>
        <w:contextualSpacing/>
        <w:rPr>
          <w:rFonts w:ascii="宋体" w:hAnsi="宋体" w:cs="宋体"/>
          <w:b/>
          <w:color w:val="auto"/>
          <w:sz w:val="24"/>
          <w:highlight w:val="none"/>
        </w:rPr>
      </w:pPr>
      <w:bookmarkStart w:id="2" w:name="_Toc15393"/>
      <w:r>
        <w:rPr>
          <w:rFonts w:ascii="宋体" w:hAnsi="宋体" w:cs="宋体"/>
          <w:b/>
          <w:color w:val="auto"/>
          <w:sz w:val="24"/>
          <w:highlight w:val="none"/>
        </w:rPr>
        <w:t>四、</w:t>
      </w:r>
      <w:bookmarkEnd w:id="2"/>
      <w:r>
        <w:rPr>
          <w:rFonts w:hint="eastAsia" w:ascii="宋体" w:hAnsi="宋体" w:cs="宋体"/>
          <w:b/>
          <w:color w:val="auto"/>
          <w:sz w:val="24"/>
          <w:highlight w:val="none"/>
        </w:rPr>
        <w:t>响应文件提交</w:t>
      </w:r>
    </w:p>
    <w:p w14:paraId="57CDB966">
      <w:pPr>
        <w:spacing w:line="360" w:lineRule="auto"/>
        <w:ind w:firstLine="480" w:firstLineChars="200"/>
        <w:contextualSpacing/>
        <w:rPr>
          <w:rFonts w:ascii="宋体"/>
          <w:color w:val="auto"/>
          <w:sz w:val="24"/>
          <w:highlight w:val="none"/>
        </w:rPr>
      </w:pPr>
      <w:r>
        <w:rPr>
          <w:rFonts w:hint="eastAsia" w:ascii="宋体"/>
          <w:color w:val="auto"/>
          <w:sz w:val="24"/>
          <w:highlight w:val="none"/>
        </w:rPr>
        <w:t>1.截止时间：</w:t>
      </w:r>
      <w:r>
        <w:rPr>
          <w:rFonts w:hint="eastAsia" w:ascii="宋体"/>
          <w:b w:val="0"/>
          <w:bCs/>
          <w:color w:val="auto"/>
          <w:sz w:val="24"/>
          <w:highlight w:val="none"/>
          <w:lang w:val="en-US" w:eastAsia="zh-CN"/>
        </w:rPr>
        <w:t>2025年7月8日14</w:t>
      </w:r>
      <w:r>
        <w:rPr>
          <w:rFonts w:hint="eastAsia" w:ascii="宋体"/>
          <w:b w:val="0"/>
          <w:bCs/>
          <w:color w:val="auto"/>
          <w:sz w:val="24"/>
          <w:highlight w:val="none"/>
        </w:rPr>
        <w:t>:3</w:t>
      </w:r>
      <w:r>
        <w:rPr>
          <w:rFonts w:ascii="宋体"/>
          <w:b w:val="0"/>
          <w:bCs/>
          <w:color w:val="auto"/>
          <w:sz w:val="24"/>
          <w:highlight w:val="none"/>
        </w:rPr>
        <w:t>0</w:t>
      </w:r>
      <w:r>
        <w:rPr>
          <w:rFonts w:hint="eastAsia" w:ascii="宋体"/>
          <w:color w:val="auto"/>
          <w:sz w:val="24"/>
          <w:highlight w:val="none"/>
        </w:rPr>
        <w:t>时</w:t>
      </w:r>
      <w:r>
        <w:rPr>
          <w:rFonts w:ascii="宋体"/>
          <w:color w:val="auto"/>
          <w:sz w:val="24"/>
          <w:highlight w:val="none"/>
        </w:rPr>
        <w:t>(</w:t>
      </w:r>
      <w:r>
        <w:rPr>
          <w:rFonts w:hint="eastAsia" w:ascii="宋体"/>
          <w:color w:val="auto"/>
          <w:sz w:val="24"/>
          <w:highlight w:val="none"/>
        </w:rPr>
        <w:t>北京时间</w:t>
      </w:r>
      <w:r>
        <w:rPr>
          <w:rFonts w:ascii="宋体"/>
          <w:color w:val="auto"/>
          <w:sz w:val="24"/>
          <w:highlight w:val="none"/>
        </w:rPr>
        <w:t>)</w:t>
      </w:r>
    </w:p>
    <w:p w14:paraId="5E263141">
      <w:pPr>
        <w:spacing w:line="360" w:lineRule="auto"/>
        <w:ind w:firstLine="480" w:firstLineChars="200"/>
        <w:contextualSpacing/>
        <w:rPr>
          <w:rFonts w:ascii="宋体"/>
          <w:color w:val="auto"/>
          <w:sz w:val="24"/>
          <w:highlight w:val="none"/>
        </w:rPr>
      </w:pPr>
      <w:r>
        <w:rPr>
          <w:rFonts w:hint="eastAsia" w:ascii="宋体"/>
          <w:color w:val="auto"/>
          <w:sz w:val="24"/>
          <w:highlight w:val="none"/>
        </w:rPr>
        <w:t>2.地点：通过“政府采购云平台（www.zcygov.cn）”在线提交。</w:t>
      </w:r>
    </w:p>
    <w:p w14:paraId="3042A0F7">
      <w:pPr>
        <w:spacing w:line="360" w:lineRule="auto"/>
        <w:contextualSpacing/>
        <w:rPr>
          <w:rFonts w:ascii="宋体" w:hAnsi="宋体" w:cs="宋体"/>
          <w:b/>
          <w:color w:val="auto"/>
          <w:sz w:val="24"/>
          <w:highlight w:val="none"/>
        </w:rPr>
      </w:pPr>
      <w:bookmarkStart w:id="3" w:name="_Toc16605"/>
      <w:r>
        <w:rPr>
          <w:rFonts w:hint="eastAsia" w:ascii="宋体" w:hAnsi="宋体" w:cs="宋体"/>
          <w:b/>
          <w:color w:val="auto"/>
          <w:sz w:val="24"/>
          <w:highlight w:val="none"/>
        </w:rPr>
        <w:t>五、响应文件开启</w:t>
      </w:r>
    </w:p>
    <w:p w14:paraId="5347BBA9">
      <w:pPr>
        <w:spacing w:line="360" w:lineRule="auto"/>
        <w:ind w:firstLine="480" w:firstLineChars="200"/>
        <w:contextualSpacing/>
        <w:rPr>
          <w:rFonts w:ascii="宋体"/>
          <w:color w:val="auto"/>
          <w:sz w:val="24"/>
          <w:highlight w:val="none"/>
        </w:rPr>
      </w:pPr>
      <w:r>
        <w:rPr>
          <w:rFonts w:hint="eastAsia" w:ascii="宋体"/>
          <w:color w:val="auto"/>
          <w:sz w:val="24"/>
          <w:highlight w:val="none"/>
        </w:rPr>
        <w:t>1.开启时间</w:t>
      </w:r>
      <w:r>
        <w:rPr>
          <w:rFonts w:hint="eastAsia" w:ascii="宋体"/>
          <w:b w:val="0"/>
          <w:bCs w:val="0"/>
          <w:color w:val="auto"/>
          <w:sz w:val="24"/>
          <w:highlight w:val="none"/>
        </w:rPr>
        <w:t>：</w:t>
      </w:r>
      <w:r>
        <w:rPr>
          <w:rFonts w:hint="eastAsia" w:ascii="宋体"/>
          <w:b w:val="0"/>
          <w:bCs/>
          <w:color w:val="auto"/>
          <w:sz w:val="24"/>
          <w:highlight w:val="none"/>
          <w:lang w:val="en-US" w:eastAsia="zh-CN"/>
        </w:rPr>
        <w:t>2025年7月8日14</w:t>
      </w:r>
      <w:r>
        <w:rPr>
          <w:rFonts w:hint="eastAsia" w:ascii="宋体"/>
          <w:b w:val="0"/>
          <w:bCs w:val="0"/>
          <w:color w:val="auto"/>
          <w:sz w:val="24"/>
          <w:highlight w:val="none"/>
        </w:rPr>
        <w:t>:3</w:t>
      </w:r>
      <w:r>
        <w:rPr>
          <w:rFonts w:ascii="宋体"/>
          <w:b w:val="0"/>
          <w:bCs w:val="0"/>
          <w:color w:val="auto"/>
          <w:sz w:val="24"/>
          <w:highlight w:val="none"/>
        </w:rPr>
        <w:t>0</w:t>
      </w:r>
      <w:r>
        <w:rPr>
          <w:rFonts w:hint="eastAsia" w:ascii="宋体"/>
          <w:b w:val="0"/>
          <w:bCs w:val="0"/>
          <w:color w:val="auto"/>
          <w:sz w:val="24"/>
          <w:highlight w:val="none"/>
        </w:rPr>
        <w:t>时</w:t>
      </w:r>
      <w:r>
        <w:rPr>
          <w:rFonts w:ascii="宋体"/>
          <w:b w:val="0"/>
          <w:bCs w:val="0"/>
          <w:color w:val="auto"/>
          <w:sz w:val="24"/>
          <w:highlight w:val="none"/>
        </w:rPr>
        <w:t>(</w:t>
      </w:r>
      <w:r>
        <w:rPr>
          <w:rFonts w:hint="eastAsia" w:ascii="宋体"/>
          <w:color w:val="auto"/>
          <w:sz w:val="24"/>
          <w:highlight w:val="none"/>
        </w:rPr>
        <w:t>北京时间</w:t>
      </w:r>
      <w:r>
        <w:rPr>
          <w:rFonts w:ascii="宋体"/>
          <w:color w:val="auto"/>
          <w:sz w:val="24"/>
          <w:highlight w:val="none"/>
        </w:rPr>
        <w:t>)</w:t>
      </w:r>
    </w:p>
    <w:p w14:paraId="011D1C7F">
      <w:pPr>
        <w:spacing w:line="360" w:lineRule="auto"/>
        <w:ind w:firstLine="480" w:firstLineChars="200"/>
        <w:contextualSpacing/>
        <w:rPr>
          <w:rFonts w:ascii="宋体"/>
          <w:color w:val="auto"/>
          <w:sz w:val="24"/>
          <w:highlight w:val="none"/>
        </w:rPr>
      </w:pPr>
      <w:r>
        <w:rPr>
          <w:rFonts w:hint="eastAsia" w:ascii="宋体"/>
          <w:color w:val="auto"/>
          <w:sz w:val="24"/>
          <w:highlight w:val="none"/>
        </w:rPr>
        <w:t>2.地点：通过“政府采购云平台（www.zcygov.cn）”在线开启。</w:t>
      </w:r>
    </w:p>
    <w:p w14:paraId="0666B4DC">
      <w:pPr>
        <w:pStyle w:val="20"/>
        <w:spacing w:before="0" w:beforeAutospacing="0" w:after="0" w:afterAutospacing="0" w:line="360" w:lineRule="auto"/>
        <w:contextualSpacing/>
        <w:outlineLvl w:val="1"/>
        <w:rPr>
          <w:rFonts w:cs="宋体"/>
          <w:b/>
          <w:color w:val="auto"/>
          <w:kern w:val="2"/>
          <w:highlight w:val="none"/>
        </w:rPr>
      </w:pPr>
      <w:r>
        <w:rPr>
          <w:rFonts w:hint="eastAsia" w:cs="宋体"/>
          <w:b/>
          <w:color w:val="auto"/>
          <w:kern w:val="2"/>
          <w:highlight w:val="none"/>
        </w:rPr>
        <w:t>六</w:t>
      </w:r>
      <w:r>
        <w:rPr>
          <w:rFonts w:cs="宋体"/>
          <w:b/>
          <w:color w:val="auto"/>
          <w:kern w:val="2"/>
          <w:highlight w:val="none"/>
        </w:rPr>
        <w:t>、公告期限</w:t>
      </w:r>
      <w:bookmarkEnd w:id="3"/>
    </w:p>
    <w:p w14:paraId="189F6E9E">
      <w:pPr>
        <w:pStyle w:val="20"/>
        <w:spacing w:before="0" w:beforeAutospacing="0" w:after="0" w:afterAutospacing="0" w:line="360" w:lineRule="auto"/>
        <w:ind w:firstLine="480" w:firstLineChars="200"/>
        <w:contextualSpacing/>
        <w:rPr>
          <w:rFonts w:cs="宋体"/>
          <w:bCs/>
          <w:color w:val="auto"/>
          <w:kern w:val="2"/>
          <w:highlight w:val="none"/>
        </w:rPr>
      </w:pPr>
      <w:r>
        <w:rPr>
          <w:rFonts w:hint="eastAsia" w:cs="宋体"/>
          <w:bCs/>
          <w:color w:val="auto"/>
          <w:kern w:val="2"/>
          <w:highlight w:val="none"/>
        </w:rPr>
        <w:t>自本公告发布之日起3个工作日。</w:t>
      </w:r>
    </w:p>
    <w:p w14:paraId="12AEEFEE">
      <w:pPr>
        <w:pStyle w:val="20"/>
        <w:spacing w:before="0" w:beforeAutospacing="0" w:after="0" w:afterAutospacing="0" w:line="360" w:lineRule="auto"/>
        <w:contextualSpacing/>
        <w:outlineLvl w:val="1"/>
        <w:rPr>
          <w:rFonts w:cs="宋体"/>
          <w:b/>
          <w:color w:val="auto"/>
          <w:kern w:val="2"/>
          <w:highlight w:val="none"/>
        </w:rPr>
      </w:pPr>
      <w:bookmarkStart w:id="4" w:name="_Toc24464"/>
      <w:r>
        <w:rPr>
          <w:rFonts w:hint="eastAsia" w:cs="宋体"/>
          <w:b/>
          <w:color w:val="auto"/>
          <w:kern w:val="2"/>
          <w:highlight w:val="none"/>
        </w:rPr>
        <w:t>七</w:t>
      </w:r>
      <w:r>
        <w:rPr>
          <w:rFonts w:cs="宋体"/>
          <w:b/>
          <w:color w:val="auto"/>
          <w:kern w:val="2"/>
          <w:highlight w:val="none"/>
        </w:rPr>
        <w:t>、其他补充事宜</w:t>
      </w:r>
      <w:bookmarkEnd w:id="4"/>
    </w:p>
    <w:p w14:paraId="60FFBF74">
      <w:pPr>
        <w:spacing w:line="360" w:lineRule="auto"/>
        <w:ind w:firstLine="480" w:firstLineChars="200"/>
        <w:contextualSpacing/>
        <w:rPr>
          <w:bCs/>
          <w:color w:val="auto"/>
          <w:sz w:val="24"/>
          <w:highlight w:val="none"/>
        </w:rPr>
      </w:pPr>
      <w:r>
        <w:rPr>
          <w:rFonts w:hint="eastAsia" w:ascii="宋体" w:hAnsi="宋体" w:cs="宋体"/>
          <w:bCs/>
          <w:color w:val="auto"/>
          <w:sz w:val="24"/>
          <w:highlight w:val="none"/>
        </w:rPr>
        <w:t>1.</w:t>
      </w:r>
      <w:r>
        <w:rPr>
          <w:rFonts w:hint="eastAsia"/>
          <w:bCs/>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7C47E5F">
      <w:pPr>
        <w:spacing w:line="360" w:lineRule="auto"/>
        <w:ind w:firstLine="480" w:firstLineChars="200"/>
        <w:contextualSpacing/>
        <w:rPr>
          <w:bCs/>
          <w:color w:val="auto"/>
          <w:sz w:val="24"/>
          <w:highlight w:val="none"/>
        </w:rPr>
      </w:pPr>
      <w:r>
        <w:rPr>
          <w:rFonts w:hint="eastAsia" w:ascii="宋体" w:hAnsi="宋体" w:cs="宋体"/>
          <w:bCs/>
          <w:color w:val="auto"/>
          <w:sz w:val="24"/>
          <w:highlight w:val="none"/>
        </w:rPr>
        <w:t>2.</w:t>
      </w:r>
      <w:r>
        <w:rPr>
          <w:rFonts w:hint="eastAsia"/>
          <w:bCs/>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4A1F4">
      <w:pPr>
        <w:spacing w:line="360" w:lineRule="auto"/>
        <w:ind w:firstLine="480" w:firstLineChars="200"/>
        <w:contextualSpacing/>
        <w:rPr>
          <w:bCs/>
          <w:color w:val="auto"/>
          <w:sz w:val="24"/>
          <w:highlight w:val="none"/>
        </w:rPr>
      </w:pPr>
      <w:r>
        <w:rPr>
          <w:rFonts w:hint="eastAsia" w:ascii="宋体" w:hAnsi="宋体" w:cs="宋体"/>
          <w:bCs/>
          <w:color w:val="auto"/>
          <w:sz w:val="24"/>
          <w:highlight w:val="none"/>
        </w:rPr>
        <w:t>3.</w:t>
      </w:r>
      <w:r>
        <w:rPr>
          <w:rFonts w:hint="eastAsia"/>
          <w:bCs/>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0B9822">
      <w:pPr>
        <w:spacing w:line="360" w:lineRule="auto"/>
        <w:ind w:firstLine="480" w:firstLineChars="200"/>
        <w:contextualSpacing/>
        <w:jc w:val="left"/>
        <w:rPr>
          <w:rFonts w:ascii="宋体" w:cs="宋体"/>
          <w:color w:val="auto"/>
          <w:kern w:val="0"/>
          <w:sz w:val="24"/>
          <w:highlight w:val="none"/>
        </w:rPr>
      </w:pPr>
      <w:r>
        <w:rPr>
          <w:rFonts w:hint="eastAsia" w:ascii="宋体" w:hAnsi="宋体"/>
          <w:color w:val="auto"/>
          <w:sz w:val="24"/>
          <w:highlight w:val="none"/>
        </w:rPr>
        <w:t>4.其他事项：（1）需要落实的政府采购政策：包括节约资源、保护环境、支持创新、促进中小企业发展等。（2）</w:t>
      </w:r>
      <w:r>
        <w:rPr>
          <w:rFonts w:ascii="宋体" w:hAnsi="宋体"/>
          <w:color w:val="auto"/>
          <w:sz w:val="24"/>
          <w:highlight w:val="none"/>
        </w:rPr>
        <w:t>电子招投标的说明：</w:t>
      </w:r>
      <w:r>
        <w:rPr>
          <w:rFonts w:hint="eastAsia" w:ascii="宋体" w:hAnsi="宋体" w:cs="仿宋_GB2312"/>
          <w:color w:val="auto"/>
          <w:sz w:val="24"/>
          <w:highlight w:val="none"/>
        </w:rPr>
        <w:t>①</w:t>
      </w:r>
      <w:r>
        <w:rPr>
          <w:rFonts w:ascii="宋体" w:hAnsi="宋体" w:cs="仿宋_GB2312"/>
          <w:color w:val="auto"/>
          <w:sz w:val="24"/>
          <w:highlight w:val="none"/>
        </w:rPr>
        <w:t>电子招投标：本项目以数据电文形式，依托“政府采购云平台（www.zcygov.cn）”进行招投标活动，不接受纸质</w:t>
      </w:r>
      <w:r>
        <w:rPr>
          <w:rFonts w:hint="eastAsia" w:ascii="宋体" w:hAnsi="宋体" w:cs="仿宋_GB2312"/>
          <w:color w:val="auto"/>
          <w:sz w:val="24"/>
          <w:highlight w:val="none"/>
        </w:rPr>
        <w:t>响应</w:t>
      </w:r>
      <w:r>
        <w:rPr>
          <w:rFonts w:ascii="宋体" w:hAnsi="宋体" w:cs="仿宋_GB2312"/>
          <w:color w:val="auto"/>
          <w:sz w:val="24"/>
          <w:highlight w:val="none"/>
        </w:rPr>
        <w:t>文件</w:t>
      </w:r>
      <w:r>
        <w:rPr>
          <w:rFonts w:hint="eastAsia" w:ascii="宋体" w:hAnsi="宋体" w:cs="仿宋_GB2312"/>
          <w:color w:val="auto"/>
          <w:sz w:val="24"/>
          <w:highlight w:val="none"/>
        </w:rPr>
        <w:t>；②</w:t>
      </w:r>
      <w:r>
        <w:rPr>
          <w:rFonts w:ascii="宋体" w:hAnsi="宋体"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color w:val="auto"/>
          <w:sz w:val="24"/>
          <w:highlight w:val="none"/>
        </w:rPr>
        <w:t>采云电子交易客户端”</w:t>
      </w:r>
      <w:r>
        <w:rPr>
          <w:rFonts w:ascii="宋体" w:hAnsi="宋体" w:cs="仿宋_GB2312"/>
          <w:color w:val="auto"/>
          <w:sz w:val="24"/>
          <w:highlight w:val="none"/>
        </w:rPr>
        <w:t>----前往“浙江政府采购网-下载专区-电子交易客户端”进行下载并安装</w:t>
      </w:r>
      <w:r>
        <w:rPr>
          <w:rFonts w:hint="eastAsia" w:ascii="宋体" w:hAnsi="宋体" w:cs="仿宋_GB2312"/>
          <w:color w:val="auto"/>
          <w:sz w:val="24"/>
          <w:highlight w:val="none"/>
        </w:rPr>
        <w:t>；③采购</w:t>
      </w:r>
      <w:r>
        <w:rPr>
          <w:rFonts w:ascii="宋体" w:hAnsi="宋体" w:cs="仿宋_GB2312"/>
          <w:color w:val="auto"/>
          <w:sz w:val="24"/>
          <w:highlight w:val="none"/>
        </w:rPr>
        <w:t>文件的获取：使用账号登录或者使用CA登录政</w:t>
      </w:r>
      <w:r>
        <w:rPr>
          <w:rFonts w:hint="eastAsia" w:ascii="宋体" w:hAnsi="宋体" w:cs="仿宋_GB2312"/>
          <w:color w:val="auto"/>
          <w:sz w:val="24"/>
          <w:highlight w:val="none"/>
        </w:rPr>
        <w:t>采云平台；进入“项目采购”应用，在获取采购文件菜单中选择项目，获取招标文件；④响应</w:t>
      </w:r>
      <w:r>
        <w:rPr>
          <w:rFonts w:ascii="宋体" w:hAnsi="宋体" w:cs="仿宋_GB2312"/>
          <w:color w:val="auto"/>
          <w:sz w:val="24"/>
          <w:highlight w:val="none"/>
        </w:rPr>
        <w:t>文件的制作：在“政</w:t>
      </w:r>
      <w:r>
        <w:rPr>
          <w:rFonts w:hint="eastAsia" w:ascii="宋体" w:hAnsi="宋体" w:cs="仿宋_GB2312"/>
          <w:color w:val="auto"/>
          <w:sz w:val="24"/>
          <w:highlight w:val="none"/>
        </w:rPr>
        <w:t>采云电子交易客户端”中完成“填写基本信息”、“导入</w:t>
      </w:r>
      <w:r>
        <w:rPr>
          <w:rFonts w:hint="eastAsia" w:ascii="宋体" w:hAnsi="宋体" w:cs="仿宋_GB2312"/>
          <w:color w:val="auto"/>
          <w:sz w:val="24"/>
          <w:highlight w:val="none"/>
          <w:lang w:eastAsia="zh-CN"/>
        </w:rPr>
        <w:t>应标文件</w:t>
      </w:r>
      <w:r>
        <w:rPr>
          <w:rFonts w:hint="eastAsia" w:ascii="宋体" w:hAnsi="宋体" w:cs="仿宋_GB2312"/>
          <w:color w:val="auto"/>
          <w:sz w:val="24"/>
          <w:highlight w:val="none"/>
        </w:rPr>
        <w:t>”、“标书关联”、“标书检查”、“电子签名”、“生成电子标书”等操作；</w:t>
      </w:r>
      <w:r>
        <w:rPr>
          <w:rFonts w:hint="eastAsia" w:ascii="宋体" w:hAnsi="宋体"/>
          <w:color w:val="auto"/>
          <w:sz w:val="24"/>
          <w:highlight w:val="none"/>
        </w:rPr>
        <w:t>⑤</w:t>
      </w:r>
      <w:r>
        <w:rPr>
          <w:rFonts w:ascii="宋体" w:hAnsi="宋体"/>
          <w:color w:val="auto"/>
          <w:sz w:val="24"/>
          <w:highlight w:val="none"/>
        </w:rPr>
        <w:t>采购人、采购机构将依托政</w:t>
      </w:r>
      <w:r>
        <w:rPr>
          <w:rFonts w:hint="eastAsia" w:ascii="宋体" w:hAnsi="宋体"/>
          <w:color w:val="auto"/>
          <w:sz w:val="24"/>
          <w:highlight w:val="none"/>
        </w:rPr>
        <w:t>采云平台完成本项目的电子交易活动，平台不接受未按上述方式获取</w:t>
      </w:r>
      <w:r>
        <w:rPr>
          <w:rFonts w:hint="eastAsia" w:ascii="宋体" w:hAnsi="宋体" w:cs="仿宋_GB2312"/>
          <w:color w:val="auto"/>
          <w:sz w:val="24"/>
          <w:highlight w:val="none"/>
        </w:rPr>
        <w:t>采购</w:t>
      </w:r>
      <w:r>
        <w:rPr>
          <w:rFonts w:hint="eastAsia" w:ascii="宋体" w:hAnsi="宋体"/>
          <w:color w:val="auto"/>
          <w:sz w:val="24"/>
          <w:highlight w:val="none"/>
        </w:rPr>
        <w:t>文件的供应商进行投标活动；⑥</w:t>
      </w:r>
      <w:r>
        <w:rPr>
          <w:rFonts w:ascii="宋体" w:hAnsi="宋体"/>
          <w:color w:val="auto"/>
          <w:sz w:val="24"/>
          <w:highlight w:val="none"/>
        </w:rPr>
        <w:t>对未按上述方式获取</w:t>
      </w:r>
      <w:r>
        <w:rPr>
          <w:rFonts w:hint="eastAsia" w:ascii="宋体" w:hAnsi="宋体" w:cs="仿宋_GB2312"/>
          <w:color w:val="auto"/>
          <w:sz w:val="24"/>
          <w:highlight w:val="none"/>
        </w:rPr>
        <w:t>采购</w:t>
      </w:r>
      <w:r>
        <w:rPr>
          <w:rFonts w:ascii="宋体" w:hAnsi="宋体"/>
          <w:color w:val="auto"/>
          <w:sz w:val="24"/>
          <w:highlight w:val="none"/>
        </w:rPr>
        <w:t>文件的供应商对该文件提出的质疑，采购人或采购代理机构将</w:t>
      </w:r>
      <w:r>
        <w:rPr>
          <w:rFonts w:hint="eastAsia" w:ascii="宋体" w:hAnsi="宋体"/>
          <w:color w:val="auto"/>
          <w:sz w:val="24"/>
          <w:highlight w:val="none"/>
        </w:rPr>
        <w:t>不予处理；⑦</w:t>
      </w:r>
      <w:r>
        <w:rPr>
          <w:rFonts w:ascii="宋体" w:hAnsi="宋体"/>
          <w:color w:val="auto"/>
          <w:sz w:val="24"/>
          <w:highlight w:val="none"/>
        </w:rPr>
        <w:t>不提供</w:t>
      </w:r>
      <w:r>
        <w:rPr>
          <w:rFonts w:hint="eastAsia" w:ascii="宋体" w:hAnsi="宋体" w:cs="仿宋_GB2312"/>
          <w:color w:val="auto"/>
          <w:sz w:val="24"/>
          <w:highlight w:val="none"/>
        </w:rPr>
        <w:t>采购</w:t>
      </w:r>
      <w:r>
        <w:rPr>
          <w:rFonts w:ascii="宋体" w:hAnsi="宋体"/>
          <w:color w:val="auto"/>
          <w:sz w:val="24"/>
          <w:highlight w:val="none"/>
        </w:rPr>
        <w:t>文件纸质版</w:t>
      </w:r>
      <w:r>
        <w:rPr>
          <w:rFonts w:hint="eastAsia" w:ascii="宋体" w:hAnsi="宋体"/>
          <w:color w:val="auto"/>
          <w:sz w:val="24"/>
          <w:highlight w:val="none"/>
        </w:rPr>
        <w:t>；</w:t>
      </w:r>
      <w:r>
        <w:rPr>
          <w:rFonts w:hint="eastAsia" w:ascii="宋体" w:hAnsi="宋体" w:cs="仿宋_GB2312"/>
          <w:color w:val="auto"/>
          <w:sz w:val="24"/>
          <w:highlight w:val="none"/>
        </w:rPr>
        <w:t>⑧响应</w:t>
      </w:r>
      <w:r>
        <w:rPr>
          <w:rFonts w:ascii="宋体" w:hAnsi="宋体" w:cs="仿宋_GB2312"/>
          <w:color w:val="auto"/>
          <w:sz w:val="24"/>
          <w:highlight w:val="none"/>
        </w:rPr>
        <w:t>文件的传输递交：投标人在投标截止时间前将加密的</w:t>
      </w:r>
      <w:r>
        <w:rPr>
          <w:rFonts w:hint="eastAsia" w:ascii="宋体" w:hAnsi="宋体" w:cs="仿宋_GB2312"/>
          <w:color w:val="auto"/>
          <w:sz w:val="24"/>
          <w:highlight w:val="none"/>
        </w:rPr>
        <w:t>响应</w:t>
      </w:r>
      <w:r>
        <w:rPr>
          <w:rFonts w:ascii="宋体" w:hAnsi="宋体" w:cs="仿宋_GB2312"/>
          <w:color w:val="auto"/>
          <w:sz w:val="24"/>
          <w:highlight w:val="none"/>
        </w:rPr>
        <w:t>文件上传至政府采购云平台，还可以在投标截止时间前直接提交或者以邮政快递方式递交备份</w:t>
      </w:r>
      <w:r>
        <w:rPr>
          <w:rFonts w:hint="eastAsia" w:ascii="宋体" w:hAnsi="宋体" w:cs="仿宋_GB2312"/>
          <w:color w:val="auto"/>
          <w:sz w:val="24"/>
          <w:highlight w:val="none"/>
        </w:rPr>
        <w:t>响应</w:t>
      </w:r>
      <w:r>
        <w:rPr>
          <w:rFonts w:ascii="宋体" w:hAnsi="宋体" w:cs="仿宋_GB2312"/>
          <w:color w:val="auto"/>
          <w:sz w:val="24"/>
          <w:highlight w:val="none"/>
        </w:rPr>
        <w:t>文件1份。备份</w:t>
      </w:r>
      <w:r>
        <w:rPr>
          <w:rFonts w:hint="eastAsia" w:ascii="宋体" w:hAnsi="宋体" w:cs="仿宋_GB2312"/>
          <w:color w:val="auto"/>
          <w:sz w:val="24"/>
          <w:highlight w:val="none"/>
        </w:rPr>
        <w:t>响应</w:t>
      </w:r>
      <w:r>
        <w:rPr>
          <w:rFonts w:ascii="宋体" w:hAnsi="宋体" w:cs="仿宋_GB2312"/>
          <w:color w:val="auto"/>
          <w:sz w:val="24"/>
          <w:highlight w:val="none"/>
        </w:rPr>
        <w:t>文件的制作、存储、密封详见招标文件第二部分 “</w:t>
      </w:r>
      <w:r>
        <w:rPr>
          <w:rFonts w:hint="eastAsia" w:ascii="宋体" w:hAnsi="宋体" w:cs="仿宋_GB2312"/>
          <w:color w:val="auto"/>
          <w:sz w:val="24"/>
          <w:highlight w:val="none"/>
        </w:rPr>
        <w:t>前</w:t>
      </w:r>
      <w:r>
        <w:rPr>
          <w:rFonts w:ascii="宋体" w:hAnsi="宋体" w:cs="仿宋_GB2312"/>
          <w:color w:val="auto"/>
          <w:sz w:val="24"/>
          <w:highlight w:val="none"/>
        </w:rPr>
        <w:t>附表”</w:t>
      </w:r>
      <w:r>
        <w:rPr>
          <w:rFonts w:hint="eastAsia" w:ascii="宋体" w:hAnsi="宋体" w:cs="仿宋_GB2312"/>
          <w:color w:val="auto"/>
          <w:sz w:val="24"/>
          <w:highlight w:val="none"/>
        </w:rPr>
        <w:t>；</w:t>
      </w:r>
      <w:r>
        <w:rPr>
          <w:rFonts w:hint="eastAsia" w:ascii="宋体" w:hAnsi="宋体"/>
          <w:color w:val="auto"/>
          <w:sz w:val="24"/>
          <w:highlight w:val="none"/>
        </w:rPr>
        <w:t>⑨</w:t>
      </w:r>
      <w:r>
        <w:rPr>
          <w:rFonts w:hint="eastAsia" w:ascii="宋体" w:hAnsi="宋体" w:cs="仿宋_GB2312"/>
          <w:color w:val="auto"/>
          <w:sz w:val="24"/>
          <w:highlight w:val="none"/>
        </w:rPr>
        <w:t>响应文件的解密：投标人按照平台提示和采购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没有在电子交易平台传输递交响应文件的，投标无效；⑩</w:t>
      </w:r>
      <w:r>
        <w:rPr>
          <w:rFonts w:ascii="宋体" w:hAnsi="宋体" w:cs="仿宋_GB2312"/>
          <w:color w:val="auto"/>
          <w:sz w:val="24"/>
          <w:highlight w:val="none"/>
        </w:rPr>
        <w:t>具体操作指南：详见政</w:t>
      </w:r>
      <w:r>
        <w:rPr>
          <w:rFonts w:hint="eastAsia" w:ascii="宋体" w:hAnsi="宋体" w:cs="仿宋_GB2312"/>
          <w:color w:val="auto"/>
          <w:sz w:val="24"/>
          <w:highlight w:val="none"/>
        </w:rPr>
        <w:t>采云平台“服务中心</w:t>
      </w:r>
      <w:r>
        <w:rPr>
          <w:rFonts w:ascii="宋体" w:hAnsi="宋体" w:cs="仿宋_GB2312"/>
          <w:color w:val="auto"/>
          <w:sz w:val="24"/>
          <w:highlight w:val="none"/>
        </w:rPr>
        <w:t>-帮助文档-项目采购-操作流程-电子招投标-政府采购项目电子交易管理操作指南-供应商”。</w:t>
      </w:r>
    </w:p>
    <w:p w14:paraId="79A1A21A">
      <w:pPr>
        <w:spacing w:line="360" w:lineRule="auto"/>
        <w:contextualSpacing/>
        <w:jc w:val="left"/>
        <w:rPr>
          <w:rFonts w:ascii="宋体" w:hAnsi="宋体" w:cs="宋体"/>
          <w:color w:val="auto"/>
          <w:kern w:val="0"/>
          <w:sz w:val="24"/>
          <w:highlight w:val="none"/>
        </w:rPr>
      </w:pPr>
      <w:bookmarkStart w:id="5" w:name="_Toc23408"/>
      <w:r>
        <w:rPr>
          <w:rFonts w:ascii="宋体" w:hAnsi="宋体" w:cs="宋体"/>
          <w:b/>
          <w:color w:val="auto"/>
          <w:sz w:val="24"/>
          <w:highlight w:val="none"/>
        </w:rPr>
        <w:t>七、对本次</w:t>
      </w:r>
      <w:r>
        <w:rPr>
          <w:rFonts w:hint="eastAsia" w:ascii="宋体" w:hAnsi="宋体" w:cs="宋体"/>
          <w:b/>
          <w:color w:val="auto"/>
          <w:sz w:val="24"/>
          <w:highlight w:val="none"/>
        </w:rPr>
        <w:t>采购</w:t>
      </w:r>
      <w:r>
        <w:rPr>
          <w:rFonts w:ascii="宋体" w:hAnsi="宋体" w:cs="宋体"/>
          <w:b/>
          <w:color w:val="auto"/>
          <w:sz w:val="24"/>
          <w:highlight w:val="none"/>
        </w:rPr>
        <w:t>提出询问、质疑、投诉，请按以下方式联系</w:t>
      </w:r>
      <w:bookmarkEnd w:id="5"/>
    </w:p>
    <w:p w14:paraId="4BE90AE9">
      <w:pPr>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1.采购人联系方式：</w:t>
      </w:r>
    </w:p>
    <w:p w14:paraId="7F1B66B4">
      <w:pPr>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采购单位名称：中共浙江省委老干部局</w:t>
      </w:r>
    </w:p>
    <w:p w14:paraId="2BB49922">
      <w:pPr>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地址：杭州市省府路8号省行政中心2号楼</w:t>
      </w:r>
    </w:p>
    <w:p w14:paraId="51DBEE7B">
      <w:pPr>
        <w:autoSpaceDE w:val="0"/>
        <w:autoSpaceDN w:val="0"/>
        <w:spacing w:line="440" w:lineRule="exact"/>
        <w:ind w:left="420" w:leftChars="200"/>
        <w:jc w:val="left"/>
        <w:textAlignment w:val="bottom"/>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eastAsia="zh-CN"/>
        </w:rPr>
        <w:t>陆莺</w:t>
      </w:r>
    </w:p>
    <w:p w14:paraId="6D34E88D">
      <w:pPr>
        <w:autoSpaceDE w:val="0"/>
        <w:autoSpaceDN w:val="0"/>
        <w:spacing w:line="440" w:lineRule="exact"/>
        <w:ind w:left="420" w:leftChars="200"/>
        <w:jc w:val="left"/>
        <w:textAlignment w:val="bottom"/>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联系电话：0571-</w:t>
      </w:r>
      <w:r>
        <w:rPr>
          <w:rFonts w:hint="eastAsia" w:ascii="宋体" w:hAnsi="宋体" w:cs="宋体"/>
          <w:color w:val="auto"/>
          <w:kern w:val="0"/>
          <w:sz w:val="24"/>
          <w:highlight w:val="none"/>
          <w:lang w:val="en-US" w:eastAsia="zh-CN"/>
        </w:rPr>
        <w:t>81050239</w:t>
      </w:r>
    </w:p>
    <w:p w14:paraId="1D603C02">
      <w:pPr>
        <w:wordWrap w:val="0"/>
        <w:autoSpaceDE w:val="0"/>
        <w:autoSpaceDN w:val="0"/>
        <w:spacing w:line="440" w:lineRule="exact"/>
        <w:ind w:left="420" w:leftChars="200"/>
        <w:jc w:val="left"/>
        <w:textAlignment w:val="bottom"/>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采购单位质疑受理联系人：</w:t>
      </w:r>
      <w:r>
        <w:rPr>
          <w:rFonts w:hint="eastAsia" w:ascii="宋体" w:hAnsi="宋体" w:cs="宋体"/>
          <w:color w:val="auto"/>
          <w:kern w:val="0"/>
          <w:sz w:val="24"/>
          <w:highlight w:val="none"/>
          <w:lang w:eastAsia="zh-CN"/>
        </w:rPr>
        <w:t>王志红</w:t>
      </w:r>
    </w:p>
    <w:p w14:paraId="496B0F2E">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联系电话：0571-87057536</w:t>
      </w:r>
    </w:p>
    <w:p w14:paraId="5C49DA7C">
      <w:pPr>
        <w:wordWrap w:val="0"/>
        <w:autoSpaceDE w:val="0"/>
        <w:autoSpaceDN w:val="0"/>
        <w:spacing w:line="440" w:lineRule="exact"/>
        <w:ind w:left="420" w:leftChars="200"/>
        <w:jc w:val="left"/>
        <w:textAlignment w:val="bottom"/>
        <w:rPr>
          <w:rFonts w:ascii="宋体" w:hAnsi="宋体" w:cs="宋体"/>
          <w:color w:val="auto"/>
          <w:kern w:val="0"/>
          <w:sz w:val="24"/>
          <w:highlight w:val="none"/>
        </w:rPr>
      </w:pPr>
    </w:p>
    <w:p w14:paraId="5DF87ECC">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2.采购代理机构联系方式：</w:t>
      </w:r>
    </w:p>
    <w:p w14:paraId="4BF6C579">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采购代理机构名称：杭州意信招标代理有限公司</w:t>
      </w:r>
    </w:p>
    <w:p w14:paraId="18951312">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地点：</w:t>
      </w:r>
      <w:r>
        <w:rPr>
          <w:rFonts w:hint="eastAsia" w:ascii="宋体" w:hAnsi="宋体"/>
          <w:b w:val="0"/>
          <w:bCs/>
          <w:color w:val="auto"/>
          <w:sz w:val="24"/>
          <w:highlight w:val="none"/>
        </w:rPr>
        <w:t>杭州市莫干山路12</w:t>
      </w:r>
      <w:r>
        <w:rPr>
          <w:rFonts w:hint="eastAsia"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27FDFBB1">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联系人：金婉娇、曹海英</w:t>
      </w:r>
    </w:p>
    <w:p w14:paraId="6026E49D">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联系电话：0571-87211505，88219719</w:t>
      </w:r>
    </w:p>
    <w:p w14:paraId="6BEA99A8">
      <w:pPr>
        <w:wordWrap w:val="0"/>
        <w:autoSpaceDE w:val="0"/>
        <w:autoSpaceDN w:val="0"/>
        <w:spacing w:line="440" w:lineRule="exact"/>
        <w:ind w:left="420" w:leftChars="200"/>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采购代理机构质疑受理联系人：曹红</w:t>
      </w:r>
    </w:p>
    <w:p w14:paraId="31372C5D">
      <w:pPr>
        <w:wordWrap w:val="0"/>
        <w:autoSpaceDE w:val="0"/>
        <w:autoSpaceDN w:val="0"/>
        <w:spacing w:line="440" w:lineRule="exact"/>
        <w:ind w:left="420" w:leftChars="200"/>
        <w:jc w:val="left"/>
        <w:textAlignment w:val="bottom"/>
        <w:rPr>
          <w:rFonts w:hint="eastAsia" w:ascii="宋体" w:hAnsi="宋体"/>
          <w:color w:val="auto"/>
          <w:sz w:val="24"/>
          <w:highlight w:val="none"/>
        </w:rPr>
      </w:pPr>
      <w:r>
        <w:rPr>
          <w:rFonts w:hint="eastAsia" w:ascii="宋体" w:hAnsi="宋体" w:cs="宋体"/>
          <w:color w:val="auto"/>
          <w:kern w:val="0"/>
          <w:sz w:val="24"/>
          <w:highlight w:val="none"/>
        </w:rPr>
        <w:t>联系电话：</w:t>
      </w:r>
      <w:r>
        <w:rPr>
          <w:rFonts w:hint="eastAsia" w:ascii="宋体" w:hAnsi="宋体"/>
          <w:color w:val="auto"/>
          <w:sz w:val="24"/>
          <w:highlight w:val="none"/>
        </w:rPr>
        <w:t>0571-87829182</w:t>
      </w:r>
    </w:p>
    <w:p w14:paraId="03121BC7">
      <w:pPr>
        <w:wordWrap w:val="0"/>
        <w:autoSpaceDE w:val="0"/>
        <w:autoSpaceDN w:val="0"/>
        <w:spacing w:line="440" w:lineRule="exact"/>
        <w:ind w:left="420" w:leftChars="200"/>
        <w:jc w:val="left"/>
        <w:textAlignment w:val="bottom"/>
        <w:rPr>
          <w:rFonts w:hint="eastAsia" w:ascii="宋体" w:hAnsi="宋体"/>
          <w:color w:val="auto"/>
          <w:sz w:val="24"/>
          <w:highlight w:val="none"/>
        </w:rPr>
      </w:pPr>
    </w:p>
    <w:p w14:paraId="71B31B08">
      <w:pPr>
        <w:wordWrap w:val="0"/>
        <w:autoSpaceDE w:val="0"/>
        <w:autoSpaceDN w:val="0"/>
        <w:spacing w:line="440" w:lineRule="exact"/>
        <w:ind w:left="420" w:leftChars="200"/>
        <w:jc w:val="left"/>
        <w:textAlignment w:val="bottom"/>
        <w:rPr>
          <w:rFonts w:hint="eastAsia" w:ascii="宋体" w:hAnsi="宋体"/>
          <w:color w:val="auto"/>
          <w:sz w:val="24"/>
          <w:highlight w:val="none"/>
        </w:rPr>
      </w:pPr>
      <w:r>
        <w:rPr>
          <w:rFonts w:ascii="宋体" w:hAnsi="宋体" w:eastAsia="宋体" w:cs="Times New Roman"/>
          <w:color w:val="auto"/>
          <w:kern w:val="2"/>
          <w:sz w:val="24"/>
          <w:szCs w:val="24"/>
          <w:highlight w:val="none"/>
          <w:lang w:val="en-US" w:eastAsia="zh-CN" w:bidi="ar-SA"/>
        </w:rPr>
        <w:t>3.</w:t>
      </w:r>
      <w:r>
        <w:rPr>
          <w:rFonts w:hint="eastAsia" w:ascii="宋体" w:hAnsi="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7B67A094">
      <w:pPr>
        <w:keepNext w:val="0"/>
        <w:keepLines w:val="0"/>
        <w:pageBreakBefore w:val="0"/>
        <w:widowControl w:val="0"/>
        <w:numPr>
          <w:ilvl w:val="0"/>
          <w:numId w:val="0"/>
        </w:numPr>
        <w:tabs>
          <w:tab w:val="left" w:pos="536"/>
        </w:tabs>
        <w:kinsoku/>
        <w:overflowPunct/>
        <w:topLinePunct w:val="0"/>
        <w:bidi w:val="0"/>
        <w:adjustRightInd/>
        <w:snapToGrid/>
        <w:spacing w:line="360" w:lineRule="auto"/>
        <w:ind w:right="0" w:rightChars="0" w:firstLine="480" w:firstLineChars="200"/>
        <w:rPr>
          <w:rFonts w:ascii="宋体" w:hAnsi="宋体"/>
          <w:color w:val="auto"/>
          <w:sz w:val="24"/>
          <w:highlight w:val="none"/>
        </w:rPr>
      </w:pPr>
    </w:p>
    <w:p w14:paraId="03AC6BFD">
      <w:pPr>
        <w:wordWrap w:val="0"/>
        <w:autoSpaceDE w:val="0"/>
        <w:autoSpaceDN w:val="0"/>
        <w:spacing w:line="360" w:lineRule="auto"/>
        <w:ind w:firstLine="480" w:firstLineChars="200"/>
        <w:jc w:val="left"/>
        <w:textAlignment w:val="bottom"/>
        <w:rPr>
          <w:rFonts w:ascii="宋体" w:hAnsi="宋体"/>
          <w:color w:val="auto"/>
          <w:sz w:val="24"/>
          <w:highlight w:val="none"/>
        </w:rPr>
      </w:pPr>
      <w:r>
        <w:rPr>
          <w:rFonts w:hint="eastAsia" w:ascii="宋体" w:hAnsi="宋体"/>
          <w:color w:val="auto"/>
          <w:sz w:val="24"/>
          <w:highlight w:val="none"/>
        </w:rPr>
        <w:t>政策咨询：何一平、冯华，0571-87058424、87055741</w:t>
      </w:r>
    </w:p>
    <w:p w14:paraId="06424528">
      <w:pPr>
        <w:wordWrap w:val="0"/>
        <w:autoSpaceDE w:val="0"/>
        <w:autoSpaceDN w:val="0"/>
        <w:spacing w:line="360" w:lineRule="auto"/>
        <w:ind w:firstLine="480" w:firstLineChars="200"/>
        <w:jc w:val="left"/>
        <w:textAlignment w:val="bottom"/>
        <w:rPr>
          <w:rFonts w:ascii="宋体" w:hAnsi="宋体"/>
          <w:color w:val="auto"/>
          <w:sz w:val="24"/>
          <w:highlight w:val="none"/>
        </w:rPr>
      </w:pPr>
      <w:r>
        <w:rPr>
          <w:rFonts w:hint="eastAsia" w:ascii="宋体" w:hAnsi="宋体"/>
          <w:color w:val="auto"/>
          <w:sz w:val="24"/>
          <w:highlight w:val="none"/>
        </w:rPr>
        <w:t>预算金额未达100万元的采购项目，由采购人处理采购争议。</w:t>
      </w:r>
    </w:p>
    <w:p w14:paraId="700ED7E0">
      <w:pPr>
        <w:rPr>
          <w:b/>
          <w:color w:val="auto"/>
          <w:sz w:val="36"/>
          <w:szCs w:val="36"/>
          <w:highlight w:val="none"/>
        </w:rPr>
      </w:pPr>
      <w:r>
        <w:rPr>
          <w:b/>
          <w:color w:val="auto"/>
          <w:sz w:val="36"/>
          <w:szCs w:val="36"/>
          <w:highlight w:val="none"/>
        </w:rPr>
        <w:br w:type="page"/>
      </w:r>
    </w:p>
    <w:p w14:paraId="407A8BA3">
      <w:pPr>
        <w:autoSpaceDE w:val="0"/>
        <w:autoSpaceDN w:val="0"/>
        <w:snapToGrid w:val="0"/>
        <w:spacing w:line="360" w:lineRule="auto"/>
        <w:ind w:firstLine="2891" w:firstLineChars="800"/>
        <w:textAlignment w:val="bottom"/>
        <w:rPr>
          <w:b/>
          <w:color w:val="auto"/>
          <w:sz w:val="36"/>
          <w:szCs w:val="36"/>
          <w:highlight w:val="none"/>
        </w:rPr>
      </w:pPr>
      <w:r>
        <w:rPr>
          <w:b/>
          <w:color w:val="auto"/>
          <w:sz w:val="36"/>
          <w:szCs w:val="36"/>
          <w:highlight w:val="none"/>
        </w:rPr>
        <w:t>第二章、</w:t>
      </w:r>
      <w:r>
        <w:rPr>
          <w:rFonts w:hint="eastAsia"/>
          <w:b/>
          <w:color w:val="auto"/>
          <w:sz w:val="36"/>
          <w:szCs w:val="36"/>
          <w:highlight w:val="none"/>
        </w:rPr>
        <w:t>磋商响应</w:t>
      </w:r>
      <w:r>
        <w:rPr>
          <w:b/>
          <w:color w:val="auto"/>
          <w:sz w:val="36"/>
          <w:szCs w:val="36"/>
          <w:highlight w:val="none"/>
        </w:rPr>
        <w:t>须知</w:t>
      </w:r>
    </w:p>
    <w:p w14:paraId="31A01A04">
      <w:pPr>
        <w:spacing w:line="312" w:lineRule="auto"/>
        <w:ind w:left="720"/>
        <w:jc w:val="center"/>
        <w:rPr>
          <w:rFonts w:hAnsi="宋体"/>
          <w:b/>
          <w:color w:val="auto"/>
          <w:sz w:val="24"/>
          <w:highlight w:val="none"/>
        </w:rPr>
      </w:pPr>
    </w:p>
    <w:p w14:paraId="1D06691C">
      <w:pPr>
        <w:spacing w:line="312" w:lineRule="auto"/>
        <w:ind w:left="720"/>
        <w:jc w:val="center"/>
        <w:rPr>
          <w:rFonts w:hAnsi="宋体"/>
          <w:b/>
          <w:color w:val="auto"/>
          <w:sz w:val="32"/>
          <w:highlight w:val="none"/>
        </w:rPr>
      </w:pPr>
      <w:r>
        <w:rPr>
          <w:rFonts w:hAnsi="宋体"/>
          <w:b/>
          <w:color w:val="auto"/>
          <w:sz w:val="32"/>
          <w:highlight w:val="none"/>
        </w:rPr>
        <w:t>前附表</w:t>
      </w: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985"/>
      </w:tblGrid>
      <w:tr w14:paraId="3149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Pr>
          <w:p w14:paraId="10AE285D">
            <w:pPr>
              <w:pStyle w:val="12"/>
              <w:spacing w:line="360" w:lineRule="auto"/>
              <w:jc w:val="center"/>
              <w:rPr>
                <w:rFonts w:hAnsi="宋体"/>
                <w:color w:val="auto"/>
                <w:sz w:val="24"/>
                <w:highlight w:val="none"/>
              </w:rPr>
            </w:pPr>
            <w:r>
              <w:rPr>
                <w:rFonts w:hAnsi="宋体"/>
                <w:color w:val="auto"/>
                <w:sz w:val="24"/>
                <w:highlight w:val="none"/>
              </w:rPr>
              <w:t>条款</w:t>
            </w:r>
          </w:p>
        </w:tc>
        <w:tc>
          <w:tcPr>
            <w:tcW w:w="8985" w:type="dxa"/>
            <w:vAlign w:val="center"/>
          </w:tcPr>
          <w:p w14:paraId="444E7484">
            <w:pPr>
              <w:pStyle w:val="12"/>
              <w:spacing w:line="360" w:lineRule="auto"/>
              <w:jc w:val="center"/>
              <w:rPr>
                <w:rFonts w:hAnsi="宋体"/>
                <w:color w:val="auto"/>
                <w:sz w:val="24"/>
                <w:highlight w:val="none"/>
              </w:rPr>
            </w:pPr>
            <w:r>
              <w:rPr>
                <w:rFonts w:hAnsi="宋体"/>
                <w:color w:val="auto"/>
                <w:sz w:val="24"/>
                <w:highlight w:val="none"/>
              </w:rPr>
              <w:t>内容规定</w:t>
            </w:r>
          </w:p>
        </w:tc>
      </w:tr>
      <w:tr w14:paraId="2E88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57" w:type="dxa"/>
            <w:vAlign w:val="center"/>
          </w:tcPr>
          <w:p w14:paraId="03E61866">
            <w:pPr>
              <w:pStyle w:val="12"/>
              <w:spacing w:line="480" w:lineRule="exact"/>
              <w:jc w:val="center"/>
              <w:rPr>
                <w:rFonts w:hAnsi="宋体"/>
                <w:color w:val="auto"/>
                <w:sz w:val="24"/>
                <w:highlight w:val="none"/>
              </w:rPr>
            </w:pPr>
            <w:r>
              <w:rPr>
                <w:rFonts w:hAnsi="宋体"/>
                <w:color w:val="auto"/>
                <w:sz w:val="24"/>
                <w:highlight w:val="none"/>
              </w:rPr>
              <w:t>1</w:t>
            </w:r>
          </w:p>
        </w:tc>
        <w:tc>
          <w:tcPr>
            <w:tcW w:w="8985" w:type="dxa"/>
            <w:vAlign w:val="center"/>
          </w:tcPr>
          <w:p w14:paraId="77715B89">
            <w:pPr>
              <w:pStyle w:val="59"/>
              <w:spacing w:line="240" w:lineRule="auto"/>
              <w:ind w:left="0" w:firstLine="0"/>
              <w:jc w:val="center"/>
              <w:rPr>
                <w:rFonts w:ascii="宋体" w:hAnsi="宋体"/>
                <w:b/>
                <w:color w:val="auto"/>
                <w:highlight w:val="none"/>
              </w:rPr>
            </w:pPr>
            <w:r>
              <w:rPr>
                <w:rFonts w:ascii="宋体" w:hAnsi="宋体"/>
                <w:b/>
                <w:color w:val="auto"/>
                <w:highlight w:val="none"/>
              </w:rPr>
              <w:t>项目说明</w:t>
            </w:r>
          </w:p>
          <w:p w14:paraId="685559EA">
            <w:pPr>
              <w:pStyle w:val="59"/>
              <w:snapToGrid/>
              <w:spacing w:after="0"/>
              <w:ind w:left="1771" w:hanging="1771" w:hangingChars="735"/>
              <w:contextualSpacing/>
              <w:rPr>
                <w:rFonts w:hint="eastAsia" w:ascii="宋体" w:hAnsi="宋体" w:eastAsia="宋体" w:cs="宋体"/>
                <w:color w:val="auto"/>
                <w:kern w:val="0"/>
                <w:highlight w:val="none"/>
                <w:lang w:eastAsia="zh-CN"/>
              </w:rPr>
            </w:pPr>
            <w:r>
              <w:rPr>
                <w:rFonts w:hint="eastAsia" w:ascii="宋体" w:hAnsi="宋体"/>
                <w:b/>
                <w:color w:val="auto"/>
                <w:szCs w:val="24"/>
                <w:highlight w:val="none"/>
              </w:rPr>
              <w:t>磋商</w:t>
            </w:r>
            <w:r>
              <w:rPr>
                <w:rFonts w:ascii="宋体" w:hAnsi="宋体"/>
                <w:b/>
                <w:color w:val="auto"/>
                <w:szCs w:val="24"/>
                <w:highlight w:val="none"/>
              </w:rPr>
              <w:t>项目名</w:t>
            </w:r>
            <w:r>
              <w:rPr>
                <w:rFonts w:hAnsi="宋体"/>
                <w:b/>
                <w:color w:val="auto"/>
                <w:highlight w:val="none"/>
              </w:rPr>
              <w:t>称：</w:t>
            </w:r>
            <w:r>
              <w:rPr>
                <w:rFonts w:hint="eastAsia" w:ascii="宋体" w:hAnsi="宋体" w:cs="宋体"/>
                <w:color w:val="auto"/>
                <w:kern w:val="0"/>
                <w:highlight w:val="none"/>
                <w:lang w:eastAsia="zh-CN"/>
              </w:rPr>
              <w:t>浙江省离休干部红色档案挖掘保护和宣传展示项目</w:t>
            </w:r>
          </w:p>
          <w:p w14:paraId="1025329F">
            <w:pPr>
              <w:pStyle w:val="11"/>
              <w:spacing w:line="360" w:lineRule="auto"/>
              <w:ind w:left="0" w:leftChars="0" w:firstLine="0" w:firstLineChars="0"/>
              <w:contextualSpacing/>
              <w:rPr>
                <w:color w:val="auto"/>
                <w:highlight w:val="none"/>
              </w:rPr>
            </w:pPr>
            <w:r>
              <w:rPr>
                <w:rFonts w:hint="eastAsia"/>
                <w:b/>
                <w:color w:val="auto"/>
                <w:highlight w:val="none"/>
              </w:rPr>
              <w:t>磋商项目类别：</w:t>
            </w:r>
            <w:r>
              <w:rPr>
                <w:rFonts w:hint="eastAsia"/>
                <w:color w:val="auto"/>
                <w:highlight w:val="none"/>
              </w:rPr>
              <w:t>服务类</w:t>
            </w:r>
          </w:p>
          <w:p w14:paraId="58EA4E35">
            <w:pPr>
              <w:spacing w:line="360" w:lineRule="auto"/>
              <w:contextualSpacing/>
              <w:jc w:val="left"/>
              <w:rPr>
                <w:rFonts w:ascii="宋体" w:hAnsi="宋体" w:cs="宋体"/>
                <w:b/>
                <w:color w:val="auto"/>
                <w:kern w:val="0"/>
                <w:sz w:val="24"/>
                <w:highlight w:val="none"/>
              </w:rPr>
            </w:pPr>
            <w:r>
              <w:rPr>
                <w:rFonts w:hint="eastAsia" w:ascii="宋体" w:hAnsi="宋体" w:cs="宋体"/>
                <w:b/>
                <w:color w:val="auto"/>
                <w:kern w:val="0"/>
                <w:sz w:val="24"/>
                <w:highlight w:val="none"/>
              </w:rPr>
              <w:t>采购标的所属行业：</w:t>
            </w:r>
            <w:r>
              <w:rPr>
                <w:rFonts w:hint="eastAsia" w:ascii="宋体" w:hAnsi="宋体" w:cs="宋体"/>
                <w:color w:val="auto"/>
                <w:kern w:val="0"/>
                <w:sz w:val="24"/>
                <w:highlight w:val="none"/>
              </w:rPr>
              <w:t>根据《工业和信息化部、国家统计局、国家发展和改革委员会、财政部关于印发中小企业划型标准规定的通知》（工信部联企业[2011]300号）规定，本项目采购标的对应的中小企业划分标准所属行业为（十六）其他未列明行业。</w:t>
            </w:r>
          </w:p>
          <w:p w14:paraId="3D0E15B7">
            <w:pPr>
              <w:tabs>
                <w:tab w:val="left" w:pos="720"/>
              </w:tabs>
              <w:spacing w:line="360" w:lineRule="auto"/>
              <w:contextualSpacing/>
              <w:rPr>
                <w:rFonts w:hint="eastAsia" w:ascii="宋体" w:hAnsi="宋体" w:eastAsia="宋体"/>
                <w:b/>
                <w:color w:val="auto"/>
                <w:sz w:val="24"/>
                <w:highlight w:val="none"/>
                <w:lang w:eastAsia="zh-CN"/>
              </w:rPr>
            </w:pPr>
            <w:r>
              <w:rPr>
                <w:rFonts w:hint="eastAsia" w:ascii="宋体" w:hAnsi="宋体"/>
                <w:b/>
                <w:color w:val="auto"/>
                <w:sz w:val="24"/>
                <w:highlight w:val="none"/>
              </w:rPr>
              <w:t>磋商采购内容：</w:t>
            </w:r>
          </w:p>
          <w:tbl>
            <w:tblPr>
              <w:tblStyle w:val="24"/>
              <w:tblW w:w="6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1"/>
              <w:gridCol w:w="1418"/>
            </w:tblGrid>
            <w:tr w14:paraId="5BBD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71" w:type="dxa"/>
                  <w:tcBorders>
                    <w:top w:val="single" w:color="auto" w:sz="4" w:space="0"/>
                    <w:left w:val="single" w:color="auto" w:sz="4" w:space="0"/>
                    <w:bottom w:val="single" w:color="auto" w:sz="4" w:space="0"/>
                    <w:right w:val="single" w:color="auto" w:sz="4" w:space="0"/>
                  </w:tcBorders>
                  <w:vAlign w:val="center"/>
                </w:tcPr>
                <w:p w14:paraId="5B1CB56E">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418" w:type="dxa"/>
                  <w:tcBorders>
                    <w:top w:val="single" w:color="auto" w:sz="4" w:space="0"/>
                    <w:left w:val="single" w:color="auto" w:sz="4" w:space="0"/>
                    <w:bottom w:val="single" w:color="auto" w:sz="4" w:space="0"/>
                    <w:right w:val="single" w:color="auto" w:sz="4" w:space="0"/>
                  </w:tcBorders>
                  <w:vAlign w:val="center"/>
                </w:tcPr>
                <w:p w14:paraId="55529BA2">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0423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671" w:type="dxa"/>
                  <w:tcBorders>
                    <w:top w:val="single" w:color="auto" w:sz="4" w:space="0"/>
                    <w:left w:val="single" w:color="auto" w:sz="4" w:space="0"/>
                    <w:right w:val="single" w:color="auto" w:sz="4" w:space="0"/>
                  </w:tcBorders>
                  <w:vAlign w:val="center"/>
                </w:tcPr>
                <w:p w14:paraId="0A12899E">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浙江省离休干部红色档案挖掘保护和宣传展示项目</w:t>
                  </w:r>
                </w:p>
              </w:tc>
              <w:tc>
                <w:tcPr>
                  <w:tcW w:w="1418" w:type="dxa"/>
                  <w:tcBorders>
                    <w:top w:val="single" w:color="auto" w:sz="4" w:space="0"/>
                    <w:left w:val="single" w:color="auto" w:sz="4" w:space="0"/>
                    <w:bottom w:val="single" w:color="auto" w:sz="4" w:space="0"/>
                    <w:right w:val="single" w:color="auto" w:sz="4" w:space="0"/>
                  </w:tcBorders>
                  <w:vAlign w:val="center"/>
                </w:tcPr>
                <w:p w14:paraId="4C6AFD2E">
                  <w:pPr>
                    <w:widowControl/>
                    <w:tabs>
                      <w:tab w:val="left" w:pos="720"/>
                    </w:tabs>
                    <w:spacing w:before="67" w:after="67" w:line="360" w:lineRule="auto"/>
                    <w:ind w:left="67" w:right="67"/>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1项</w:t>
                  </w:r>
                </w:p>
              </w:tc>
            </w:tr>
          </w:tbl>
          <w:p w14:paraId="724026AC">
            <w:pPr>
              <w:tabs>
                <w:tab w:val="left" w:pos="720"/>
              </w:tabs>
              <w:spacing w:line="360" w:lineRule="auto"/>
              <w:rPr>
                <w:rFonts w:ascii="宋体" w:hAnsi="宋体"/>
                <w:color w:val="auto"/>
                <w:sz w:val="24"/>
                <w:highlight w:val="none"/>
              </w:rPr>
            </w:pPr>
            <w:r>
              <w:rPr>
                <w:rFonts w:hint="eastAsia" w:ascii="宋体" w:hAnsi="宋体"/>
                <w:b/>
                <w:color w:val="auto"/>
                <w:sz w:val="24"/>
                <w:szCs w:val="20"/>
                <w:highlight w:val="none"/>
              </w:rPr>
              <w:t>服务期限</w:t>
            </w:r>
            <w:r>
              <w:rPr>
                <w:rFonts w:hint="eastAsia" w:ascii="宋体" w:hAnsi="宋体"/>
                <w:b/>
                <w:color w:val="auto"/>
                <w:sz w:val="24"/>
                <w:highlight w:val="none"/>
              </w:rPr>
              <w:t>：</w:t>
            </w:r>
            <w:r>
              <w:rPr>
                <w:rFonts w:hint="eastAsia" w:ascii="宋体" w:hAnsi="宋体" w:cs="宋体"/>
                <w:snapToGrid w:val="0"/>
                <w:color w:val="auto"/>
                <w:kern w:val="0"/>
                <w:sz w:val="24"/>
                <w:szCs w:val="24"/>
                <w:highlight w:val="none"/>
                <w:lang w:val="en-US" w:eastAsia="zh-CN"/>
              </w:rPr>
              <w:t>合同签订之日起至2025年12月10日</w:t>
            </w:r>
            <w:r>
              <w:rPr>
                <w:rFonts w:hint="eastAsia" w:ascii="宋体" w:hAnsi="宋体" w:cs="宋体"/>
                <w:color w:val="auto"/>
                <w:kern w:val="0"/>
                <w:sz w:val="24"/>
                <w:highlight w:val="none"/>
              </w:rPr>
              <w:t>。</w:t>
            </w:r>
          </w:p>
          <w:p w14:paraId="65ACC4A3">
            <w:pPr>
              <w:tabs>
                <w:tab w:val="left" w:pos="720"/>
              </w:tabs>
              <w:spacing w:line="360" w:lineRule="auto"/>
              <w:rPr>
                <w:rFonts w:ascii="宋体" w:hAnsi="宋体"/>
                <w:b/>
                <w:color w:val="auto"/>
                <w:sz w:val="24"/>
                <w:highlight w:val="none"/>
              </w:rPr>
            </w:pPr>
            <w:r>
              <w:rPr>
                <w:rFonts w:hint="eastAsia"/>
                <w:b/>
                <w:color w:val="auto"/>
                <w:sz w:val="24"/>
                <w:highlight w:val="none"/>
              </w:rPr>
              <w:t>项目实施</w:t>
            </w:r>
            <w:r>
              <w:rPr>
                <w:rFonts w:hint="eastAsia" w:ascii="宋体" w:hAnsi="宋体"/>
                <w:b/>
                <w:color w:val="auto"/>
                <w:sz w:val="24"/>
                <w:highlight w:val="none"/>
              </w:rPr>
              <w:t>地点：</w:t>
            </w:r>
            <w:r>
              <w:rPr>
                <w:rFonts w:hint="eastAsia" w:ascii="宋体" w:hAnsi="宋体" w:cs="宋体"/>
                <w:color w:val="auto"/>
                <w:kern w:val="0"/>
                <w:sz w:val="24"/>
                <w:highlight w:val="none"/>
              </w:rPr>
              <w:t>中共浙江省委老干部局指定地点</w:t>
            </w:r>
            <w:r>
              <w:rPr>
                <w:rFonts w:hint="eastAsia" w:ascii="宋体" w:hAnsi="宋体"/>
                <w:color w:val="auto"/>
                <w:sz w:val="24"/>
                <w:highlight w:val="none"/>
              </w:rPr>
              <w:t>。</w:t>
            </w:r>
          </w:p>
          <w:p w14:paraId="549B21A4">
            <w:pPr>
              <w:tabs>
                <w:tab w:val="left" w:pos="720"/>
              </w:tabs>
              <w:spacing w:line="360" w:lineRule="auto"/>
              <w:rPr>
                <w:rFonts w:ascii="宋体" w:hAnsi="宋体"/>
                <w:color w:val="auto"/>
                <w:sz w:val="24"/>
                <w:highlight w:val="none"/>
              </w:rPr>
            </w:pPr>
            <w:r>
              <w:rPr>
                <w:rFonts w:hint="eastAsia" w:ascii="宋体" w:hAnsi="宋体"/>
                <w:b/>
                <w:color w:val="auto"/>
                <w:sz w:val="24"/>
                <w:highlight w:val="none"/>
              </w:rPr>
              <w:t>采购要求：</w:t>
            </w:r>
            <w:r>
              <w:rPr>
                <w:rFonts w:hint="eastAsia" w:ascii="宋体" w:hAnsi="宋体"/>
                <w:color w:val="auto"/>
                <w:sz w:val="24"/>
                <w:highlight w:val="none"/>
              </w:rPr>
              <w:t>详见第三章</w:t>
            </w:r>
            <w:r>
              <w:rPr>
                <w:rFonts w:hint="eastAsia" w:ascii="宋体" w:hAnsi="宋体"/>
                <w:color w:val="auto"/>
                <w:sz w:val="24"/>
                <w:highlight w:val="none"/>
                <w:lang w:eastAsia="zh-CN"/>
              </w:rPr>
              <w:t>采购需求</w:t>
            </w:r>
            <w:r>
              <w:rPr>
                <w:rFonts w:hint="eastAsia" w:ascii="宋体" w:hAnsi="宋体"/>
                <w:color w:val="auto"/>
                <w:sz w:val="24"/>
                <w:highlight w:val="none"/>
              </w:rPr>
              <w:t>。</w:t>
            </w:r>
          </w:p>
          <w:p w14:paraId="6D53D7AF">
            <w:pPr>
              <w:tabs>
                <w:tab w:val="left" w:pos="720"/>
              </w:tabs>
              <w:spacing w:line="360" w:lineRule="auto"/>
              <w:rPr>
                <w:rFonts w:ascii="宋体" w:hAnsi="宋体"/>
                <w:b/>
                <w:color w:val="auto"/>
                <w:sz w:val="24"/>
                <w:highlight w:val="none"/>
              </w:rPr>
            </w:pPr>
            <w:r>
              <w:rPr>
                <w:rFonts w:hint="eastAsia" w:ascii="宋体" w:hAnsi="宋体"/>
                <w:b/>
                <w:color w:val="auto"/>
                <w:sz w:val="24"/>
                <w:highlight w:val="none"/>
              </w:rPr>
              <w:t>采购预算：</w:t>
            </w:r>
            <w:r>
              <w:rPr>
                <w:rFonts w:hint="eastAsia" w:ascii="宋体" w:hAnsi="宋体" w:cs="宋体"/>
                <w:color w:val="auto"/>
                <w:kern w:val="0"/>
                <w:sz w:val="24"/>
                <w:highlight w:val="none"/>
              </w:rPr>
              <w:t>人民币</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rPr>
              <w:t>万元。</w:t>
            </w:r>
          </w:p>
        </w:tc>
      </w:tr>
      <w:tr w14:paraId="5CC5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57" w:type="dxa"/>
            <w:vAlign w:val="center"/>
          </w:tcPr>
          <w:p w14:paraId="1C4754C6">
            <w:pPr>
              <w:pStyle w:val="12"/>
              <w:spacing w:line="480" w:lineRule="exact"/>
              <w:jc w:val="center"/>
              <w:rPr>
                <w:rFonts w:hAnsi="宋体"/>
                <w:color w:val="auto"/>
                <w:sz w:val="24"/>
                <w:highlight w:val="none"/>
              </w:rPr>
            </w:pPr>
            <w:r>
              <w:rPr>
                <w:rFonts w:hAnsi="宋体"/>
                <w:color w:val="auto"/>
                <w:sz w:val="24"/>
                <w:highlight w:val="none"/>
              </w:rPr>
              <w:t>2</w:t>
            </w:r>
          </w:p>
        </w:tc>
        <w:tc>
          <w:tcPr>
            <w:tcW w:w="8985" w:type="dxa"/>
            <w:vAlign w:val="center"/>
          </w:tcPr>
          <w:p w14:paraId="3E9DB604">
            <w:pPr>
              <w:pStyle w:val="12"/>
              <w:spacing w:line="480" w:lineRule="exact"/>
              <w:rPr>
                <w:rFonts w:hAnsi="宋体"/>
                <w:color w:val="auto"/>
                <w:sz w:val="24"/>
                <w:highlight w:val="none"/>
              </w:rPr>
            </w:pPr>
            <w:r>
              <w:rPr>
                <w:rFonts w:hAnsi="宋体"/>
                <w:b/>
                <w:color w:val="auto"/>
                <w:sz w:val="24"/>
                <w:highlight w:val="none"/>
              </w:rPr>
              <w:t>合同名称：</w:t>
            </w:r>
            <w:r>
              <w:rPr>
                <w:rFonts w:hint="eastAsia" w:hAnsi="宋体"/>
                <w:color w:val="auto"/>
                <w:sz w:val="24"/>
                <w:highlight w:val="none"/>
              </w:rPr>
              <w:t>《</w:t>
            </w:r>
            <w:r>
              <w:rPr>
                <w:rFonts w:hint="eastAsia" w:hAnsi="宋体" w:cs="宋体"/>
                <w:color w:val="auto"/>
                <w:kern w:val="0"/>
                <w:sz w:val="24"/>
                <w:highlight w:val="none"/>
              </w:rPr>
              <w:t>中共浙江省委老干部局</w:t>
            </w:r>
            <w:r>
              <w:rPr>
                <w:rFonts w:hint="eastAsia" w:hAnsi="宋体" w:cs="宋体"/>
                <w:color w:val="auto"/>
                <w:kern w:val="0"/>
                <w:sz w:val="24"/>
                <w:szCs w:val="24"/>
                <w:highlight w:val="none"/>
                <w:lang w:eastAsia="zh-CN"/>
              </w:rPr>
              <w:t>浙江省离休干部红色档案挖掘保护和宣传展示项目</w:t>
            </w:r>
            <w:r>
              <w:rPr>
                <w:color w:val="auto"/>
                <w:sz w:val="24"/>
                <w:szCs w:val="24"/>
                <w:highlight w:val="none"/>
              </w:rPr>
              <w:t>采购合同</w:t>
            </w:r>
            <w:r>
              <w:rPr>
                <w:rFonts w:hint="eastAsia" w:hAnsi="宋体"/>
                <w:color w:val="auto"/>
                <w:sz w:val="24"/>
                <w:highlight w:val="none"/>
              </w:rPr>
              <w:t>》</w:t>
            </w:r>
          </w:p>
        </w:tc>
      </w:tr>
      <w:tr w14:paraId="081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57" w:type="dxa"/>
            <w:vAlign w:val="center"/>
          </w:tcPr>
          <w:p w14:paraId="0F163B37">
            <w:pPr>
              <w:pStyle w:val="12"/>
              <w:spacing w:line="480" w:lineRule="exact"/>
              <w:jc w:val="center"/>
              <w:rPr>
                <w:rFonts w:hAnsi="宋体"/>
                <w:color w:val="auto"/>
                <w:sz w:val="24"/>
                <w:highlight w:val="none"/>
              </w:rPr>
            </w:pPr>
            <w:r>
              <w:rPr>
                <w:rFonts w:hAnsi="宋体"/>
                <w:color w:val="auto"/>
                <w:sz w:val="24"/>
                <w:highlight w:val="none"/>
              </w:rPr>
              <w:t>3</w:t>
            </w:r>
          </w:p>
        </w:tc>
        <w:tc>
          <w:tcPr>
            <w:tcW w:w="8985" w:type="dxa"/>
            <w:vAlign w:val="center"/>
          </w:tcPr>
          <w:p w14:paraId="19065970">
            <w:pPr>
              <w:spacing w:line="480" w:lineRule="exact"/>
              <w:rPr>
                <w:rFonts w:ascii="宋体" w:hAnsi="宋体"/>
                <w:color w:val="auto"/>
                <w:sz w:val="24"/>
                <w:highlight w:val="none"/>
              </w:rPr>
            </w:pPr>
            <w:r>
              <w:rPr>
                <w:rFonts w:hint="eastAsia" w:ascii="宋体" w:hAnsi="宋体"/>
                <w:b/>
                <w:color w:val="auto"/>
                <w:sz w:val="24"/>
                <w:highlight w:val="none"/>
              </w:rPr>
              <w:t>磋商响应</w:t>
            </w:r>
            <w:r>
              <w:rPr>
                <w:rFonts w:ascii="宋体" w:hAnsi="宋体"/>
                <w:b/>
                <w:color w:val="auto"/>
                <w:sz w:val="24"/>
                <w:highlight w:val="none"/>
              </w:rPr>
              <w:t>有效期：</w:t>
            </w:r>
            <w:r>
              <w:rPr>
                <w:rFonts w:ascii="宋体" w:hAnsi="宋体"/>
                <w:color w:val="auto"/>
                <w:sz w:val="24"/>
                <w:highlight w:val="none"/>
              </w:rPr>
              <w:t>自</w:t>
            </w:r>
            <w:r>
              <w:rPr>
                <w:rFonts w:hint="eastAsia" w:ascii="宋体" w:hAnsi="宋体"/>
                <w:color w:val="auto"/>
                <w:sz w:val="24"/>
                <w:highlight w:val="none"/>
              </w:rPr>
              <w:t>磋商响应</w:t>
            </w:r>
            <w:r>
              <w:rPr>
                <w:rFonts w:ascii="宋体" w:hAnsi="宋体"/>
                <w:color w:val="auto"/>
                <w:sz w:val="24"/>
                <w:highlight w:val="none"/>
              </w:rPr>
              <w:t>截止日起90个日历日。</w:t>
            </w:r>
          </w:p>
        </w:tc>
      </w:tr>
      <w:tr w14:paraId="00E2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7" w:type="dxa"/>
            <w:vAlign w:val="center"/>
          </w:tcPr>
          <w:p w14:paraId="4A6A73D8">
            <w:pPr>
              <w:pStyle w:val="12"/>
              <w:spacing w:line="480" w:lineRule="exact"/>
              <w:jc w:val="center"/>
              <w:rPr>
                <w:rFonts w:hAnsi="宋体"/>
                <w:color w:val="auto"/>
                <w:sz w:val="24"/>
                <w:highlight w:val="none"/>
              </w:rPr>
            </w:pPr>
            <w:r>
              <w:rPr>
                <w:rFonts w:hAnsi="宋体"/>
                <w:color w:val="auto"/>
                <w:sz w:val="24"/>
                <w:highlight w:val="none"/>
              </w:rPr>
              <w:t>4</w:t>
            </w:r>
          </w:p>
        </w:tc>
        <w:tc>
          <w:tcPr>
            <w:tcW w:w="8985" w:type="dxa"/>
            <w:vAlign w:val="center"/>
          </w:tcPr>
          <w:p w14:paraId="71FB81A1">
            <w:pPr>
              <w:pStyle w:val="12"/>
              <w:spacing w:line="480" w:lineRule="exact"/>
              <w:rPr>
                <w:rFonts w:hAnsi="宋体"/>
                <w:b/>
                <w:color w:val="auto"/>
                <w:sz w:val="24"/>
                <w:highlight w:val="none"/>
              </w:rPr>
            </w:pPr>
            <w:r>
              <w:rPr>
                <w:rFonts w:hint="eastAsia" w:hAnsi="宋体"/>
                <w:b/>
                <w:color w:val="auto"/>
                <w:sz w:val="24"/>
                <w:highlight w:val="none"/>
              </w:rPr>
              <w:t>磋商</w:t>
            </w:r>
            <w:r>
              <w:rPr>
                <w:rFonts w:hAnsi="宋体"/>
                <w:b/>
                <w:color w:val="auto"/>
                <w:sz w:val="24"/>
                <w:highlight w:val="none"/>
              </w:rPr>
              <w:t>保证金：</w:t>
            </w:r>
          </w:p>
          <w:p w14:paraId="093C4C68">
            <w:pPr>
              <w:widowControl/>
              <w:spacing w:line="360" w:lineRule="auto"/>
              <w:ind w:firstLine="480" w:firstLineChars="200"/>
              <w:jc w:val="left"/>
              <w:outlineLvl w:val="0"/>
              <w:rPr>
                <w:rFonts w:ascii="宋体" w:hAnsi="宋体"/>
                <w:color w:val="auto"/>
                <w:sz w:val="24"/>
                <w:highlight w:val="none"/>
              </w:rPr>
            </w:pPr>
            <w:r>
              <w:rPr>
                <w:rFonts w:hint="eastAsia" w:ascii="宋体" w:hAnsi="宋体"/>
                <w:color w:val="auto"/>
                <w:kern w:val="0"/>
                <w:sz w:val="24"/>
                <w:szCs w:val="21"/>
                <w:highlight w:val="none"/>
              </w:rPr>
              <w:t>本项目不收取投标保证金。但违反政府采购相关规定给采购组织机构造成损失的供应商应当承担赔偿责任。</w:t>
            </w:r>
          </w:p>
        </w:tc>
      </w:tr>
      <w:tr w14:paraId="78DA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7" w:type="dxa"/>
            <w:vAlign w:val="center"/>
          </w:tcPr>
          <w:p w14:paraId="7CE99C90">
            <w:pPr>
              <w:pStyle w:val="12"/>
              <w:spacing w:line="480" w:lineRule="exact"/>
              <w:jc w:val="center"/>
              <w:rPr>
                <w:rFonts w:hAnsi="宋体"/>
                <w:color w:val="auto"/>
                <w:sz w:val="24"/>
                <w:highlight w:val="none"/>
              </w:rPr>
            </w:pPr>
            <w:r>
              <w:rPr>
                <w:rFonts w:hint="eastAsia" w:hAnsi="宋体"/>
                <w:color w:val="auto"/>
                <w:sz w:val="24"/>
                <w:highlight w:val="none"/>
              </w:rPr>
              <w:t>5</w:t>
            </w:r>
          </w:p>
        </w:tc>
        <w:tc>
          <w:tcPr>
            <w:tcW w:w="8985" w:type="dxa"/>
            <w:vAlign w:val="center"/>
          </w:tcPr>
          <w:p w14:paraId="2545C99E">
            <w:pPr>
              <w:pStyle w:val="12"/>
              <w:spacing w:line="480" w:lineRule="exact"/>
              <w:rPr>
                <w:rFonts w:hAnsi="宋体"/>
                <w:b/>
                <w:color w:val="auto"/>
                <w:sz w:val="24"/>
                <w:highlight w:val="none"/>
              </w:rPr>
            </w:pPr>
            <w:r>
              <w:rPr>
                <w:rFonts w:hint="eastAsia" w:hAnsi="宋体" w:cs="宋体"/>
                <w:b/>
                <w:bCs/>
                <w:color w:val="auto"/>
                <w:kern w:val="0"/>
                <w:sz w:val="24"/>
                <w:highlight w:val="none"/>
              </w:rPr>
              <w:t>磋商响应</w:t>
            </w:r>
            <w:r>
              <w:rPr>
                <w:rFonts w:hAnsi="宋体"/>
                <w:b/>
                <w:color w:val="auto"/>
                <w:sz w:val="24"/>
                <w:highlight w:val="none"/>
              </w:rPr>
              <w:t>文件的编制：</w:t>
            </w:r>
            <w:r>
              <w:rPr>
                <w:rFonts w:hAnsi="宋体"/>
                <w:color w:val="auto"/>
                <w:sz w:val="24"/>
                <w:highlight w:val="none"/>
              </w:rPr>
              <w:t>供应商应先安装“政采云电子交易客户端”，并按照本</w:t>
            </w:r>
            <w:r>
              <w:rPr>
                <w:rFonts w:hint="eastAsia" w:hAnsi="宋体"/>
                <w:color w:val="auto"/>
                <w:sz w:val="24"/>
                <w:highlight w:val="none"/>
              </w:rPr>
              <w:t>采购</w:t>
            </w:r>
            <w:r>
              <w:rPr>
                <w:rFonts w:hAnsi="宋体"/>
                <w:color w:val="auto"/>
                <w:sz w:val="24"/>
                <w:highlight w:val="none"/>
              </w:rPr>
              <w:t>文件和“政府采购云平台”的要求，通过“政采云电子交易客户端”编制并加密</w:t>
            </w:r>
            <w:r>
              <w:rPr>
                <w:rFonts w:hint="eastAsia" w:hAnsi="宋体"/>
                <w:color w:val="auto"/>
                <w:sz w:val="24"/>
                <w:highlight w:val="none"/>
              </w:rPr>
              <w:t>磋商响应</w:t>
            </w:r>
            <w:r>
              <w:rPr>
                <w:rFonts w:hAnsi="宋体"/>
                <w:color w:val="auto"/>
                <w:sz w:val="24"/>
                <w:highlight w:val="none"/>
              </w:rPr>
              <w:t>文件</w:t>
            </w:r>
            <w:r>
              <w:rPr>
                <w:rFonts w:hint="eastAsia" w:hAnsi="宋体"/>
                <w:color w:val="auto"/>
                <w:sz w:val="24"/>
                <w:highlight w:val="none"/>
              </w:rPr>
              <w:t>。</w:t>
            </w:r>
          </w:p>
        </w:tc>
      </w:tr>
      <w:tr w14:paraId="128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580390E">
            <w:pPr>
              <w:pStyle w:val="12"/>
              <w:spacing w:line="480" w:lineRule="exact"/>
              <w:jc w:val="center"/>
              <w:rPr>
                <w:rFonts w:hAnsi="宋体"/>
                <w:color w:val="auto"/>
                <w:sz w:val="24"/>
                <w:highlight w:val="none"/>
              </w:rPr>
            </w:pPr>
            <w:r>
              <w:rPr>
                <w:rFonts w:hint="eastAsia" w:hAnsi="宋体"/>
                <w:color w:val="auto"/>
                <w:sz w:val="24"/>
                <w:highlight w:val="none"/>
              </w:rPr>
              <w:t>6</w:t>
            </w:r>
          </w:p>
        </w:tc>
        <w:tc>
          <w:tcPr>
            <w:tcW w:w="8985" w:type="dxa"/>
            <w:vAlign w:val="center"/>
          </w:tcPr>
          <w:p w14:paraId="74B74407">
            <w:pPr>
              <w:pStyle w:val="12"/>
              <w:spacing w:line="440" w:lineRule="exact"/>
              <w:rPr>
                <w:rFonts w:hAnsi="宋体" w:cs="宋体"/>
                <w:bCs/>
                <w:color w:val="auto"/>
                <w:kern w:val="0"/>
                <w:sz w:val="24"/>
                <w:highlight w:val="none"/>
              </w:rPr>
            </w:pPr>
            <w:r>
              <w:rPr>
                <w:rFonts w:hint="eastAsia" w:hAnsi="宋体" w:cs="宋体"/>
                <w:b/>
                <w:bCs/>
                <w:color w:val="auto"/>
                <w:kern w:val="0"/>
                <w:sz w:val="24"/>
                <w:highlight w:val="none"/>
              </w:rPr>
              <w:t>磋商响应文件形式：</w:t>
            </w:r>
            <w:r>
              <w:rPr>
                <w:rFonts w:hint="eastAsia" w:hAnsi="宋体" w:cs="宋体"/>
                <w:bCs/>
                <w:color w:val="auto"/>
                <w:kern w:val="0"/>
                <w:sz w:val="24"/>
                <w:highlight w:val="none"/>
              </w:rPr>
              <w:t>电子磋商响应文件（包括“电子加密磋商响应文件”和“备份磋商响应文件”，在磋商响应文件编制完成后同时生成）</w:t>
            </w:r>
          </w:p>
          <w:p w14:paraId="3B6C5E7A">
            <w:pPr>
              <w:pStyle w:val="68"/>
              <w:spacing w:before="0"/>
              <w:ind w:firstLine="0" w:firstLineChars="0"/>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b/>
                <w:bCs/>
                <w:color w:val="auto"/>
                <w:szCs w:val="24"/>
                <w:highlight w:val="none"/>
              </w:rPr>
              <w:t>“电子加密磋商响应文件”[文件格式.jmbs]：</w:t>
            </w:r>
            <w:r>
              <w:rPr>
                <w:rFonts w:hint="eastAsia" w:ascii="宋体" w:hAnsi="宋体" w:eastAsia="宋体" w:cs="宋体"/>
                <w:color w:val="auto"/>
                <w:szCs w:val="24"/>
                <w:highlight w:val="none"/>
              </w:rPr>
              <w:t>“电子加密磋商响应文件”是指通过“政采云电子交易客户端”完成磋商响应文件编制后生成并加密的数据电文形式的磋商响应文件。</w:t>
            </w:r>
            <w:r>
              <w:rPr>
                <w:rStyle w:val="69"/>
                <w:rFonts w:hint="default" w:ascii="宋体" w:hAnsi="宋体" w:eastAsia="宋体"/>
                <w:b/>
                <w:color w:val="auto"/>
                <w:highlight w:val="none"/>
              </w:rPr>
              <w:t>解密</w:t>
            </w:r>
            <w:r>
              <w:rPr>
                <w:rFonts w:hint="eastAsia" w:ascii="宋体" w:hAnsi="宋体" w:eastAsia="宋体" w:cs="宋体"/>
                <w:b/>
                <w:bCs/>
                <w:color w:val="auto"/>
                <w:szCs w:val="24"/>
                <w:highlight w:val="none"/>
              </w:rPr>
              <w:t>磋商响应</w:t>
            </w:r>
            <w:r>
              <w:rPr>
                <w:rStyle w:val="69"/>
                <w:rFonts w:hint="default" w:ascii="宋体" w:hAnsi="宋体" w:eastAsia="宋体"/>
                <w:b/>
                <w:color w:val="auto"/>
                <w:highlight w:val="none"/>
              </w:rPr>
              <w:t>文件的 CA 锁和制作</w:t>
            </w:r>
            <w:r>
              <w:rPr>
                <w:rFonts w:hint="eastAsia" w:ascii="宋体" w:hAnsi="宋体" w:eastAsia="宋体" w:cs="宋体"/>
                <w:b/>
                <w:bCs/>
                <w:color w:val="auto"/>
                <w:szCs w:val="24"/>
                <w:highlight w:val="none"/>
              </w:rPr>
              <w:t>磋商响应</w:t>
            </w:r>
            <w:r>
              <w:rPr>
                <w:rStyle w:val="69"/>
                <w:rFonts w:hint="default" w:ascii="宋体" w:hAnsi="宋体" w:eastAsia="宋体"/>
                <w:b/>
                <w:color w:val="auto"/>
                <w:highlight w:val="none"/>
              </w:rPr>
              <w:t>文件的 CA锁需一致。</w:t>
            </w:r>
          </w:p>
          <w:p w14:paraId="2A8DF87D">
            <w:pPr>
              <w:pStyle w:val="12"/>
              <w:spacing w:line="440" w:lineRule="exact"/>
              <w:rPr>
                <w:rFonts w:hAnsi="宋体"/>
                <w:b/>
                <w:color w:val="auto"/>
                <w:sz w:val="24"/>
                <w:highlight w:val="none"/>
              </w:rPr>
            </w:pPr>
            <w:r>
              <w:rPr>
                <w:rFonts w:hint="eastAsia" w:hAnsi="宋体" w:cs="宋体"/>
                <w:color w:val="auto"/>
                <w:sz w:val="24"/>
                <w:highlight w:val="none"/>
              </w:rPr>
              <w:t>2）</w:t>
            </w:r>
            <w:r>
              <w:rPr>
                <w:rFonts w:hint="eastAsia" w:hAnsi="宋体" w:cs="宋体"/>
                <w:b/>
                <w:bCs/>
                <w:color w:val="auto"/>
                <w:sz w:val="24"/>
                <w:highlight w:val="none"/>
              </w:rPr>
              <w:t>“备份磋商响应文件”[文件格式.bfbs]：</w:t>
            </w:r>
            <w:r>
              <w:rPr>
                <w:rFonts w:hint="eastAsia" w:hAnsi="宋体" w:cs="宋体"/>
                <w:color w:val="auto"/>
                <w:sz w:val="24"/>
                <w:highlight w:val="none"/>
              </w:rPr>
              <w:t>“备份磋商响应文件”是指与“电子加密磋商响应文件”同时生成的数据电文形式的未加密的电子文件（备份标书），其他方式编制的“备份磋商响应文件”视为无效的“备份磋商响应文件”。</w:t>
            </w:r>
            <w:r>
              <w:rPr>
                <w:rFonts w:hint="eastAsia" w:hAnsi="宋体" w:cs="宋体"/>
                <w:bCs/>
                <w:color w:val="auto"/>
                <w:kern w:val="0"/>
                <w:sz w:val="24"/>
                <w:highlight w:val="none"/>
              </w:rPr>
              <w:t>“备份磋商响应文件”应当密封包装并在包装上标注投标项目名称、投标单位名称并加盖公章或授权代表签字。</w:t>
            </w:r>
          </w:p>
        </w:tc>
      </w:tr>
      <w:tr w14:paraId="1CF6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CED77BB">
            <w:pPr>
              <w:pStyle w:val="12"/>
              <w:spacing w:line="480" w:lineRule="exact"/>
              <w:jc w:val="center"/>
              <w:rPr>
                <w:rFonts w:hAnsi="宋体"/>
                <w:color w:val="auto"/>
                <w:sz w:val="24"/>
                <w:highlight w:val="none"/>
              </w:rPr>
            </w:pPr>
            <w:r>
              <w:rPr>
                <w:rFonts w:hint="eastAsia" w:hAnsi="宋体"/>
                <w:color w:val="auto"/>
                <w:sz w:val="24"/>
                <w:highlight w:val="none"/>
              </w:rPr>
              <w:t>7</w:t>
            </w:r>
          </w:p>
        </w:tc>
        <w:tc>
          <w:tcPr>
            <w:tcW w:w="8985" w:type="dxa"/>
            <w:vAlign w:val="center"/>
          </w:tcPr>
          <w:p w14:paraId="37FD2A69">
            <w:pPr>
              <w:pStyle w:val="12"/>
              <w:spacing w:line="440" w:lineRule="exact"/>
              <w:rPr>
                <w:rFonts w:hAnsi="宋体" w:cs="宋体"/>
                <w:b/>
                <w:bCs/>
                <w:color w:val="auto"/>
                <w:kern w:val="0"/>
                <w:sz w:val="24"/>
                <w:highlight w:val="none"/>
              </w:rPr>
            </w:pPr>
            <w:r>
              <w:rPr>
                <w:rFonts w:hint="eastAsia" w:hAnsi="宋体" w:cs="宋体"/>
                <w:b/>
                <w:bCs/>
                <w:color w:val="auto"/>
                <w:kern w:val="0"/>
                <w:sz w:val="24"/>
                <w:highlight w:val="none"/>
              </w:rPr>
              <w:t>磋商响应文件份数：</w:t>
            </w:r>
          </w:p>
          <w:p w14:paraId="32148AFA">
            <w:pPr>
              <w:pStyle w:val="12"/>
              <w:spacing w:line="440" w:lineRule="exact"/>
              <w:rPr>
                <w:rFonts w:hAnsi="宋体" w:cs="宋体"/>
                <w:bCs/>
                <w:color w:val="auto"/>
                <w:kern w:val="0"/>
                <w:sz w:val="24"/>
                <w:highlight w:val="none"/>
              </w:rPr>
            </w:pPr>
            <w:r>
              <w:rPr>
                <w:rFonts w:hint="eastAsia" w:hAnsi="宋体" w:cs="宋体"/>
                <w:bCs/>
                <w:color w:val="auto"/>
                <w:kern w:val="0"/>
                <w:sz w:val="24"/>
                <w:highlight w:val="none"/>
              </w:rPr>
              <w:t>（1）“电子加密磋商响应文件”：在线上传递交一份；</w:t>
            </w:r>
          </w:p>
          <w:p w14:paraId="53E7E6DD">
            <w:pPr>
              <w:pStyle w:val="12"/>
              <w:spacing w:line="440" w:lineRule="exact"/>
              <w:rPr>
                <w:rFonts w:hAnsi="宋体" w:cs="宋体"/>
                <w:b/>
                <w:bCs/>
                <w:color w:val="auto"/>
                <w:kern w:val="0"/>
                <w:sz w:val="24"/>
                <w:highlight w:val="none"/>
              </w:rPr>
            </w:pPr>
            <w:r>
              <w:rPr>
                <w:rFonts w:hint="eastAsia" w:hAnsi="宋体" w:cs="宋体"/>
                <w:bCs/>
                <w:color w:val="auto"/>
                <w:kern w:val="0"/>
                <w:sz w:val="24"/>
                <w:highlight w:val="none"/>
              </w:rPr>
              <w:t>（2）“备份磋商响应文件”：</w:t>
            </w:r>
            <w:r>
              <w:rPr>
                <w:rStyle w:val="69"/>
                <w:rFonts w:hint="default" w:ascii="宋体" w:hAnsi="宋体" w:eastAsia="宋体"/>
                <w:color w:val="auto"/>
                <w:highlight w:val="none"/>
              </w:rPr>
              <w:t>密封包装后（EMS邮寄形式）于投标截止时间前递交一份至（邮寄地址：</w:t>
            </w:r>
            <w:r>
              <w:rPr>
                <w:rFonts w:hint="eastAsia" w:ascii="宋体" w:hAnsi="宋体"/>
                <w:b w:val="0"/>
                <w:bCs/>
                <w:color w:val="auto"/>
                <w:sz w:val="24"/>
                <w:highlight w:val="none"/>
              </w:rPr>
              <w:t>杭州市莫干山路12</w:t>
            </w:r>
            <w:r>
              <w:rPr>
                <w:rFonts w:hint="eastAsia"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星尚发展大厦A座810室</w:t>
            </w:r>
            <w:r>
              <w:rPr>
                <w:rFonts w:hint="eastAsia" w:hAnsi="宋体" w:cs="Calibri"/>
                <w:color w:val="auto"/>
                <w:sz w:val="24"/>
                <w:highlight w:val="none"/>
              </w:rPr>
              <w:t>，金婉娇收，电话：18072746771。</w:t>
            </w:r>
            <w:r>
              <w:rPr>
                <w:rStyle w:val="69"/>
                <w:rFonts w:hint="default" w:ascii="宋体" w:hAnsi="宋体" w:eastAsia="宋体"/>
                <w:color w:val="auto"/>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AAE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790DEAB">
            <w:pPr>
              <w:pStyle w:val="12"/>
              <w:spacing w:line="480" w:lineRule="exact"/>
              <w:jc w:val="center"/>
              <w:rPr>
                <w:rFonts w:hAnsi="宋体"/>
                <w:color w:val="auto"/>
                <w:sz w:val="24"/>
                <w:highlight w:val="none"/>
              </w:rPr>
            </w:pPr>
            <w:r>
              <w:rPr>
                <w:rFonts w:hint="eastAsia" w:hAnsi="宋体"/>
                <w:color w:val="auto"/>
                <w:sz w:val="24"/>
                <w:highlight w:val="none"/>
              </w:rPr>
              <w:t>8</w:t>
            </w:r>
          </w:p>
        </w:tc>
        <w:tc>
          <w:tcPr>
            <w:tcW w:w="8985" w:type="dxa"/>
            <w:vAlign w:val="center"/>
          </w:tcPr>
          <w:p w14:paraId="24A4AC54">
            <w:pPr>
              <w:pStyle w:val="12"/>
              <w:spacing w:line="440" w:lineRule="exact"/>
              <w:rPr>
                <w:rFonts w:hAnsi="宋体" w:cs="宋体"/>
                <w:b/>
                <w:bCs/>
                <w:color w:val="auto"/>
                <w:kern w:val="0"/>
                <w:sz w:val="24"/>
                <w:highlight w:val="none"/>
              </w:rPr>
            </w:pPr>
            <w:r>
              <w:rPr>
                <w:rFonts w:hint="eastAsia" w:hAnsi="宋体" w:cs="宋体"/>
                <w:b/>
                <w:bCs/>
                <w:color w:val="auto"/>
                <w:sz w:val="24"/>
                <w:highlight w:val="none"/>
              </w:rPr>
              <w:t>磋商响应文件签章：</w:t>
            </w:r>
            <w:r>
              <w:rPr>
                <w:rFonts w:hAnsi="宋体"/>
                <w:color w:val="auto"/>
                <w:sz w:val="24"/>
                <w:highlight w:val="none"/>
              </w:rPr>
              <w:t>电子签章。</w:t>
            </w:r>
            <w:r>
              <w:rPr>
                <w:rFonts w:hint="eastAsia" w:hAnsi="宋体" w:cs="宋体"/>
                <w:color w:val="auto"/>
                <w:sz w:val="24"/>
                <w:highlight w:val="none"/>
              </w:rPr>
              <w:t>电子响应文件中所须加盖公章部分均采用CA签章。</w:t>
            </w:r>
            <w:r>
              <w:rPr>
                <w:rFonts w:hint="eastAsia" w:hAnsi="宋体"/>
                <w:color w:val="auto"/>
                <w:sz w:val="24"/>
                <w:highlight w:val="none"/>
              </w:rPr>
              <w:t>（注：磋商响应函、法人授权委托书须按采购文件要求签字）</w:t>
            </w:r>
          </w:p>
        </w:tc>
      </w:tr>
      <w:tr w14:paraId="796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8636A1E">
            <w:pPr>
              <w:pStyle w:val="12"/>
              <w:spacing w:line="480" w:lineRule="exact"/>
              <w:jc w:val="center"/>
              <w:rPr>
                <w:rFonts w:hAnsi="宋体"/>
                <w:color w:val="auto"/>
                <w:sz w:val="24"/>
                <w:highlight w:val="none"/>
              </w:rPr>
            </w:pPr>
            <w:r>
              <w:rPr>
                <w:rFonts w:hint="eastAsia" w:hAnsi="宋体"/>
                <w:color w:val="auto"/>
                <w:sz w:val="24"/>
                <w:highlight w:val="none"/>
              </w:rPr>
              <w:t>9</w:t>
            </w:r>
          </w:p>
        </w:tc>
        <w:tc>
          <w:tcPr>
            <w:tcW w:w="8985" w:type="dxa"/>
            <w:vAlign w:val="center"/>
          </w:tcPr>
          <w:p w14:paraId="57AE5082">
            <w:pPr>
              <w:spacing w:line="360" w:lineRule="auto"/>
              <w:rPr>
                <w:rStyle w:val="69"/>
                <w:rFonts w:hint="default" w:ascii="宋体" w:hAnsi="宋体" w:eastAsia="宋体"/>
                <w:b/>
                <w:color w:val="auto"/>
                <w:highlight w:val="none"/>
              </w:rPr>
            </w:pPr>
            <w:r>
              <w:rPr>
                <w:rFonts w:hint="eastAsia" w:ascii="宋体" w:hAnsi="宋体" w:cs="宋体"/>
                <w:b/>
                <w:bCs/>
                <w:color w:val="auto"/>
                <w:sz w:val="24"/>
                <w:highlight w:val="none"/>
              </w:rPr>
              <w:t>磋商响应</w:t>
            </w:r>
            <w:r>
              <w:rPr>
                <w:rStyle w:val="69"/>
                <w:rFonts w:hint="default" w:ascii="宋体" w:hAnsi="宋体" w:eastAsia="宋体"/>
                <w:b/>
                <w:color w:val="auto"/>
                <w:highlight w:val="none"/>
              </w:rPr>
              <w:t>文件的上传和递交：</w:t>
            </w:r>
          </w:p>
          <w:p w14:paraId="7C36D9DB">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（1）“电子加密磋商响应文件” 的上传、递交：</w:t>
            </w:r>
          </w:p>
          <w:p w14:paraId="610ACEA3">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a.磋商响应方应在磋商响应截止时间前将“电子加密磋商响应文件” 成功上传递交至“政府采购云平台”，否则投标无效。</w:t>
            </w:r>
          </w:p>
          <w:p w14:paraId="628D4BF3">
            <w:pPr>
              <w:spacing w:line="360" w:lineRule="auto"/>
              <w:rPr>
                <w:rFonts w:ascii="宋体" w:hAnsi="宋体"/>
                <w:color w:val="auto"/>
                <w:highlight w:val="none"/>
              </w:rPr>
            </w:pPr>
            <w:r>
              <w:rPr>
                <w:rStyle w:val="69"/>
                <w:rFonts w:hint="default" w:ascii="宋体" w:hAnsi="宋体" w:eastAsia="宋体"/>
                <w:color w:val="auto"/>
                <w:highlight w:val="none"/>
              </w:rPr>
              <w:t>b.“电子加密磋商响应文件”成功上传递交后，磋商响应方可自行打印磋商响应文件接收回执。</w:t>
            </w:r>
          </w:p>
          <w:p w14:paraId="574FB03C">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（2）“备份磋商响应文件”的密封包装、递交：</w:t>
            </w:r>
          </w:p>
          <w:p w14:paraId="5328ADAF">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a.磋商响应方在“政府采购云平台”完成“电子加密磋商响应文件”的上传递交后，还可以（EMS邮寄形式）在投标截止时间前递交以介质（U盘）存储的数据电文形式的“备份磋商响应文件”一份；</w:t>
            </w:r>
          </w:p>
          <w:p w14:paraId="5CD0846C">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b.“备份磋商响应文件”应当密封包装，并在包装上标注采购项目名称、磋商响应方单位名称并加盖公章。没有密封包装或者逾期邮寄送达至指定地址的“备份磋商响应文件”将不予接收；</w:t>
            </w:r>
          </w:p>
          <w:p w14:paraId="4FE6A74D">
            <w:pPr>
              <w:pStyle w:val="12"/>
              <w:spacing w:line="440" w:lineRule="exact"/>
              <w:rPr>
                <w:rFonts w:hAnsi="宋体" w:cs="宋体"/>
                <w:b/>
                <w:bCs/>
                <w:color w:val="auto"/>
                <w:sz w:val="24"/>
                <w:highlight w:val="none"/>
              </w:rPr>
            </w:pPr>
            <w:r>
              <w:rPr>
                <w:rStyle w:val="69"/>
                <w:rFonts w:hint="default" w:ascii="宋体" w:hAnsi="宋体" w:eastAsia="宋体"/>
                <w:color w:val="auto"/>
                <w:highlight w:val="none"/>
              </w:rPr>
              <w:t>c.通过“政府采购云平台”上传递交的“电子加密磋商响应文件”无法按时解密，磋商响应方递交了备份磋商响应文件的，以备份磋商响应文件为依据，否则视为磋商响应文件撤回。通过“政府采购云平台”上传递交的“电子加密磋商响应文件”已按时解密的，“备份磋商响应文件”自动失效。磋商响应方仅递交备份磋商响应文件的，属投标无效。</w:t>
            </w:r>
          </w:p>
        </w:tc>
      </w:tr>
      <w:tr w14:paraId="17E9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2D52796E">
            <w:pPr>
              <w:pStyle w:val="12"/>
              <w:spacing w:line="480" w:lineRule="exact"/>
              <w:jc w:val="center"/>
              <w:rPr>
                <w:rFonts w:hAnsi="宋体"/>
                <w:color w:val="auto"/>
                <w:sz w:val="24"/>
                <w:highlight w:val="none"/>
              </w:rPr>
            </w:pPr>
            <w:r>
              <w:rPr>
                <w:rFonts w:hint="eastAsia" w:hAnsi="宋体"/>
                <w:color w:val="auto"/>
                <w:sz w:val="24"/>
                <w:highlight w:val="none"/>
              </w:rPr>
              <w:t>10</w:t>
            </w:r>
          </w:p>
        </w:tc>
        <w:tc>
          <w:tcPr>
            <w:tcW w:w="8985" w:type="dxa"/>
            <w:vAlign w:val="center"/>
          </w:tcPr>
          <w:p w14:paraId="7B5E5F1B">
            <w:pPr>
              <w:spacing w:line="360" w:lineRule="auto"/>
              <w:rPr>
                <w:rStyle w:val="69"/>
                <w:rFonts w:hint="default" w:ascii="宋体" w:hAnsi="宋体" w:eastAsia="宋体"/>
                <w:b/>
                <w:color w:val="auto"/>
                <w:highlight w:val="none"/>
              </w:rPr>
            </w:pPr>
            <w:r>
              <w:rPr>
                <w:rStyle w:val="69"/>
                <w:rFonts w:hint="default" w:ascii="宋体" w:hAnsi="宋体" w:eastAsia="宋体"/>
                <w:b/>
                <w:color w:val="auto"/>
                <w:highlight w:val="none"/>
              </w:rPr>
              <w:t>电子加密磋商响应文件的解密和异常情况处理：</w:t>
            </w:r>
          </w:p>
          <w:p w14:paraId="037E3605">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（1）磋商响应时间截止后，采购代理机构将向各磋商响应方发出“电子加密磋商响应文件”的解密通知，各磋商响应方代表应当在接到解密通知后30分钟内自行完成“电子加密磋商响应文件”的在线解密。</w:t>
            </w:r>
          </w:p>
          <w:p w14:paraId="6E6AB9E0">
            <w:pPr>
              <w:spacing w:line="360" w:lineRule="auto"/>
              <w:rPr>
                <w:rStyle w:val="69"/>
                <w:rFonts w:hint="default" w:ascii="宋体" w:hAnsi="宋体" w:eastAsia="宋体"/>
                <w:color w:val="auto"/>
                <w:highlight w:val="none"/>
              </w:rPr>
            </w:pPr>
            <w:r>
              <w:rPr>
                <w:rStyle w:val="69"/>
                <w:rFonts w:hint="default" w:ascii="宋体" w:hAnsi="宋体" w:eastAsia="宋体"/>
                <w:color w:val="auto"/>
                <w:highlight w:val="none"/>
              </w:rPr>
              <w:t>（2）通过“政府采购云平台”成功上传递交的“电子加密磋商响应文件”无法按时解密，磋商响应方如按规定递交了“备份磋商响应文件” 的，以“备份磋商响应文件”为依据（由采购代理机构按“政府采购云平台”操作规范将“备份磋商响应文件”上传至“政府采购云平台”，上传成功后，“电子加密磋商响应文件”自动失效），否则视为磋商响应文件撤回。</w:t>
            </w:r>
          </w:p>
          <w:p w14:paraId="0D5F90E6">
            <w:pPr>
              <w:spacing w:line="360" w:lineRule="auto"/>
              <w:rPr>
                <w:rFonts w:ascii="宋体" w:hAnsi="宋体" w:cs="宋体"/>
                <w:b/>
                <w:bCs/>
                <w:color w:val="auto"/>
                <w:sz w:val="24"/>
                <w:highlight w:val="none"/>
              </w:rPr>
            </w:pPr>
            <w:r>
              <w:rPr>
                <w:rStyle w:val="69"/>
                <w:rFonts w:hint="default" w:ascii="宋体" w:hAnsi="宋体" w:eastAsia="宋体"/>
                <w:color w:val="auto"/>
                <w:highlight w:val="none"/>
              </w:rPr>
              <w:t>（3）磋商响应截止时间前，磋商响应方仅递交了“备份磋商响应文件”而未将电子加密磋商响应文件上传至“政府采购云平台”的，属投标无效。</w:t>
            </w:r>
          </w:p>
        </w:tc>
      </w:tr>
      <w:tr w14:paraId="5484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7C65607">
            <w:pPr>
              <w:pStyle w:val="12"/>
              <w:spacing w:line="480" w:lineRule="exact"/>
              <w:jc w:val="center"/>
              <w:rPr>
                <w:rFonts w:hAnsi="宋体"/>
                <w:color w:val="auto"/>
                <w:sz w:val="24"/>
                <w:highlight w:val="none"/>
              </w:rPr>
            </w:pPr>
            <w:r>
              <w:rPr>
                <w:rFonts w:hint="eastAsia" w:hAnsi="宋体"/>
                <w:color w:val="auto"/>
                <w:sz w:val="24"/>
                <w:highlight w:val="none"/>
              </w:rPr>
              <w:t>11</w:t>
            </w:r>
          </w:p>
        </w:tc>
        <w:tc>
          <w:tcPr>
            <w:tcW w:w="8985" w:type="dxa"/>
            <w:vAlign w:val="center"/>
          </w:tcPr>
          <w:p w14:paraId="08DDD7BB">
            <w:pPr>
              <w:spacing w:line="360" w:lineRule="auto"/>
              <w:rPr>
                <w:rStyle w:val="69"/>
                <w:rFonts w:hint="default" w:ascii="宋体" w:hAnsi="宋体" w:eastAsia="宋体"/>
                <w:b/>
                <w:color w:val="auto"/>
                <w:highlight w:val="none"/>
              </w:rPr>
            </w:pPr>
            <w:r>
              <w:rPr>
                <w:rFonts w:hint="eastAsia" w:ascii="宋体" w:hAnsi="宋体" w:cs="宋体"/>
                <w:b/>
                <w:color w:val="auto"/>
                <w:kern w:val="0"/>
                <w:sz w:val="24"/>
                <w:highlight w:val="none"/>
              </w:rPr>
              <w:t>磋商响应截止时间</w:t>
            </w:r>
            <w:r>
              <w:rPr>
                <w:rFonts w:hint="eastAsia" w:ascii="宋体" w:hAnsi="宋体" w:cs="宋体"/>
                <w:color w:val="auto"/>
                <w:kern w:val="0"/>
                <w:sz w:val="24"/>
                <w:highlight w:val="none"/>
              </w:rPr>
              <w:t>：</w:t>
            </w:r>
            <w:r>
              <w:rPr>
                <w:rFonts w:hint="eastAsia" w:ascii="宋体"/>
                <w:color w:val="auto"/>
                <w:sz w:val="24"/>
                <w:highlight w:val="none"/>
              </w:rPr>
              <w:t>202</w:t>
            </w:r>
            <w:r>
              <w:rPr>
                <w:rFonts w:hint="eastAsia" w:ascii="宋体"/>
                <w:color w:val="auto"/>
                <w:sz w:val="24"/>
                <w:highlight w:val="none"/>
                <w:lang w:val="en-US" w:eastAsia="zh-CN"/>
              </w:rPr>
              <w:t>5</w:t>
            </w:r>
            <w:r>
              <w:rPr>
                <w:rFonts w:hint="eastAsia" w:ascii="宋体"/>
                <w:color w:val="auto"/>
                <w:sz w:val="24"/>
                <w:highlight w:val="none"/>
              </w:rPr>
              <w:t>年</w:t>
            </w:r>
            <w:r>
              <w:rPr>
                <w:rFonts w:hint="eastAsia" w:ascii="宋体"/>
                <w:color w:val="auto"/>
                <w:sz w:val="24"/>
                <w:highlight w:val="none"/>
                <w:lang w:val="en-US" w:eastAsia="zh-CN"/>
              </w:rPr>
              <w:t>7</w:t>
            </w:r>
            <w:r>
              <w:rPr>
                <w:rFonts w:hint="eastAsia" w:ascii="宋体"/>
                <w:color w:val="auto"/>
                <w:sz w:val="24"/>
                <w:highlight w:val="none"/>
              </w:rPr>
              <w:t>月</w:t>
            </w:r>
            <w:r>
              <w:rPr>
                <w:rFonts w:hint="eastAsia" w:ascii="宋体"/>
                <w:color w:val="auto"/>
                <w:sz w:val="24"/>
                <w:highlight w:val="none"/>
                <w:lang w:val="en-US" w:eastAsia="zh-CN"/>
              </w:rPr>
              <w:t>8日14</w:t>
            </w:r>
            <w:r>
              <w:rPr>
                <w:rFonts w:hint="eastAsia" w:ascii="宋体"/>
                <w:color w:val="auto"/>
                <w:sz w:val="24"/>
                <w:highlight w:val="none"/>
              </w:rPr>
              <w:t>:3</w:t>
            </w:r>
            <w:r>
              <w:rPr>
                <w:rFonts w:ascii="宋体"/>
                <w:color w:val="auto"/>
                <w:sz w:val="24"/>
                <w:highlight w:val="none"/>
              </w:rPr>
              <w:t>0</w:t>
            </w:r>
            <w:r>
              <w:rPr>
                <w:rFonts w:hint="eastAsia" w:ascii="宋体"/>
                <w:color w:val="auto"/>
                <w:sz w:val="24"/>
                <w:highlight w:val="none"/>
              </w:rPr>
              <w:t>时</w:t>
            </w:r>
            <w:r>
              <w:rPr>
                <w:rFonts w:ascii="宋体" w:hAnsi="宋体" w:cs="宋体"/>
                <w:color w:val="auto"/>
                <w:kern w:val="0"/>
                <w:sz w:val="24"/>
                <w:highlight w:val="none"/>
              </w:rPr>
              <w:t>(</w:t>
            </w:r>
            <w:r>
              <w:rPr>
                <w:rFonts w:hint="eastAsia" w:ascii="宋体" w:hAnsi="宋体" w:cs="宋体"/>
                <w:color w:val="auto"/>
                <w:kern w:val="0"/>
                <w:sz w:val="24"/>
                <w:highlight w:val="none"/>
              </w:rPr>
              <w:t>北京时间</w:t>
            </w:r>
            <w:r>
              <w:rPr>
                <w:rFonts w:ascii="宋体" w:hAnsi="宋体" w:cs="宋体"/>
                <w:color w:val="auto"/>
                <w:kern w:val="0"/>
                <w:sz w:val="24"/>
                <w:highlight w:val="none"/>
              </w:rPr>
              <w:t>)</w:t>
            </w:r>
            <w:r>
              <w:rPr>
                <w:rFonts w:hint="eastAsia" w:ascii="宋体" w:hAnsi="宋体" w:cs="宋体"/>
                <w:color w:val="auto"/>
                <w:kern w:val="0"/>
                <w:sz w:val="24"/>
                <w:highlight w:val="none"/>
              </w:rPr>
              <w:t>，通过“政府采购云平台（www.zcygov.cn）”实行在线投标响应。</w:t>
            </w:r>
          </w:p>
        </w:tc>
      </w:tr>
      <w:tr w14:paraId="37B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67D10CFB">
            <w:pPr>
              <w:pStyle w:val="12"/>
              <w:spacing w:line="480" w:lineRule="exact"/>
              <w:jc w:val="center"/>
              <w:rPr>
                <w:rFonts w:hAnsi="宋体"/>
                <w:color w:val="auto"/>
                <w:sz w:val="24"/>
                <w:highlight w:val="none"/>
              </w:rPr>
            </w:pPr>
            <w:r>
              <w:rPr>
                <w:rFonts w:hint="eastAsia" w:hAnsi="宋体"/>
                <w:color w:val="auto"/>
                <w:sz w:val="24"/>
                <w:highlight w:val="none"/>
              </w:rPr>
              <w:t>12</w:t>
            </w:r>
          </w:p>
        </w:tc>
        <w:tc>
          <w:tcPr>
            <w:tcW w:w="8985" w:type="dxa"/>
            <w:vAlign w:val="center"/>
          </w:tcPr>
          <w:p w14:paraId="181F277A">
            <w:pPr>
              <w:pStyle w:val="12"/>
              <w:spacing w:line="440" w:lineRule="exact"/>
              <w:rPr>
                <w:rFonts w:hAnsi="宋体" w:cs="宋体"/>
                <w:b/>
                <w:color w:val="auto"/>
                <w:kern w:val="0"/>
                <w:sz w:val="24"/>
                <w:szCs w:val="24"/>
                <w:highlight w:val="none"/>
              </w:rPr>
            </w:pPr>
            <w:r>
              <w:rPr>
                <w:rFonts w:hint="eastAsia" w:hAnsi="宋体" w:cs="宋体"/>
                <w:b/>
                <w:color w:val="auto"/>
                <w:kern w:val="0"/>
                <w:sz w:val="24"/>
                <w:highlight w:val="none"/>
              </w:rPr>
              <w:t>磋商</w:t>
            </w:r>
            <w:r>
              <w:rPr>
                <w:rFonts w:hint="eastAsia" w:hAnsi="宋体" w:cs="宋体"/>
                <w:b/>
                <w:color w:val="auto"/>
                <w:kern w:val="0"/>
                <w:sz w:val="24"/>
                <w:szCs w:val="24"/>
                <w:highlight w:val="none"/>
              </w:rPr>
              <w:t>时间：</w:t>
            </w:r>
            <w:r>
              <w:rPr>
                <w:rFonts w:hint="eastAsia" w:eastAsia="宋体"/>
                <w:b w:val="0"/>
                <w:bCs/>
                <w:color w:val="auto"/>
                <w:kern w:val="0"/>
                <w:sz w:val="24"/>
                <w:highlight w:val="none"/>
              </w:rPr>
              <w:t>202</w:t>
            </w:r>
            <w:r>
              <w:rPr>
                <w:rFonts w:hint="eastAsia" w:eastAsia="宋体"/>
                <w:b w:val="0"/>
                <w:bCs/>
                <w:color w:val="auto"/>
                <w:kern w:val="0"/>
                <w:sz w:val="24"/>
                <w:highlight w:val="none"/>
                <w:lang w:val="en-US" w:eastAsia="zh-CN"/>
              </w:rPr>
              <w:t>5</w:t>
            </w:r>
            <w:r>
              <w:rPr>
                <w:rFonts w:hint="eastAsia" w:eastAsia="宋体"/>
                <w:b w:val="0"/>
                <w:bCs/>
                <w:color w:val="auto"/>
                <w:kern w:val="0"/>
                <w:sz w:val="24"/>
                <w:highlight w:val="none"/>
              </w:rPr>
              <w:t>年</w:t>
            </w:r>
            <w:r>
              <w:rPr>
                <w:rFonts w:hint="eastAsia"/>
                <w:b w:val="0"/>
                <w:bCs/>
                <w:color w:val="auto"/>
                <w:kern w:val="0"/>
                <w:sz w:val="24"/>
                <w:highlight w:val="none"/>
                <w:lang w:val="en-US" w:eastAsia="zh-CN"/>
              </w:rPr>
              <w:t>7</w:t>
            </w:r>
            <w:r>
              <w:rPr>
                <w:rFonts w:hint="eastAsia" w:eastAsia="宋体"/>
                <w:b w:val="0"/>
                <w:bCs/>
                <w:color w:val="auto"/>
                <w:kern w:val="0"/>
                <w:sz w:val="24"/>
                <w:highlight w:val="none"/>
              </w:rPr>
              <w:t>月</w:t>
            </w:r>
            <w:r>
              <w:rPr>
                <w:rFonts w:hint="eastAsia"/>
                <w:b w:val="0"/>
                <w:bCs/>
                <w:color w:val="auto"/>
                <w:kern w:val="0"/>
                <w:sz w:val="24"/>
                <w:highlight w:val="none"/>
                <w:lang w:val="en-US" w:eastAsia="zh-CN"/>
              </w:rPr>
              <w:t>8日</w:t>
            </w:r>
            <w:r>
              <w:rPr>
                <w:rFonts w:hint="eastAsia"/>
                <w:color w:val="auto"/>
                <w:sz w:val="24"/>
                <w:highlight w:val="none"/>
                <w:lang w:val="en-US" w:eastAsia="zh-CN"/>
              </w:rPr>
              <w:t>14</w:t>
            </w:r>
            <w:r>
              <w:rPr>
                <w:rFonts w:hint="eastAsia" w:ascii="宋体"/>
                <w:color w:val="auto"/>
                <w:sz w:val="24"/>
                <w:highlight w:val="none"/>
              </w:rPr>
              <w:t>:3</w:t>
            </w:r>
            <w:r>
              <w:rPr>
                <w:rFonts w:ascii="宋体"/>
                <w:color w:val="auto"/>
                <w:sz w:val="24"/>
                <w:highlight w:val="none"/>
              </w:rPr>
              <w:t>0</w:t>
            </w:r>
            <w:r>
              <w:rPr>
                <w:rFonts w:hint="eastAsia" w:ascii="宋体"/>
                <w:color w:val="auto"/>
                <w:sz w:val="24"/>
                <w:highlight w:val="none"/>
              </w:rPr>
              <w:t>时</w:t>
            </w:r>
            <w:r>
              <w:rPr>
                <w:rFonts w:hAnsi="宋体" w:cs="宋体"/>
                <w:color w:val="auto"/>
                <w:kern w:val="0"/>
                <w:sz w:val="24"/>
                <w:szCs w:val="24"/>
                <w:highlight w:val="none"/>
              </w:rPr>
              <w:t>(</w:t>
            </w:r>
            <w:r>
              <w:rPr>
                <w:rFonts w:hint="eastAsia" w:hAnsi="宋体" w:cs="宋体"/>
                <w:color w:val="auto"/>
                <w:kern w:val="0"/>
                <w:sz w:val="24"/>
                <w:szCs w:val="24"/>
                <w:highlight w:val="none"/>
              </w:rPr>
              <w:t>北京时间</w:t>
            </w:r>
            <w:r>
              <w:rPr>
                <w:rFonts w:hAnsi="宋体" w:cs="宋体"/>
                <w:color w:val="auto"/>
                <w:kern w:val="0"/>
                <w:sz w:val="24"/>
                <w:szCs w:val="24"/>
                <w:highlight w:val="none"/>
              </w:rPr>
              <w:t>)</w:t>
            </w:r>
          </w:p>
          <w:p w14:paraId="2E6FFA6B">
            <w:pPr>
              <w:widowControl/>
              <w:spacing w:before="80" w:after="80" w:line="360" w:lineRule="auto"/>
              <w:ind w:right="80"/>
              <w:jc w:val="left"/>
              <w:outlineLvl w:val="0"/>
              <w:rPr>
                <w:rFonts w:ascii="宋体" w:hAnsi="宋体" w:cs="宋体"/>
                <w:color w:val="auto"/>
                <w:kern w:val="0"/>
                <w:sz w:val="24"/>
                <w:highlight w:val="none"/>
              </w:rPr>
            </w:pPr>
            <w:r>
              <w:rPr>
                <w:rFonts w:hint="eastAsia" w:ascii="宋体" w:hAnsi="宋体" w:cs="宋体"/>
                <w:b/>
                <w:color w:val="auto"/>
                <w:kern w:val="0"/>
                <w:sz w:val="24"/>
                <w:highlight w:val="none"/>
              </w:rPr>
              <w:t>磋商地点：</w:t>
            </w:r>
            <w:r>
              <w:rPr>
                <w:rFonts w:hint="eastAsia" w:ascii="宋体" w:hAnsi="宋体" w:cs="宋体"/>
                <w:color w:val="auto"/>
                <w:kern w:val="0"/>
                <w:sz w:val="24"/>
                <w:highlight w:val="none"/>
              </w:rPr>
              <w:t>通过“政府采购云平台（www.zcygov.cn）”实行在线投标响应。</w:t>
            </w:r>
          </w:p>
        </w:tc>
      </w:tr>
      <w:tr w14:paraId="3C41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3ABF70EB">
            <w:pPr>
              <w:pStyle w:val="12"/>
              <w:spacing w:line="480" w:lineRule="exact"/>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13</w:t>
            </w:r>
          </w:p>
        </w:tc>
        <w:tc>
          <w:tcPr>
            <w:tcW w:w="8985" w:type="dxa"/>
            <w:vAlign w:val="center"/>
          </w:tcPr>
          <w:p w14:paraId="744E1756">
            <w:pPr>
              <w:spacing w:line="360" w:lineRule="auto"/>
              <w:rPr>
                <w:rFonts w:hint="eastAsia" w:ascii="宋体" w:hAnsi="宋体" w:cs="宋体"/>
                <w:color w:val="auto"/>
                <w:sz w:val="24"/>
                <w:highlight w:val="none"/>
              </w:rPr>
            </w:pPr>
            <w:r>
              <w:rPr>
                <w:rFonts w:hint="eastAsia" w:ascii="宋体" w:hAnsi="宋体" w:eastAsia="宋体" w:cs="宋体"/>
                <w:b/>
                <w:color w:val="auto"/>
                <w:kern w:val="0"/>
                <w:sz w:val="24"/>
                <w:szCs w:val="20"/>
                <w:highlight w:val="none"/>
                <w:lang w:val="en-US" w:eastAsia="zh-CN" w:bidi="ar-SA"/>
              </w:rPr>
              <w:t>分包：</w:t>
            </w:r>
            <w:r>
              <w:rPr>
                <w:rFonts w:hint="eastAsia" w:ascii="宋体" w:hAnsi="宋体" w:cs="宋体"/>
                <w:color w:val="auto"/>
                <w:sz w:val="24"/>
                <w:highlight w:val="none"/>
              </w:rPr>
              <w:t>同意将非主体、非关键性的工作分包。</w:t>
            </w:r>
          </w:p>
          <w:p w14:paraId="07A63670">
            <w:pPr>
              <w:widowControl/>
              <w:spacing w:before="80" w:after="80" w:line="360" w:lineRule="auto"/>
              <w:ind w:right="80"/>
              <w:jc w:val="left"/>
              <w:outlineLvl w:val="0"/>
              <w:rPr>
                <w:rFonts w:hint="eastAsia" w:ascii="宋体" w:hAnsi="宋体" w:cs="宋体"/>
                <w:b/>
                <w:color w:val="auto"/>
                <w:kern w:val="0"/>
                <w:sz w:val="24"/>
                <w:highlight w:val="none"/>
              </w:rPr>
            </w:pPr>
            <w:r>
              <w:rPr>
                <w:rFonts w:hint="eastAsia" w:ascii="宋体" w:hAnsi="宋体" w:cs="宋体"/>
                <w:color w:val="auto"/>
                <w:sz w:val="24"/>
                <w:highlight w:val="none"/>
              </w:rPr>
              <w:t>注：不得限制大中型企业向小微企业合理分包。</w:t>
            </w:r>
          </w:p>
        </w:tc>
      </w:tr>
      <w:tr w14:paraId="52C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7" w:type="dxa"/>
            <w:vAlign w:val="center"/>
          </w:tcPr>
          <w:p w14:paraId="4EBD6531">
            <w:pPr>
              <w:pStyle w:val="45"/>
              <w:spacing w:line="480" w:lineRule="exact"/>
              <w:jc w:val="center"/>
              <w:rPr>
                <w:rFonts w:hint="eastAsia" w:hAnsi="宋体" w:eastAsia="宋体" w:cs="Courier New"/>
                <w:color w:val="auto"/>
                <w:kern w:val="2"/>
                <w:sz w:val="24"/>
                <w:szCs w:val="24"/>
                <w:highlight w:val="none"/>
                <w:lang w:eastAsia="zh-CN"/>
              </w:rPr>
            </w:pPr>
            <w:r>
              <w:rPr>
                <w:rFonts w:hAnsi="宋体" w:cs="Courier New"/>
                <w:color w:val="auto"/>
                <w:kern w:val="2"/>
                <w:sz w:val="24"/>
                <w:szCs w:val="24"/>
                <w:highlight w:val="none"/>
              </w:rPr>
              <w:t>1</w:t>
            </w:r>
            <w:r>
              <w:rPr>
                <w:rFonts w:hint="eastAsia" w:hAnsi="宋体" w:cs="Courier New"/>
                <w:color w:val="auto"/>
                <w:kern w:val="2"/>
                <w:sz w:val="24"/>
                <w:szCs w:val="24"/>
                <w:highlight w:val="none"/>
                <w:lang w:val="en-US" w:eastAsia="zh-CN"/>
              </w:rPr>
              <w:t>4</w:t>
            </w:r>
          </w:p>
        </w:tc>
        <w:tc>
          <w:tcPr>
            <w:tcW w:w="8985" w:type="dxa"/>
            <w:vAlign w:val="center"/>
          </w:tcPr>
          <w:p w14:paraId="1DD37987">
            <w:pPr>
              <w:widowControl/>
              <w:spacing w:line="360" w:lineRule="auto"/>
              <w:outlineLvl w:val="0"/>
              <w:rPr>
                <w:rFonts w:ascii="宋体" w:hAnsi="宋体"/>
                <w:b/>
                <w:color w:val="auto"/>
                <w:sz w:val="24"/>
                <w:highlight w:val="none"/>
              </w:rPr>
            </w:pPr>
            <w:r>
              <w:rPr>
                <w:rFonts w:hint="eastAsia" w:ascii="宋体" w:hAnsi="宋体"/>
                <w:b/>
                <w:color w:val="auto"/>
                <w:sz w:val="24"/>
                <w:highlight w:val="none"/>
              </w:rPr>
              <w:t>磋商响应方信用记录：</w:t>
            </w:r>
          </w:p>
          <w:p w14:paraId="64A1C38C">
            <w:pPr>
              <w:pStyle w:val="68"/>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1.</w:t>
            </w:r>
            <w:r>
              <w:rPr>
                <w:rFonts w:hint="eastAsia" w:ascii="宋体" w:hAnsi="宋体" w:eastAsia="宋体" w:cs="宋体"/>
                <w:color w:val="auto"/>
                <w:kern w:val="0"/>
                <w:szCs w:val="24"/>
                <w:highlight w:val="none"/>
              </w:rPr>
              <w:t>信用信息查询渠道及截止时间：采购机构将通过</w:t>
            </w:r>
            <w:r>
              <w:rPr>
                <w:rFonts w:ascii="宋体" w:hAnsi="宋体" w:cs="宋体"/>
                <w:color w:val="auto"/>
                <w:kern w:val="0"/>
                <w:szCs w:val="24"/>
                <w:highlight w:val="none"/>
              </w:rPr>
              <w:t>“</w:t>
            </w:r>
            <w:r>
              <w:rPr>
                <w:rFonts w:hint="eastAsia" w:ascii="宋体" w:hAnsi="宋体" w:eastAsia="宋体" w:cs="宋体"/>
                <w:color w:val="auto"/>
                <w:kern w:val="0"/>
                <w:szCs w:val="24"/>
                <w:highlight w:val="none"/>
              </w:rPr>
              <w:t>信用中国</w:t>
            </w:r>
            <w:r>
              <w:rPr>
                <w:rFonts w:ascii="宋体" w:hAnsi="宋体" w:cs="宋体"/>
                <w:color w:val="auto"/>
                <w:kern w:val="0"/>
                <w:szCs w:val="24"/>
                <w:highlight w:val="none"/>
              </w:rPr>
              <w:t>”</w:t>
            </w:r>
            <w:r>
              <w:rPr>
                <w:rFonts w:hint="eastAsia" w:ascii="宋体" w:hAnsi="宋体" w:eastAsia="宋体" w:cs="宋体"/>
                <w:color w:val="auto"/>
                <w:kern w:val="0"/>
                <w:szCs w:val="24"/>
                <w:highlight w:val="none"/>
              </w:rPr>
              <w:t>网站</w:t>
            </w:r>
            <w:r>
              <w:rPr>
                <w:rFonts w:ascii="宋体" w:hAnsi="宋体" w:cs="宋体"/>
                <w:color w:val="auto"/>
                <w:kern w:val="0"/>
                <w:szCs w:val="24"/>
                <w:highlight w:val="none"/>
              </w:rPr>
              <w:t>(www.creditchina.gov.cn)</w:t>
            </w:r>
            <w:r>
              <w:rPr>
                <w:rFonts w:hint="eastAsia" w:ascii="宋体" w:hAnsi="宋体" w:eastAsia="宋体" w:cs="宋体"/>
                <w:color w:val="auto"/>
                <w:kern w:val="0"/>
                <w:szCs w:val="24"/>
                <w:highlight w:val="none"/>
              </w:rPr>
              <w:t>、中国政府采购网</w:t>
            </w:r>
            <w:r>
              <w:rPr>
                <w:rFonts w:ascii="宋体" w:hAnsi="宋体" w:cs="宋体"/>
                <w:color w:val="auto"/>
                <w:kern w:val="0"/>
                <w:szCs w:val="24"/>
                <w:highlight w:val="none"/>
              </w:rPr>
              <w:t>(www.ccgp.gov.cn)</w:t>
            </w:r>
            <w:r>
              <w:rPr>
                <w:rFonts w:hint="eastAsia" w:ascii="宋体" w:hAnsi="宋体" w:eastAsia="宋体" w:cs="宋体"/>
                <w:color w:val="auto"/>
                <w:kern w:val="0"/>
                <w:szCs w:val="24"/>
                <w:highlight w:val="none"/>
              </w:rPr>
              <w:t>渠道查询投标人投标截止时间当天的信用记录。</w:t>
            </w:r>
          </w:p>
          <w:p w14:paraId="75154206">
            <w:pPr>
              <w:pStyle w:val="68"/>
              <w:spacing w:before="0"/>
              <w:ind w:firstLine="495" w:firstLineChars="0"/>
              <w:rPr>
                <w:rFonts w:ascii="宋体" w:hAnsi="宋体" w:cs="宋体"/>
                <w:color w:val="auto"/>
                <w:kern w:val="0"/>
                <w:szCs w:val="24"/>
                <w:highlight w:val="none"/>
              </w:rPr>
            </w:pPr>
            <w:r>
              <w:rPr>
                <w:rFonts w:ascii="宋体" w:hAnsi="宋体" w:cs="宋体"/>
                <w:color w:val="auto"/>
                <w:kern w:val="0"/>
                <w:szCs w:val="24"/>
                <w:highlight w:val="none"/>
              </w:rPr>
              <w:t>2.</w:t>
            </w:r>
            <w:r>
              <w:rPr>
                <w:rFonts w:hint="eastAsia" w:ascii="宋体" w:hAnsi="宋体" w:eastAsia="宋体" w:cs="宋体"/>
                <w:color w:val="auto"/>
                <w:kern w:val="0"/>
                <w:szCs w:val="24"/>
                <w:highlight w:val="none"/>
              </w:rPr>
              <w:t>信用信息查询记录和证据留存的具体方式：现场查询的投标人的信用记录、查询结果经确认后将与采购文件一起存档。</w:t>
            </w:r>
          </w:p>
          <w:p w14:paraId="7E8E2BA7">
            <w:pPr>
              <w:pStyle w:val="68"/>
              <w:spacing w:before="0"/>
              <w:ind w:firstLine="495" w:firstLineChars="0"/>
              <w:rPr>
                <w:rFonts w:ascii="宋体" w:hAnsi="宋体" w:eastAsia="宋体" w:cs="宋体"/>
                <w:color w:val="auto"/>
                <w:kern w:val="0"/>
                <w:szCs w:val="24"/>
                <w:highlight w:val="none"/>
              </w:rPr>
            </w:pPr>
            <w:r>
              <w:rPr>
                <w:rFonts w:ascii="宋体" w:hAnsi="宋体" w:cs="宋体"/>
                <w:color w:val="auto"/>
                <w:kern w:val="0"/>
                <w:szCs w:val="24"/>
                <w:highlight w:val="none"/>
              </w:rPr>
              <w:t>3.</w:t>
            </w:r>
            <w:r>
              <w:rPr>
                <w:rFonts w:hint="eastAsia" w:ascii="宋体" w:hAnsi="宋体" w:eastAsia="宋体" w:cs="宋体"/>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0AF1BA89">
            <w:pPr>
              <w:pStyle w:val="68"/>
              <w:spacing w:before="0"/>
              <w:ind w:firstLine="495" w:firstLineChars="0"/>
              <w:rPr>
                <w:rFonts w:ascii="宋体" w:hAnsi="宋体" w:cs="宋体"/>
                <w:b/>
                <w:color w:val="auto"/>
                <w:kern w:val="0"/>
                <w:highlight w:val="none"/>
              </w:rPr>
            </w:pPr>
            <w:r>
              <w:rPr>
                <w:rFonts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kern w:val="0"/>
                <w:szCs w:val="24"/>
                <w:highlight w:val="none"/>
              </w:rPr>
              <w:t>。</w:t>
            </w:r>
          </w:p>
        </w:tc>
      </w:tr>
      <w:tr w14:paraId="4D8C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7" w:type="dxa"/>
            <w:vAlign w:val="center"/>
          </w:tcPr>
          <w:p w14:paraId="160F23E5">
            <w:pPr>
              <w:pStyle w:val="45"/>
              <w:spacing w:line="480" w:lineRule="exact"/>
              <w:jc w:val="center"/>
              <w:rPr>
                <w:rFonts w:hint="eastAsia" w:hAnsi="宋体" w:eastAsia="宋体" w:cs="Courier New"/>
                <w:color w:val="auto"/>
                <w:kern w:val="2"/>
                <w:sz w:val="24"/>
                <w:szCs w:val="24"/>
                <w:highlight w:val="none"/>
                <w:lang w:eastAsia="zh-CN"/>
              </w:rPr>
            </w:pPr>
            <w:r>
              <w:rPr>
                <w:rFonts w:hint="eastAsia" w:hAnsi="宋体" w:cs="Courier New"/>
                <w:color w:val="auto"/>
                <w:kern w:val="2"/>
                <w:sz w:val="24"/>
                <w:szCs w:val="24"/>
                <w:highlight w:val="none"/>
              </w:rPr>
              <w:t>1</w:t>
            </w:r>
            <w:r>
              <w:rPr>
                <w:rFonts w:hint="eastAsia" w:hAnsi="宋体" w:cs="Courier New"/>
                <w:color w:val="auto"/>
                <w:kern w:val="2"/>
                <w:sz w:val="24"/>
                <w:szCs w:val="24"/>
                <w:highlight w:val="none"/>
                <w:lang w:val="en-US" w:eastAsia="zh-CN"/>
              </w:rPr>
              <w:t>5</w:t>
            </w:r>
          </w:p>
        </w:tc>
        <w:tc>
          <w:tcPr>
            <w:tcW w:w="8985" w:type="dxa"/>
            <w:vAlign w:val="center"/>
          </w:tcPr>
          <w:p w14:paraId="51AC9E17">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采购项目需要落实的政府采购政策：</w:t>
            </w:r>
          </w:p>
          <w:p w14:paraId="51AEC4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1.《政府采购促进中小企业发展管理办法》（财库[2020]46号）：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磋商响应文件格式及其附件附1；</w:t>
            </w:r>
          </w:p>
          <w:p w14:paraId="35681A1A">
            <w:pPr>
              <w:spacing w:line="360" w:lineRule="auto"/>
              <w:ind w:firstLine="480" w:firstLineChars="200"/>
              <w:rPr>
                <w:rFonts w:ascii="宋体" w:hAnsi="宋体"/>
                <w:color w:val="auto"/>
                <w:spacing w:val="6"/>
                <w:sz w:val="24"/>
                <w:highlight w:val="none"/>
              </w:rPr>
            </w:pPr>
            <w:r>
              <w:rPr>
                <w:rFonts w:hint="eastAsia" w:ascii="宋体" w:hAnsi="宋体" w:cs="宋体"/>
                <w:color w:val="auto"/>
                <w:kern w:val="0"/>
                <w:sz w:val="24"/>
                <w:highlight w:val="none"/>
              </w:rPr>
              <w:t>2.</w:t>
            </w:r>
            <w:r>
              <w:rPr>
                <w:rFonts w:hint="eastAsia" w:ascii="宋体" w:hAnsi="宋体"/>
                <w:color w:val="auto"/>
                <w:spacing w:val="6"/>
                <w:sz w:val="24"/>
                <w:highlight w:val="none"/>
              </w:rPr>
              <w:t>《财政部民政部中国残疾人联合会关于促进残疾人就业政府采购政策的通知》（财库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磋商响应文件格式及其附件附2；</w:t>
            </w:r>
          </w:p>
          <w:p w14:paraId="65650F85">
            <w:pPr>
              <w:spacing w:line="360" w:lineRule="auto"/>
              <w:ind w:firstLine="504" w:firstLineChars="200"/>
              <w:rPr>
                <w:rFonts w:ascii="宋体" w:hAnsi="宋体"/>
                <w:color w:val="auto"/>
                <w:sz w:val="24"/>
                <w:highlight w:val="none"/>
              </w:rPr>
            </w:pPr>
            <w:r>
              <w:rPr>
                <w:rFonts w:hint="eastAsia" w:ascii="宋体" w:hAnsi="宋体"/>
                <w:color w:val="auto"/>
                <w:spacing w:val="6"/>
                <w:sz w:val="24"/>
                <w:highlight w:val="none"/>
              </w:rPr>
              <w:t>3.财政部司法部关于政府采购支持监狱企业发展有关问题的通知(财库〔2014〕68号)：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磋商响应文件格式及其附件附3；</w:t>
            </w:r>
          </w:p>
          <w:p w14:paraId="3D3F35F8">
            <w:pPr>
              <w:widowControl/>
              <w:spacing w:line="360" w:lineRule="auto"/>
              <w:ind w:firstLine="480" w:firstLineChars="200"/>
              <w:outlineLvl w:val="0"/>
              <w:rPr>
                <w:rFonts w:ascii="宋体" w:hAnsi="宋体"/>
                <w:b/>
                <w:color w:val="auto"/>
                <w:sz w:val="24"/>
                <w:highlight w:val="none"/>
              </w:rPr>
            </w:pPr>
            <w:r>
              <w:rPr>
                <w:rFonts w:hint="eastAsia" w:ascii="宋体" w:hAnsi="宋体"/>
                <w:color w:val="auto"/>
                <w:sz w:val="24"/>
                <w:highlight w:val="none"/>
              </w:rPr>
              <w:t>4.政府采购鼓励节能、环保产品：提供</w:t>
            </w:r>
            <w:r>
              <w:rPr>
                <w:rFonts w:ascii="宋体" w:hAnsi="宋体"/>
                <w:color w:val="auto"/>
                <w:sz w:val="24"/>
                <w:highlight w:val="none"/>
              </w:rPr>
              <w:t>材料</w:t>
            </w:r>
            <w:r>
              <w:rPr>
                <w:rFonts w:hint="eastAsia" w:ascii="宋体" w:hAnsi="宋体"/>
                <w:color w:val="auto"/>
                <w:sz w:val="24"/>
                <w:highlight w:val="none"/>
              </w:rPr>
              <w:t>详见采购文件</w:t>
            </w:r>
            <w:r>
              <w:rPr>
                <w:rFonts w:ascii="宋体" w:hAnsi="宋体"/>
                <w:color w:val="auto"/>
                <w:sz w:val="24"/>
                <w:highlight w:val="none"/>
              </w:rPr>
              <w:t>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磋商响应文件格式及其附件附4。</w:t>
            </w:r>
          </w:p>
        </w:tc>
      </w:tr>
      <w:tr w14:paraId="1202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57" w:type="dxa"/>
            <w:vAlign w:val="center"/>
          </w:tcPr>
          <w:p w14:paraId="646AB851">
            <w:pPr>
              <w:pStyle w:val="45"/>
              <w:spacing w:line="480" w:lineRule="exact"/>
              <w:jc w:val="center"/>
              <w:rPr>
                <w:rFonts w:hint="default" w:hAnsi="宋体" w:eastAsia="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16</w:t>
            </w:r>
          </w:p>
        </w:tc>
        <w:tc>
          <w:tcPr>
            <w:tcW w:w="8985" w:type="dxa"/>
            <w:vAlign w:val="center"/>
          </w:tcPr>
          <w:p w14:paraId="741E81A5">
            <w:pPr>
              <w:pStyle w:val="12"/>
              <w:spacing w:line="360" w:lineRule="auto"/>
              <w:contextualSpacing/>
              <w:rPr>
                <w:rFonts w:hint="eastAsia" w:ascii="宋体" w:hAnsi="宋体" w:cs="宋体"/>
                <w:b/>
                <w:color w:val="auto"/>
                <w:sz w:val="24"/>
                <w:highlight w:val="none"/>
                <w:lang w:eastAsia="zh-CN"/>
              </w:rPr>
            </w:pPr>
            <w:r>
              <w:rPr>
                <w:rFonts w:hint="eastAsia" w:ascii="宋体" w:hAnsi="宋体" w:cs="宋体"/>
                <w:b/>
                <w:color w:val="auto"/>
                <w:sz w:val="24"/>
                <w:highlight w:val="none"/>
              </w:rPr>
              <w:t>采购代理机构代理服务费用</w:t>
            </w:r>
            <w:r>
              <w:rPr>
                <w:rFonts w:hint="eastAsia" w:ascii="宋体" w:hAnsi="宋体" w:cs="宋体"/>
                <w:b/>
                <w:color w:val="auto"/>
                <w:sz w:val="24"/>
                <w:highlight w:val="none"/>
                <w:lang w:eastAsia="zh-CN"/>
              </w:rPr>
              <w:t>：</w:t>
            </w:r>
          </w:p>
          <w:p w14:paraId="6CB2287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s="宋体"/>
                <w:color w:val="auto"/>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由</w:t>
            </w:r>
            <w:r>
              <w:rPr>
                <w:rFonts w:hint="eastAsia" w:hAnsi="宋体" w:cs="宋体"/>
                <w:color w:val="auto"/>
                <w:kern w:val="28"/>
                <w:sz w:val="24"/>
                <w:szCs w:val="24"/>
                <w:highlight w:val="none"/>
                <w:lang w:val="en-US" w:eastAsia="zh-CN"/>
              </w:rPr>
              <w:t>成交</w:t>
            </w:r>
            <w:r>
              <w:rPr>
                <w:rFonts w:hint="eastAsia" w:ascii="宋体" w:hAnsi="宋体" w:eastAsia="宋体" w:cs="宋体"/>
                <w:color w:val="auto"/>
                <w:kern w:val="28"/>
                <w:sz w:val="24"/>
                <w:szCs w:val="24"/>
                <w:highlight w:val="none"/>
              </w:rPr>
              <w:t>供应商支付。</w:t>
            </w:r>
            <w:r>
              <w:rPr>
                <w:rFonts w:hint="eastAsia" w:hAnsi="宋体" w:cs="宋体"/>
                <w:color w:val="auto"/>
                <w:kern w:val="28"/>
                <w:sz w:val="24"/>
                <w:szCs w:val="24"/>
                <w:highlight w:val="none"/>
              </w:rPr>
              <w:t>收费标准如下：</w:t>
            </w:r>
          </w:p>
          <w:tbl>
            <w:tblPr>
              <w:tblStyle w:val="24"/>
              <w:tblW w:w="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14:paraId="46C5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039B9A3D">
                  <w:pPr>
                    <w:jc w:val="center"/>
                    <w:rPr>
                      <w:rFonts w:ascii="宋体" w:hAnsi="宋体" w:cs="宋体"/>
                      <w:color w:val="auto"/>
                      <w:sz w:val="24"/>
                      <w:highlight w:val="none"/>
                    </w:rPr>
                  </w:pPr>
                  <w:r>
                    <w:rPr>
                      <w:rFonts w:hint="eastAsia" w:ascii="宋体" w:hAnsi="宋体" w:cs="宋体"/>
                      <w:color w:val="auto"/>
                      <w:sz w:val="24"/>
                      <w:highlight w:val="none"/>
                    </w:rPr>
                    <w:t>成交金额（万元）</w:t>
                  </w:r>
                </w:p>
              </w:tc>
              <w:tc>
                <w:tcPr>
                  <w:tcW w:w="1416" w:type="dxa"/>
                  <w:tcBorders>
                    <w:top w:val="single" w:color="auto" w:sz="4" w:space="0"/>
                    <w:left w:val="single" w:color="auto" w:sz="4" w:space="0"/>
                    <w:bottom w:val="single" w:color="auto" w:sz="4" w:space="0"/>
                    <w:right w:val="single" w:color="auto" w:sz="4" w:space="0"/>
                  </w:tcBorders>
                  <w:vAlign w:val="center"/>
                </w:tcPr>
                <w:p w14:paraId="45FC7C02">
                  <w:pPr>
                    <w:jc w:val="center"/>
                    <w:rPr>
                      <w:rFonts w:ascii="宋体" w:hAnsi="宋体" w:cs="宋体"/>
                      <w:color w:val="auto"/>
                      <w:sz w:val="24"/>
                      <w:highlight w:val="none"/>
                    </w:rPr>
                  </w:pPr>
                  <w:r>
                    <w:rPr>
                      <w:rFonts w:hint="eastAsia" w:ascii="宋体" w:hAnsi="宋体" w:cs="宋体"/>
                      <w:color w:val="auto"/>
                      <w:sz w:val="24"/>
                      <w:highlight w:val="none"/>
                    </w:rPr>
                    <w:t>货物类费率</w:t>
                  </w:r>
                </w:p>
              </w:tc>
              <w:tc>
                <w:tcPr>
                  <w:tcW w:w="1416" w:type="dxa"/>
                  <w:tcBorders>
                    <w:top w:val="single" w:color="auto" w:sz="4" w:space="0"/>
                    <w:left w:val="single" w:color="auto" w:sz="4" w:space="0"/>
                    <w:bottom w:val="single" w:color="auto" w:sz="4" w:space="0"/>
                    <w:right w:val="single" w:color="auto" w:sz="4" w:space="0"/>
                  </w:tcBorders>
                  <w:vAlign w:val="center"/>
                </w:tcPr>
                <w:p w14:paraId="322BB919">
                  <w:pPr>
                    <w:jc w:val="center"/>
                    <w:rPr>
                      <w:rFonts w:ascii="宋体" w:hAnsi="宋体" w:cs="宋体"/>
                      <w:color w:val="auto"/>
                      <w:sz w:val="24"/>
                      <w:highlight w:val="none"/>
                    </w:rPr>
                  </w:pPr>
                  <w:r>
                    <w:rPr>
                      <w:rFonts w:hint="eastAsia" w:ascii="宋体" w:hAnsi="宋体" w:cs="宋体"/>
                      <w:color w:val="auto"/>
                      <w:sz w:val="24"/>
                      <w:highlight w:val="none"/>
                    </w:rPr>
                    <w:t>服务类费率</w:t>
                  </w:r>
                </w:p>
              </w:tc>
            </w:tr>
            <w:tr w14:paraId="7C4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32FA7F16">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416" w:type="dxa"/>
                  <w:tcBorders>
                    <w:top w:val="single" w:color="auto" w:sz="4" w:space="0"/>
                    <w:left w:val="single" w:color="auto" w:sz="4" w:space="0"/>
                    <w:bottom w:val="single" w:color="auto" w:sz="4" w:space="0"/>
                    <w:right w:val="single" w:color="auto" w:sz="4" w:space="0"/>
                  </w:tcBorders>
                  <w:vAlign w:val="center"/>
                </w:tcPr>
                <w:p w14:paraId="2AD481B4">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72351F95">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w:t>
                  </w:r>
                </w:p>
              </w:tc>
            </w:tr>
            <w:tr w14:paraId="4183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66261B85">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416" w:type="dxa"/>
                  <w:tcBorders>
                    <w:top w:val="single" w:color="auto" w:sz="4" w:space="0"/>
                    <w:left w:val="single" w:color="auto" w:sz="4" w:space="0"/>
                    <w:bottom w:val="single" w:color="auto" w:sz="4" w:space="0"/>
                    <w:right w:val="single" w:color="auto" w:sz="4" w:space="0"/>
                  </w:tcBorders>
                  <w:vAlign w:val="center"/>
                </w:tcPr>
                <w:p w14:paraId="75044002">
                  <w:pPr>
                    <w:jc w:val="center"/>
                    <w:rPr>
                      <w:rFonts w:ascii="宋体" w:hAnsi="宋体" w:cs="宋体"/>
                      <w:color w:val="auto"/>
                      <w:sz w:val="24"/>
                      <w:highlight w:val="none"/>
                    </w:rPr>
                  </w:pPr>
                  <w:r>
                    <w:rPr>
                      <w:rFonts w:hint="eastAsia" w:ascii="宋体" w:hAnsi="宋体" w:cs="宋体"/>
                      <w:color w:val="auto"/>
                      <w:sz w:val="24"/>
                      <w:highlight w:val="none"/>
                      <w:lang w:val="en-US" w:eastAsia="zh-CN"/>
                    </w:rPr>
                    <w:t>0.99</w:t>
                  </w:r>
                  <w:r>
                    <w:rPr>
                      <w:rFonts w:hint="eastAsia" w:ascii="宋体" w:hAnsi="宋体" w:cs="宋体"/>
                      <w:color w:val="auto"/>
                      <w:sz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5C82975B">
                  <w:pPr>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w:t>
                  </w:r>
                </w:p>
              </w:tc>
            </w:tr>
          </w:tbl>
          <w:p w14:paraId="3D0FF5C5">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21B7C83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服务</w:t>
            </w:r>
            <w:r>
              <w:rPr>
                <w:rFonts w:hint="eastAsia" w:hAnsi="宋体"/>
                <w:color w:val="auto"/>
                <w:sz w:val="24"/>
                <w:highlight w:val="none"/>
              </w:rPr>
              <w:t>类项目</w:t>
            </w:r>
            <w:r>
              <w:rPr>
                <w:rFonts w:hint="eastAsia" w:hAnsi="宋体"/>
                <w:color w:val="auto"/>
                <w:sz w:val="24"/>
                <w:highlight w:val="none"/>
                <w:lang w:val="en-US" w:eastAsia="zh-CN"/>
              </w:rPr>
              <w:t>成交</w:t>
            </w:r>
            <w:r>
              <w:rPr>
                <w:rFonts w:hint="eastAsia" w:hAnsi="宋体"/>
                <w:color w:val="auto"/>
                <w:sz w:val="24"/>
                <w:highlight w:val="none"/>
              </w:rPr>
              <w:t>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79B445A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lang w:val="en-US" w:eastAsia="zh-CN"/>
              </w:rPr>
              <w:t>成交</w:t>
            </w:r>
            <w:r>
              <w:rPr>
                <w:rFonts w:hint="eastAsia" w:hAnsi="宋体"/>
                <w:color w:val="auto"/>
                <w:sz w:val="24"/>
                <w:highlight w:val="none"/>
              </w:rPr>
              <w:t>服务费=1000000*1.</w:t>
            </w:r>
            <w:r>
              <w:rPr>
                <w:rFonts w:hint="eastAsia" w:hAnsi="宋体"/>
                <w:color w:val="auto"/>
                <w:sz w:val="24"/>
                <w:highlight w:val="none"/>
                <w:lang w:val="en-US" w:eastAsia="zh-CN"/>
              </w:rPr>
              <w:t>35</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.72</w:t>
            </w:r>
            <w:r>
              <w:rPr>
                <w:rFonts w:hint="eastAsia" w:hAnsi="宋体"/>
                <w:color w:val="auto"/>
                <w:sz w:val="24"/>
                <w:highlight w:val="none"/>
              </w:rPr>
              <w:t>%=1</w:t>
            </w:r>
            <w:r>
              <w:rPr>
                <w:rFonts w:hint="eastAsia" w:hAnsi="宋体"/>
                <w:color w:val="auto"/>
                <w:sz w:val="24"/>
                <w:highlight w:val="none"/>
                <w:lang w:val="en-US" w:eastAsia="zh-CN"/>
              </w:rPr>
              <w:t>71</w:t>
            </w:r>
            <w:r>
              <w:rPr>
                <w:rFonts w:hint="eastAsia" w:hAnsi="宋体"/>
                <w:color w:val="auto"/>
                <w:sz w:val="24"/>
                <w:highlight w:val="none"/>
              </w:rPr>
              <w:t>00元。</w:t>
            </w:r>
          </w:p>
          <w:p w14:paraId="2E3DFA59">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成交</w:t>
            </w:r>
            <w:r>
              <w:rPr>
                <w:rFonts w:hint="eastAsia" w:ascii="宋体" w:hAnsi="宋体" w:cs="宋体"/>
                <w:b/>
                <w:bCs/>
                <w:color w:val="auto"/>
                <w:spacing w:val="-6"/>
                <w:sz w:val="24"/>
                <w:highlight w:val="none"/>
              </w:rPr>
              <w:t>公告发出后5个工作日内。</w:t>
            </w:r>
          </w:p>
          <w:p w14:paraId="50701641">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3F9D9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257DA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BB521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011BA865">
            <w:pPr>
              <w:widowControl/>
              <w:spacing w:line="360" w:lineRule="auto"/>
              <w:ind w:firstLine="480" w:firstLineChars="200"/>
              <w:outlineLvl w:val="0"/>
              <w:rPr>
                <w:rFonts w:hint="eastAsia"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cs="Times New Roman"/>
                <w:color w:val="auto"/>
                <w:sz w:val="24"/>
                <w:highlight w:val="none"/>
                <w:lang w:val="en-US" w:eastAsia="zh-CN"/>
              </w:rPr>
              <w:t>hzyxzbdl</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3D2F9BE7">
      <w:pPr>
        <w:pStyle w:val="12"/>
        <w:spacing w:line="440" w:lineRule="exact"/>
        <w:rPr>
          <w:rFonts w:ascii="Times New Roman" w:hAnsi="宋体"/>
          <w:b/>
          <w:bCs/>
          <w:color w:val="auto"/>
          <w:sz w:val="24"/>
          <w:highlight w:val="none"/>
        </w:rPr>
      </w:pPr>
    </w:p>
    <w:p w14:paraId="628702BC">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一、总则</w:t>
      </w:r>
    </w:p>
    <w:p w14:paraId="3659A7C5">
      <w:pPr>
        <w:pStyle w:val="12"/>
        <w:spacing w:line="360" w:lineRule="auto"/>
        <w:rPr>
          <w:rFonts w:hAnsi="宋体"/>
          <w:b/>
          <w:color w:val="auto"/>
          <w:sz w:val="24"/>
          <w:highlight w:val="none"/>
        </w:rPr>
      </w:pPr>
      <w:r>
        <w:rPr>
          <w:rFonts w:hAnsi="宋体"/>
          <w:b/>
          <w:color w:val="auto"/>
          <w:sz w:val="24"/>
          <w:highlight w:val="none"/>
        </w:rPr>
        <w:t>1</w:t>
      </w:r>
      <w:r>
        <w:rPr>
          <w:rFonts w:hint="eastAsia" w:hAnsi="宋体"/>
          <w:b/>
          <w:color w:val="auto"/>
          <w:sz w:val="24"/>
          <w:highlight w:val="none"/>
        </w:rPr>
        <w:t>.</w:t>
      </w:r>
      <w:r>
        <w:rPr>
          <w:rFonts w:hAnsi="宋体"/>
          <w:b/>
          <w:color w:val="auto"/>
          <w:sz w:val="24"/>
          <w:highlight w:val="none"/>
        </w:rPr>
        <w:t>说明</w:t>
      </w:r>
    </w:p>
    <w:p w14:paraId="4AF1D2A0">
      <w:pPr>
        <w:pStyle w:val="12"/>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1项目说明：见</w:t>
      </w:r>
      <w:r>
        <w:rPr>
          <w:rFonts w:hint="eastAsia" w:hAnsi="宋体"/>
          <w:color w:val="auto"/>
          <w:sz w:val="24"/>
          <w:highlight w:val="none"/>
        </w:rPr>
        <w:t>磋商响应</w:t>
      </w:r>
      <w:r>
        <w:rPr>
          <w:rFonts w:hAnsi="宋体"/>
          <w:color w:val="auto"/>
          <w:sz w:val="24"/>
          <w:highlight w:val="none"/>
        </w:rPr>
        <w:t>须知前附表(以下称“前附表”)第1项和第2项所述。</w:t>
      </w:r>
    </w:p>
    <w:p w14:paraId="47C6A34A">
      <w:pPr>
        <w:pStyle w:val="12"/>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2相关名词说明：</w:t>
      </w:r>
    </w:p>
    <w:p w14:paraId="765F6748">
      <w:pPr>
        <w:pStyle w:val="12"/>
        <w:spacing w:line="360" w:lineRule="auto"/>
        <w:ind w:firstLine="480" w:firstLineChars="200"/>
        <w:rPr>
          <w:rFonts w:hAnsi="宋体"/>
          <w:color w:val="auto"/>
          <w:sz w:val="24"/>
          <w:highlight w:val="none"/>
        </w:rPr>
      </w:pPr>
      <w:r>
        <w:rPr>
          <w:rFonts w:hAnsi="宋体"/>
          <w:color w:val="auto"/>
          <w:sz w:val="24"/>
          <w:highlight w:val="none"/>
        </w:rPr>
        <w:t>本项目中采购人为</w:t>
      </w:r>
      <w:r>
        <w:rPr>
          <w:rFonts w:hint="eastAsia" w:hAnsi="宋体"/>
          <w:color w:val="auto"/>
          <w:sz w:val="24"/>
          <w:highlight w:val="none"/>
        </w:rPr>
        <w:t>中共浙江省委老干部局</w:t>
      </w:r>
      <w:r>
        <w:rPr>
          <w:rFonts w:hAnsi="宋体"/>
          <w:color w:val="auto"/>
          <w:sz w:val="24"/>
          <w:highlight w:val="none"/>
        </w:rPr>
        <w:t>，</w:t>
      </w:r>
      <w:r>
        <w:rPr>
          <w:rFonts w:hint="eastAsia" w:hAnsi="宋体"/>
          <w:color w:val="auto"/>
          <w:sz w:val="24"/>
          <w:highlight w:val="none"/>
        </w:rPr>
        <w:t>采购</w:t>
      </w:r>
      <w:r>
        <w:rPr>
          <w:rFonts w:hAnsi="宋体"/>
          <w:color w:val="auto"/>
          <w:sz w:val="24"/>
          <w:highlight w:val="none"/>
        </w:rPr>
        <w:t>代理机构为杭州意信招标代理有限公司</w:t>
      </w:r>
      <w:r>
        <w:rPr>
          <w:rFonts w:hint="eastAsia" w:hAnsi="宋体"/>
          <w:color w:val="auto"/>
          <w:sz w:val="24"/>
          <w:highlight w:val="none"/>
        </w:rPr>
        <w:t>。自愿参加本次项目应标的公司为磋商响应方，经评审产生并经批准的磋商响应方为成交人，签订合同后的成交人为服务商（合同中的乙方）</w:t>
      </w:r>
      <w:r>
        <w:rPr>
          <w:rFonts w:hint="eastAsia" w:hAnsi="宋体"/>
          <w:color w:val="auto"/>
          <w:sz w:val="24"/>
          <w:szCs w:val="24"/>
          <w:highlight w:val="none"/>
        </w:rPr>
        <w:t>。</w:t>
      </w:r>
    </w:p>
    <w:p w14:paraId="5ECE115A">
      <w:pPr>
        <w:pStyle w:val="12"/>
        <w:spacing w:line="360" w:lineRule="auto"/>
        <w:ind w:firstLine="480" w:firstLineChars="200"/>
        <w:rPr>
          <w:rFonts w:hAnsi="宋体"/>
          <w:color w:val="auto"/>
          <w:sz w:val="24"/>
          <w:highlight w:val="none"/>
        </w:rPr>
      </w:pPr>
      <w:r>
        <w:rPr>
          <w:rFonts w:hint="eastAsia" w:hAnsi="宋体"/>
          <w:color w:val="auto"/>
          <w:sz w:val="24"/>
          <w:highlight w:val="none"/>
        </w:rPr>
        <w:t>服务：系指按竞争性磋商采购文件要求的服务。</w:t>
      </w:r>
    </w:p>
    <w:p w14:paraId="233301E9">
      <w:pPr>
        <w:pStyle w:val="12"/>
        <w:tabs>
          <w:tab w:val="left" w:pos="720"/>
        </w:tabs>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w:t>
      </w:r>
      <w:r>
        <w:rPr>
          <w:rFonts w:hAnsi="宋体"/>
          <w:b/>
          <w:color w:val="auto"/>
          <w:sz w:val="24"/>
          <w:highlight w:val="none"/>
        </w:rPr>
        <w:t>采购方式</w:t>
      </w:r>
      <w:r>
        <w:rPr>
          <w:rFonts w:hint="eastAsia" w:hAnsi="宋体"/>
          <w:b/>
          <w:color w:val="auto"/>
          <w:sz w:val="24"/>
          <w:highlight w:val="none"/>
        </w:rPr>
        <w:t>：</w:t>
      </w:r>
      <w:r>
        <w:rPr>
          <w:rFonts w:hAnsi="宋体"/>
          <w:b/>
          <w:color w:val="auto"/>
          <w:sz w:val="24"/>
          <w:szCs w:val="28"/>
          <w:highlight w:val="none"/>
        </w:rPr>
        <w:t>竞争性磋商</w:t>
      </w:r>
    </w:p>
    <w:p w14:paraId="6AE18EE1">
      <w:pPr>
        <w:spacing w:line="360" w:lineRule="auto"/>
        <w:jc w:val="left"/>
        <w:outlineLvl w:val="0"/>
        <w:rPr>
          <w:rFonts w:ascii="宋体" w:hAnsi="宋体"/>
          <w:b/>
          <w:color w:val="auto"/>
          <w:sz w:val="24"/>
          <w:highlight w:val="none"/>
        </w:rPr>
      </w:pPr>
      <w:r>
        <w:rPr>
          <w:rFonts w:hint="eastAsia" w:ascii="宋体" w:hAnsi="宋体"/>
          <w:b/>
          <w:color w:val="auto"/>
          <w:sz w:val="24"/>
          <w:highlight w:val="none"/>
        </w:rPr>
        <w:t>3.磋商费用</w:t>
      </w:r>
    </w:p>
    <w:p w14:paraId="3CB8BD69">
      <w:pPr>
        <w:pStyle w:val="12"/>
        <w:spacing w:line="360" w:lineRule="auto"/>
        <w:rPr>
          <w:rFonts w:hAnsi="宋体"/>
          <w:color w:val="auto"/>
          <w:sz w:val="24"/>
          <w:highlight w:val="none"/>
        </w:rPr>
      </w:pPr>
      <w:r>
        <w:rPr>
          <w:rFonts w:hint="eastAsia" w:hAnsi="宋体"/>
          <w:color w:val="auto"/>
          <w:sz w:val="24"/>
          <w:highlight w:val="none"/>
        </w:rPr>
        <w:t>3.1无论竞争性磋商过程和结果如何，磋商响应方自行承担与磋商响应有关的全部费用。</w:t>
      </w:r>
    </w:p>
    <w:p w14:paraId="3F6692CE">
      <w:pPr>
        <w:pStyle w:val="12"/>
        <w:spacing w:line="440" w:lineRule="exact"/>
        <w:rPr>
          <w:rFonts w:hAnsi="宋体"/>
          <w:color w:val="auto"/>
          <w:sz w:val="24"/>
          <w:highlight w:val="none"/>
        </w:rPr>
      </w:pPr>
      <w:r>
        <w:rPr>
          <w:rFonts w:hint="eastAsia"/>
          <w:color w:val="auto"/>
          <w:sz w:val="24"/>
          <w:highlight w:val="none"/>
        </w:rPr>
        <w:t>3.2如果</w:t>
      </w:r>
      <w:r>
        <w:rPr>
          <w:rFonts w:hint="eastAsia" w:hAnsi="宋体"/>
          <w:color w:val="auto"/>
          <w:sz w:val="24"/>
          <w:szCs w:val="24"/>
          <w:highlight w:val="none"/>
        </w:rPr>
        <w:t>磋商响应方</w:t>
      </w:r>
      <w:r>
        <w:rPr>
          <w:rFonts w:hint="eastAsia"/>
          <w:color w:val="auto"/>
          <w:sz w:val="24"/>
          <w:highlight w:val="none"/>
        </w:rPr>
        <w:t>成交，将向杭州意信招标代理有限公司支付成交服务费，收费标准如下：</w:t>
      </w:r>
    </w:p>
    <w:tbl>
      <w:tblPr>
        <w:tblStyle w:val="24"/>
        <w:tblW w:w="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14:paraId="3ADA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12DC2640">
            <w:pPr>
              <w:jc w:val="center"/>
              <w:rPr>
                <w:rFonts w:ascii="宋体" w:hAnsi="宋体" w:cs="宋体"/>
                <w:color w:val="auto"/>
                <w:sz w:val="24"/>
                <w:highlight w:val="none"/>
              </w:rPr>
            </w:pPr>
            <w:r>
              <w:rPr>
                <w:rFonts w:hint="eastAsia" w:ascii="宋体" w:hAnsi="宋体" w:cs="宋体"/>
                <w:color w:val="auto"/>
                <w:sz w:val="24"/>
                <w:highlight w:val="none"/>
              </w:rPr>
              <w:t>成交金额（万元）</w:t>
            </w:r>
          </w:p>
        </w:tc>
        <w:tc>
          <w:tcPr>
            <w:tcW w:w="1416" w:type="dxa"/>
            <w:tcBorders>
              <w:top w:val="single" w:color="auto" w:sz="4" w:space="0"/>
              <w:left w:val="single" w:color="auto" w:sz="4" w:space="0"/>
              <w:bottom w:val="single" w:color="auto" w:sz="4" w:space="0"/>
              <w:right w:val="single" w:color="auto" w:sz="4" w:space="0"/>
            </w:tcBorders>
            <w:vAlign w:val="center"/>
          </w:tcPr>
          <w:p w14:paraId="3669C25C">
            <w:pPr>
              <w:jc w:val="center"/>
              <w:rPr>
                <w:rFonts w:ascii="宋体" w:hAnsi="宋体" w:cs="宋体"/>
                <w:color w:val="auto"/>
                <w:sz w:val="24"/>
                <w:highlight w:val="none"/>
              </w:rPr>
            </w:pPr>
            <w:r>
              <w:rPr>
                <w:rFonts w:hint="eastAsia" w:ascii="宋体" w:hAnsi="宋体" w:cs="宋体"/>
                <w:color w:val="auto"/>
                <w:sz w:val="24"/>
                <w:highlight w:val="none"/>
              </w:rPr>
              <w:t>货物类费率</w:t>
            </w:r>
          </w:p>
        </w:tc>
        <w:tc>
          <w:tcPr>
            <w:tcW w:w="1416" w:type="dxa"/>
            <w:tcBorders>
              <w:top w:val="single" w:color="auto" w:sz="4" w:space="0"/>
              <w:left w:val="single" w:color="auto" w:sz="4" w:space="0"/>
              <w:bottom w:val="single" w:color="auto" w:sz="4" w:space="0"/>
              <w:right w:val="single" w:color="auto" w:sz="4" w:space="0"/>
            </w:tcBorders>
            <w:vAlign w:val="center"/>
          </w:tcPr>
          <w:p w14:paraId="7C26F11A">
            <w:pPr>
              <w:jc w:val="center"/>
              <w:rPr>
                <w:rFonts w:ascii="宋体" w:hAnsi="宋体" w:cs="宋体"/>
                <w:color w:val="auto"/>
                <w:sz w:val="24"/>
                <w:highlight w:val="none"/>
              </w:rPr>
            </w:pPr>
            <w:r>
              <w:rPr>
                <w:rFonts w:hint="eastAsia" w:ascii="宋体" w:hAnsi="宋体" w:cs="宋体"/>
                <w:color w:val="auto"/>
                <w:sz w:val="24"/>
                <w:highlight w:val="none"/>
              </w:rPr>
              <w:t>服务类费率</w:t>
            </w:r>
          </w:p>
        </w:tc>
      </w:tr>
      <w:tr w14:paraId="13AC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72034641">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416" w:type="dxa"/>
            <w:tcBorders>
              <w:top w:val="single" w:color="auto" w:sz="4" w:space="0"/>
              <w:left w:val="single" w:color="auto" w:sz="4" w:space="0"/>
              <w:bottom w:val="single" w:color="auto" w:sz="4" w:space="0"/>
              <w:right w:val="single" w:color="auto" w:sz="4" w:space="0"/>
            </w:tcBorders>
            <w:vAlign w:val="center"/>
          </w:tcPr>
          <w:p w14:paraId="381122E8">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25CCF6CF">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w:t>
            </w:r>
          </w:p>
        </w:tc>
      </w:tr>
      <w:tr w14:paraId="368E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591CAB5E">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416" w:type="dxa"/>
            <w:tcBorders>
              <w:top w:val="single" w:color="auto" w:sz="4" w:space="0"/>
              <w:left w:val="single" w:color="auto" w:sz="4" w:space="0"/>
              <w:bottom w:val="single" w:color="auto" w:sz="4" w:space="0"/>
              <w:right w:val="single" w:color="auto" w:sz="4" w:space="0"/>
            </w:tcBorders>
            <w:vAlign w:val="center"/>
          </w:tcPr>
          <w:p w14:paraId="2E9555ED">
            <w:pPr>
              <w:jc w:val="center"/>
              <w:rPr>
                <w:rFonts w:ascii="宋体" w:hAnsi="宋体" w:cs="宋体"/>
                <w:color w:val="auto"/>
                <w:sz w:val="24"/>
                <w:highlight w:val="none"/>
              </w:rPr>
            </w:pPr>
            <w:r>
              <w:rPr>
                <w:rFonts w:hint="eastAsia" w:ascii="宋体" w:hAnsi="宋体" w:cs="宋体"/>
                <w:color w:val="auto"/>
                <w:sz w:val="24"/>
                <w:highlight w:val="none"/>
                <w:lang w:val="en-US" w:eastAsia="zh-CN"/>
              </w:rPr>
              <w:t>0.99</w:t>
            </w:r>
            <w:r>
              <w:rPr>
                <w:rFonts w:hint="eastAsia" w:ascii="宋体" w:hAnsi="宋体" w:cs="宋体"/>
                <w:color w:val="auto"/>
                <w:sz w:val="24"/>
                <w:highlight w:val="none"/>
              </w:rPr>
              <w:t>%</w:t>
            </w:r>
          </w:p>
        </w:tc>
        <w:tc>
          <w:tcPr>
            <w:tcW w:w="1416" w:type="dxa"/>
            <w:tcBorders>
              <w:top w:val="single" w:color="auto" w:sz="4" w:space="0"/>
              <w:left w:val="single" w:color="auto" w:sz="4" w:space="0"/>
              <w:bottom w:val="single" w:color="auto" w:sz="4" w:space="0"/>
              <w:right w:val="single" w:color="auto" w:sz="4" w:space="0"/>
            </w:tcBorders>
            <w:vAlign w:val="center"/>
          </w:tcPr>
          <w:p w14:paraId="73207199">
            <w:pPr>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w:t>
            </w:r>
          </w:p>
        </w:tc>
      </w:tr>
    </w:tbl>
    <w:p w14:paraId="1ED48C60">
      <w:pPr>
        <w:pStyle w:val="20"/>
        <w:widowControl w:val="0"/>
        <w:spacing w:before="0" w:beforeAutospacing="0" w:after="0" w:afterAutospacing="0" w:line="360" w:lineRule="auto"/>
        <w:ind w:firstLine="960" w:firstLineChars="400"/>
        <w:jc w:val="both"/>
        <w:rPr>
          <w:rFonts w:hAnsi="Courier New"/>
          <w:color w:val="auto"/>
          <w:kern w:val="2"/>
          <w:highlight w:val="none"/>
        </w:rPr>
      </w:pPr>
      <w:r>
        <w:rPr>
          <w:rFonts w:hint="eastAsia" w:hAnsi="Courier New"/>
          <w:color w:val="auto"/>
          <w:kern w:val="2"/>
          <w:highlight w:val="none"/>
        </w:rPr>
        <w:t>注：差额累进法计算总额。</w:t>
      </w:r>
    </w:p>
    <w:p w14:paraId="189D98DD">
      <w:pPr>
        <w:pStyle w:val="12"/>
        <w:spacing w:line="360" w:lineRule="auto"/>
        <w:rPr>
          <w:color w:val="auto"/>
          <w:sz w:val="24"/>
          <w:highlight w:val="none"/>
        </w:rPr>
      </w:pPr>
      <w:r>
        <w:rPr>
          <w:rFonts w:hint="eastAsia"/>
          <w:color w:val="auto"/>
          <w:sz w:val="24"/>
          <w:highlight w:val="none"/>
        </w:rPr>
        <w:t>结算方式及时间：成交通知书发出后5个工作日内。</w:t>
      </w:r>
    </w:p>
    <w:p w14:paraId="69F26B7D">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二、磋商采购文件</w:t>
      </w:r>
    </w:p>
    <w:p w14:paraId="6777B0D2">
      <w:pPr>
        <w:pStyle w:val="12"/>
        <w:spacing w:line="360" w:lineRule="auto"/>
        <w:rPr>
          <w:rFonts w:ascii="Times New Roman" w:hAnsi="Times New Roman"/>
          <w:b/>
          <w:color w:val="auto"/>
          <w:sz w:val="24"/>
          <w:highlight w:val="none"/>
        </w:rPr>
      </w:pPr>
      <w:r>
        <w:rPr>
          <w:rFonts w:hAnsi="宋体"/>
          <w:b/>
          <w:color w:val="auto"/>
          <w:sz w:val="24"/>
          <w:highlight w:val="none"/>
        </w:rPr>
        <w:t>4.</w:t>
      </w:r>
      <w:r>
        <w:rPr>
          <w:rFonts w:ascii="Times New Roman" w:hAnsi="宋体"/>
          <w:b/>
          <w:color w:val="auto"/>
          <w:sz w:val="24"/>
          <w:highlight w:val="none"/>
        </w:rPr>
        <w:t>磋商采购文件的组成</w:t>
      </w:r>
    </w:p>
    <w:p w14:paraId="51CB99B5">
      <w:pPr>
        <w:pStyle w:val="12"/>
        <w:spacing w:line="360" w:lineRule="auto"/>
        <w:rPr>
          <w:rFonts w:ascii="Times New Roman" w:hAnsi="Times New Roman"/>
          <w:color w:val="auto"/>
          <w:sz w:val="24"/>
          <w:highlight w:val="none"/>
        </w:rPr>
      </w:pPr>
      <w:r>
        <w:rPr>
          <w:rFonts w:hAnsi="宋体"/>
          <w:color w:val="auto"/>
          <w:sz w:val="24"/>
          <w:highlight w:val="none"/>
        </w:rPr>
        <w:t>4.1</w:t>
      </w:r>
      <w:r>
        <w:rPr>
          <w:rFonts w:ascii="Times New Roman" w:hAnsi="宋体"/>
          <w:color w:val="auto"/>
          <w:sz w:val="24"/>
          <w:highlight w:val="none"/>
        </w:rPr>
        <w:t>磋商采购文件包括下列文件及附件</w:t>
      </w:r>
    </w:p>
    <w:p w14:paraId="566E7FEB">
      <w:pPr>
        <w:pStyle w:val="12"/>
        <w:numPr>
          <w:ilvl w:val="0"/>
          <w:numId w:val="2"/>
        </w:numPr>
        <w:spacing w:line="360" w:lineRule="auto"/>
        <w:rPr>
          <w:rFonts w:ascii="Times New Roman" w:hAnsi="Times New Roman"/>
          <w:color w:val="auto"/>
          <w:sz w:val="24"/>
          <w:highlight w:val="none"/>
        </w:rPr>
      </w:pPr>
      <w:r>
        <w:rPr>
          <w:rFonts w:ascii="Times New Roman" w:hAnsi="宋体"/>
          <w:color w:val="auto"/>
          <w:sz w:val="24"/>
          <w:highlight w:val="none"/>
        </w:rPr>
        <w:t>第一章</w:t>
      </w:r>
      <w:r>
        <w:rPr>
          <w:rFonts w:hint="eastAsia" w:ascii="Times New Roman" w:hAnsi="宋体"/>
          <w:color w:val="auto"/>
          <w:sz w:val="24"/>
          <w:highlight w:val="none"/>
        </w:rPr>
        <w:t xml:space="preserve">  采购公告</w:t>
      </w:r>
    </w:p>
    <w:p w14:paraId="4F84F797">
      <w:pPr>
        <w:pStyle w:val="12"/>
        <w:numPr>
          <w:ilvl w:val="0"/>
          <w:numId w:val="2"/>
        </w:numPr>
        <w:spacing w:line="360" w:lineRule="auto"/>
        <w:rPr>
          <w:rFonts w:ascii="Times New Roman" w:hAnsi="Times New Roman"/>
          <w:color w:val="auto"/>
          <w:sz w:val="24"/>
          <w:highlight w:val="none"/>
        </w:rPr>
      </w:pPr>
      <w:r>
        <w:rPr>
          <w:rFonts w:ascii="Times New Roman" w:hAnsi="宋体"/>
          <w:color w:val="auto"/>
          <w:sz w:val="24"/>
          <w:highlight w:val="none"/>
        </w:rPr>
        <w:t>第二章</w:t>
      </w:r>
      <w:r>
        <w:rPr>
          <w:rFonts w:hint="eastAsia" w:ascii="Times New Roman" w:hAnsi="宋体"/>
          <w:color w:val="auto"/>
          <w:sz w:val="24"/>
          <w:highlight w:val="none"/>
        </w:rPr>
        <w:t xml:space="preserve">  磋商响应</w:t>
      </w:r>
      <w:r>
        <w:rPr>
          <w:rFonts w:ascii="Times New Roman" w:hAnsi="宋体"/>
          <w:color w:val="auto"/>
          <w:sz w:val="24"/>
          <w:highlight w:val="none"/>
        </w:rPr>
        <w:t>须知</w:t>
      </w:r>
    </w:p>
    <w:p w14:paraId="5E0A2C1B">
      <w:pPr>
        <w:pStyle w:val="12"/>
        <w:numPr>
          <w:ilvl w:val="0"/>
          <w:numId w:val="2"/>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三</w:t>
      </w:r>
      <w:r>
        <w:rPr>
          <w:rFonts w:ascii="Times New Roman" w:hAnsi="宋体"/>
          <w:color w:val="auto"/>
          <w:sz w:val="24"/>
          <w:highlight w:val="none"/>
        </w:rPr>
        <w:t>章</w:t>
      </w:r>
      <w:r>
        <w:rPr>
          <w:rFonts w:hint="eastAsia" w:ascii="Times New Roman" w:hAnsi="宋体"/>
          <w:color w:val="auto"/>
          <w:sz w:val="24"/>
          <w:highlight w:val="none"/>
        </w:rPr>
        <w:t xml:space="preserve">  </w:t>
      </w:r>
      <w:r>
        <w:rPr>
          <w:rFonts w:hint="eastAsia" w:ascii="Times New Roman" w:hAnsi="宋体"/>
          <w:color w:val="auto"/>
          <w:sz w:val="24"/>
          <w:highlight w:val="none"/>
          <w:lang w:eastAsia="zh-CN"/>
        </w:rPr>
        <w:t>采购需求</w:t>
      </w:r>
    </w:p>
    <w:p w14:paraId="0024E1E1">
      <w:pPr>
        <w:pStyle w:val="12"/>
        <w:numPr>
          <w:ilvl w:val="0"/>
          <w:numId w:val="2"/>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四</w:t>
      </w:r>
      <w:r>
        <w:rPr>
          <w:rFonts w:ascii="Times New Roman" w:hAnsi="宋体"/>
          <w:color w:val="auto"/>
          <w:sz w:val="24"/>
          <w:highlight w:val="none"/>
        </w:rPr>
        <w:t>章</w:t>
      </w:r>
      <w:r>
        <w:rPr>
          <w:rFonts w:hint="eastAsia" w:ascii="Times New Roman" w:hAnsi="宋体"/>
          <w:color w:val="auto"/>
          <w:sz w:val="24"/>
          <w:highlight w:val="none"/>
          <w:lang w:val="en-US" w:eastAsia="zh-CN"/>
        </w:rPr>
        <w:t xml:space="preserve">  </w:t>
      </w:r>
      <w:r>
        <w:rPr>
          <w:rFonts w:hint="eastAsia" w:ascii="Times New Roman" w:hAnsi="Times New Roman"/>
          <w:color w:val="auto"/>
          <w:sz w:val="24"/>
          <w:highlight w:val="none"/>
        </w:rPr>
        <w:t>采购合同一般和特殊条款</w:t>
      </w:r>
    </w:p>
    <w:p w14:paraId="2BBB5E59">
      <w:pPr>
        <w:pStyle w:val="12"/>
        <w:numPr>
          <w:ilvl w:val="0"/>
          <w:numId w:val="2"/>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五</w:t>
      </w:r>
      <w:r>
        <w:rPr>
          <w:rFonts w:ascii="Times New Roman" w:hAnsi="宋体"/>
          <w:color w:val="auto"/>
          <w:sz w:val="24"/>
          <w:highlight w:val="none"/>
        </w:rPr>
        <w:t>章</w:t>
      </w:r>
      <w:r>
        <w:rPr>
          <w:rFonts w:hint="eastAsia" w:ascii="Times New Roman" w:hAnsi="宋体"/>
          <w:color w:val="auto"/>
          <w:sz w:val="24"/>
          <w:highlight w:val="none"/>
        </w:rPr>
        <w:t xml:space="preserve">  磋商响应</w:t>
      </w:r>
      <w:r>
        <w:rPr>
          <w:rFonts w:ascii="Times New Roman" w:hAnsi="宋体"/>
          <w:color w:val="auto"/>
          <w:sz w:val="24"/>
          <w:highlight w:val="none"/>
        </w:rPr>
        <w:t>文件格式及其附件</w:t>
      </w:r>
    </w:p>
    <w:p w14:paraId="47B9A4C6">
      <w:pPr>
        <w:pStyle w:val="12"/>
        <w:spacing w:line="360" w:lineRule="auto"/>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磋商响应方</w:t>
      </w:r>
      <w:r>
        <w:rPr>
          <w:rFonts w:hAnsi="宋体"/>
          <w:color w:val="auto"/>
          <w:sz w:val="24"/>
          <w:highlight w:val="none"/>
        </w:rPr>
        <w:t>应认真审阅磋商采购文件中所有的内容，包括</w:t>
      </w:r>
      <w:r>
        <w:rPr>
          <w:rFonts w:hint="eastAsia" w:ascii="Times New Roman" w:hAnsi="宋体"/>
          <w:color w:val="auto"/>
          <w:sz w:val="24"/>
          <w:highlight w:val="none"/>
        </w:rPr>
        <w:t>采购公告、</w:t>
      </w:r>
      <w:r>
        <w:rPr>
          <w:rFonts w:hint="eastAsia" w:hAnsi="宋体"/>
          <w:color w:val="auto"/>
          <w:sz w:val="24"/>
          <w:highlight w:val="none"/>
        </w:rPr>
        <w:t>磋商响应</w:t>
      </w:r>
      <w:r>
        <w:rPr>
          <w:rFonts w:hAnsi="宋体"/>
          <w:color w:val="auto"/>
          <w:sz w:val="24"/>
          <w:highlight w:val="none"/>
        </w:rPr>
        <w:t>须知、</w:t>
      </w:r>
      <w:r>
        <w:rPr>
          <w:rFonts w:hint="eastAsia" w:hAnsi="宋体"/>
          <w:color w:val="auto"/>
          <w:sz w:val="24"/>
          <w:highlight w:val="none"/>
          <w:lang w:eastAsia="zh-CN"/>
        </w:rPr>
        <w:t>采购需求</w:t>
      </w:r>
      <w:r>
        <w:rPr>
          <w:rFonts w:hAnsi="宋体"/>
          <w:color w:val="auto"/>
          <w:sz w:val="24"/>
          <w:highlight w:val="none"/>
        </w:rPr>
        <w:t>、</w:t>
      </w:r>
      <w:r>
        <w:rPr>
          <w:rFonts w:hint="eastAsia" w:hAnsi="宋体"/>
          <w:color w:val="auto"/>
          <w:sz w:val="24"/>
          <w:highlight w:val="none"/>
        </w:rPr>
        <w:t>采购合同一般和特殊条款</w:t>
      </w:r>
      <w:r>
        <w:rPr>
          <w:rFonts w:hAnsi="宋体"/>
          <w:color w:val="auto"/>
          <w:sz w:val="24"/>
          <w:highlight w:val="none"/>
        </w:rPr>
        <w:t>、</w:t>
      </w:r>
      <w:r>
        <w:rPr>
          <w:rFonts w:hint="eastAsia" w:hAnsi="宋体"/>
          <w:color w:val="auto"/>
          <w:sz w:val="24"/>
          <w:highlight w:val="none"/>
        </w:rPr>
        <w:t>磋商响应</w:t>
      </w:r>
      <w:r>
        <w:rPr>
          <w:rFonts w:hAnsi="宋体"/>
          <w:color w:val="auto"/>
          <w:sz w:val="24"/>
          <w:highlight w:val="none"/>
        </w:rPr>
        <w:t>文件格式及其附件等。如果</w:t>
      </w:r>
      <w:r>
        <w:rPr>
          <w:rFonts w:hint="eastAsia" w:hAnsi="宋体"/>
          <w:color w:val="auto"/>
          <w:sz w:val="24"/>
          <w:highlight w:val="none"/>
        </w:rPr>
        <w:t>磋商响应方</w:t>
      </w:r>
      <w:r>
        <w:rPr>
          <w:rFonts w:hAnsi="宋体"/>
          <w:color w:val="auto"/>
          <w:sz w:val="24"/>
          <w:highlight w:val="none"/>
        </w:rPr>
        <w:t>编制的</w:t>
      </w:r>
      <w:r>
        <w:rPr>
          <w:rFonts w:hint="eastAsia" w:hAnsi="宋体"/>
          <w:color w:val="auto"/>
          <w:sz w:val="24"/>
          <w:highlight w:val="none"/>
        </w:rPr>
        <w:t>磋商响应</w:t>
      </w:r>
      <w:r>
        <w:rPr>
          <w:rFonts w:hAnsi="宋体"/>
          <w:color w:val="auto"/>
          <w:sz w:val="24"/>
          <w:highlight w:val="none"/>
        </w:rPr>
        <w:t>文件实质上不响应磋商采购文件的要求，其</w:t>
      </w:r>
      <w:r>
        <w:rPr>
          <w:rFonts w:hint="eastAsia" w:hAnsi="宋体"/>
          <w:color w:val="auto"/>
          <w:sz w:val="24"/>
          <w:highlight w:val="none"/>
        </w:rPr>
        <w:t>磋商响应</w:t>
      </w:r>
      <w:r>
        <w:rPr>
          <w:rFonts w:hAnsi="宋体"/>
          <w:color w:val="auto"/>
          <w:sz w:val="24"/>
          <w:highlight w:val="none"/>
        </w:rPr>
        <w:t>文件将被视为无效。</w:t>
      </w:r>
    </w:p>
    <w:p w14:paraId="60F5FF69">
      <w:pPr>
        <w:pStyle w:val="12"/>
        <w:spacing w:line="360" w:lineRule="auto"/>
        <w:rPr>
          <w:rFonts w:hAnsi="宋体"/>
          <w:b/>
          <w:color w:val="auto"/>
          <w:sz w:val="24"/>
          <w:highlight w:val="none"/>
        </w:rPr>
      </w:pPr>
      <w:r>
        <w:rPr>
          <w:rFonts w:hAnsi="宋体"/>
          <w:b/>
          <w:color w:val="auto"/>
          <w:sz w:val="24"/>
          <w:highlight w:val="none"/>
        </w:rPr>
        <w:t>5</w:t>
      </w:r>
      <w:r>
        <w:rPr>
          <w:rFonts w:hint="eastAsia" w:hAnsi="宋体"/>
          <w:b/>
          <w:color w:val="auto"/>
          <w:sz w:val="24"/>
          <w:highlight w:val="none"/>
        </w:rPr>
        <w:t>.</w:t>
      </w:r>
      <w:r>
        <w:rPr>
          <w:rFonts w:hAnsi="宋体"/>
          <w:b/>
          <w:color w:val="auto"/>
          <w:sz w:val="24"/>
          <w:highlight w:val="none"/>
        </w:rPr>
        <w:t>磋商采购文件的解释</w:t>
      </w:r>
    </w:p>
    <w:p w14:paraId="6F689881">
      <w:pPr>
        <w:pStyle w:val="12"/>
        <w:spacing w:line="360" w:lineRule="auto"/>
        <w:rPr>
          <w:rFonts w:hAnsi="宋体"/>
          <w:color w:val="auto"/>
          <w:sz w:val="24"/>
          <w:highlight w:val="none"/>
        </w:rPr>
      </w:pPr>
      <w:r>
        <w:rPr>
          <w:rFonts w:hint="eastAsia" w:hAnsi="宋体"/>
          <w:color w:val="auto"/>
          <w:sz w:val="24"/>
          <w:highlight w:val="none"/>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14:paraId="63C890E3">
      <w:pPr>
        <w:pStyle w:val="12"/>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.2</w:t>
      </w:r>
      <w:r>
        <w:rPr>
          <w:rFonts w:hAnsi="宋体"/>
          <w:color w:val="auto"/>
          <w:sz w:val="24"/>
          <w:highlight w:val="none"/>
        </w:rPr>
        <w:t>不论</w:t>
      </w:r>
      <w:r>
        <w:rPr>
          <w:rFonts w:hint="eastAsia" w:hAnsi="宋体"/>
          <w:color w:val="auto"/>
          <w:sz w:val="24"/>
          <w:highlight w:val="none"/>
        </w:rPr>
        <w:t>采购代理机构</w:t>
      </w:r>
      <w:r>
        <w:rPr>
          <w:rFonts w:hAnsi="宋体"/>
          <w:color w:val="auto"/>
          <w:sz w:val="24"/>
          <w:highlight w:val="none"/>
        </w:rPr>
        <w:t>向</w:t>
      </w:r>
      <w:r>
        <w:rPr>
          <w:rFonts w:hint="eastAsia" w:hAnsi="宋体"/>
          <w:color w:val="auto"/>
          <w:sz w:val="24"/>
          <w:highlight w:val="none"/>
        </w:rPr>
        <w:t>磋商响应方</w:t>
      </w:r>
      <w:r>
        <w:rPr>
          <w:rFonts w:hAnsi="宋体"/>
          <w:color w:val="auto"/>
          <w:sz w:val="24"/>
          <w:highlight w:val="none"/>
        </w:rPr>
        <w:t>发送的资料文件，还是</w:t>
      </w:r>
      <w:r>
        <w:rPr>
          <w:rFonts w:hint="eastAsia" w:hAnsi="宋体"/>
          <w:color w:val="auto"/>
          <w:sz w:val="24"/>
          <w:highlight w:val="none"/>
        </w:rPr>
        <w:t>磋商响应方</w:t>
      </w:r>
      <w:r>
        <w:rPr>
          <w:rFonts w:hAnsi="宋体"/>
          <w:color w:val="auto"/>
          <w:sz w:val="24"/>
          <w:highlight w:val="none"/>
        </w:rPr>
        <w:t>提出的问题，均采用书面形式，任何口头提问及答复一律无效。</w:t>
      </w:r>
    </w:p>
    <w:p w14:paraId="3A1E648C">
      <w:pPr>
        <w:pStyle w:val="12"/>
        <w:spacing w:line="360" w:lineRule="auto"/>
        <w:rPr>
          <w:rFonts w:hAnsi="宋体"/>
          <w:b/>
          <w:color w:val="auto"/>
          <w:sz w:val="24"/>
          <w:highlight w:val="none"/>
        </w:rPr>
      </w:pPr>
      <w:r>
        <w:rPr>
          <w:rFonts w:hAnsi="宋体"/>
          <w:b/>
          <w:color w:val="auto"/>
          <w:sz w:val="24"/>
          <w:highlight w:val="none"/>
        </w:rPr>
        <w:t>6</w:t>
      </w:r>
      <w:r>
        <w:rPr>
          <w:rFonts w:hint="eastAsia" w:hAnsi="宋体"/>
          <w:b/>
          <w:color w:val="auto"/>
          <w:sz w:val="24"/>
          <w:highlight w:val="none"/>
        </w:rPr>
        <w:t>.</w:t>
      </w:r>
      <w:r>
        <w:rPr>
          <w:rFonts w:hAnsi="宋体"/>
          <w:b/>
          <w:color w:val="auto"/>
          <w:sz w:val="24"/>
          <w:highlight w:val="none"/>
        </w:rPr>
        <w:t>磋商采购文件的修改</w:t>
      </w:r>
    </w:p>
    <w:p w14:paraId="69CF928B">
      <w:pPr>
        <w:pStyle w:val="12"/>
        <w:spacing w:line="360" w:lineRule="auto"/>
        <w:rPr>
          <w:rFonts w:ascii="Times New Roman" w:hAnsi="Times New Roman"/>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1从采购文件</w:t>
      </w:r>
      <w:r>
        <w:rPr>
          <w:rFonts w:hint="eastAsia" w:hAnsi="宋体"/>
          <w:color w:val="auto"/>
          <w:sz w:val="24"/>
          <w:highlight w:val="none"/>
        </w:rPr>
        <w:t>获取</w:t>
      </w:r>
      <w:r>
        <w:rPr>
          <w:rFonts w:hAnsi="宋体"/>
          <w:color w:val="auto"/>
          <w:sz w:val="24"/>
          <w:highlight w:val="none"/>
        </w:rPr>
        <w:t>至</w:t>
      </w:r>
      <w:r>
        <w:rPr>
          <w:rFonts w:hint="eastAsia" w:hAnsi="宋体"/>
          <w:color w:val="auto"/>
          <w:sz w:val="24"/>
          <w:highlight w:val="none"/>
        </w:rPr>
        <w:t>磋商</w:t>
      </w:r>
      <w:r>
        <w:rPr>
          <w:rFonts w:hAnsi="宋体"/>
          <w:color w:val="auto"/>
          <w:sz w:val="24"/>
          <w:highlight w:val="none"/>
        </w:rPr>
        <w:t>截止日期前，</w:t>
      </w:r>
      <w:r>
        <w:rPr>
          <w:rFonts w:hint="eastAsia" w:hAnsi="宋体"/>
          <w:color w:val="auto"/>
          <w:sz w:val="24"/>
          <w:highlight w:val="none"/>
        </w:rPr>
        <w:t>采购代</w:t>
      </w:r>
      <w:r>
        <w:rPr>
          <w:rFonts w:hint="eastAsia" w:ascii="Times New Roman" w:hAnsi="宋体"/>
          <w:color w:val="auto"/>
          <w:sz w:val="24"/>
          <w:highlight w:val="none"/>
        </w:rPr>
        <w:t>理机构</w:t>
      </w:r>
      <w:r>
        <w:rPr>
          <w:rFonts w:ascii="Times New Roman" w:hAnsi="宋体"/>
          <w:color w:val="auto"/>
          <w:sz w:val="24"/>
          <w:highlight w:val="none"/>
        </w:rPr>
        <w:t>可能会以补充通知的方式修改磋商采购文件。</w:t>
      </w:r>
    </w:p>
    <w:p w14:paraId="6D701EA4">
      <w:pPr>
        <w:pStyle w:val="12"/>
        <w:spacing w:line="440" w:lineRule="exact"/>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2补充通知作为采购文件的组成部分，将以书面形式同时发给</w:t>
      </w:r>
      <w:r>
        <w:rPr>
          <w:rFonts w:hint="eastAsia" w:hAnsi="宋体"/>
          <w:color w:val="auto"/>
          <w:sz w:val="24"/>
          <w:highlight w:val="none"/>
        </w:rPr>
        <w:t>获取</w:t>
      </w:r>
      <w:r>
        <w:rPr>
          <w:rFonts w:hAnsi="宋体"/>
          <w:color w:val="auto"/>
          <w:sz w:val="24"/>
          <w:highlight w:val="none"/>
        </w:rPr>
        <w:t>采购文件的</w:t>
      </w:r>
      <w:r>
        <w:rPr>
          <w:rFonts w:hint="eastAsia" w:hAnsi="宋体"/>
          <w:color w:val="auto"/>
          <w:sz w:val="24"/>
          <w:highlight w:val="none"/>
        </w:rPr>
        <w:t>磋商响应方</w:t>
      </w:r>
      <w:r>
        <w:rPr>
          <w:rFonts w:hAnsi="宋体"/>
          <w:color w:val="auto"/>
          <w:sz w:val="24"/>
          <w:highlight w:val="none"/>
        </w:rPr>
        <w:t>。</w:t>
      </w:r>
    </w:p>
    <w:p w14:paraId="0A3970D2">
      <w:pPr>
        <w:pStyle w:val="11"/>
        <w:spacing w:line="440" w:lineRule="exact"/>
        <w:ind w:left="0" w:leftChars="0" w:firstLine="0" w:firstLineChars="0"/>
        <w:rPr>
          <w:rFonts w:ascii="宋体" w:hAnsi="宋体"/>
          <w:color w:val="auto"/>
          <w:highlight w:val="none"/>
        </w:rPr>
      </w:pPr>
      <w:r>
        <w:rPr>
          <w:rFonts w:ascii="宋体" w:hAnsi="宋体"/>
          <w:color w:val="auto"/>
          <w:highlight w:val="none"/>
        </w:rPr>
        <w:t>6.3若有必要，</w:t>
      </w:r>
      <w:r>
        <w:rPr>
          <w:rFonts w:hint="eastAsia" w:ascii="宋体" w:hAnsi="宋体"/>
          <w:color w:val="auto"/>
          <w:highlight w:val="none"/>
        </w:rPr>
        <w:t>采购代理机构</w:t>
      </w:r>
      <w:r>
        <w:rPr>
          <w:rFonts w:ascii="宋体" w:hAnsi="宋体"/>
          <w:color w:val="auto"/>
          <w:highlight w:val="none"/>
        </w:rPr>
        <w:t>将酌情延长递交</w:t>
      </w:r>
      <w:r>
        <w:rPr>
          <w:rFonts w:hint="eastAsia" w:ascii="宋体" w:hAnsi="宋体"/>
          <w:color w:val="auto"/>
          <w:highlight w:val="none"/>
        </w:rPr>
        <w:t>磋商响应</w:t>
      </w:r>
      <w:r>
        <w:rPr>
          <w:rFonts w:ascii="宋体" w:hAnsi="宋体"/>
          <w:color w:val="auto"/>
          <w:highlight w:val="none"/>
        </w:rPr>
        <w:t>文件的截止日期。</w:t>
      </w:r>
    </w:p>
    <w:p w14:paraId="441605B7">
      <w:pPr>
        <w:pStyle w:val="12"/>
        <w:tabs>
          <w:tab w:val="left" w:pos="900"/>
        </w:tabs>
        <w:spacing w:line="440" w:lineRule="exact"/>
        <w:rPr>
          <w:rFonts w:hAnsi="宋体"/>
          <w:b/>
          <w:color w:val="auto"/>
          <w:sz w:val="24"/>
          <w:highlight w:val="none"/>
        </w:rPr>
      </w:pPr>
      <w:r>
        <w:rPr>
          <w:rFonts w:hAnsi="宋体"/>
          <w:b/>
          <w:color w:val="auto"/>
          <w:sz w:val="24"/>
          <w:highlight w:val="none"/>
        </w:rPr>
        <w:t>7</w:t>
      </w:r>
      <w:r>
        <w:rPr>
          <w:rFonts w:hint="eastAsia" w:hAnsi="宋体"/>
          <w:b/>
          <w:color w:val="auto"/>
          <w:sz w:val="24"/>
          <w:highlight w:val="none"/>
        </w:rPr>
        <w:t>.磋商响应</w:t>
      </w:r>
      <w:r>
        <w:rPr>
          <w:rFonts w:hAnsi="宋体"/>
          <w:b/>
          <w:color w:val="auto"/>
          <w:sz w:val="24"/>
          <w:highlight w:val="none"/>
        </w:rPr>
        <w:t>报价</w:t>
      </w:r>
    </w:p>
    <w:p w14:paraId="33FD0B0A">
      <w:pPr>
        <w:pStyle w:val="12"/>
        <w:spacing w:line="360" w:lineRule="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1</w:t>
      </w:r>
      <w:r>
        <w:rPr>
          <w:rFonts w:hAnsi="宋体"/>
          <w:color w:val="auto"/>
          <w:sz w:val="24"/>
          <w:szCs w:val="24"/>
          <w:highlight w:val="none"/>
        </w:rPr>
        <w:t>标的物</w:t>
      </w:r>
    </w:p>
    <w:tbl>
      <w:tblPr>
        <w:tblStyle w:val="24"/>
        <w:tblW w:w="6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1"/>
        <w:gridCol w:w="1473"/>
      </w:tblGrid>
      <w:tr w14:paraId="7C4A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1" w:type="dxa"/>
            <w:tcBorders>
              <w:top w:val="single" w:color="auto" w:sz="4" w:space="0"/>
              <w:left w:val="single" w:color="auto" w:sz="4" w:space="0"/>
              <w:bottom w:val="single" w:color="auto" w:sz="4" w:space="0"/>
              <w:right w:val="single" w:color="auto" w:sz="4" w:space="0"/>
            </w:tcBorders>
            <w:vAlign w:val="center"/>
          </w:tcPr>
          <w:p w14:paraId="3A6D52D7">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473" w:type="dxa"/>
            <w:tcBorders>
              <w:top w:val="single" w:color="auto" w:sz="4" w:space="0"/>
              <w:left w:val="single" w:color="auto" w:sz="4" w:space="0"/>
              <w:bottom w:val="single" w:color="auto" w:sz="4" w:space="0"/>
              <w:right w:val="single" w:color="auto" w:sz="4" w:space="0"/>
            </w:tcBorders>
            <w:vAlign w:val="center"/>
          </w:tcPr>
          <w:p w14:paraId="1F17137B">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79E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1" w:type="dxa"/>
            <w:tcBorders>
              <w:top w:val="single" w:color="auto" w:sz="4" w:space="0"/>
              <w:left w:val="single" w:color="auto" w:sz="4" w:space="0"/>
              <w:bottom w:val="single" w:color="auto" w:sz="4" w:space="0"/>
              <w:right w:val="single" w:color="auto" w:sz="4" w:space="0"/>
            </w:tcBorders>
            <w:vAlign w:val="center"/>
          </w:tcPr>
          <w:p w14:paraId="7FB69509">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浙江省离休干部红色档案挖掘保护和宣传展示项目</w:t>
            </w:r>
          </w:p>
        </w:tc>
        <w:tc>
          <w:tcPr>
            <w:tcW w:w="1473" w:type="dxa"/>
            <w:tcBorders>
              <w:top w:val="single" w:color="auto" w:sz="4" w:space="0"/>
              <w:left w:val="single" w:color="auto" w:sz="4" w:space="0"/>
              <w:bottom w:val="single" w:color="auto" w:sz="4" w:space="0"/>
              <w:right w:val="single" w:color="auto" w:sz="4" w:space="0"/>
            </w:tcBorders>
            <w:vAlign w:val="center"/>
          </w:tcPr>
          <w:p w14:paraId="33C17DAC">
            <w:pPr>
              <w:widowControl/>
              <w:tabs>
                <w:tab w:val="left" w:pos="720"/>
              </w:tabs>
              <w:spacing w:before="67" w:after="67" w:line="360" w:lineRule="auto"/>
              <w:ind w:left="67" w:right="67"/>
              <w:jc w:val="center"/>
              <w:rPr>
                <w:rFonts w:ascii="宋体" w:hAnsi="宋体"/>
                <w:color w:val="auto"/>
                <w:sz w:val="24"/>
                <w:highlight w:val="none"/>
              </w:rPr>
            </w:pPr>
            <w:r>
              <w:rPr>
                <w:rFonts w:hint="eastAsia" w:ascii="宋体" w:hAnsi="宋体"/>
                <w:color w:val="auto"/>
                <w:sz w:val="24"/>
                <w:highlight w:val="none"/>
              </w:rPr>
              <w:t>1项</w:t>
            </w:r>
          </w:p>
        </w:tc>
      </w:tr>
    </w:tbl>
    <w:p w14:paraId="1760832E">
      <w:pPr>
        <w:pStyle w:val="12"/>
        <w:spacing w:line="360" w:lineRule="auto"/>
        <w:rPr>
          <w:rFonts w:hAnsi="宋体"/>
          <w:color w:val="auto"/>
          <w:sz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2有关费用处理</w:t>
      </w:r>
    </w:p>
    <w:p w14:paraId="1F249DD8">
      <w:pPr>
        <w:pStyle w:val="12"/>
        <w:spacing w:line="440" w:lineRule="exact"/>
        <w:ind w:firstLine="560"/>
        <w:rPr>
          <w:rFonts w:hAnsi="宋体"/>
          <w:color w:val="auto"/>
          <w:sz w:val="24"/>
          <w:highlight w:val="none"/>
        </w:rPr>
      </w:pPr>
      <w:r>
        <w:rPr>
          <w:rFonts w:hint="eastAsia" w:hAnsi="宋体"/>
          <w:color w:val="auto"/>
          <w:sz w:val="24"/>
          <w:highlight w:val="none"/>
        </w:rPr>
        <w:t>磋商响应报价应以人民币为结算货币。磋商响应报价</w:t>
      </w:r>
      <w:r>
        <w:rPr>
          <w:rFonts w:hint="eastAsia"/>
          <w:color w:val="auto"/>
          <w:sz w:val="24"/>
          <w:szCs w:val="24"/>
          <w:highlight w:val="none"/>
        </w:rPr>
        <w:t>应包括本项目整个服务期所需的一切费用（包含须由投标人承担的各种税费）、其它需</w:t>
      </w:r>
      <w:r>
        <w:rPr>
          <w:rFonts w:hint="eastAsia"/>
          <w:color w:val="auto"/>
          <w:sz w:val="24"/>
          <w:szCs w:val="24"/>
          <w:highlight w:val="none"/>
          <w:lang w:val="en-US" w:eastAsia="zh-CN"/>
        </w:rPr>
        <w:t>供应商</w:t>
      </w:r>
      <w:r>
        <w:rPr>
          <w:rFonts w:hint="eastAsia"/>
          <w:color w:val="auto"/>
          <w:sz w:val="24"/>
          <w:szCs w:val="24"/>
          <w:highlight w:val="none"/>
        </w:rPr>
        <w:t>承担的费用及潜在可能涉及的一切费用。</w:t>
      </w:r>
      <w:r>
        <w:rPr>
          <w:rFonts w:hint="eastAsia"/>
          <w:color w:val="auto"/>
          <w:sz w:val="24"/>
          <w:szCs w:val="24"/>
          <w:highlight w:val="none"/>
          <w:lang w:val="en-US" w:eastAsia="zh-CN"/>
        </w:rPr>
        <w:t>供应商</w:t>
      </w:r>
      <w:bookmarkStart w:id="20" w:name="_GoBack"/>
      <w:bookmarkEnd w:id="20"/>
      <w:r>
        <w:rPr>
          <w:rFonts w:hint="eastAsia"/>
          <w:color w:val="auto"/>
          <w:sz w:val="24"/>
          <w:szCs w:val="24"/>
          <w:highlight w:val="none"/>
        </w:rPr>
        <w:t>应认真计算可能发生的各相关费用并计入投标报价内，在项目实施过程中不得藉此要求增加任何费用。如上述没有提及但该项目仍需要的内容，请投标人自行考虑一并计入投标报价中（未计入的，视为</w:t>
      </w:r>
      <w:r>
        <w:rPr>
          <w:rFonts w:hint="eastAsia"/>
          <w:color w:val="auto"/>
          <w:sz w:val="24"/>
          <w:szCs w:val="24"/>
          <w:highlight w:val="none"/>
          <w:lang w:val="en-US" w:eastAsia="zh-CN"/>
        </w:rPr>
        <w:t>供应商</w:t>
      </w:r>
      <w:r>
        <w:rPr>
          <w:rFonts w:hint="eastAsia"/>
          <w:color w:val="auto"/>
          <w:sz w:val="24"/>
          <w:szCs w:val="24"/>
          <w:highlight w:val="none"/>
        </w:rPr>
        <w:t>的优惠）</w:t>
      </w:r>
      <w:r>
        <w:rPr>
          <w:rFonts w:hint="eastAsia" w:hAnsi="宋体"/>
          <w:color w:val="auto"/>
          <w:sz w:val="24"/>
          <w:highlight w:val="none"/>
          <w:lang w:eastAsia="zh-CN"/>
        </w:rPr>
        <w:t>。</w:t>
      </w:r>
      <w:r>
        <w:rPr>
          <w:rFonts w:hint="eastAsia" w:hAnsi="宋体"/>
          <w:color w:val="auto"/>
          <w:sz w:val="24"/>
          <w:highlight w:val="none"/>
        </w:rPr>
        <w:t>如有漏项，视同已包含在其总项目中，成交后合同总价不做调整。</w:t>
      </w:r>
    </w:p>
    <w:p w14:paraId="7C728B2B">
      <w:pPr>
        <w:pStyle w:val="12"/>
        <w:spacing w:line="360" w:lineRule="auto"/>
        <w:rPr>
          <w:rFonts w:hAnsi="宋体"/>
          <w:color w:val="auto"/>
          <w:sz w:val="24"/>
          <w:highlight w:val="none"/>
        </w:rPr>
      </w:pPr>
      <w:r>
        <w:rPr>
          <w:rFonts w:hAnsi="宋体"/>
          <w:color w:val="auto"/>
          <w:sz w:val="24"/>
          <w:szCs w:val="24"/>
          <w:highlight w:val="none"/>
        </w:rPr>
        <w:t>7</w:t>
      </w:r>
      <w:r>
        <w:rPr>
          <w:rFonts w:hint="eastAsia" w:hAnsi="宋体"/>
          <w:color w:val="auto"/>
          <w:sz w:val="24"/>
          <w:szCs w:val="24"/>
          <w:highlight w:val="none"/>
        </w:rPr>
        <w:t>.</w:t>
      </w:r>
      <w:r>
        <w:rPr>
          <w:rFonts w:hAnsi="宋体"/>
          <w:color w:val="auto"/>
          <w:sz w:val="24"/>
          <w:szCs w:val="24"/>
          <w:highlight w:val="none"/>
        </w:rPr>
        <w:t>3其它费</w:t>
      </w:r>
      <w:r>
        <w:rPr>
          <w:rFonts w:hAnsi="宋体"/>
          <w:color w:val="auto"/>
          <w:sz w:val="24"/>
          <w:highlight w:val="none"/>
        </w:rPr>
        <w:t>用处理</w:t>
      </w:r>
    </w:p>
    <w:p w14:paraId="171CAF49">
      <w:pPr>
        <w:pStyle w:val="12"/>
        <w:spacing w:line="360" w:lineRule="auto"/>
        <w:ind w:firstLine="560"/>
        <w:rPr>
          <w:rFonts w:hAnsi="宋体"/>
          <w:color w:val="auto"/>
          <w:sz w:val="24"/>
          <w:highlight w:val="none"/>
        </w:rPr>
      </w:pPr>
      <w:r>
        <w:rPr>
          <w:rFonts w:hAnsi="宋体"/>
          <w:color w:val="auto"/>
          <w:sz w:val="24"/>
          <w:highlight w:val="none"/>
        </w:rPr>
        <w:t>磋商采购文件未列明，而</w:t>
      </w:r>
      <w:r>
        <w:rPr>
          <w:rFonts w:hint="eastAsia" w:hAnsi="宋体"/>
          <w:color w:val="auto"/>
          <w:sz w:val="24"/>
          <w:highlight w:val="none"/>
        </w:rPr>
        <w:t>磋商响应方</w:t>
      </w:r>
      <w:r>
        <w:rPr>
          <w:rFonts w:hAnsi="宋体"/>
          <w:color w:val="auto"/>
          <w:sz w:val="24"/>
          <w:highlight w:val="none"/>
        </w:rPr>
        <w:t>认为必需的费用也需列入报价。</w:t>
      </w:r>
    </w:p>
    <w:p w14:paraId="42B355A1">
      <w:pPr>
        <w:pStyle w:val="12"/>
        <w:spacing w:line="360" w:lineRule="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4</w:t>
      </w:r>
      <w:r>
        <w:rPr>
          <w:rFonts w:hint="eastAsia" w:hAnsi="宋体"/>
          <w:color w:val="auto"/>
          <w:sz w:val="24"/>
          <w:szCs w:val="24"/>
          <w:highlight w:val="none"/>
        </w:rPr>
        <w:t>磋商响应</w:t>
      </w:r>
      <w:r>
        <w:rPr>
          <w:rFonts w:hAnsi="宋体"/>
          <w:color w:val="auto"/>
          <w:sz w:val="24"/>
          <w:szCs w:val="24"/>
          <w:highlight w:val="none"/>
        </w:rPr>
        <w:t>货币</w:t>
      </w:r>
    </w:p>
    <w:p w14:paraId="36611A2F">
      <w:pPr>
        <w:spacing w:line="360" w:lineRule="auto"/>
        <w:ind w:firstLine="573"/>
        <w:jc w:val="left"/>
        <w:rPr>
          <w:rFonts w:ascii="宋体" w:hAnsi="宋体"/>
          <w:color w:val="auto"/>
          <w:sz w:val="24"/>
          <w:highlight w:val="none"/>
        </w:rPr>
      </w:pPr>
      <w:r>
        <w:rPr>
          <w:rFonts w:hint="eastAsia" w:ascii="宋体" w:hAnsi="宋体"/>
          <w:color w:val="auto"/>
          <w:sz w:val="24"/>
          <w:highlight w:val="none"/>
        </w:rPr>
        <w:t>磋商响应</w:t>
      </w:r>
      <w:r>
        <w:rPr>
          <w:rFonts w:ascii="宋体" w:hAnsi="宋体"/>
          <w:color w:val="auto"/>
          <w:sz w:val="24"/>
          <w:highlight w:val="none"/>
        </w:rPr>
        <w:t>文件中的单价和总价全部采用人民币报价。报价应是唯一的,采购</w:t>
      </w:r>
      <w:r>
        <w:rPr>
          <w:rFonts w:hint="eastAsia" w:ascii="宋体" w:hAnsi="宋体"/>
          <w:color w:val="auto"/>
          <w:sz w:val="24"/>
          <w:highlight w:val="none"/>
        </w:rPr>
        <w:t>代理</w:t>
      </w:r>
      <w:r>
        <w:rPr>
          <w:rFonts w:ascii="宋体" w:hAnsi="宋体"/>
          <w:color w:val="auto"/>
          <w:sz w:val="24"/>
          <w:highlight w:val="none"/>
        </w:rPr>
        <w:t>机构有权利不接受有选择的报价。</w:t>
      </w:r>
    </w:p>
    <w:p w14:paraId="2B0EDE2A">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三、</w:t>
      </w:r>
      <w:r>
        <w:rPr>
          <w:rFonts w:hint="eastAsia" w:ascii="Times New Roman" w:hAnsi="宋体"/>
          <w:b/>
          <w:bCs/>
          <w:color w:val="auto"/>
          <w:sz w:val="24"/>
          <w:highlight w:val="none"/>
        </w:rPr>
        <w:t>磋商响应</w:t>
      </w:r>
      <w:r>
        <w:rPr>
          <w:rFonts w:ascii="Times New Roman" w:hAnsi="宋体"/>
          <w:b/>
          <w:bCs/>
          <w:color w:val="auto"/>
          <w:sz w:val="24"/>
          <w:highlight w:val="none"/>
        </w:rPr>
        <w:t>文件的编制</w:t>
      </w:r>
    </w:p>
    <w:p w14:paraId="2E56F69D">
      <w:pPr>
        <w:pStyle w:val="12"/>
        <w:spacing w:line="440" w:lineRule="exact"/>
        <w:rPr>
          <w:rFonts w:hAnsi="宋体"/>
          <w:b/>
          <w:color w:val="auto"/>
          <w:sz w:val="24"/>
          <w:highlight w:val="none"/>
        </w:rPr>
      </w:pPr>
      <w:r>
        <w:rPr>
          <w:rFonts w:hAnsi="宋体"/>
          <w:b/>
          <w:color w:val="auto"/>
          <w:sz w:val="24"/>
          <w:highlight w:val="none"/>
        </w:rPr>
        <w:t>8</w:t>
      </w:r>
      <w:r>
        <w:rPr>
          <w:rFonts w:hint="eastAsia" w:hAnsi="宋体"/>
          <w:b/>
          <w:color w:val="auto"/>
          <w:sz w:val="24"/>
          <w:highlight w:val="none"/>
        </w:rPr>
        <w:t>.磋商响应</w:t>
      </w:r>
      <w:r>
        <w:rPr>
          <w:rFonts w:hAnsi="宋体"/>
          <w:b/>
          <w:color w:val="auto"/>
          <w:sz w:val="24"/>
          <w:highlight w:val="none"/>
        </w:rPr>
        <w:t>文件的语言</w:t>
      </w:r>
    </w:p>
    <w:p w14:paraId="0C255CDD">
      <w:pPr>
        <w:pStyle w:val="12"/>
        <w:spacing w:line="440" w:lineRule="exact"/>
        <w:rPr>
          <w:rFonts w:hAnsi="宋体"/>
          <w:color w:val="auto"/>
          <w:sz w:val="24"/>
          <w:highlight w:val="none"/>
        </w:rPr>
      </w:pPr>
      <w:r>
        <w:rPr>
          <w:rFonts w:hint="eastAsia" w:hAnsi="宋体"/>
          <w:color w:val="auto"/>
          <w:sz w:val="24"/>
          <w:highlight w:val="none"/>
        </w:rPr>
        <w:t>磋商响应</w:t>
      </w:r>
      <w:r>
        <w:rPr>
          <w:rFonts w:hAnsi="宋体"/>
          <w:color w:val="auto"/>
          <w:sz w:val="24"/>
          <w:highlight w:val="none"/>
        </w:rPr>
        <w:t>文件及</w:t>
      </w:r>
      <w:r>
        <w:rPr>
          <w:rFonts w:hint="eastAsia" w:hAnsi="宋体"/>
          <w:color w:val="auto"/>
          <w:sz w:val="24"/>
          <w:highlight w:val="none"/>
        </w:rPr>
        <w:t>磋商响应方</w:t>
      </w:r>
      <w:r>
        <w:rPr>
          <w:rFonts w:hAnsi="宋体"/>
          <w:color w:val="auto"/>
          <w:sz w:val="24"/>
          <w:highlight w:val="none"/>
        </w:rPr>
        <w:t>与采购有关的来往通知、函件和文件均应使用中文。</w:t>
      </w:r>
    </w:p>
    <w:p w14:paraId="5AEF0642">
      <w:pPr>
        <w:pStyle w:val="12"/>
        <w:spacing w:line="440" w:lineRule="exact"/>
        <w:rPr>
          <w:rFonts w:hAnsi="宋体"/>
          <w:b/>
          <w:color w:val="auto"/>
          <w:sz w:val="24"/>
          <w:highlight w:val="none"/>
        </w:rPr>
      </w:pPr>
      <w:r>
        <w:rPr>
          <w:rFonts w:hAnsi="宋体"/>
          <w:b/>
          <w:color w:val="auto"/>
          <w:sz w:val="24"/>
          <w:highlight w:val="none"/>
        </w:rPr>
        <w:t>9</w:t>
      </w:r>
      <w:r>
        <w:rPr>
          <w:rFonts w:hint="eastAsia" w:hAnsi="宋体"/>
          <w:b/>
          <w:color w:val="auto"/>
          <w:sz w:val="24"/>
          <w:highlight w:val="none"/>
        </w:rPr>
        <w:t>.磋商响应</w:t>
      </w:r>
      <w:r>
        <w:rPr>
          <w:rFonts w:hAnsi="宋体"/>
          <w:b/>
          <w:color w:val="auto"/>
          <w:sz w:val="24"/>
          <w:highlight w:val="none"/>
        </w:rPr>
        <w:t>文件的组成</w:t>
      </w:r>
    </w:p>
    <w:p w14:paraId="1F4A4C2D">
      <w:pPr>
        <w:pStyle w:val="12"/>
        <w:spacing w:line="440" w:lineRule="exact"/>
        <w:rPr>
          <w:rFonts w:hAnsi="宋体"/>
          <w:color w:val="auto"/>
          <w:sz w:val="24"/>
          <w:highlight w:val="none"/>
        </w:rPr>
      </w:pPr>
      <w:r>
        <w:rPr>
          <w:rFonts w:hAnsi="宋体" w:cs="仿宋_GB2312"/>
          <w:color w:val="auto"/>
          <w:sz w:val="24"/>
          <w:szCs w:val="24"/>
          <w:highlight w:val="none"/>
          <w:lang w:val="zh-CN"/>
        </w:rPr>
        <w:t>9</w:t>
      </w:r>
      <w:r>
        <w:rPr>
          <w:rFonts w:hint="eastAsia" w:hAnsi="宋体" w:cs="仿宋_GB2312"/>
          <w:color w:val="auto"/>
          <w:sz w:val="24"/>
          <w:szCs w:val="24"/>
          <w:highlight w:val="none"/>
          <w:lang w:val="zh-CN"/>
        </w:rPr>
        <w:t>.</w:t>
      </w:r>
      <w:r>
        <w:rPr>
          <w:rFonts w:hAnsi="宋体" w:cs="仿宋_GB2312"/>
          <w:color w:val="auto"/>
          <w:sz w:val="24"/>
          <w:szCs w:val="24"/>
          <w:highlight w:val="none"/>
          <w:lang w:val="zh-CN"/>
        </w:rPr>
        <w:t>1</w:t>
      </w:r>
      <w:r>
        <w:rPr>
          <w:rFonts w:hint="eastAsia" w:hAnsi="宋体"/>
          <w:color w:val="auto"/>
          <w:sz w:val="24"/>
          <w:highlight w:val="none"/>
        </w:rPr>
        <w:t>磋商响应文件应由</w:t>
      </w:r>
      <w:r>
        <w:rPr>
          <w:rFonts w:hint="eastAsia" w:hAnsi="宋体"/>
          <w:b/>
          <w:color w:val="auto"/>
          <w:sz w:val="24"/>
          <w:highlight w:val="none"/>
        </w:rPr>
        <w:t>：</w:t>
      </w:r>
      <w:r>
        <w:rPr>
          <w:rFonts w:hint="eastAsia" w:ascii="Times New Roman" w:hAnsi="宋体"/>
          <w:b/>
          <w:color w:val="auto"/>
          <w:sz w:val="24"/>
          <w:highlight w:val="none"/>
        </w:rPr>
        <w:t>报价文件</w:t>
      </w:r>
      <w:r>
        <w:rPr>
          <w:rFonts w:hint="eastAsia" w:ascii="Times New Roman" w:hAnsi="宋体"/>
          <w:color w:val="auto"/>
          <w:sz w:val="24"/>
          <w:highlight w:val="none"/>
        </w:rPr>
        <w:t>、</w:t>
      </w:r>
      <w:r>
        <w:rPr>
          <w:rFonts w:hint="eastAsia" w:ascii="Times New Roman" w:hAnsi="宋体"/>
          <w:b/>
          <w:color w:val="auto"/>
          <w:sz w:val="24"/>
          <w:highlight w:val="none"/>
        </w:rPr>
        <w:t>技术商务文件</w:t>
      </w:r>
      <w:r>
        <w:rPr>
          <w:rFonts w:hint="eastAsia" w:ascii="Times New Roman" w:hAnsi="宋体"/>
          <w:color w:val="auto"/>
          <w:sz w:val="24"/>
          <w:highlight w:val="none"/>
        </w:rPr>
        <w:t>、</w:t>
      </w:r>
      <w:r>
        <w:rPr>
          <w:rFonts w:hint="eastAsia" w:ascii="Times New Roman" w:hAnsi="宋体"/>
          <w:b/>
          <w:color w:val="auto"/>
          <w:sz w:val="24"/>
          <w:highlight w:val="none"/>
        </w:rPr>
        <w:t>资格证明文件</w:t>
      </w:r>
      <w:r>
        <w:rPr>
          <w:rFonts w:hint="eastAsia" w:ascii="Times New Roman" w:hAnsi="宋体"/>
          <w:color w:val="auto"/>
          <w:sz w:val="24"/>
          <w:highlight w:val="none"/>
        </w:rPr>
        <w:t>组成。</w:t>
      </w:r>
      <w:r>
        <w:rPr>
          <w:rFonts w:hint="eastAsia" w:hAnsi="宋体" w:cs="宋体"/>
          <w:b/>
          <w:bCs/>
          <w:color w:val="auto"/>
          <w:kern w:val="0"/>
          <w:sz w:val="24"/>
          <w:highlight w:val="none"/>
          <w:lang w:val="zh-CN"/>
        </w:rPr>
        <w:t>（其中电子</w:t>
      </w:r>
      <w:r>
        <w:rPr>
          <w:rFonts w:hint="eastAsia" w:hAnsi="宋体" w:cs="宋体"/>
          <w:b/>
          <w:bCs/>
          <w:color w:val="auto"/>
          <w:kern w:val="0"/>
          <w:sz w:val="24"/>
          <w:highlight w:val="none"/>
        </w:rPr>
        <w:t>磋商</w:t>
      </w:r>
      <w:r>
        <w:rPr>
          <w:rFonts w:hint="eastAsia" w:hAnsi="宋体" w:cs="宋体"/>
          <w:b/>
          <w:bCs/>
          <w:color w:val="auto"/>
          <w:kern w:val="0"/>
          <w:sz w:val="24"/>
          <w:highlight w:val="none"/>
          <w:lang w:val="zh-CN"/>
        </w:rPr>
        <w:t>响应文件中所须加盖公章部分均采用CA签章）</w:t>
      </w:r>
    </w:p>
    <w:p w14:paraId="74E7814F">
      <w:pPr>
        <w:pStyle w:val="12"/>
        <w:spacing w:line="440" w:lineRule="exact"/>
        <w:rPr>
          <w:rFonts w:hAnsi="宋体"/>
          <w:color w:val="auto"/>
          <w:sz w:val="24"/>
          <w:highlight w:val="none"/>
        </w:rPr>
      </w:pPr>
      <w:r>
        <w:rPr>
          <w:rFonts w:hint="eastAsia" w:hAnsi="宋体" w:cs="仿宋_GB2312"/>
          <w:color w:val="auto"/>
          <w:sz w:val="24"/>
          <w:szCs w:val="24"/>
          <w:highlight w:val="none"/>
          <w:lang w:val="zh-CN"/>
        </w:rPr>
        <w:t>9.</w:t>
      </w:r>
      <w:r>
        <w:rPr>
          <w:rFonts w:hAnsi="宋体"/>
          <w:color w:val="auto"/>
          <w:sz w:val="24"/>
          <w:highlight w:val="none"/>
        </w:rPr>
        <w:t>2</w:t>
      </w:r>
      <w:r>
        <w:rPr>
          <w:rFonts w:hint="eastAsia" w:hAnsi="宋体"/>
          <w:color w:val="auto"/>
          <w:sz w:val="24"/>
          <w:highlight w:val="none"/>
        </w:rPr>
        <w:t>磋商响应方的</w:t>
      </w:r>
      <w:r>
        <w:rPr>
          <w:rFonts w:hint="eastAsia" w:ascii="Times New Roman" w:hAnsi="宋体"/>
          <w:b/>
          <w:color w:val="auto"/>
          <w:sz w:val="24"/>
          <w:highlight w:val="none"/>
        </w:rPr>
        <w:t>报价文件</w:t>
      </w:r>
      <w:r>
        <w:rPr>
          <w:rFonts w:hint="eastAsia" w:hAnsi="宋体"/>
          <w:color w:val="auto"/>
          <w:sz w:val="24"/>
          <w:highlight w:val="none"/>
        </w:rPr>
        <w:t>至少应包括以下内容（均须加盖公章）：</w:t>
      </w:r>
    </w:p>
    <w:p w14:paraId="059C6A5F">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highlight w:val="none"/>
        </w:rPr>
        <w:t>（1）磋商响应函；</w:t>
      </w:r>
    </w:p>
    <w:p w14:paraId="59E8B8CC">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highlight w:val="none"/>
        </w:rPr>
        <w:t>（2）初次报价一览表；</w:t>
      </w:r>
    </w:p>
    <w:p w14:paraId="78155D57">
      <w:pPr>
        <w:pStyle w:val="12"/>
        <w:tabs>
          <w:tab w:val="left" w:pos="1800"/>
        </w:tabs>
        <w:spacing w:line="460" w:lineRule="exact"/>
        <w:ind w:firstLine="480" w:firstLineChars="200"/>
        <w:rPr>
          <w:rFonts w:hAnsi="宋体"/>
          <w:color w:val="auto"/>
          <w:sz w:val="24"/>
          <w:highlight w:val="none"/>
        </w:rPr>
      </w:pPr>
      <w:r>
        <w:rPr>
          <w:rFonts w:hint="eastAsia" w:hAnsi="宋体"/>
          <w:color w:val="auto"/>
          <w:sz w:val="24"/>
          <w:szCs w:val="24"/>
          <w:highlight w:val="none"/>
        </w:rPr>
        <w:t>（3）</w:t>
      </w:r>
      <w:r>
        <w:rPr>
          <w:rFonts w:hint="eastAsia" w:hAnsi="宋体"/>
          <w:color w:val="auto"/>
          <w:sz w:val="24"/>
          <w:highlight w:val="none"/>
        </w:rPr>
        <w:t>报价明细清单；</w:t>
      </w:r>
    </w:p>
    <w:p w14:paraId="3B24EA86">
      <w:pPr>
        <w:pStyle w:val="12"/>
        <w:spacing w:line="440" w:lineRule="exact"/>
        <w:ind w:firstLine="480"/>
        <w:rPr>
          <w:rFonts w:ascii="Times New Roman" w:hAnsi="Times New Roman"/>
          <w:color w:val="auto"/>
          <w:sz w:val="24"/>
          <w:highlight w:val="none"/>
        </w:rPr>
      </w:pPr>
      <w:r>
        <w:rPr>
          <w:rFonts w:hint="eastAsia" w:hAnsi="宋体"/>
          <w:color w:val="auto"/>
          <w:sz w:val="24"/>
          <w:highlight w:val="none"/>
        </w:rPr>
        <w:t>（4）</w:t>
      </w:r>
      <w:r>
        <w:rPr>
          <w:rFonts w:hint="eastAsia" w:ascii="Times New Roman" w:hAnsi="Times New Roman"/>
          <w:color w:val="auto"/>
          <w:sz w:val="24"/>
          <w:highlight w:val="none"/>
        </w:rPr>
        <w:t>其它报价相关材料（如有）。</w:t>
      </w:r>
    </w:p>
    <w:p w14:paraId="40B6B92F">
      <w:pPr>
        <w:pStyle w:val="12"/>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Ansi="宋体"/>
          <w:color w:val="auto"/>
          <w:sz w:val="24"/>
          <w:highlight w:val="none"/>
        </w:rPr>
      </w:pPr>
      <w:r>
        <w:rPr>
          <w:rFonts w:hint="eastAsia" w:hAnsi="宋体" w:cs="仿宋_GB2312"/>
          <w:color w:val="auto"/>
          <w:sz w:val="24"/>
          <w:szCs w:val="24"/>
          <w:highlight w:val="none"/>
          <w:lang w:val="zh-CN"/>
        </w:rPr>
        <w:t>9.3</w:t>
      </w:r>
      <w:r>
        <w:rPr>
          <w:rFonts w:hint="eastAsia" w:hAnsi="宋体"/>
          <w:color w:val="auto"/>
          <w:sz w:val="24"/>
          <w:highlight w:val="none"/>
        </w:rPr>
        <w:t>磋商响应方的</w:t>
      </w:r>
      <w:r>
        <w:rPr>
          <w:rFonts w:hint="eastAsia" w:ascii="Times New Roman" w:hAnsi="宋体"/>
          <w:b/>
          <w:color w:val="auto"/>
          <w:sz w:val="24"/>
          <w:highlight w:val="none"/>
        </w:rPr>
        <w:t>技术</w:t>
      </w:r>
      <w:r>
        <w:rPr>
          <w:rFonts w:hint="eastAsia" w:hAnsi="宋体"/>
          <w:b/>
          <w:color w:val="auto"/>
          <w:sz w:val="24"/>
          <w:highlight w:val="none"/>
        </w:rPr>
        <w:t>商务文件</w:t>
      </w:r>
      <w:r>
        <w:rPr>
          <w:rFonts w:hint="eastAsia" w:hAnsi="宋体"/>
          <w:color w:val="auto"/>
          <w:sz w:val="24"/>
          <w:highlight w:val="none"/>
        </w:rPr>
        <w:t>至少应包括：针对本项目的技术和服务响应方案，技术和商务偏离说明表，采购文件要求提供的其他资料等（均须加盖公章）：</w:t>
      </w:r>
    </w:p>
    <w:p w14:paraId="6A232339">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highlight w:val="none"/>
        </w:rPr>
      </w:pPr>
      <w:r>
        <w:rPr>
          <w:rFonts w:hint="eastAsia" w:hAnsi="宋体"/>
          <w:color w:val="auto"/>
          <w:sz w:val="24"/>
          <w:highlight w:val="none"/>
        </w:rPr>
        <w:t>（1）法人授权委托书，法定代表人及被授权人的身份证（复印件）；</w:t>
      </w:r>
    </w:p>
    <w:p w14:paraId="190F538F">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highlight w:val="none"/>
        </w:rPr>
      </w:pPr>
      <w:r>
        <w:rPr>
          <w:rFonts w:hint="eastAsia" w:hAnsi="宋体"/>
          <w:color w:val="auto"/>
          <w:sz w:val="24"/>
          <w:highlight w:val="none"/>
        </w:rPr>
        <w:t>（2）声明书；</w:t>
      </w:r>
    </w:p>
    <w:p w14:paraId="6711A595">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b/>
          <w:color w:val="auto"/>
          <w:sz w:val="24"/>
          <w:highlight w:val="none"/>
        </w:rPr>
      </w:pPr>
      <w:r>
        <w:rPr>
          <w:rFonts w:hint="eastAsia" w:hAnsi="宋体"/>
          <w:color w:val="auto"/>
          <w:sz w:val="24"/>
          <w:highlight w:val="none"/>
        </w:rPr>
        <w:t>（3）公司介绍及相关的主要业绩证明，</w:t>
      </w:r>
      <w:r>
        <w:rPr>
          <w:rFonts w:hAnsi="宋体"/>
          <w:color w:val="auto"/>
          <w:sz w:val="24"/>
          <w:highlight w:val="none"/>
        </w:rPr>
        <w:t>2</w:t>
      </w:r>
      <w:r>
        <w:rPr>
          <w:rFonts w:hint="eastAsia" w:hAnsi="宋体"/>
          <w:color w:val="auto"/>
          <w:sz w:val="24"/>
          <w:highlight w:val="none"/>
        </w:rPr>
        <w:t>02</w:t>
      </w:r>
      <w:r>
        <w:rPr>
          <w:rFonts w:hint="eastAsia" w:hAnsi="宋体"/>
          <w:color w:val="auto"/>
          <w:sz w:val="24"/>
          <w:highlight w:val="none"/>
          <w:lang w:val="en-US" w:eastAsia="zh-CN"/>
        </w:rPr>
        <w:t>2</w:t>
      </w:r>
      <w:r>
        <w:rPr>
          <w:rFonts w:hint="eastAsia" w:hAnsi="宋体"/>
          <w:color w:val="auto"/>
          <w:sz w:val="24"/>
          <w:highlight w:val="none"/>
        </w:rPr>
        <w:t>年1月1日以来磋商响应方承担类似项目情况，成功案例需提供合同复印件并加盖公章；</w:t>
      </w:r>
      <w:r>
        <w:rPr>
          <w:rFonts w:hint="eastAsia" w:hAnsi="宋体"/>
          <w:b/>
          <w:color w:val="auto"/>
          <w:sz w:val="24"/>
          <w:highlight w:val="none"/>
        </w:rPr>
        <w:t>如磋商响应方提供的合同复印件等证明材料与事实不符或与其无关，磋商小组将进行技术扣分直至认定投标无效。</w:t>
      </w:r>
    </w:p>
    <w:p w14:paraId="5D1F0EB9">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（4）</w:t>
      </w:r>
      <w:r>
        <w:rPr>
          <w:rFonts w:hAnsi="宋体"/>
          <w:color w:val="auto"/>
          <w:sz w:val="24"/>
          <w:highlight w:val="none"/>
        </w:rPr>
        <w:t>所有资</w:t>
      </w:r>
      <w:r>
        <w:rPr>
          <w:rFonts w:hint="eastAsia" w:hAnsi="宋体"/>
          <w:color w:val="auto"/>
          <w:sz w:val="24"/>
          <w:highlight w:val="none"/>
        </w:rPr>
        <w:t>信</w:t>
      </w:r>
      <w:r>
        <w:rPr>
          <w:rFonts w:hAnsi="宋体"/>
          <w:color w:val="auto"/>
          <w:sz w:val="24"/>
          <w:highlight w:val="none"/>
        </w:rPr>
        <w:t>文件</w:t>
      </w:r>
      <w:r>
        <w:rPr>
          <w:rFonts w:hint="eastAsia" w:hAnsi="宋体"/>
          <w:color w:val="auto"/>
          <w:sz w:val="24"/>
          <w:highlight w:val="none"/>
        </w:rPr>
        <w:t>（如果有）；</w:t>
      </w:r>
    </w:p>
    <w:p w14:paraId="245182CA">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（5）商务偏离说明表；</w:t>
      </w:r>
    </w:p>
    <w:p w14:paraId="73D08A9D">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Ansi="宋体"/>
          <w:color w:val="auto"/>
          <w:sz w:val="24"/>
          <w:highlight w:val="none"/>
        </w:rPr>
        <w:t>（</w:t>
      </w:r>
      <w:r>
        <w:rPr>
          <w:rFonts w:hint="eastAsia" w:hAnsi="宋体"/>
          <w:color w:val="auto"/>
          <w:sz w:val="24"/>
          <w:highlight w:val="none"/>
        </w:rPr>
        <w:t>6</w:t>
      </w:r>
      <w:r>
        <w:rPr>
          <w:rFonts w:hAnsi="宋体"/>
          <w:color w:val="auto"/>
          <w:sz w:val="24"/>
          <w:highlight w:val="none"/>
        </w:rPr>
        <w:t>）技术偏离说明表</w:t>
      </w:r>
      <w:r>
        <w:rPr>
          <w:rFonts w:hint="eastAsia" w:hAnsi="宋体"/>
          <w:color w:val="auto"/>
          <w:sz w:val="24"/>
          <w:highlight w:val="none"/>
        </w:rPr>
        <w:t>；</w:t>
      </w:r>
    </w:p>
    <w:p w14:paraId="1FF9278B">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（7）对本项目背景及现状分析；</w:t>
      </w:r>
    </w:p>
    <w:p w14:paraId="3B7DD6DD">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（8）提供针对本项目的完整技术解决方案，包括但不限于内容采写及融媒传播方案、</w:t>
      </w:r>
      <w:r>
        <w:rPr>
          <w:rFonts w:hint="eastAsia" w:hAnsi="宋体"/>
          <w:color w:val="auto"/>
          <w:sz w:val="24"/>
          <w:highlight w:val="none"/>
          <w:lang w:val="en-US" w:eastAsia="zh-CN"/>
        </w:rPr>
        <w:t>物件征集方案、主题展设计及布展方案、书籍出版服务方案、</w:t>
      </w:r>
      <w:r>
        <w:rPr>
          <w:rFonts w:hint="eastAsia" w:hAnsi="宋体"/>
          <w:color w:val="auto"/>
          <w:sz w:val="24"/>
          <w:highlight w:val="none"/>
        </w:rPr>
        <w:t>售后服务方案、应急响应方案等；</w:t>
      </w:r>
    </w:p>
    <w:p w14:paraId="5818EF9B">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（9）组织实施方案；</w:t>
      </w:r>
    </w:p>
    <w:p w14:paraId="64BFACE0">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（10）项目负责人、主要工作人员简介、职称证明及专业资格证书复印件等资料；</w:t>
      </w:r>
    </w:p>
    <w:p w14:paraId="0D1E6F67">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（11）服务承诺；</w:t>
      </w:r>
    </w:p>
    <w:p w14:paraId="5FAE6778">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（12）对采购文件中有关条款的拒绝声明（如果有）；</w:t>
      </w:r>
    </w:p>
    <w:p w14:paraId="1547F3EB">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highlight w:val="none"/>
        </w:rPr>
      </w:pPr>
      <w:r>
        <w:rPr>
          <w:rFonts w:hint="eastAsia" w:hAnsi="宋体"/>
          <w:color w:val="auto"/>
          <w:sz w:val="24"/>
          <w:highlight w:val="none"/>
        </w:rPr>
        <w:t>（13）磋商响应方认为需要的其他文件或说明；</w:t>
      </w:r>
    </w:p>
    <w:p w14:paraId="5EA8E985">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color w:val="auto"/>
          <w:highlight w:val="none"/>
        </w:rPr>
      </w:pPr>
      <w:r>
        <w:rPr>
          <w:rFonts w:hint="eastAsia" w:hAnsi="宋体"/>
          <w:color w:val="auto"/>
          <w:sz w:val="24"/>
          <w:highlight w:val="none"/>
        </w:rPr>
        <w:t>（14）廉政承诺书。</w:t>
      </w:r>
    </w:p>
    <w:p w14:paraId="3987C63B">
      <w:pPr>
        <w:pStyle w:val="12"/>
        <w:spacing w:line="360" w:lineRule="auto"/>
        <w:contextualSpacing/>
        <w:rPr>
          <w:rFonts w:ascii="Times New Roman" w:hAnsi="宋体"/>
          <w:color w:val="auto"/>
          <w:sz w:val="24"/>
          <w:highlight w:val="none"/>
        </w:rPr>
      </w:pPr>
      <w:r>
        <w:rPr>
          <w:rFonts w:hint="eastAsia" w:hAnsi="宋体"/>
          <w:color w:val="auto"/>
          <w:sz w:val="24"/>
          <w:highlight w:val="none"/>
        </w:rPr>
        <w:t>9.</w:t>
      </w:r>
      <w:r>
        <w:rPr>
          <w:rFonts w:hAnsi="宋体"/>
          <w:color w:val="auto"/>
          <w:sz w:val="24"/>
          <w:highlight w:val="none"/>
        </w:rPr>
        <w:t>4</w:t>
      </w:r>
      <w:r>
        <w:rPr>
          <w:rFonts w:hint="eastAsia" w:ascii="Times New Roman" w:hAnsi="宋体"/>
          <w:color w:val="auto"/>
          <w:sz w:val="24"/>
          <w:highlight w:val="none"/>
        </w:rPr>
        <w:t>磋商响应方的</w:t>
      </w:r>
      <w:r>
        <w:rPr>
          <w:rFonts w:hint="eastAsia" w:ascii="Times New Roman" w:hAnsi="宋体"/>
          <w:b/>
          <w:color w:val="auto"/>
          <w:sz w:val="24"/>
          <w:highlight w:val="none"/>
        </w:rPr>
        <w:t>资格证明文件</w:t>
      </w:r>
      <w:r>
        <w:rPr>
          <w:rFonts w:hint="eastAsia" w:ascii="Times New Roman" w:hAnsi="宋体"/>
          <w:color w:val="auto"/>
          <w:sz w:val="24"/>
          <w:highlight w:val="none"/>
        </w:rPr>
        <w:t>至少应包括：证明其为合格磋商响应方的有关资格证明材料，采购文件要求提供的其他资料等（均须加盖公章）。</w:t>
      </w:r>
    </w:p>
    <w:p w14:paraId="22D5FBBC">
      <w:pPr>
        <w:pStyle w:val="12"/>
        <w:spacing w:line="360" w:lineRule="auto"/>
        <w:ind w:firstLine="480" w:firstLineChars="200"/>
        <w:contextualSpacing/>
        <w:rPr>
          <w:rFonts w:hint="eastAsia" w:hAnsi="宋体" w:eastAsia="宋体"/>
          <w:color w:val="auto"/>
          <w:kern w:val="2"/>
          <w:sz w:val="24"/>
          <w:szCs w:val="24"/>
          <w:highlight w:val="none"/>
          <w:lang w:eastAsia="zh-CN"/>
        </w:rPr>
      </w:pPr>
      <w:r>
        <w:rPr>
          <w:rFonts w:hint="eastAsia" w:hAnsi="宋体"/>
          <w:color w:val="auto"/>
          <w:kern w:val="2"/>
          <w:sz w:val="24"/>
          <w:szCs w:val="24"/>
          <w:highlight w:val="none"/>
          <w:lang w:eastAsia="zh-CN"/>
        </w:rPr>
        <w:t>（</w:t>
      </w:r>
      <w:r>
        <w:rPr>
          <w:rFonts w:hint="eastAsia" w:hAnsi="宋体"/>
          <w:color w:val="auto"/>
          <w:kern w:val="2"/>
          <w:sz w:val="24"/>
          <w:szCs w:val="24"/>
          <w:highlight w:val="none"/>
          <w:lang w:val="en-US" w:eastAsia="zh-CN"/>
        </w:rPr>
        <w:t>1</w:t>
      </w:r>
      <w:r>
        <w:rPr>
          <w:rFonts w:hint="eastAsia" w:hAnsi="宋体"/>
          <w:color w:val="auto"/>
          <w:kern w:val="2"/>
          <w:sz w:val="24"/>
          <w:szCs w:val="24"/>
          <w:highlight w:val="none"/>
          <w:lang w:eastAsia="zh-CN"/>
        </w:rPr>
        <w:t>）</w:t>
      </w:r>
      <w:r>
        <w:rPr>
          <w:rFonts w:hint="eastAsia" w:hAnsi="宋体"/>
          <w:color w:val="auto"/>
          <w:sz w:val="24"/>
          <w:szCs w:val="24"/>
          <w:highlight w:val="none"/>
        </w:rPr>
        <w:t>有效的营业执照</w:t>
      </w:r>
      <w:r>
        <w:rPr>
          <w:rFonts w:hAnsi="宋体"/>
          <w:color w:val="auto"/>
          <w:sz w:val="24"/>
          <w:szCs w:val="24"/>
          <w:highlight w:val="none"/>
        </w:rPr>
        <w:t>副本</w:t>
      </w:r>
      <w:r>
        <w:rPr>
          <w:rFonts w:hint="eastAsia" w:hAnsi="宋体"/>
          <w:color w:val="auto"/>
          <w:sz w:val="24"/>
          <w:szCs w:val="24"/>
          <w:highlight w:val="none"/>
        </w:rPr>
        <w:t xml:space="preserve">(或其他工商等登记证明材料) </w:t>
      </w:r>
      <w:r>
        <w:rPr>
          <w:rFonts w:hint="eastAsia" w:hAnsi="宋体"/>
          <w:color w:val="auto"/>
          <w:sz w:val="24"/>
          <w:szCs w:val="24"/>
          <w:highlight w:val="none"/>
          <w:lang w:eastAsia="zh-CN"/>
        </w:rPr>
        <w:t>；</w:t>
      </w:r>
    </w:p>
    <w:p w14:paraId="47494A5A">
      <w:pPr>
        <w:pStyle w:val="12"/>
        <w:numPr>
          <w:ilvl w:val="0"/>
          <w:numId w:val="0"/>
        </w:numPr>
        <w:spacing w:line="360" w:lineRule="auto"/>
        <w:ind w:firstLine="480" w:firstLineChars="200"/>
        <w:contextualSpacing/>
        <w:rPr>
          <w:rFonts w:hAnsi="宋体"/>
          <w:color w:val="auto"/>
          <w:sz w:val="24"/>
          <w:highlight w:val="none"/>
        </w:rPr>
      </w:pPr>
      <w:r>
        <w:rPr>
          <w:rFonts w:ascii="宋体" w:hAnsi="宋体" w:eastAsia="宋体" w:cs="Times New Roman"/>
          <w:color w:val="auto"/>
          <w:kern w:val="2"/>
          <w:sz w:val="24"/>
          <w:szCs w:val="20"/>
          <w:highlight w:val="none"/>
          <w:lang w:val="en-US" w:eastAsia="zh-CN" w:bidi="ar-SA"/>
        </w:rPr>
        <w:t>（</w:t>
      </w:r>
      <w:r>
        <w:rPr>
          <w:rFonts w:hint="eastAsia" w:hAnsi="宋体" w:cs="Times New Roman"/>
          <w:color w:val="auto"/>
          <w:kern w:val="2"/>
          <w:sz w:val="24"/>
          <w:szCs w:val="20"/>
          <w:highlight w:val="none"/>
          <w:lang w:val="en-US" w:eastAsia="zh-CN" w:bidi="ar-SA"/>
        </w:rPr>
        <w:t>2</w:t>
      </w:r>
      <w:r>
        <w:rPr>
          <w:rFonts w:ascii="宋体" w:hAnsi="宋体" w:eastAsia="宋体" w:cs="Times New Roman"/>
          <w:color w:val="auto"/>
          <w:kern w:val="2"/>
          <w:sz w:val="24"/>
          <w:szCs w:val="20"/>
          <w:highlight w:val="none"/>
          <w:lang w:val="en-US" w:eastAsia="zh-CN" w:bidi="ar-SA"/>
        </w:rPr>
        <w:t>）</w:t>
      </w:r>
      <w:r>
        <w:rPr>
          <w:rFonts w:hint="eastAsia" w:hAnsi="宋体"/>
          <w:color w:val="auto"/>
          <w:sz w:val="24"/>
          <w:szCs w:val="24"/>
          <w:highlight w:val="none"/>
        </w:rPr>
        <w:t>符合参加政府采购活动应当具备的一般条件的承诺函</w:t>
      </w:r>
      <w:r>
        <w:rPr>
          <w:rFonts w:hint="eastAsia" w:hAnsi="宋体"/>
          <w:color w:val="auto"/>
          <w:sz w:val="24"/>
          <w:highlight w:val="none"/>
        </w:rPr>
        <w:t>；</w:t>
      </w:r>
    </w:p>
    <w:p w14:paraId="1E1F0DDF">
      <w:pPr>
        <w:pStyle w:val="12"/>
        <w:numPr>
          <w:ilvl w:val="0"/>
          <w:numId w:val="0"/>
        </w:numPr>
        <w:spacing w:line="360" w:lineRule="auto"/>
        <w:ind w:firstLine="480" w:firstLineChars="200"/>
        <w:contextualSpacing/>
        <w:rPr>
          <w:rFonts w:hAnsi="宋体"/>
          <w:color w:val="auto"/>
          <w:sz w:val="24"/>
          <w:highlight w:val="none"/>
        </w:rPr>
      </w:pPr>
      <w:r>
        <w:rPr>
          <w:rFonts w:ascii="宋体" w:hAnsi="宋体" w:eastAsia="宋体" w:cs="Times New Roman"/>
          <w:color w:val="auto"/>
          <w:kern w:val="2"/>
          <w:sz w:val="24"/>
          <w:szCs w:val="20"/>
          <w:highlight w:val="none"/>
          <w:lang w:val="en-US" w:eastAsia="zh-CN" w:bidi="ar-SA"/>
        </w:rPr>
        <w:t>（</w:t>
      </w:r>
      <w:r>
        <w:rPr>
          <w:rFonts w:hint="eastAsia" w:hAnsi="宋体" w:cs="Times New Roman"/>
          <w:color w:val="auto"/>
          <w:kern w:val="2"/>
          <w:sz w:val="24"/>
          <w:szCs w:val="20"/>
          <w:highlight w:val="none"/>
          <w:lang w:val="en-US" w:eastAsia="zh-CN" w:bidi="ar-SA"/>
        </w:rPr>
        <w:t>3</w:t>
      </w:r>
      <w:r>
        <w:rPr>
          <w:rFonts w:ascii="宋体" w:hAnsi="宋体" w:eastAsia="宋体" w:cs="Times New Roman"/>
          <w:color w:val="auto"/>
          <w:kern w:val="2"/>
          <w:sz w:val="24"/>
          <w:szCs w:val="20"/>
          <w:highlight w:val="none"/>
          <w:lang w:val="en-US" w:eastAsia="zh-CN" w:bidi="ar-SA"/>
        </w:rPr>
        <w:t>）</w:t>
      </w:r>
      <w:r>
        <w:rPr>
          <w:rFonts w:hint="eastAsia" w:hAnsi="宋体" w:cs="宋体"/>
          <w:snapToGrid w:val="0"/>
          <w:color w:val="auto"/>
          <w:kern w:val="28"/>
          <w:sz w:val="24"/>
          <w:highlight w:val="none"/>
        </w:rPr>
        <w:t>联合协议（如果有)</w:t>
      </w:r>
      <w:r>
        <w:rPr>
          <w:rFonts w:hint="eastAsia" w:hAnsi="宋体"/>
          <w:color w:val="auto"/>
          <w:sz w:val="24"/>
          <w:highlight w:val="none"/>
        </w:rPr>
        <w:t>。</w:t>
      </w:r>
    </w:p>
    <w:p w14:paraId="4E43B9C3">
      <w:pPr>
        <w:pStyle w:val="12"/>
        <w:spacing w:line="360" w:lineRule="auto"/>
        <w:ind w:firstLine="482" w:firstLineChars="200"/>
        <w:contextualSpacing/>
        <w:rPr>
          <w:rFonts w:hAnsi="宋体"/>
          <w:color w:val="auto"/>
          <w:sz w:val="24"/>
          <w:highlight w:val="none"/>
        </w:rPr>
      </w:pPr>
      <w:r>
        <w:rPr>
          <w:rFonts w:hint="eastAsia" w:hAnsi="宋体"/>
          <w:b/>
          <w:color w:val="auto"/>
          <w:sz w:val="24"/>
          <w:szCs w:val="24"/>
          <w:highlight w:val="none"/>
        </w:rPr>
        <w:t>注：上述为资格证明文件，未提交或提交不完整，或不满足采购文件要求的将可能会被认定投标无效。</w:t>
      </w:r>
    </w:p>
    <w:p w14:paraId="17D12E2D">
      <w:pPr>
        <w:pStyle w:val="12"/>
        <w:spacing w:line="440" w:lineRule="exact"/>
        <w:rPr>
          <w:rFonts w:hAnsi="宋体"/>
          <w:b/>
          <w:color w:val="auto"/>
          <w:sz w:val="24"/>
          <w:highlight w:val="none"/>
        </w:rPr>
      </w:pPr>
      <w:r>
        <w:rPr>
          <w:rFonts w:hAnsi="宋体"/>
          <w:b/>
          <w:color w:val="auto"/>
          <w:sz w:val="24"/>
          <w:highlight w:val="none"/>
        </w:rPr>
        <w:t>10</w:t>
      </w:r>
      <w:r>
        <w:rPr>
          <w:rFonts w:hint="eastAsia" w:hAnsi="宋体"/>
          <w:b/>
          <w:color w:val="auto"/>
          <w:sz w:val="24"/>
          <w:highlight w:val="none"/>
        </w:rPr>
        <w:t>.磋商</w:t>
      </w:r>
      <w:r>
        <w:rPr>
          <w:rFonts w:hAnsi="宋体"/>
          <w:b/>
          <w:color w:val="auto"/>
          <w:sz w:val="24"/>
          <w:highlight w:val="none"/>
        </w:rPr>
        <w:t>有效期</w:t>
      </w:r>
    </w:p>
    <w:p w14:paraId="0068CFC7">
      <w:pPr>
        <w:pStyle w:val="12"/>
        <w:spacing w:line="440" w:lineRule="exact"/>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磋商响应</w:t>
      </w:r>
      <w:r>
        <w:rPr>
          <w:rFonts w:hAnsi="宋体"/>
          <w:color w:val="auto"/>
          <w:sz w:val="24"/>
          <w:highlight w:val="none"/>
        </w:rPr>
        <w:t>文件合格投递后，在本须知前附表第3项规定的日期内有效。</w:t>
      </w:r>
    </w:p>
    <w:p w14:paraId="5FBB8374">
      <w:pPr>
        <w:pStyle w:val="12"/>
        <w:spacing w:line="440" w:lineRule="exact"/>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2在原定</w:t>
      </w:r>
      <w:r>
        <w:rPr>
          <w:rFonts w:hint="eastAsia" w:hAnsi="宋体"/>
          <w:color w:val="auto"/>
          <w:sz w:val="24"/>
          <w:highlight w:val="none"/>
        </w:rPr>
        <w:t>磋商</w:t>
      </w:r>
      <w:r>
        <w:rPr>
          <w:rFonts w:hAnsi="宋体"/>
          <w:color w:val="auto"/>
          <w:sz w:val="24"/>
          <w:highlight w:val="none"/>
        </w:rPr>
        <w:t>有效期之前，如果出现特殊情况，</w:t>
      </w:r>
      <w:r>
        <w:rPr>
          <w:rFonts w:hint="eastAsia" w:hAnsi="宋体"/>
          <w:color w:val="auto"/>
          <w:sz w:val="24"/>
          <w:highlight w:val="none"/>
        </w:rPr>
        <w:t>采购代理机构</w:t>
      </w:r>
      <w:r>
        <w:rPr>
          <w:rFonts w:hAnsi="宋体"/>
          <w:color w:val="auto"/>
          <w:sz w:val="24"/>
          <w:highlight w:val="none"/>
        </w:rPr>
        <w:t>可以以书面形式通知</w:t>
      </w:r>
      <w:r>
        <w:rPr>
          <w:rFonts w:hint="eastAsia" w:hAnsi="宋体"/>
          <w:color w:val="auto"/>
          <w:sz w:val="24"/>
          <w:highlight w:val="none"/>
        </w:rPr>
        <w:t>磋商响应方</w:t>
      </w:r>
      <w:r>
        <w:rPr>
          <w:rFonts w:hAnsi="宋体"/>
          <w:color w:val="auto"/>
          <w:sz w:val="24"/>
          <w:highlight w:val="none"/>
        </w:rPr>
        <w:t>延长</w:t>
      </w:r>
      <w:r>
        <w:rPr>
          <w:rFonts w:hint="eastAsia" w:hAnsi="宋体"/>
          <w:color w:val="auto"/>
          <w:sz w:val="24"/>
          <w:highlight w:val="none"/>
        </w:rPr>
        <w:t>磋商</w:t>
      </w:r>
      <w:r>
        <w:rPr>
          <w:rFonts w:hAnsi="宋体"/>
          <w:color w:val="auto"/>
          <w:sz w:val="24"/>
          <w:highlight w:val="none"/>
        </w:rPr>
        <w:t>有效期。</w:t>
      </w:r>
    </w:p>
    <w:p w14:paraId="0A1DE2C1">
      <w:pPr>
        <w:pStyle w:val="12"/>
        <w:spacing w:line="440" w:lineRule="exact"/>
        <w:rPr>
          <w:rFonts w:hAnsi="宋体"/>
          <w:b/>
          <w:color w:val="auto"/>
          <w:sz w:val="24"/>
          <w:highlight w:val="none"/>
        </w:rPr>
      </w:pPr>
      <w:r>
        <w:rPr>
          <w:rFonts w:hAnsi="宋体"/>
          <w:b/>
          <w:color w:val="auto"/>
          <w:sz w:val="24"/>
          <w:highlight w:val="none"/>
        </w:rPr>
        <w:t>11</w:t>
      </w:r>
      <w:r>
        <w:rPr>
          <w:rFonts w:hint="eastAsia" w:hAnsi="宋体"/>
          <w:b/>
          <w:color w:val="auto"/>
          <w:sz w:val="24"/>
          <w:highlight w:val="none"/>
        </w:rPr>
        <w:t>.磋商</w:t>
      </w:r>
      <w:r>
        <w:rPr>
          <w:rFonts w:hAnsi="宋体"/>
          <w:b/>
          <w:color w:val="auto"/>
          <w:sz w:val="24"/>
          <w:highlight w:val="none"/>
        </w:rPr>
        <w:t>保证金</w:t>
      </w:r>
    </w:p>
    <w:p w14:paraId="677BC7BE">
      <w:pPr>
        <w:pStyle w:val="45"/>
        <w:spacing w:line="360" w:lineRule="auto"/>
        <w:contextualSpacing/>
        <w:rPr>
          <w:rFonts w:ascii="Times New Roman" w:hAnsi="Times New Roman"/>
          <w:b/>
          <w:color w:val="auto"/>
          <w:sz w:val="24"/>
          <w:highlight w:val="none"/>
        </w:rPr>
      </w:pPr>
      <w:r>
        <w:rPr>
          <w:rFonts w:hint="eastAsia"/>
          <w:color w:val="auto"/>
          <w:sz w:val="24"/>
          <w:highlight w:val="none"/>
        </w:rPr>
        <w:t>11.1本项目不收取投标保证金。但违反政府采购相关规定给采购组织机构造成损失的供应商应当承担赔偿责任。</w:t>
      </w:r>
    </w:p>
    <w:p w14:paraId="21A8047F">
      <w:pPr>
        <w:pStyle w:val="12"/>
        <w:spacing w:line="360" w:lineRule="auto"/>
        <w:contextualSpacing/>
        <w:rPr>
          <w:rFonts w:hAnsi="宋体"/>
          <w:color w:val="auto"/>
          <w:sz w:val="24"/>
          <w:highlight w:val="none"/>
        </w:rPr>
      </w:pPr>
      <w:r>
        <w:rPr>
          <w:rFonts w:hAnsi="宋体"/>
          <w:color w:val="auto"/>
          <w:sz w:val="24"/>
          <w:highlight w:val="none"/>
        </w:rPr>
        <w:t>11</w:t>
      </w:r>
      <w:r>
        <w:rPr>
          <w:rFonts w:hint="eastAsia" w:hAnsi="宋体"/>
          <w:color w:val="auto"/>
          <w:sz w:val="24"/>
          <w:highlight w:val="none"/>
        </w:rPr>
        <w:t>.2</w:t>
      </w:r>
      <w:r>
        <w:rPr>
          <w:rFonts w:hAnsi="宋体"/>
          <w:color w:val="auto"/>
          <w:sz w:val="24"/>
          <w:highlight w:val="none"/>
        </w:rPr>
        <w:t>如</w:t>
      </w:r>
      <w:r>
        <w:rPr>
          <w:rFonts w:hint="eastAsia" w:hAnsi="宋体"/>
          <w:color w:val="auto"/>
          <w:sz w:val="24"/>
          <w:highlight w:val="none"/>
        </w:rPr>
        <w:t>磋商响应方</w:t>
      </w:r>
      <w:r>
        <w:rPr>
          <w:rFonts w:hAnsi="宋体"/>
          <w:color w:val="auto"/>
          <w:sz w:val="24"/>
          <w:highlight w:val="none"/>
        </w:rPr>
        <w:t>有下列情况，</w:t>
      </w:r>
      <w:r>
        <w:rPr>
          <w:rFonts w:ascii="Times New Roman" w:hAnsi="Times New Roman"/>
          <w:color w:val="auto"/>
          <w:sz w:val="24"/>
          <w:highlight w:val="none"/>
        </w:rPr>
        <w:t>将</w:t>
      </w:r>
      <w:r>
        <w:rPr>
          <w:rFonts w:hint="eastAsia"/>
          <w:color w:val="auto"/>
          <w:sz w:val="24"/>
          <w:highlight w:val="none"/>
        </w:rPr>
        <w:t>承担赔偿责任。</w:t>
      </w:r>
    </w:p>
    <w:p w14:paraId="54588472">
      <w:pPr>
        <w:pStyle w:val="12"/>
        <w:numPr>
          <w:ilvl w:val="0"/>
          <w:numId w:val="3"/>
        </w:numPr>
        <w:tabs>
          <w:tab w:val="left" w:pos="420"/>
        </w:tabs>
        <w:spacing w:line="360" w:lineRule="auto"/>
        <w:ind w:left="1716" w:leftChars="200" w:hanging="1296" w:hangingChars="540"/>
        <w:contextualSpacing/>
        <w:rPr>
          <w:rFonts w:ascii="Times New Roman" w:hAnsi="Times New Roman"/>
          <w:color w:val="auto"/>
          <w:sz w:val="24"/>
          <w:highlight w:val="none"/>
        </w:rPr>
      </w:pPr>
      <w:r>
        <w:rPr>
          <w:rFonts w:hint="eastAsia" w:ascii="Times New Roman" w:hAnsi="宋体"/>
          <w:color w:val="auto"/>
          <w:sz w:val="24"/>
          <w:highlight w:val="none"/>
        </w:rPr>
        <w:t>磋商响应方</w:t>
      </w:r>
      <w:r>
        <w:rPr>
          <w:rFonts w:ascii="Times New Roman" w:hAnsi="宋体"/>
          <w:color w:val="auto"/>
          <w:sz w:val="24"/>
          <w:highlight w:val="none"/>
        </w:rPr>
        <w:t>在</w:t>
      </w:r>
      <w:r>
        <w:rPr>
          <w:rFonts w:hint="eastAsia" w:ascii="Times New Roman" w:hAnsi="宋体"/>
          <w:color w:val="auto"/>
          <w:sz w:val="24"/>
          <w:highlight w:val="none"/>
        </w:rPr>
        <w:t>磋商</w:t>
      </w:r>
      <w:r>
        <w:rPr>
          <w:rFonts w:ascii="Times New Roman" w:hAnsi="宋体"/>
          <w:color w:val="auto"/>
          <w:sz w:val="24"/>
          <w:highlight w:val="none"/>
        </w:rPr>
        <w:t>截止时间后</w:t>
      </w:r>
      <w:r>
        <w:rPr>
          <w:rFonts w:hint="eastAsia" w:ascii="Times New Roman" w:hAnsi="宋体"/>
          <w:color w:val="auto"/>
          <w:sz w:val="24"/>
          <w:highlight w:val="none"/>
        </w:rPr>
        <w:t>撤销磋商响应</w:t>
      </w:r>
      <w:r>
        <w:rPr>
          <w:rFonts w:ascii="Times New Roman" w:hAnsi="宋体"/>
          <w:color w:val="auto"/>
          <w:sz w:val="24"/>
          <w:highlight w:val="none"/>
        </w:rPr>
        <w:t>文件的；</w:t>
      </w:r>
    </w:p>
    <w:p w14:paraId="4E94DF73">
      <w:pPr>
        <w:pStyle w:val="12"/>
        <w:numPr>
          <w:ilvl w:val="0"/>
          <w:numId w:val="3"/>
        </w:numPr>
        <w:tabs>
          <w:tab w:val="left" w:pos="420"/>
        </w:tabs>
        <w:spacing w:line="360" w:lineRule="auto"/>
        <w:ind w:left="420" w:leftChars="200" w:firstLine="0"/>
        <w:contextualSpacing/>
        <w:rPr>
          <w:rFonts w:ascii="Times New Roman" w:hAnsi="Times New Roman"/>
          <w:color w:val="auto"/>
          <w:sz w:val="24"/>
          <w:highlight w:val="none"/>
        </w:rPr>
      </w:pPr>
      <w:r>
        <w:rPr>
          <w:rFonts w:hint="eastAsia" w:ascii="Times New Roman" w:hAnsi="宋体"/>
          <w:color w:val="auto"/>
          <w:sz w:val="24"/>
          <w:highlight w:val="none"/>
        </w:rPr>
        <w:t>成交</w:t>
      </w:r>
      <w:r>
        <w:rPr>
          <w:rFonts w:ascii="Times New Roman" w:hAnsi="宋体"/>
          <w:color w:val="auto"/>
          <w:sz w:val="24"/>
          <w:highlight w:val="none"/>
        </w:rPr>
        <w:t>后拒签合同的</w:t>
      </w:r>
      <w:r>
        <w:rPr>
          <w:rFonts w:hint="eastAsia" w:ascii="Times New Roman" w:hAnsi="宋体"/>
          <w:color w:val="auto"/>
          <w:sz w:val="24"/>
          <w:highlight w:val="none"/>
        </w:rPr>
        <w:t>。</w:t>
      </w:r>
    </w:p>
    <w:p w14:paraId="63D4EC68">
      <w:pPr>
        <w:shd w:val="clear" w:color="auto" w:fill="FFFFFF"/>
        <w:spacing w:line="360" w:lineRule="auto"/>
        <w:contextualSpacing/>
        <w:rPr>
          <w:rFonts w:ascii="宋体" w:hAnsi="宋体" w:cs="宋体"/>
          <w:b/>
          <w:bCs/>
          <w:color w:val="auto"/>
          <w:sz w:val="24"/>
          <w:szCs w:val="28"/>
          <w:highlight w:val="none"/>
        </w:rPr>
      </w:pPr>
      <w:r>
        <w:rPr>
          <w:rFonts w:hint="eastAsia" w:ascii="宋体" w:hAnsi="宋体" w:cs="宋体"/>
          <w:b/>
          <w:bCs/>
          <w:color w:val="auto"/>
          <w:sz w:val="24"/>
          <w:szCs w:val="28"/>
          <w:highlight w:val="none"/>
        </w:rPr>
        <w:t>12</w:t>
      </w:r>
      <w:r>
        <w:rPr>
          <w:rFonts w:hint="eastAsia" w:ascii="宋体" w:hAnsi="宋体" w:cs="宋体"/>
          <w:b/>
          <w:bCs/>
          <w:color w:val="auto"/>
          <w:kern w:val="0"/>
          <w:sz w:val="24"/>
          <w:szCs w:val="28"/>
          <w:highlight w:val="none"/>
          <w:lang w:val="zh-CN"/>
        </w:rPr>
        <w:t>.</w:t>
      </w:r>
      <w:r>
        <w:rPr>
          <w:rFonts w:hint="eastAsia" w:ascii="宋体" w:hAnsi="宋体" w:cs="宋体"/>
          <w:b/>
          <w:bCs/>
          <w:color w:val="auto"/>
          <w:sz w:val="24"/>
          <w:szCs w:val="28"/>
          <w:highlight w:val="none"/>
        </w:rPr>
        <w:t>磋商响应文件的编制和签章</w:t>
      </w:r>
    </w:p>
    <w:p w14:paraId="53C72E1E">
      <w:pPr>
        <w:shd w:val="clear" w:color="auto" w:fill="FFFFFF"/>
        <w:spacing w:line="360" w:lineRule="auto"/>
        <w:contextualSpacing/>
        <w:rPr>
          <w:rFonts w:ascii="宋体" w:hAnsi="宋体" w:cs="宋体"/>
          <w:bCs/>
          <w:color w:val="auto"/>
          <w:sz w:val="24"/>
          <w:highlight w:val="none"/>
        </w:rPr>
      </w:pPr>
      <w:bookmarkStart w:id="6" w:name="_Hlt68403820"/>
      <w:bookmarkEnd w:id="6"/>
      <w:bookmarkStart w:id="7" w:name="_Hlt68073093"/>
      <w:bookmarkEnd w:id="7"/>
      <w:bookmarkStart w:id="8" w:name="_Hlt68072998"/>
      <w:bookmarkEnd w:id="8"/>
      <w:r>
        <w:rPr>
          <w:rFonts w:hint="eastAsia" w:ascii="宋体" w:hAnsi="宋体" w:cs="宋体"/>
          <w:bCs/>
          <w:color w:val="auto"/>
          <w:sz w:val="24"/>
          <w:highlight w:val="none"/>
        </w:rPr>
        <w:t>12.1本项目通过“政府采购云平台（www.zcygov.cn）”实行在线投标响应（电子投标）。供应商应通过“政采云电子交易客户端”，并按照本采购文件和“政府采购云平台”的要求编制并加密磋商响应文件。</w:t>
      </w:r>
    </w:p>
    <w:p w14:paraId="431150C6">
      <w:pPr>
        <w:shd w:val="clear" w:color="auto" w:fill="FFFFFF"/>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12.2磋商响应方应当按照本章节“磋商响应文件组成”规定的内容及顺序在“政采云电子交易客户端”编制磋商响应文件。</w:t>
      </w:r>
    </w:p>
    <w:p w14:paraId="3CE62904">
      <w:pPr>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12.3本文件中有提供格式的，磋商响应供应商须参照格式进行编制（格式中要求提供相关证明材料的还需后附相关证明材料），并按格式要求在指定位置根据要求进行关联定位并签章，本文件未提供格式的，请各磋商响应单位自行拟定格式，并加盖单位公章，否则视为未提供。</w:t>
      </w:r>
      <w:r>
        <w:rPr>
          <w:rFonts w:hint="eastAsia" w:ascii="宋体" w:hAnsi="宋体" w:cs="Arial"/>
          <w:color w:val="auto"/>
          <w:kern w:val="0"/>
          <w:sz w:val="24"/>
          <w:highlight w:val="none"/>
        </w:rPr>
        <w:t>电子签章操作指南详见采购公告附件</w:t>
      </w:r>
      <w:r>
        <w:rPr>
          <w:rFonts w:hint="eastAsia" w:ascii="宋体" w:hAnsi="宋体" w:cs="Arial"/>
          <w:color w:val="auto"/>
          <w:sz w:val="24"/>
          <w:highlight w:val="none"/>
        </w:rPr>
        <w:t>《供应商项目采购-电子招投标操作指南》。</w:t>
      </w:r>
    </w:p>
    <w:p w14:paraId="2E28A7CB">
      <w:pPr>
        <w:shd w:val="clear" w:color="auto" w:fill="FFFFFF"/>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12.4本章节“磋商响应文件的组成”内容中约定可以提供复制件的相关证明材料必须加盖磋商响应供应商公章，否则视为未提供（例如：各类资格资质证书、业绩材料、许可材料、荣誉证书等）。</w:t>
      </w:r>
    </w:p>
    <w:p w14:paraId="6F79061C">
      <w:pPr>
        <w:shd w:val="clear" w:color="auto" w:fill="FFFFFF"/>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12.5本章节“磋商响应文件的组成”内容中标注“★”的内容为必须提供的内容，未提供的磋商响应无效。</w:t>
      </w:r>
    </w:p>
    <w:p w14:paraId="57EAC656">
      <w:pPr>
        <w:shd w:val="clear" w:color="auto" w:fill="FFFFFF"/>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12.6《磋商响应文件》内容不完整、编排混乱导致《磋商响应文件》被误读、漏读或者查找不到相关内容的，是磋商响应供应商的责任。</w:t>
      </w:r>
    </w:p>
    <w:p w14:paraId="1B87594D">
      <w:pPr>
        <w:shd w:val="clear" w:color="auto" w:fill="FFFFFF"/>
        <w:spacing w:line="360" w:lineRule="auto"/>
        <w:contextualSpacing/>
        <w:rPr>
          <w:rFonts w:ascii="宋体" w:hAnsi="宋体" w:cs="宋体"/>
          <w:bCs/>
          <w:color w:val="auto"/>
          <w:sz w:val="24"/>
          <w:highlight w:val="none"/>
        </w:rPr>
      </w:pPr>
      <w:r>
        <w:rPr>
          <w:rFonts w:hint="eastAsia" w:ascii="宋体" w:hAnsi="宋体" w:cs="宋体"/>
          <w:bCs/>
          <w:color w:val="auto"/>
          <w:sz w:val="24"/>
          <w:highlight w:val="none"/>
        </w:rPr>
        <w:t>12.7《磋商响应文件》因字迹潦草或表达不清所引起的后果由磋商响应方负责。</w:t>
      </w:r>
    </w:p>
    <w:p w14:paraId="4F6811E2">
      <w:pPr>
        <w:pStyle w:val="12"/>
        <w:spacing w:line="360" w:lineRule="auto"/>
        <w:contextualSpacing/>
        <w:rPr>
          <w:rFonts w:hAnsi="宋体"/>
          <w:color w:val="auto"/>
          <w:sz w:val="24"/>
          <w:highlight w:val="none"/>
        </w:rPr>
      </w:pPr>
      <w:r>
        <w:rPr>
          <w:rFonts w:hint="eastAsia" w:hAnsi="宋体" w:cs="宋体"/>
          <w:bCs/>
          <w:color w:val="auto"/>
          <w:sz w:val="24"/>
          <w:highlight w:val="none"/>
        </w:rPr>
        <w:t>12.8磋商响应方没有按照“磋商响应文件的组成”要求提供全部资料，或者没有仔细阅读采购文件，或者没有对采购文件在各方面的要求作出实质性响应是磋商响应方的风险，由此造成的一切后果由磋商响应方自行承担。</w:t>
      </w:r>
    </w:p>
    <w:p w14:paraId="16089F6B">
      <w:pPr>
        <w:pStyle w:val="12"/>
        <w:spacing w:line="360" w:lineRule="auto"/>
        <w:contextualSpacing/>
        <w:jc w:val="left"/>
        <w:outlineLvl w:val="1"/>
        <w:rPr>
          <w:rFonts w:hAnsi="宋体"/>
          <w:b/>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3．磋商响应文件签章、形式及份数</w:t>
      </w:r>
    </w:p>
    <w:p w14:paraId="46386E8C">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13.1磋商响应文件签章</w:t>
      </w:r>
    </w:p>
    <w:p w14:paraId="7B349B1F">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13.1.1《磋商响应文件》的签章：见《前附表》；</w:t>
      </w:r>
    </w:p>
    <w:p w14:paraId="6DEF6AC3">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13.1.2《磋商响应文件》应由磋商响应方法定代表人或其授权代表签字（或盖章），并同时加盖磋商响应方公章。</w:t>
      </w:r>
    </w:p>
    <w:p w14:paraId="7F13D124">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13.2磋商响应文件的形式</w:t>
      </w:r>
    </w:p>
    <w:p w14:paraId="6FA73EB3">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13.2.1磋商响应文件的形式：见《前附表》；</w:t>
      </w:r>
    </w:p>
    <w:p w14:paraId="5F6D6523">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13.2.2“电子加密磋商响应文件”：“电子加密磋商响应文件”是指通过“政采云电子交易客户端”完成磋商响应文件编制后生成并加密的数据电文形式的磋商响应文件。</w:t>
      </w:r>
    </w:p>
    <w:p w14:paraId="6DC713D4">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13.2.3“备份磋商响应文件” ：“备份磋商响应文件”是指与“电子加密磋商响应文件”同时生成的数据电文形式的电子文件（备份标书），其他方式编制的“备份磋商响应文件”视为无效的“备份磋商响应文件”。</w:t>
      </w:r>
    </w:p>
    <w:p w14:paraId="5BDBC7D5">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13.3磋商响应文件的份数</w:t>
      </w:r>
    </w:p>
    <w:p w14:paraId="0B11E768">
      <w:pPr>
        <w:pStyle w:val="12"/>
        <w:spacing w:line="440" w:lineRule="exact"/>
        <w:rPr>
          <w:rFonts w:hAnsi="宋体"/>
          <w:color w:val="auto"/>
          <w:sz w:val="24"/>
          <w:highlight w:val="none"/>
        </w:rPr>
      </w:pPr>
      <w:r>
        <w:rPr>
          <w:rStyle w:val="69"/>
          <w:rFonts w:hint="default" w:ascii="宋体" w:hAnsi="宋体" w:eastAsia="宋体"/>
          <w:color w:val="auto"/>
          <w:highlight w:val="none"/>
        </w:rPr>
        <w:t>磋商响应文件的份数：见《前附表》。</w:t>
      </w:r>
    </w:p>
    <w:p w14:paraId="6665E790">
      <w:pPr>
        <w:pStyle w:val="12"/>
        <w:spacing w:line="360" w:lineRule="auto"/>
        <w:jc w:val="center"/>
        <w:rPr>
          <w:rFonts w:hAnsi="宋体"/>
          <w:b/>
          <w:bCs/>
          <w:color w:val="auto"/>
          <w:sz w:val="24"/>
          <w:highlight w:val="none"/>
        </w:rPr>
      </w:pPr>
      <w:r>
        <w:rPr>
          <w:rFonts w:hAnsi="宋体"/>
          <w:b/>
          <w:bCs/>
          <w:color w:val="auto"/>
          <w:sz w:val="24"/>
          <w:highlight w:val="none"/>
        </w:rPr>
        <w:t>四、</w:t>
      </w:r>
      <w:r>
        <w:rPr>
          <w:rFonts w:hint="eastAsia" w:hAnsi="宋体"/>
          <w:b/>
          <w:bCs/>
          <w:color w:val="auto"/>
          <w:sz w:val="24"/>
          <w:highlight w:val="none"/>
        </w:rPr>
        <w:t>磋商响应</w:t>
      </w:r>
      <w:r>
        <w:rPr>
          <w:rFonts w:hAnsi="宋体"/>
          <w:b/>
          <w:bCs/>
          <w:color w:val="auto"/>
          <w:sz w:val="24"/>
          <w:highlight w:val="none"/>
        </w:rPr>
        <w:t>文件的递交</w:t>
      </w:r>
    </w:p>
    <w:p w14:paraId="2B533E37">
      <w:pPr>
        <w:pStyle w:val="12"/>
        <w:spacing w:line="360" w:lineRule="auto"/>
        <w:contextualSpacing/>
        <w:jc w:val="left"/>
        <w:outlineLvl w:val="1"/>
        <w:rPr>
          <w:rStyle w:val="69"/>
          <w:rFonts w:hint="default" w:ascii="宋体" w:hAnsi="宋体" w:eastAsia="宋体"/>
          <w:b/>
          <w:color w:val="auto"/>
          <w:highlight w:val="none"/>
        </w:rPr>
      </w:pPr>
      <w:r>
        <w:rPr>
          <w:rStyle w:val="69"/>
          <w:rFonts w:hint="default" w:ascii="宋体" w:hAnsi="宋体" w:eastAsia="宋体"/>
          <w:b/>
          <w:color w:val="auto"/>
          <w:highlight w:val="none"/>
        </w:rPr>
        <w:t>14.磋商响应文件的上传、递交及解密</w:t>
      </w:r>
    </w:p>
    <w:p w14:paraId="7B499981">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14.1“磋商响应文件”的上传、递交见《前附表》。</w:t>
      </w:r>
    </w:p>
    <w:p w14:paraId="19F42745">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14.2“电子加密磋商响应文件”解密和异常情况处理：见《前附表》。</w:t>
      </w:r>
    </w:p>
    <w:p w14:paraId="58225EFA">
      <w:pPr>
        <w:pStyle w:val="12"/>
        <w:spacing w:line="360" w:lineRule="auto"/>
        <w:contextualSpacing/>
        <w:jc w:val="left"/>
        <w:outlineLvl w:val="1"/>
        <w:rPr>
          <w:rStyle w:val="69"/>
          <w:rFonts w:hint="default" w:ascii="宋体" w:hAnsi="宋体" w:eastAsia="宋体"/>
          <w:b/>
          <w:color w:val="auto"/>
          <w:highlight w:val="none"/>
        </w:rPr>
      </w:pPr>
      <w:r>
        <w:rPr>
          <w:rStyle w:val="69"/>
          <w:rFonts w:hint="default" w:ascii="宋体" w:hAnsi="宋体" w:eastAsia="宋体"/>
          <w:b/>
          <w:color w:val="auto"/>
          <w:highlight w:val="none"/>
        </w:rPr>
        <w:t>15.</w:t>
      </w:r>
      <w:r>
        <w:rPr>
          <w:rFonts w:hint="eastAsia" w:hAnsi="宋体"/>
          <w:b/>
          <w:color w:val="auto"/>
          <w:sz w:val="24"/>
          <w:szCs w:val="24"/>
          <w:highlight w:val="none"/>
        </w:rPr>
        <w:t>磋商响应文件的补充、修改或撤回</w:t>
      </w:r>
    </w:p>
    <w:p w14:paraId="4E5B5009">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15.1磋商响应方应当在磋商响应截止时间前完成磋商响应文件的上传、递交，并可以补充、修改或者撤回磋商响应文件。补充或者修改磋商响应文件的，应当先行撤回原文件，补充、修改后重新上传、递交。磋商响应截止时间前未完成上传、递交的，视为撤回磋商响应文件。磋商响应截止时间后递交的磋商响应文件，“政府采购云平台”将予以拒收。</w:t>
      </w:r>
    </w:p>
    <w:p w14:paraId="12700973">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15.2磋商响应方应按前附表规定的时间、地点完成磋商响应文件的上传、解密；</w:t>
      </w:r>
    </w:p>
    <w:p w14:paraId="66D55575">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15.3磋商响应方应按前附表规定的时间、地点完成“备份磋商响应文件”的递交，采购代理机构将拒绝接受逾期送达的“备份磋商响应文件”。</w:t>
      </w:r>
    </w:p>
    <w:p w14:paraId="5A84B60A">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15.4采购代理机构可以按本须知规定以补充通知的方式，酌情延长递交磋商响应文件的截止日期。在上述情况下，采购代理机构与磋商响应方以前在磋商响应截止期方面的全部权利、责任和义务，将适用于延长至新的磋商响应截止期。</w:t>
      </w:r>
    </w:p>
    <w:p w14:paraId="365B19D1">
      <w:pPr>
        <w:pStyle w:val="12"/>
        <w:spacing w:line="360" w:lineRule="auto"/>
        <w:contextualSpacing/>
        <w:jc w:val="left"/>
        <w:outlineLvl w:val="1"/>
        <w:rPr>
          <w:rStyle w:val="69"/>
          <w:rFonts w:hint="default" w:ascii="宋体" w:hAnsi="宋体" w:eastAsia="宋体"/>
          <w:color w:val="auto"/>
          <w:highlight w:val="none"/>
        </w:rPr>
      </w:pPr>
      <w:r>
        <w:rPr>
          <w:rStyle w:val="69"/>
          <w:rFonts w:hint="default" w:ascii="宋体" w:hAnsi="宋体" w:eastAsia="宋体"/>
          <w:color w:val="auto"/>
          <w:highlight w:val="none"/>
        </w:rPr>
        <w:t>15.5磋商响应截止时间后，磋商响应方不得撤回、修改《磋商响应文件》。</w:t>
      </w:r>
    </w:p>
    <w:p w14:paraId="6831A5F6">
      <w:pPr>
        <w:pStyle w:val="12"/>
        <w:spacing w:line="360" w:lineRule="auto"/>
        <w:contextualSpacing/>
        <w:jc w:val="left"/>
        <w:outlineLvl w:val="1"/>
        <w:rPr>
          <w:rStyle w:val="69"/>
          <w:rFonts w:hint="default" w:ascii="宋体" w:hAnsi="宋体" w:eastAsia="宋体"/>
          <w:b/>
          <w:color w:val="auto"/>
          <w:highlight w:val="none"/>
        </w:rPr>
      </w:pPr>
      <w:r>
        <w:rPr>
          <w:rStyle w:val="69"/>
          <w:rFonts w:hint="default" w:ascii="宋体" w:hAnsi="宋体" w:eastAsia="宋体"/>
          <w:b/>
          <w:color w:val="auto"/>
          <w:highlight w:val="none"/>
        </w:rPr>
        <w:t>16.磋商响应文件的备选方案</w:t>
      </w:r>
    </w:p>
    <w:p w14:paraId="3D6765AC">
      <w:pPr>
        <w:snapToGrid w:val="0"/>
        <w:spacing w:line="360" w:lineRule="auto"/>
        <w:outlineLvl w:val="0"/>
        <w:rPr>
          <w:rFonts w:ascii="宋体" w:hAnsi="宋体"/>
          <w:color w:val="auto"/>
          <w:sz w:val="24"/>
          <w:highlight w:val="none"/>
        </w:rPr>
      </w:pPr>
      <w:r>
        <w:rPr>
          <w:rStyle w:val="69"/>
          <w:rFonts w:hint="default" w:ascii="宋体" w:hAnsi="宋体" w:eastAsia="宋体"/>
          <w:color w:val="auto"/>
          <w:highlight w:val="none"/>
        </w:rPr>
        <w:t>16.1磋商响应方不得递交任何的磋商响应备选（替代）方案，否则其磋商响应文件将作无效标处理。与“电子加密磋商响应文件”同时生成的“备份磋商响应文件”不是磋商响应备选（替代）方案。</w:t>
      </w:r>
    </w:p>
    <w:p w14:paraId="5BF0399C">
      <w:pPr>
        <w:pStyle w:val="12"/>
        <w:spacing w:line="360" w:lineRule="auto"/>
        <w:ind w:firstLine="482"/>
        <w:jc w:val="center"/>
        <w:outlineLvl w:val="1"/>
        <w:rPr>
          <w:rFonts w:hAnsi="宋体"/>
          <w:b/>
          <w:bCs/>
          <w:color w:val="auto"/>
          <w:sz w:val="24"/>
          <w:szCs w:val="24"/>
          <w:highlight w:val="none"/>
        </w:rPr>
      </w:pPr>
      <w:r>
        <w:rPr>
          <w:rFonts w:hint="eastAsia" w:hAnsi="宋体"/>
          <w:b/>
          <w:bCs/>
          <w:color w:val="auto"/>
          <w:sz w:val="24"/>
          <w:szCs w:val="24"/>
          <w:highlight w:val="none"/>
        </w:rPr>
        <w:t>五、磋商</w:t>
      </w:r>
    </w:p>
    <w:p w14:paraId="04F9E4AC">
      <w:pPr>
        <w:pStyle w:val="68"/>
        <w:spacing w:before="0"/>
        <w:ind w:firstLine="0" w:firstLineChars="0"/>
        <w:contextualSpacing/>
        <w:rPr>
          <w:rFonts w:ascii="宋体" w:hAnsi="宋体" w:eastAsia="宋体" w:cs="宋体"/>
          <w:b/>
          <w:color w:val="auto"/>
          <w:szCs w:val="24"/>
          <w:highlight w:val="none"/>
        </w:rPr>
      </w:pPr>
      <w:r>
        <w:rPr>
          <w:rFonts w:hint="eastAsia" w:ascii="宋体" w:hAnsi="宋体" w:eastAsia="宋体" w:cs="宋体"/>
          <w:b/>
          <w:color w:val="auto"/>
          <w:szCs w:val="24"/>
          <w:highlight w:val="none"/>
        </w:rPr>
        <w:t>17</w:t>
      </w:r>
      <w:r>
        <w:rPr>
          <w:rFonts w:hint="eastAsia" w:ascii="宋体" w:hAnsi="宋体" w:eastAsia="宋体" w:cs="宋体"/>
          <w:b/>
          <w:color w:val="auto"/>
          <w:kern w:val="0"/>
          <w:szCs w:val="24"/>
          <w:highlight w:val="none"/>
          <w:lang w:val="zh-CN"/>
        </w:rPr>
        <w:t>.磋商形式</w:t>
      </w:r>
    </w:p>
    <w:p w14:paraId="313ED122">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采购组织机构将按照采购文件规定的时间通过“政府采购云平台”组织磋商、开启磋商响应文件，所有</w:t>
      </w:r>
      <w:r>
        <w:rPr>
          <w:color w:val="auto"/>
          <w:sz w:val="24"/>
          <w:highlight w:val="none"/>
        </w:rPr>
        <w:t>磋商响应方</w:t>
      </w:r>
      <w:r>
        <w:rPr>
          <w:rFonts w:hint="eastAsia" w:ascii="宋体" w:hAnsi="宋体"/>
          <w:color w:val="auto"/>
          <w:sz w:val="24"/>
          <w:highlight w:val="none"/>
        </w:rPr>
        <w:t>均应当准时在线参加。</w:t>
      </w:r>
    </w:p>
    <w:p w14:paraId="600040EA">
      <w:pPr>
        <w:pStyle w:val="68"/>
        <w:spacing w:before="0"/>
        <w:ind w:firstLine="0" w:firstLineChars="0"/>
        <w:contextualSpacing/>
        <w:rPr>
          <w:rFonts w:ascii="宋体" w:hAnsi="宋体" w:cs="Arial"/>
          <w:color w:val="auto"/>
          <w:kern w:val="0"/>
          <w:highlight w:val="none"/>
        </w:rPr>
      </w:pPr>
      <w:r>
        <w:rPr>
          <w:rFonts w:hint="eastAsia" w:ascii="宋体" w:hAnsi="宋体" w:eastAsia="宋体" w:cs="宋体"/>
          <w:b/>
          <w:color w:val="auto"/>
          <w:szCs w:val="24"/>
          <w:highlight w:val="none"/>
        </w:rPr>
        <w:t>18.</w:t>
      </w:r>
      <w:r>
        <w:rPr>
          <w:rFonts w:hint="eastAsia" w:ascii="宋体" w:hAnsi="宋体" w:eastAsia="宋体" w:cs="宋体"/>
          <w:b/>
          <w:color w:val="auto"/>
          <w:kern w:val="0"/>
          <w:szCs w:val="24"/>
          <w:highlight w:val="none"/>
          <w:lang w:val="zh-CN"/>
        </w:rPr>
        <w:t>磋商</w:t>
      </w:r>
      <w:r>
        <w:rPr>
          <w:rFonts w:ascii="宋体" w:hAnsi="宋体" w:eastAsia="宋体" w:cs="宋体"/>
          <w:b/>
          <w:color w:val="auto"/>
          <w:szCs w:val="24"/>
          <w:highlight w:val="none"/>
        </w:rPr>
        <w:t>准备</w:t>
      </w:r>
    </w:p>
    <w:p w14:paraId="13717F73">
      <w:pPr>
        <w:spacing w:line="360" w:lineRule="auto"/>
        <w:ind w:firstLine="480" w:firstLineChars="200"/>
        <w:contextualSpacing/>
        <w:rPr>
          <w:rFonts w:ascii="宋体" w:hAnsi="宋体" w:cs="Arial"/>
          <w:color w:val="auto"/>
          <w:kern w:val="0"/>
          <w:sz w:val="24"/>
          <w:highlight w:val="none"/>
        </w:rPr>
      </w:pPr>
      <w:r>
        <w:rPr>
          <w:rFonts w:hint="eastAsia" w:ascii="宋体" w:hAnsi="宋体"/>
          <w:color w:val="auto"/>
          <w:sz w:val="24"/>
          <w:highlight w:val="none"/>
        </w:rPr>
        <w:t>采购组织机构将按照采购文件规定的时间通过“政府采购云平台”组织磋商、开启磋商响应文件，所有</w:t>
      </w:r>
      <w:r>
        <w:rPr>
          <w:rFonts w:hint="eastAsia" w:ascii="宋体" w:hAnsi="宋体" w:cs="Arial"/>
          <w:color w:val="auto"/>
          <w:kern w:val="0"/>
          <w:sz w:val="24"/>
          <w:highlight w:val="none"/>
        </w:rPr>
        <w:t>磋商响应方</w:t>
      </w:r>
      <w:r>
        <w:rPr>
          <w:rFonts w:hint="eastAsia" w:ascii="宋体" w:hAnsi="宋体"/>
          <w:color w:val="auto"/>
          <w:sz w:val="24"/>
          <w:highlight w:val="none"/>
        </w:rPr>
        <w:t>均应当准时在线参加。</w:t>
      </w:r>
      <w:r>
        <w:rPr>
          <w:rFonts w:hint="eastAsia" w:ascii="宋体" w:hAnsi="宋体" w:cs="Arial"/>
          <w:color w:val="auto"/>
          <w:kern w:val="0"/>
          <w:sz w:val="24"/>
          <w:highlight w:val="none"/>
        </w:rPr>
        <w:t>磋商响应方</w:t>
      </w:r>
      <w:r>
        <w:rPr>
          <w:rFonts w:ascii="宋体" w:hAnsi="宋体" w:cs="Arial"/>
          <w:color w:val="auto"/>
          <w:kern w:val="0"/>
          <w:sz w:val="24"/>
          <w:highlight w:val="none"/>
        </w:rPr>
        <w:t>如不</w:t>
      </w:r>
      <w:r>
        <w:rPr>
          <w:rFonts w:hint="eastAsia" w:ascii="宋体" w:hAnsi="宋体" w:cs="Arial"/>
          <w:color w:val="auto"/>
          <w:kern w:val="0"/>
          <w:sz w:val="24"/>
          <w:highlight w:val="none"/>
        </w:rPr>
        <w:t>在线参加磋商</w:t>
      </w:r>
      <w:r>
        <w:rPr>
          <w:rFonts w:ascii="宋体" w:hAnsi="宋体" w:cs="Arial"/>
          <w:color w:val="auto"/>
          <w:kern w:val="0"/>
          <w:sz w:val="24"/>
          <w:highlight w:val="none"/>
        </w:rPr>
        <w:t>大会的，</w:t>
      </w:r>
      <w:r>
        <w:rPr>
          <w:rFonts w:hint="eastAsia" w:ascii="宋体" w:hAnsi="宋体" w:cs="Arial"/>
          <w:color w:val="auto"/>
          <w:kern w:val="0"/>
          <w:sz w:val="24"/>
          <w:highlight w:val="none"/>
        </w:rPr>
        <w:t>视同认可磋商结果，</w:t>
      </w:r>
      <w:r>
        <w:rPr>
          <w:rFonts w:ascii="宋体" w:hAnsi="宋体" w:cs="Arial"/>
          <w:color w:val="auto"/>
          <w:kern w:val="0"/>
          <w:sz w:val="24"/>
          <w:highlight w:val="none"/>
        </w:rPr>
        <w:t>事后不得对采购相关人员、</w:t>
      </w:r>
      <w:r>
        <w:rPr>
          <w:rFonts w:hint="eastAsia" w:ascii="宋体" w:hAnsi="宋体" w:cs="Arial"/>
          <w:color w:val="auto"/>
          <w:kern w:val="0"/>
          <w:sz w:val="24"/>
          <w:highlight w:val="none"/>
        </w:rPr>
        <w:t>磋商</w:t>
      </w:r>
      <w:r>
        <w:rPr>
          <w:rFonts w:ascii="宋体" w:hAnsi="宋体" w:cs="Arial"/>
          <w:color w:val="auto"/>
          <w:kern w:val="0"/>
          <w:sz w:val="24"/>
          <w:highlight w:val="none"/>
        </w:rPr>
        <w:t>过程和</w:t>
      </w:r>
      <w:r>
        <w:rPr>
          <w:rFonts w:hint="eastAsia" w:ascii="宋体" w:hAnsi="宋体" w:cs="Arial"/>
          <w:color w:val="auto"/>
          <w:kern w:val="0"/>
          <w:sz w:val="24"/>
          <w:highlight w:val="none"/>
        </w:rPr>
        <w:t>磋商</w:t>
      </w:r>
      <w:r>
        <w:rPr>
          <w:rFonts w:ascii="宋体" w:hAnsi="宋体" w:cs="Arial"/>
          <w:color w:val="auto"/>
          <w:kern w:val="0"/>
          <w:sz w:val="24"/>
          <w:highlight w:val="none"/>
        </w:rPr>
        <w:t>结果提出异议</w:t>
      </w:r>
      <w:r>
        <w:rPr>
          <w:rFonts w:hint="eastAsia" w:ascii="宋体" w:hAnsi="宋体" w:cs="Arial"/>
          <w:color w:val="auto"/>
          <w:kern w:val="0"/>
          <w:sz w:val="24"/>
          <w:highlight w:val="none"/>
        </w:rPr>
        <w:t>，同时磋商响应方因未在线参加磋商而导致磋商响应文件无法按时解密等一切后果由磋商响应方自己承担。</w:t>
      </w:r>
    </w:p>
    <w:p w14:paraId="1D749C6A">
      <w:pPr>
        <w:pStyle w:val="68"/>
        <w:spacing w:before="0"/>
        <w:ind w:firstLine="0" w:firstLineChars="0"/>
        <w:contextualSpacing/>
        <w:rPr>
          <w:rFonts w:ascii="宋体" w:hAnsi="宋体" w:eastAsia="宋体" w:cs="宋体"/>
          <w:b/>
          <w:color w:val="auto"/>
          <w:szCs w:val="24"/>
          <w:highlight w:val="none"/>
        </w:rPr>
      </w:pPr>
      <w:r>
        <w:rPr>
          <w:rFonts w:hint="eastAsia" w:ascii="宋体" w:hAnsi="宋体" w:eastAsia="宋体" w:cs="宋体"/>
          <w:b/>
          <w:color w:val="auto"/>
          <w:szCs w:val="24"/>
          <w:highlight w:val="none"/>
        </w:rPr>
        <w:t>19.</w:t>
      </w:r>
      <w:r>
        <w:rPr>
          <w:rFonts w:hint="eastAsia" w:ascii="宋体" w:hAnsi="宋体" w:eastAsia="宋体" w:cs="宋体"/>
          <w:b/>
          <w:color w:val="auto"/>
          <w:kern w:val="0"/>
          <w:szCs w:val="24"/>
          <w:highlight w:val="none"/>
          <w:lang w:val="zh-CN"/>
        </w:rPr>
        <w:t>磋商</w:t>
      </w:r>
      <w:r>
        <w:rPr>
          <w:rFonts w:hint="eastAsia" w:ascii="宋体" w:hAnsi="宋体" w:eastAsia="宋体" w:cs="宋体"/>
          <w:b/>
          <w:color w:val="auto"/>
          <w:szCs w:val="24"/>
          <w:highlight w:val="none"/>
        </w:rPr>
        <w:t>流程（两阶段）</w:t>
      </w:r>
    </w:p>
    <w:p w14:paraId="47D9ACF2">
      <w:pPr>
        <w:spacing w:line="360" w:lineRule="auto"/>
        <w:contextualSpacing/>
        <w:jc w:val="left"/>
        <w:rPr>
          <w:rFonts w:ascii="宋体" w:hAnsi="宋体" w:cs="Arial"/>
          <w:b/>
          <w:color w:val="auto"/>
          <w:kern w:val="0"/>
          <w:sz w:val="24"/>
          <w:highlight w:val="none"/>
        </w:rPr>
      </w:pPr>
      <w:r>
        <w:rPr>
          <w:rFonts w:hint="eastAsia" w:ascii="宋体" w:hAnsi="宋体" w:cs="Arial"/>
          <w:b/>
          <w:color w:val="auto"/>
          <w:kern w:val="0"/>
          <w:sz w:val="24"/>
          <w:highlight w:val="none"/>
        </w:rPr>
        <w:t>19.1磋商第一阶段</w:t>
      </w:r>
    </w:p>
    <w:p w14:paraId="3D3AD672">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方发出电子加密磋商响应文件【开始解密】通知，由</w:t>
      </w:r>
      <w:r>
        <w:rPr>
          <w:rFonts w:hint="eastAsia" w:ascii="宋体" w:hAnsi="宋体" w:cs="宋体"/>
          <w:color w:val="auto"/>
          <w:sz w:val="24"/>
          <w:highlight w:val="none"/>
        </w:rPr>
        <w:t>磋商响应</w:t>
      </w:r>
      <w:r>
        <w:rPr>
          <w:rFonts w:hint="eastAsia" w:ascii="宋体" w:hAnsi="宋体" w:cs="Arial"/>
          <w:color w:val="auto"/>
          <w:kern w:val="0"/>
          <w:sz w:val="24"/>
          <w:highlight w:val="none"/>
        </w:rPr>
        <w:t>方按采购文件规定的时间内自行进行电子加密磋商响应文件解密。</w:t>
      </w:r>
      <w:r>
        <w:rPr>
          <w:rFonts w:hint="eastAsia" w:ascii="宋体" w:hAnsi="宋体" w:cs="宋体"/>
          <w:color w:val="auto"/>
          <w:sz w:val="24"/>
          <w:highlight w:val="none"/>
        </w:rPr>
        <w:t>磋商响应</w:t>
      </w:r>
      <w:r>
        <w:rPr>
          <w:rFonts w:hint="eastAsia" w:ascii="宋体" w:hAnsi="宋体" w:cs="Arial"/>
          <w:color w:val="auto"/>
          <w:kern w:val="0"/>
          <w:sz w:val="24"/>
          <w:highlight w:val="none"/>
        </w:rPr>
        <w:t>方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14:paraId="618C85B6">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）电子加密磋商响应文件解密结束，组织各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方签署《政府采购活动现场确认声明书》；</w:t>
      </w:r>
    </w:p>
    <w:p w14:paraId="31A5A830">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）开启磋商响应文件，进入资格审查；</w:t>
      </w:r>
    </w:p>
    <w:p w14:paraId="59370582">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）开启资格审查通过的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方的商务技术文件进入符合性审查、商务技术评审。</w:t>
      </w:r>
    </w:p>
    <w:p w14:paraId="5C6759EF">
      <w:pPr>
        <w:spacing w:line="360" w:lineRule="auto"/>
        <w:ind w:firstLine="482" w:firstLineChars="200"/>
        <w:contextualSpacing/>
        <w:jc w:val="left"/>
        <w:rPr>
          <w:rFonts w:ascii="宋体" w:hAnsi="宋体" w:cs="Arial"/>
          <w:b/>
          <w:color w:val="auto"/>
          <w:kern w:val="0"/>
          <w:sz w:val="24"/>
          <w:highlight w:val="none"/>
        </w:rPr>
      </w:pPr>
      <w:r>
        <w:rPr>
          <w:rFonts w:hint="eastAsia" w:ascii="宋体" w:hAnsi="宋体" w:cs="Arial"/>
          <w:b/>
          <w:color w:val="auto"/>
          <w:kern w:val="0"/>
          <w:sz w:val="24"/>
          <w:highlight w:val="none"/>
        </w:rPr>
        <w:t>备注：磋商小组将依法对磋商响应方的资格进行审查，资格审查结束后进入符合性审查和商务技术的评审工作，具体见本章节“资格审查”相关规定。</w:t>
      </w:r>
    </w:p>
    <w:p w14:paraId="77BEA84A">
      <w:pPr>
        <w:spacing w:line="360" w:lineRule="auto"/>
        <w:contextualSpacing/>
        <w:jc w:val="left"/>
        <w:rPr>
          <w:rFonts w:ascii="宋体" w:hAnsi="宋体" w:cs="Arial"/>
          <w:b/>
          <w:color w:val="auto"/>
          <w:kern w:val="0"/>
          <w:sz w:val="24"/>
          <w:highlight w:val="none"/>
        </w:rPr>
      </w:pPr>
      <w:r>
        <w:rPr>
          <w:rFonts w:hint="eastAsia" w:ascii="宋体" w:hAnsi="宋体"/>
          <w:b/>
          <w:color w:val="auto"/>
          <w:sz w:val="24"/>
          <w:highlight w:val="none"/>
        </w:rPr>
        <w:t>19.2</w:t>
      </w:r>
      <w:r>
        <w:rPr>
          <w:rFonts w:hint="eastAsia" w:ascii="宋体" w:hAnsi="宋体" w:cs="Arial"/>
          <w:b/>
          <w:color w:val="auto"/>
          <w:kern w:val="0"/>
          <w:sz w:val="24"/>
          <w:highlight w:val="none"/>
        </w:rPr>
        <w:t>磋商第二阶段</w:t>
      </w:r>
    </w:p>
    <w:p w14:paraId="4328A548">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olor w:val="auto"/>
          <w:sz w:val="24"/>
          <w:highlight w:val="none"/>
        </w:rPr>
        <w:t>（1）</w:t>
      </w:r>
      <w:r>
        <w:rPr>
          <w:rFonts w:hint="eastAsia" w:ascii="宋体" w:hAnsi="宋体" w:cs="Arial"/>
          <w:color w:val="auto"/>
          <w:kern w:val="0"/>
          <w:sz w:val="24"/>
          <w:highlight w:val="none"/>
        </w:rPr>
        <w:t>符合性审查、商务技术评审结束后，举行磋商第二阶段会议。首先通过“政府采购云平台”公布符合性审查、商务技术评审无效磋商响应方名称及理由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w:t>
      </w:r>
      <w:r>
        <w:rPr>
          <w:rFonts w:ascii="宋体" w:hAnsi="宋体" w:cs="Arial"/>
          <w:color w:val="auto"/>
          <w:kern w:val="0"/>
          <w:sz w:val="24"/>
          <w:highlight w:val="none"/>
        </w:rPr>
        <w:t>名单</w:t>
      </w:r>
      <w:r>
        <w:rPr>
          <w:rFonts w:hint="eastAsia" w:ascii="宋体" w:hAnsi="宋体" w:cs="Arial"/>
          <w:color w:val="auto"/>
          <w:kern w:val="0"/>
          <w:sz w:val="24"/>
          <w:highlight w:val="none"/>
        </w:rPr>
        <w:t>。</w:t>
      </w:r>
    </w:p>
    <w:p w14:paraId="52A0C0EB">
      <w:pPr>
        <w:spacing w:line="360" w:lineRule="auto"/>
        <w:ind w:firstLine="480" w:firstLineChars="2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（2）</w:t>
      </w:r>
      <w:r>
        <w:rPr>
          <w:rFonts w:hint="eastAsia" w:ascii="宋体" w:hAnsi="宋体" w:cs="宋体"/>
          <w:color w:val="auto"/>
          <w:sz w:val="24"/>
          <w:highlight w:val="none"/>
        </w:rPr>
        <w:t>磋商结束后，</w:t>
      </w:r>
      <w:r>
        <w:rPr>
          <w:rFonts w:hint="eastAsia" w:ascii="宋体" w:hAnsi="宋体" w:cs="Arial"/>
          <w:color w:val="auto"/>
          <w:kern w:val="0"/>
          <w:sz w:val="24"/>
          <w:highlight w:val="none"/>
        </w:rPr>
        <w:t>开启符合性审查、商务技术评审有效</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方的初次报价文件，经磋商小组评审及磋商，</w:t>
      </w:r>
      <w:r>
        <w:rPr>
          <w:rFonts w:hint="eastAsia" w:ascii="宋体" w:hAnsi="宋体" w:cs="宋体"/>
          <w:color w:val="auto"/>
          <w:sz w:val="24"/>
          <w:highlight w:val="none"/>
        </w:rPr>
        <w:t>要求所有实质性响应的</w:t>
      </w:r>
      <w:r>
        <w:rPr>
          <w:rFonts w:hint="eastAsia" w:ascii="宋体" w:hAnsi="宋体" w:cs="Arial"/>
          <w:color w:val="auto"/>
          <w:kern w:val="0"/>
          <w:sz w:val="24"/>
          <w:highlight w:val="none"/>
        </w:rPr>
        <w:t>磋商响应方</w:t>
      </w:r>
      <w:r>
        <w:rPr>
          <w:rFonts w:hint="eastAsia" w:ascii="宋体" w:hAnsi="宋体" w:cs="宋体"/>
          <w:color w:val="auto"/>
          <w:sz w:val="24"/>
          <w:highlight w:val="none"/>
        </w:rPr>
        <w:t>在规定时间内提交最后报价，采购代理机构</w:t>
      </w:r>
      <w:r>
        <w:rPr>
          <w:rFonts w:hint="eastAsia" w:ascii="宋体" w:hAnsi="宋体" w:cs="Arial"/>
          <w:color w:val="auto"/>
          <w:kern w:val="0"/>
          <w:sz w:val="24"/>
          <w:highlight w:val="none"/>
        </w:rPr>
        <w:t>向各</w:t>
      </w:r>
      <w:r>
        <w:rPr>
          <w:rFonts w:hint="eastAsia" w:ascii="宋体" w:hAnsi="宋体" w:cs="宋体"/>
          <w:color w:val="auto"/>
          <w:sz w:val="24"/>
          <w:highlight w:val="none"/>
        </w:rPr>
        <w:t>磋商响应</w:t>
      </w:r>
      <w:r>
        <w:rPr>
          <w:rFonts w:hint="eastAsia" w:ascii="宋体" w:hAnsi="宋体" w:cs="Arial"/>
          <w:color w:val="auto"/>
          <w:kern w:val="0"/>
          <w:sz w:val="24"/>
          <w:highlight w:val="none"/>
        </w:rPr>
        <w:t>方发出最终报价文件通知，由</w:t>
      </w:r>
      <w:r>
        <w:rPr>
          <w:rFonts w:hint="eastAsia" w:ascii="宋体" w:hAnsi="宋体"/>
          <w:color w:val="auto"/>
          <w:sz w:val="24"/>
          <w:highlight w:val="none"/>
        </w:rPr>
        <w:t>磋商响应方</w:t>
      </w:r>
      <w:r>
        <w:rPr>
          <w:rFonts w:hint="eastAsia" w:ascii="宋体" w:hAnsi="宋体" w:cs="Arial"/>
          <w:color w:val="auto"/>
          <w:kern w:val="0"/>
          <w:sz w:val="24"/>
          <w:highlight w:val="none"/>
        </w:rPr>
        <w:t>按采购文件规定的时间内自行填写最终报价加盖签章并上传。</w:t>
      </w:r>
    </w:p>
    <w:p w14:paraId="4294965B">
      <w:pPr>
        <w:spacing w:line="360" w:lineRule="auto"/>
        <w:ind w:firstLine="720" w:firstLineChars="300"/>
        <w:contextualSpacing/>
        <w:rPr>
          <w:rFonts w:ascii="宋体" w:hAnsi="宋体" w:cs="宋体"/>
          <w:color w:val="auto"/>
          <w:sz w:val="24"/>
          <w:highlight w:val="none"/>
        </w:rPr>
      </w:pPr>
      <w:r>
        <w:rPr>
          <w:rFonts w:hint="eastAsia" w:ascii="宋体" w:hAnsi="宋体" w:cs="Arial"/>
          <w:color w:val="auto"/>
          <w:kern w:val="0"/>
          <w:sz w:val="24"/>
          <w:highlight w:val="none"/>
        </w:rPr>
        <w:t>1）</w:t>
      </w:r>
      <w:r>
        <w:rPr>
          <w:rFonts w:hint="eastAsia" w:ascii="宋体" w:hAnsi="宋体" w:cs="宋体"/>
          <w:color w:val="auto"/>
          <w:sz w:val="24"/>
          <w:highlight w:val="none"/>
        </w:rPr>
        <w:t>最后报价是磋商响应文件的有效组成部分。</w:t>
      </w:r>
    </w:p>
    <w:p w14:paraId="67895883">
      <w:pPr>
        <w:spacing w:line="360" w:lineRule="auto"/>
        <w:ind w:firstLine="720" w:firstLineChars="300"/>
        <w:contextualSpacing/>
        <w:rPr>
          <w:color w:val="auto"/>
          <w:highlight w:val="none"/>
        </w:rPr>
      </w:pPr>
      <w:r>
        <w:rPr>
          <w:rFonts w:hint="eastAsia" w:ascii="宋体" w:hAnsi="宋体" w:cs="Arial"/>
          <w:color w:val="auto"/>
          <w:kern w:val="0"/>
          <w:sz w:val="24"/>
          <w:highlight w:val="none"/>
        </w:rPr>
        <w:t>2）</w:t>
      </w:r>
      <w:r>
        <w:rPr>
          <w:rFonts w:hint="eastAsia" w:ascii="宋体" w:hAnsi="宋体" w:cs="宋体"/>
          <w:color w:val="auto"/>
          <w:sz w:val="24"/>
          <w:highlight w:val="none"/>
        </w:rPr>
        <w:t>已提交磋商响应文件的磋商响应方，在提交最后报价之前，若因磋商文件实质性变动导致磋商响应方无法满足采购需求的，允许磋商响应方退出磋商。</w:t>
      </w:r>
    </w:p>
    <w:p w14:paraId="45C2220C">
      <w:pPr>
        <w:spacing w:line="360" w:lineRule="auto"/>
        <w:ind w:firstLine="720" w:firstLineChars="300"/>
        <w:contextualSpacing/>
        <w:jc w:val="left"/>
        <w:rPr>
          <w:strike/>
          <w:color w:val="auto"/>
          <w:highlight w:val="none"/>
        </w:rPr>
      </w:pPr>
      <w:r>
        <w:rPr>
          <w:rFonts w:hint="eastAsia" w:ascii="宋体" w:hAnsi="宋体" w:cs="Arial"/>
          <w:color w:val="auto"/>
          <w:kern w:val="0"/>
          <w:sz w:val="24"/>
          <w:highlight w:val="none"/>
        </w:rPr>
        <w:t>3）公布其商务技术部分得分情况。公布报价一览表有关内容，制作报价记录表，磋商响应方予以确认。（不予确认的应说明理由，否则视为无异议）。</w:t>
      </w:r>
    </w:p>
    <w:p w14:paraId="03C534F7">
      <w:pPr>
        <w:spacing w:line="360" w:lineRule="auto"/>
        <w:ind w:firstLine="720" w:firstLineChars="300"/>
        <w:contextualSpacing/>
        <w:jc w:val="left"/>
        <w:rPr>
          <w:rFonts w:ascii="宋体" w:hAnsi="宋体" w:cs="Arial"/>
          <w:color w:val="auto"/>
          <w:kern w:val="0"/>
          <w:sz w:val="24"/>
          <w:highlight w:val="none"/>
        </w:rPr>
      </w:pPr>
      <w:r>
        <w:rPr>
          <w:rFonts w:hint="eastAsia" w:ascii="宋体" w:hAnsi="宋体" w:cs="Arial"/>
          <w:color w:val="auto"/>
          <w:kern w:val="0"/>
          <w:sz w:val="24"/>
          <w:highlight w:val="none"/>
        </w:rPr>
        <w:t>4）评审结束后，</w:t>
      </w:r>
      <w:r>
        <w:rPr>
          <w:rFonts w:ascii="宋体" w:hAnsi="宋体" w:cs="Arial"/>
          <w:color w:val="auto"/>
          <w:kern w:val="0"/>
          <w:sz w:val="24"/>
          <w:highlight w:val="none"/>
        </w:rPr>
        <w:t>通过“政府采购云平台”公布</w:t>
      </w:r>
      <w:r>
        <w:rPr>
          <w:rFonts w:hint="eastAsia" w:ascii="宋体" w:hAnsi="宋体" w:cs="Arial"/>
          <w:color w:val="auto"/>
          <w:kern w:val="0"/>
          <w:sz w:val="24"/>
          <w:highlight w:val="none"/>
        </w:rPr>
        <w:t>成交候选</w:t>
      </w:r>
      <w:r>
        <w:rPr>
          <w:rFonts w:ascii="宋体" w:hAnsi="宋体" w:cs="Arial"/>
          <w:color w:val="auto"/>
          <w:kern w:val="0"/>
          <w:sz w:val="24"/>
          <w:highlight w:val="none"/>
        </w:rPr>
        <w:t>供应商</w:t>
      </w:r>
      <w:r>
        <w:rPr>
          <w:rFonts w:hint="eastAsia" w:ascii="宋体" w:hAnsi="宋体" w:cs="Arial"/>
          <w:color w:val="auto"/>
          <w:kern w:val="0"/>
          <w:sz w:val="24"/>
          <w:highlight w:val="none"/>
        </w:rPr>
        <w:t>名单，及采购人最终确定成交</w:t>
      </w:r>
      <w:r>
        <w:rPr>
          <w:rFonts w:ascii="宋体" w:hAnsi="宋体" w:cs="Arial"/>
          <w:color w:val="auto"/>
          <w:kern w:val="0"/>
          <w:sz w:val="24"/>
          <w:highlight w:val="none"/>
        </w:rPr>
        <w:t>供应</w:t>
      </w:r>
      <w:r>
        <w:rPr>
          <w:rFonts w:hint="eastAsia" w:ascii="宋体" w:hAnsi="宋体" w:cs="Arial"/>
          <w:color w:val="auto"/>
          <w:kern w:val="0"/>
          <w:sz w:val="24"/>
          <w:highlight w:val="none"/>
        </w:rPr>
        <w:t>商名单的时间和公告方式等。</w:t>
      </w:r>
    </w:p>
    <w:p w14:paraId="4D3E22F1">
      <w:pPr>
        <w:spacing w:line="360" w:lineRule="auto"/>
        <w:ind w:firstLine="482" w:firstLineChars="200"/>
        <w:contextualSpacing/>
        <w:jc w:val="left"/>
        <w:rPr>
          <w:rFonts w:ascii="宋体" w:hAnsi="宋体" w:cs="Arial"/>
          <w:b/>
          <w:color w:val="auto"/>
          <w:kern w:val="0"/>
          <w:sz w:val="24"/>
          <w:highlight w:val="none"/>
        </w:rPr>
      </w:pPr>
      <w:r>
        <w:rPr>
          <w:rFonts w:hint="eastAsia" w:ascii="宋体" w:hAnsi="宋体" w:cs="Arial"/>
          <w:b/>
          <w:color w:val="auto"/>
          <w:kern w:val="0"/>
          <w:sz w:val="24"/>
          <w:highlight w:val="none"/>
        </w:rPr>
        <w:t>特别说明：如遇“政府采购云平台”电子化开标或磋商程序调整的，按调整后程序执行。如调整后部分电子化开标或评审程序功能不能实现的，可以采用线下辅助（如电子邮件）等形式完成相关程序。</w:t>
      </w:r>
    </w:p>
    <w:p w14:paraId="19A82155">
      <w:pPr>
        <w:spacing w:line="360" w:lineRule="auto"/>
        <w:contextualSpacing/>
        <w:rPr>
          <w:rFonts w:ascii="宋体" w:hAnsi="宋体" w:cs="Arial"/>
          <w:b/>
          <w:color w:val="auto"/>
          <w:kern w:val="0"/>
          <w:sz w:val="24"/>
          <w:highlight w:val="none"/>
        </w:rPr>
      </w:pPr>
      <w:bookmarkStart w:id="9" w:name="_Toc33194393"/>
      <w:bookmarkStart w:id="10" w:name="_Toc14504"/>
      <w:bookmarkStart w:id="11" w:name="_Toc24550037"/>
      <w:r>
        <w:rPr>
          <w:rFonts w:hint="eastAsia" w:ascii="宋体" w:hAnsi="宋体" w:cs="Arial"/>
          <w:b/>
          <w:color w:val="auto"/>
          <w:kern w:val="0"/>
          <w:sz w:val="24"/>
          <w:highlight w:val="none"/>
        </w:rPr>
        <w:t>20.资格审查</w:t>
      </w:r>
      <w:bookmarkEnd w:id="9"/>
      <w:bookmarkEnd w:id="10"/>
      <w:bookmarkEnd w:id="11"/>
    </w:p>
    <w:p w14:paraId="0F9037BC">
      <w:pPr>
        <w:spacing w:line="360" w:lineRule="auto"/>
        <w:contextualSpacing/>
        <w:rPr>
          <w:rFonts w:ascii="宋体" w:hAnsi="宋体"/>
          <w:bCs/>
          <w:color w:val="auto"/>
          <w:sz w:val="24"/>
          <w:highlight w:val="none"/>
        </w:rPr>
      </w:pPr>
      <w:r>
        <w:rPr>
          <w:rFonts w:hint="eastAsia" w:ascii="宋体" w:hAnsi="宋体"/>
          <w:bCs/>
          <w:color w:val="auto"/>
          <w:sz w:val="24"/>
          <w:highlight w:val="none"/>
        </w:rPr>
        <w:t>20.1磋商大会第一阶段结束后，磋商小组先依法对各</w:t>
      </w:r>
      <w:r>
        <w:rPr>
          <w:rFonts w:hint="eastAsia" w:ascii="宋体" w:hAnsi="宋体" w:cs="宋体"/>
          <w:color w:val="auto"/>
          <w:sz w:val="24"/>
          <w:highlight w:val="none"/>
        </w:rPr>
        <w:t>磋商响应</w:t>
      </w:r>
      <w:r>
        <w:rPr>
          <w:rFonts w:hint="eastAsia" w:ascii="宋体" w:hAnsi="宋体"/>
          <w:bCs/>
          <w:color w:val="auto"/>
          <w:sz w:val="24"/>
          <w:highlight w:val="none"/>
        </w:rPr>
        <w:t>方的资格进行审查，审查各</w:t>
      </w:r>
      <w:r>
        <w:rPr>
          <w:rFonts w:hint="eastAsia" w:ascii="宋体" w:hAnsi="宋体" w:cs="宋体"/>
          <w:color w:val="auto"/>
          <w:sz w:val="24"/>
          <w:highlight w:val="none"/>
        </w:rPr>
        <w:t>磋商响应</w:t>
      </w:r>
      <w:r>
        <w:rPr>
          <w:rFonts w:hint="eastAsia" w:ascii="宋体" w:hAnsi="宋体"/>
          <w:bCs/>
          <w:color w:val="auto"/>
          <w:sz w:val="24"/>
          <w:highlight w:val="none"/>
        </w:rPr>
        <w:t>方的资格是否满足采购文件的要求。磋商小组</w:t>
      </w:r>
      <w:r>
        <w:rPr>
          <w:rFonts w:ascii="宋体" w:hAnsi="宋体"/>
          <w:bCs/>
          <w:color w:val="auto"/>
          <w:sz w:val="24"/>
          <w:highlight w:val="none"/>
        </w:rPr>
        <w:t>对</w:t>
      </w:r>
      <w:r>
        <w:rPr>
          <w:rFonts w:hint="eastAsia" w:ascii="宋体" w:hAnsi="宋体" w:cs="宋体"/>
          <w:color w:val="auto"/>
          <w:sz w:val="24"/>
          <w:highlight w:val="none"/>
        </w:rPr>
        <w:t>磋商响应</w:t>
      </w:r>
      <w:r>
        <w:rPr>
          <w:rFonts w:hint="eastAsia" w:ascii="宋体" w:hAnsi="宋体"/>
          <w:bCs/>
          <w:color w:val="auto"/>
          <w:sz w:val="24"/>
          <w:highlight w:val="none"/>
        </w:rPr>
        <w:t>方</w:t>
      </w:r>
      <w:r>
        <w:rPr>
          <w:rFonts w:ascii="宋体" w:hAnsi="宋体"/>
          <w:bCs/>
          <w:color w:val="auto"/>
          <w:sz w:val="24"/>
          <w:highlight w:val="none"/>
        </w:rPr>
        <w:t>所</w:t>
      </w:r>
      <w:r>
        <w:rPr>
          <w:rFonts w:hint="eastAsia" w:ascii="宋体" w:hAnsi="宋体"/>
          <w:bCs/>
          <w:color w:val="auto"/>
          <w:sz w:val="24"/>
          <w:highlight w:val="none"/>
        </w:rPr>
        <w:t>提交</w:t>
      </w:r>
      <w:r>
        <w:rPr>
          <w:rFonts w:ascii="宋体" w:hAnsi="宋体"/>
          <w:bCs/>
          <w:color w:val="auto"/>
          <w:sz w:val="24"/>
          <w:highlight w:val="none"/>
        </w:rPr>
        <w:t>的资格证明材料仅负审核的责任。如发现</w:t>
      </w:r>
      <w:r>
        <w:rPr>
          <w:rFonts w:hint="eastAsia" w:ascii="宋体" w:hAnsi="宋体" w:cs="宋体"/>
          <w:color w:val="auto"/>
          <w:sz w:val="24"/>
          <w:highlight w:val="none"/>
        </w:rPr>
        <w:t>磋商响应</w:t>
      </w:r>
      <w:r>
        <w:rPr>
          <w:rFonts w:hint="eastAsia" w:ascii="宋体" w:hAnsi="宋体"/>
          <w:bCs/>
          <w:color w:val="auto"/>
          <w:sz w:val="24"/>
          <w:highlight w:val="none"/>
        </w:rPr>
        <w:t>方</w:t>
      </w:r>
      <w:r>
        <w:rPr>
          <w:rFonts w:ascii="宋体" w:hAnsi="宋体"/>
          <w:bCs/>
          <w:color w:val="auto"/>
          <w:sz w:val="24"/>
          <w:highlight w:val="none"/>
        </w:rPr>
        <w:t>所提</w:t>
      </w:r>
      <w:r>
        <w:rPr>
          <w:rFonts w:hint="eastAsia" w:ascii="宋体" w:hAnsi="宋体"/>
          <w:bCs/>
          <w:color w:val="auto"/>
          <w:sz w:val="24"/>
          <w:highlight w:val="none"/>
        </w:rPr>
        <w:t>交</w:t>
      </w:r>
      <w:r>
        <w:rPr>
          <w:rFonts w:ascii="宋体" w:hAnsi="宋体"/>
          <w:bCs/>
          <w:color w:val="auto"/>
          <w:sz w:val="24"/>
          <w:highlight w:val="none"/>
        </w:rPr>
        <w:t>的资格证明材料不合法或</w:t>
      </w:r>
      <w:r>
        <w:rPr>
          <w:rFonts w:hint="eastAsia" w:ascii="宋体" w:hAnsi="宋体"/>
          <w:bCs/>
          <w:color w:val="auto"/>
          <w:sz w:val="24"/>
          <w:highlight w:val="none"/>
        </w:rPr>
        <w:t>与事实不符</w:t>
      </w:r>
      <w:r>
        <w:rPr>
          <w:rFonts w:ascii="宋体" w:hAnsi="宋体"/>
          <w:bCs/>
          <w:color w:val="auto"/>
          <w:sz w:val="24"/>
          <w:highlight w:val="none"/>
        </w:rPr>
        <w:t>，</w:t>
      </w:r>
      <w:r>
        <w:rPr>
          <w:rFonts w:hint="eastAsia" w:ascii="宋体" w:hAnsi="宋体"/>
          <w:bCs/>
          <w:color w:val="auto"/>
          <w:sz w:val="24"/>
          <w:highlight w:val="none"/>
        </w:rPr>
        <w:t>磋商小组</w:t>
      </w:r>
      <w:r>
        <w:rPr>
          <w:rFonts w:ascii="宋体" w:hAnsi="宋体"/>
          <w:bCs/>
          <w:color w:val="auto"/>
          <w:sz w:val="24"/>
          <w:highlight w:val="none"/>
        </w:rPr>
        <w:t>可取消</w:t>
      </w:r>
      <w:r>
        <w:rPr>
          <w:rFonts w:hint="eastAsia" w:ascii="宋体" w:hAnsi="宋体"/>
          <w:bCs/>
          <w:color w:val="auto"/>
          <w:sz w:val="24"/>
          <w:highlight w:val="none"/>
        </w:rPr>
        <w:t>其成交</w:t>
      </w:r>
      <w:r>
        <w:rPr>
          <w:rFonts w:ascii="宋体" w:hAnsi="宋体"/>
          <w:bCs/>
          <w:color w:val="auto"/>
          <w:sz w:val="24"/>
          <w:highlight w:val="none"/>
        </w:rPr>
        <w:t>资格</w:t>
      </w:r>
      <w:r>
        <w:rPr>
          <w:rFonts w:hint="eastAsia" w:ascii="宋体" w:hAnsi="宋体"/>
          <w:color w:val="auto"/>
          <w:sz w:val="24"/>
          <w:highlight w:val="none"/>
        </w:rPr>
        <w:t>并追究供应商的法律责任</w:t>
      </w:r>
      <w:r>
        <w:rPr>
          <w:rFonts w:ascii="宋体" w:hAnsi="宋体"/>
          <w:bCs/>
          <w:color w:val="auto"/>
          <w:sz w:val="24"/>
          <w:highlight w:val="none"/>
        </w:rPr>
        <w:t>。</w:t>
      </w:r>
    </w:p>
    <w:p w14:paraId="72D41EA1">
      <w:pPr>
        <w:spacing w:line="360" w:lineRule="auto"/>
        <w:contextualSpacing/>
        <w:rPr>
          <w:rFonts w:ascii="宋体" w:hAnsi="宋体"/>
          <w:b/>
          <w:color w:val="auto"/>
          <w:sz w:val="24"/>
          <w:szCs w:val="20"/>
          <w:highlight w:val="none"/>
        </w:rPr>
      </w:pPr>
      <w:r>
        <w:rPr>
          <w:rFonts w:hint="eastAsia" w:ascii="宋体" w:hAnsi="宋体"/>
          <w:color w:val="auto"/>
          <w:sz w:val="24"/>
          <w:highlight w:val="none"/>
        </w:rPr>
        <w:t>20.2磋商响应方提交的资格证明材料无法证明其符合采购文件规定的“供应商资格要求”的，</w:t>
      </w:r>
      <w:r>
        <w:rPr>
          <w:rFonts w:hint="eastAsia" w:ascii="宋体" w:hAnsi="宋体"/>
          <w:bCs/>
          <w:color w:val="auto"/>
          <w:sz w:val="24"/>
          <w:highlight w:val="none"/>
        </w:rPr>
        <w:t>磋商小组</w:t>
      </w:r>
      <w:r>
        <w:rPr>
          <w:rFonts w:hint="eastAsia" w:ascii="宋体" w:hAnsi="宋体" w:cs="Arial"/>
          <w:color w:val="auto"/>
          <w:kern w:val="0"/>
          <w:sz w:val="24"/>
          <w:highlight w:val="none"/>
        </w:rPr>
        <w:t>将对其作资格审查不通过处理，不再进行后续磋商。</w:t>
      </w:r>
    </w:p>
    <w:p w14:paraId="68804CE3">
      <w:pPr>
        <w:adjustRightInd w:val="0"/>
        <w:snapToGrid w:val="0"/>
        <w:spacing w:line="360" w:lineRule="auto"/>
        <w:jc w:val="center"/>
        <w:outlineLvl w:val="1"/>
        <w:rPr>
          <w:rFonts w:hAnsi="宋体"/>
          <w:b/>
          <w:bCs/>
          <w:color w:val="auto"/>
          <w:sz w:val="24"/>
          <w:szCs w:val="20"/>
          <w:highlight w:val="none"/>
        </w:rPr>
      </w:pPr>
      <w:bookmarkStart w:id="12" w:name="_Toc12232"/>
      <w:bookmarkStart w:id="13" w:name="_Toc442428813"/>
      <w:r>
        <w:rPr>
          <w:rFonts w:hint="eastAsia" w:hAnsi="宋体"/>
          <w:b/>
          <w:bCs/>
          <w:color w:val="auto"/>
          <w:sz w:val="24"/>
          <w:szCs w:val="20"/>
          <w:highlight w:val="none"/>
        </w:rPr>
        <w:t>六、</w:t>
      </w:r>
      <w:bookmarkEnd w:id="12"/>
      <w:bookmarkEnd w:id="13"/>
      <w:r>
        <w:rPr>
          <w:rFonts w:hint="eastAsia" w:hAnsi="宋体"/>
          <w:b/>
          <w:bCs/>
          <w:color w:val="auto"/>
          <w:sz w:val="24"/>
          <w:highlight w:val="none"/>
        </w:rPr>
        <w:t>评审</w:t>
      </w:r>
    </w:p>
    <w:p w14:paraId="2E8604EC">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21</w:t>
      </w:r>
      <w:r>
        <w:rPr>
          <w:rFonts w:hint="eastAsia" w:hAnsi="宋体"/>
          <w:b/>
          <w:color w:val="auto"/>
          <w:kern w:val="0"/>
          <w:sz w:val="24"/>
          <w:szCs w:val="24"/>
          <w:highlight w:val="none"/>
          <w:lang w:val="zh-CN"/>
        </w:rPr>
        <w:t>.</w:t>
      </w:r>
      <w:r>
        <w:rPr>
          <w:rFonts w:hint="eastAsia" w:hAnsi="宋体"/>
          <w:b/>
          <w:color w:val="auto"/>
          <w:sz w:val="24"/>
          <w:szCs w:val="24"/>
          <w:highlight w:val="none"/>
        </w:rPr>
        <w:t>磋商小组</w:t>
      </w:r>
    </w:p>
    <w:p w14:paraId="1DE53FA9">
      <w:pPr>
        <w:pStyle w:val="12"/>
        <w:spacing w:line="360" w:lineRule="auto"/>
        <w:ind w:firstLine="480" w:firstLineChars="200"/>
        <w:contextualSpacing/>
        <w:rPr>
          <w:rFonts w:hAnsi="宋体"/>
          <w:color w:val="auto"/>
          <w:sz w:val="24"/>
          <w:szCs w:val="24"/>
          <w:highlight w:val="none"/>
          <w:lang w:val="zh-CN"/>
        </w:rPr>
      </w:pPr>
      <w:r>
        <w:rPr>
          <w:rFonts w:hint="eastAsia" w:hAnsi="宋体"/>
          <w:color w:val="auto"/>
          <w:sz w:val="24"/>
          <w:szCs w:val="24"/>
          <w:highlight w:val="none"/>
        </w:rPr>
        <w:t>采购代理机构依法组建由3人（含）以上单数组成的</w:t>
      </w:r>
      <w:r>
        <w:rPr>
          <w:rFonts w:hint="eastAsia" w:hAnsi="宋体"/>
          <w:color w:val="auto"/>
          <w:sz w:val="24"/>
          <w:highlight w:val="none"/>
        </w:rPr>
        <w:t>磋商小组</w:t>
      </w:r>
      <w:r>
        <w:rPr>
          <w:rFonts w:hint="eastAsia" w:hAnsi="宋体"/>
          <w:color w:val="auto"/>
          <w:sz w:val="24"/>
          <w:szCs w:val="24"/>
          <w:highlight w:val="none"/>
        </w:rPr>
        <w:t>，负责对</w:t>
      </w:r>
      <w:r>
        <w:rPr>
          <w:rFonts w:hint="eastAsia" w:hAnsi="宋体"/>
          <w:color w:val="auto"/>
          <w:sz w:val="24"/>
          <w:highlight w:val="none"/>
        </w:rPr>
        <w:t>磋商响应</w:t>
      </w:r>
      <w:r>
        <w:rPr>
          <w:rFonts w:hint="eastAsia" w:hAnsi="宋体"/>
          <w:color w:val="auto"/>
          <w:sz w:val="24"/>
          <w:szCs w:val="24"/>
          <w:highlight w:val="none"/>
        </w:rPr>
        <w:t>文件进行审查、质询、评审和比较等。</w:t>
      </w:r>
      <w:r>
        <w:rPr>
          <w:rFonts w:hint="eastAsia" w:hAnsi="宋体"/>
          <w:color w:val="auto"/>
          <w:sz w:val="24"/>
          <w:highlight w:val="none"/>
        </w:rPr>
        <w:t>磋商小组</w:t>
      </w:r>
      <w:r>
        <w:rPr>
          <w:rFonts w:hint="eastAsia" w:hAnsi="宋体"/>
          <w:color w:val="auto"/>
          <w:sz w:val="24"/>
          <w:szCs w:val="24"/>
          <w:highlight w:val="none"/>
        </w:rPr>
        <w:t>由采购人代表和政府采购咨询专家组成，其中政府采购咨询专家人数不少于成员总数的三分之二</w:t>
      </w:r>
      <w:r>
        <w:rPr>
          <w:rFonts w:hint="eastAsia" w:hAnsi="宋体"/>
          <w:color w:val="auto"/>
          <w:sz w:val="24"/>
          <w:highlight w:val="none"/>
        </w:rPr>
        <w:t>。</w:t>
      </w:r>
    </w:p>
    <w:p w14:paraId="73DC478F">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22.磋商小组的职责</w:t>
      </w:r>
    </w:p>
    <w:p w14:paraId="3FB3D7F9">
      <w:pPr>
        <w:pStyle w:val="12"/>
        <w:spacing w:line="360" w:lineRule="auto"/>
        <w:ind w:firstLine="482" w:firstLineChars="200"/>
        <w:contextualSpacing/>
        <w:rPr>
          <w:rFonts w:hAnsi="宋体"/>
          <w:b/>
          <w:color w:val="auto"/>
          <w:sz w:val="24"/>
          <w:szCs w:val="24"/>
          <w:highlight w:val="none"/>
        </w:rPr>
      </w:pPr>
      <w:r>
        <w:rPr>
          <w:rFonts w:hint="eastAsia" w:hAnsi="宋体" w:cs="Arial"/>
          <w:b/>
          <w:color w:val="auto"/>
          <w:kern w:val="0"/>
          <w:sz w:val="24"/>
          <w:highlight w:val="none"/>
        </w:rPr>
        <w:t>磋商小组负责具体磋商事务，并独立履行下列职责：</w:t>
      </w:r>
    </w:p>
    <w:p w14:paraId="4CC32E28">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（1）审查、评价磋商响应文件是否符合采购文件的商务、技术等实质性要求；</w:t>
      </w:r>
    </w:p>
    <w:p w14:paraId="1659684E">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（2）要求</w:t>
      </w:r>
      <w:r>
        <w:rPr>
          <w:rFonts w:hint="eastAsia" w:ascii="宋体" w:hAnsi="宋体" w:cs="宋体"/>
          <w:color w:val="auto"/>
          <w:sz w:val="24"/>
          <w:highlight w:val="none"/>
        </w:rPr>
        <w:t>磋商响应</w:t>
      </w:r>
      <w:r>
        <w:rPr>
          <w:rFonts w:hint="eastAsia" w:ascii="宋体" w:hAnsi="宋体" w:cs="Arial"/>
          <w:color w:val="auto"/>
          <w:kern w:val="0"/>
          <w:sz w:val="24"/>
          <w:highlight w:val="none"/>
        </w:rPr>
        <w:t>方对磋商响应文件有关事项作出澄清或者说明；</w:t>
      </w:r>
    </w:p>
    <w:p w14:paraId="0D55E190">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（3）对磋商响应文件进行比较和评价；</w:t>
      </w:r>
    </w:p>
    <w:p w14:paraId="0D318E2A">
      <w:pPr>
        <w:spacing w:line="360" w:lineRule="auto"/>
        <w:ind w:firstLine="422" w:firstLineChars="176"/>
        <w:contextualSpacing/>
        <w:rPr>
          <w:rFonts w:ascii="宋体" w:hAnsi="宋体" w:cs="Arial"/>
          <w:color w:val="auto"/>
          <w:kern w:val="0"/>
          <w:sz w:val="24"/>
          <w:highlight w:val="none"/>
        </w:rPr>
      </w:pPr>
      <w:r>
        <w:rPr>
          <w:rFonts w:hint="eastAsia" w:ascii="宋体" w:hAnsi="宋体" w:cs="Arial"/>
          <w:color w:val="auto"/>
          <w:kern w:val="0"/>
          <w:sz w:val="24"/>
          <w:highlight w:val="none"/>
        </w:rPr>
        <w:t>（4）确定成交候选人名单，以及根据采购人委托直接确定成交人；</w:t>
      </w:r>
    </w:p>
    <w:p w14:paraId="150351B2">
      <w:pPr>
        <w:pStyle w:val="12"/>
        <w:spacing w:line="360" w:lineRule="auto"/>
        <w:ind w:firstLine="480" w:firstLineChars="200"/>
        <w:contextualSpacing/>
        <w:rPr>
          <w:rFonts w:hAnsi="宋体"/>
          <w:color w:val="auto"/>
          <w:sz w:val="24"/>
          <w:szCs w:val="24"/>
          <w:highlight w:val="none"/>
          <w:lang w:val="zh-CN"/>
        </w:rPr>
      </w:pPr>
      <w:r>
        <w:rPr>
          <w:rFonts w:hint="eastAsia" w:hAnsi="宋体" w:cs="Arial"/>
          <w:color w:val="auto"/>
          <w:kern w:val="0"/>
          <w:sz w:val="24"/>
          <w:highlight w:val="none"/>
        </w:rPr>
        <w:t>（5）向采购人、采购代理机构或者有关部门报告磋商中发现的违法行为。</w:t>
      </w:r>
    </w:p>
    <w:p w14:paraId="5C7478E1">
      <w:pPr>
        <w:spacing w:line="360" w:lineRule="auto"/>
        <w:contextualSpacing/>
        <w:rPr>
          <w:rFonts w:ascii="宋体" w:hAnsi="宋体"/>
          <w:b/>
          <w:color w:val="auto"/>
          <w:sz w:val="24"/>
          <w:highlight w:val="none"/>
        </w:rPr>
      </w:pPr>
      <w:r>
        <w:rPr>
          <w:rFonts w:hint="eastAsia" w:ascii="宋体" w:hAnsi="宋体"/>
          <w:b/>
          <w:color w:val="auto"/>
          <w:sz w:val="24"/>
          <w:highlight w:val="none"/>
        </w:rPr>
        <w:t>23.磋商原则</w:t>
      </w:r>
    </w:p>
    <w:p w14:paraId="386E3657">
      <w:pPr>
        <w:spacing w:line="360" w:lineRule="auto"/>
        <w:contextualSpacing/>
        <w:rPr>
          <w:rFonts w:ascii="宋体" w:hAnsi="宋体" w:cs="Arial"/>
          <w:color w:val="auto"/>
          <w:sz w:val="24"/>
          <w:highlight w:val="none"/>
        </w:rPr>
      </w:pPr>
      <w:r>
        <w:rPr>
          <w:rFonts w:hint="eastAsia" w:ascii="宋体" w:hAnsi="宋体"/>
          <w:color w:val="auto"/>
          <w:sz w:val="24"/>
          <w:highlight w:val="none"/>
        </w:rPr>
        <w:t>23</w:t>
      </w:r>
      <w:r>
        <w:rPr>
          <w:rFonts w:hint="eastAsia" w:ascii="宋体" w:hAnsi="宋体" w:cs="Arial"/>
          <w:color w:val="auto"/>
          <w:sz w:val="24"/>
          <w:highlight w:val="none"/>
        </w:rPr>
        <w:t>.1磋商原则：</w:t>
      </w:r>
      <w:r>
        <w:rPr>
          <w:rFonts w:hint="eastAsia" w:ascii="宋体" w:hAnsi="宋体" w:cs="Arial"/>
          <w:color w:val="auto"/>
          <w:kern w:val="0"/>
          <w:sz w:val="24"/>
          <w:highlight w:val="none"/>
        </w:rPr>
        <w:t>磋商小组</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原则，根据采购文件规定的磋商程序、磋商方法和磋商标准进行独立评审。</w:t>
      </w:r>
    </w:p>
    <w:p w14:paraId="12DE515D">
      <w:pPr>
        <w:spacing w:line="360" w:lineRule="auto"/>
        <w:contextualSpacing/>
        <w:rPr>
          <w:rFonts w:ascii="宋体" w:hAnsi="宋体" w:cs="Arial"/>
          <w:color w:val="auto"/>
          <w:sz w:val="24"/>
          <w:highlight w:val="none"/>
        </w:rPr>
      </w:pPr>
      <w:r>
        <w:rPr>
          <w:rFonts w:hint="eastAsia" w:ascii="宋体" w:hAnsi="宋体"/>
          <w:color w:val="auto"/>
          <w:sz w:val="24"/>
          <w:highlight w:val="none"/>
        </w:rPr>
        <w:t>23.2</w:t>
      </w:r>
      <w:r>
        <w:rPr>
          <w:rFonts w:hint="eastAsia" w:ascii="宋体" w:hAnsi="宋体" w:cs="Arial"/>
          <w:color w:val="auto"/>
          <w:sz w:val="24"/>
          <w:highlight w:val="none"/>
        </w:rPr>
        <w:t>磋商工作将依据采购</w:t>
      </w:r>
      <w:r>
        <w:rPr>
          <w:rFonts w:ascii="宋体" w:hAnsi="宋体" w:cs="Arial"/>
          <w:color w:val="auto"/>
          <w:kern w:val="0"/>
          <w:sz w:val="24"/>
          <w:highlight w:val="none"/>
        </w:rPr>
        <w:t>文件</w:t>
      </w:r>
      <w:r>
        <w:rPr>
          <w:rFonts w:hint="eastAsia" w:ascii="宋体" w:hAnsi="宋体" w:cs="Arial"/>
          <w:color w:val="auto"/>
          <w:kern w:val="0"/>
          <w:sz w:val="24"/>
          <w:highlight w:val="none"/>
        </w:rPr>
        <w:t>、磋商响应文件及采购文件中事先已列明的内容进行。</w:t>
      </w:r>
    </w:p>
    <w:p w14:paraId="45A0FB20">
      <w:pPr>
        <w:spacing w:line="360" w:lineRule="auto"/>
        <w:contextualSpacing/>
        <w:rPr>
          <w:rFonts w:ascii="宋体" w:hAnsi="宋体"/>
          <w:b/>
          <w:color w:val="auto"/>
          <w:sz w:val="24"/>
          <w:highlight w:val="none"/>
        </w:rPr>
      </w:pPr>
      <w:r>
        <w:rPr>
          <w:rFonts w:hint="eastAsia" w:ascii="宋体" w:hAnsi="宋体"/>
          <w:b/>
          <w:color w:val="auto"/>
          <w:sz w:val="24"/>
          <w:highlight w:val="none"/>
        </w:rPr>
        <w:t>24.磋商意见的争议处理</w:t>
      </w:r>
    </w:p>
    <w:p w14:paraId="63E63376">
      <w:pPr>
        <w:spacing w:line="360" w:lineRule="auto"/>
        <w:ind w:firstLine="480" w:firstLineChars="200"/>
        <w:contextualSpacing/>
        <w:rPr>
          <w:rFonts w:ascii="宋体" w:hAnsi="宋体" w:cs="Arial"/>
          <w:bCs/>
          <w:color w:val="auto"/>
          <w:sz w:val="24"/>
          <w:highlight w:val="none"/>
        </w:rPr>
      </w:pPr>
      <w:r>
        <w:rPr>
          <w:rFonts w:hint="eastAsia" w:ascii="宋体" w:hAnsi="宋体" w:cs="Arial"/>
          <w:bCs/>
          <w:color w:val="auto"/>
          <w:sz w:val="24"/>
          <w:highlight w:val="none"/>
        </w:rPr>
        <w:t>磋商小组</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磋商小组</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14:paraId="1DF22935">
      <w:pPr>
        <w:spacing w:line="360" w:lineRule="auto"/>
        <w:contextualSpacing/>
        <w:rPr>
          <w:rFonts w:ascii="宋体" w:hAnsi="宋体"/>
          <w:b/>
          <w:color w:val="auto"/>
          <w:sz w:val="24"/>
          <w:highlight w:val="none"/>
        </w:rPr>
      </w:pPr>
      <w:r>
        <w:rPr>
          <w:rFonts w:hint="eastAsia" w:ascii="宋体" w:hAnsi="宋体"/>
          <w:b/>
          <w:color w:val="auto"/>
          <w:sz w:val="24"/>
          <w:highlight w:val="none"/>
        </w:rPr>
        <w:t>25.磋商小组纪律</w:t>
      </w:r>
    </w:p>
    <w:p w14:paraId="148DC87B">
      <w:pPr>
        <w:spacing w:line="360" w:lineRule="auto"/>
        <w:ind w:firstLine="480" w:firstLineChars="200"/>
        <w:contextualSpacing/>
        <w:rPr>
          <w:rFonts w:ascii="宋体" w:hAnsi="宋体" w:cs="Arial"/>
          <w:color w:val="auto"/>
          <w:kern w:val="0"/>
          <w:sz w:val="24"/>
          <w:highlight w:val="none"/>
        </w:rPr>
      </w:pPr>
      <w:r>
        <w:rPr>
          <w:rFonts w:hint="eastAsia" w:ascii="宋体" w:hAnsi="宋体" w:cs="Arial"/>
          <w:color w:val="auto"/>
          <w:sz w:val="24"/>
          <w:highlight w:val="none"/>
        </w:rPr>
        <w:t>磋商小组成员</w:t>
      </w:r>
      <w:r>
        <w:rPr>
          <w:rFonts w:ascii="宋体" w:hAnsi="宋体" w:cs="Arial"/>
          <w:color w:val="auto"/>
          <w:sz w:val="24"/>
          <w:highlight w:val="none"/>
        </w:rPr>
        <w:t>必须严格遵守保密规定，不得泄露</w:t>
      </w:r>
      <w:r>
        <w:rPr>
          <w:rFonts w:hint="eastAsia" w:ascii="宋体" w:hAnsi="宋体" w:cs="Arial"/>
          <w:color w:val="auto"/>
          <w:sz w:val="24"/>
          <w:highlight w:val="none"/>
        </w:rPr>
        <w:t>磋商</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，磋商小组成员</w:t>
      </w:r>
      <w:r>
        <w:rPr>
          <w:rFonts w:ascii="宋体" w:hAnsi="宋体" w:cs="Arial"/>
          <w:color w:val="auto"/>
          <w:kern w:val="0"/>
          <w:sz w:val="24"/>
          <w:highlight w:val="none"/>
        </w:rPr>
        <w:t>不得私下与</w:t>
      </w:r>
      <w:r>
        <w:rPr>
          <w:rFonts w:hint="eastAsia" w:ascii="宋体" w:hAnsi="宋体" w:cs="宋体"/>
          <w:color w:val="auto"/>
          <w:sz w:val="24"/>
          <w:highlight w:val="none"/>
        </w:rPr>
        <w:t>磋商响应</w:t>
      </w:r>
      <w:r>
        <w:rPr>
          <w:rFonts w:hint="eastAsia" w:ascii="宋体" w:hAnsi="宋体" w:cs="Arial"/>
          <w:color w:val="auto"/>
          <w:kern w:val="0"/>
          <w:sz w:val="24"/>
          <w:highlight w:val="none"/>
        </w:rPr>
        <w:t>方</w:t>
      </w:r>
      <w:r>
        <w:rPr>
          <w:rFonts w:ascii="宋体" w:hAnsi="宋体" w:cs="Arial"/>
          <w:color w:val="auto"/>
          <w:kern w:val="0"/>
          <w:sz w:val="24"/>
          <w:highlight w:val="none"/>
        </w:rPr>
        <w:t>接触</w:t>
      </w:r>
      <w:r>
        <w:rPr>
          <w:rFonts w:hint="eastAsia" w:ascii="宋体" w:hAnsi="宋体" w:cs="Arial"/>
          <w:color w:val="auto"/>
          <w:kern w:val="0"/>
          <w:sz w:val="24"/>
          <w:highlight w:val="none"/>
        </w:rPr>
        <w:t>，不得出现浙江省政府采购活动现场组织管理办法中规定的其他禁止行为。</w:t>
      </w:r>
    </w:p>
    <w:p w14:paraId="598A3F10">
      <w:pPr>
        <w:spacing w:line="360" w:lineRule="auto"/>
        <w:contextualSpacing/>
        <w:rPr>
          <w:rFonts w:ascii="宋体" w:hAnsi="宋体"/>
          <w:b/>
          <w:color w:val="auto"/>
          <w:sz w:val="24"/>
          <w:highlight w:val="none"/>
        </w:rPr>
      </w:pPr>
      <w:bookmarkStart w:id="14" w:name="_Toc24550044"/>
      <w:bookmarkStart w:id="15" w:name="_Toc11216"/>
      <w:bookmarkStart w:id="16" w:name="_Toc33194395"/>
      <w:r>
        <w:rPr>
          <w:rFonts w:hint="eastAsia" w:ascii="宋体" w:hAnsi="宋体"/>
          <w:b/>
          <w:color w:val="auto"/>
          <w:sz w:val="24"/>
          <w:highlight w:val="none"/>
        </w:rPr>
        <w:t>26.磋商流程及内容</w:t>
      </w:r>
      <w:bookmarkEnd w:id="14"/>
      <w:bookmarkEnd w:id="15"/>
      <w:bookmarkEnd w:id="16"/>
    </w:p>
    <w:p w14:paraId="484A968B">
      <w:pPr>
        <w:spacing w:line="360" w:lineRule="auto"/>
        <w:ind w:firstLine="424" w:firstLineChars="176"/>
        <w:contextualSpacing/>
        <w:rPr>
          <w:rFonts w:ascii="宋体" w:hAnsi="宋体"/>
          <w:color w:val="auto"/>
          <w:sz w:val="24"/>
          <w:highlight w:val="none"/>
        </w:rPr>
      </w:pPr>
      <w:r>
        <w:rPr>
          <w:rFonts w:hint="eastAsia" w:ascii="宋体" w:hAnsi="宋体" w:cs="Arial"/>
          <w:b/>
          <w:color w:val="auto"/>
          <w:kern w:val="0"/>
          <w:sz w:val="24"/>
          <w:highlight w:val="none"/>
        </w:rPr>
        <w:t>本项目具体的磋商事务由磋商小组负责，磋商流程及内容如下：</w:t>
      </w:r>
    </w:p>
    <w:p w14:paraId="5DE22B9E">
      <w:pPr>
        <w:spacing w:line="360" w:lineRule="auto"/>
        <w:contextualSpacing/>
        <w:rPr>
          <w:rFonts w:ascii="宋体" w:hAnsi="宋体"/>
          <w:b/>
          <w:color w:val="auto"/>
          <w:sz w:val="24"/>
          <w:highlight w:val="none"/>
        </w:rPr>
      </w:pPr>
      <w:r>
        <w:rPr>
          <w:rFonts w:hint="eastAsia" w:ascii="宋体" w:hAnsi="宋体"/>
          <w:b/>
          <w:color w:val="auto"/>
          <w:sz w:val="24"/>
          <w:highlight w:val="none"/>
        </w:rPr>
        <w:t>26.1磋商前准备</w:t>
      </w:r>
    </w:p>
    <w:p w14:paraId="0AB16D4F">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.1.1由磋商小组成员推选磋商小组组长，采购人代表不得担任磋商小组组长。</w:t>
      </w:r>
    </w:p>
    <w:p w14:paraId="749AC3D8">
      <w:pPr>
        <w:spacing w:line="360" w:lineRule="auto"/>
        <w:contextualSpacing/>
        <w:rPr>
          <w:rFonts w:ascii="宋体" w:hAnsi="宋体" w:cs="Arial"/>
          <w:b/>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.1.2由磋商小组组长召集所有磋商小组成员阅读采购文件及相关补充、质疑、答复文件、项目书面说明等材料，熟悉采购项目基本情况、采购需求、合同主要条款、</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文件无效情形、磋商办法、磋商标准，以及其他与磋商有关的内容。</w:t>
      </w:r>
    </w:p>
    <w:p w14:paraId="45D5010A">
      <w:pPr>
        <w:spacing w:line="360" w:lineRule="auto"/>
        <w:contextualSpacing/>
        <w:rPr>
          <w:rFonts w:ascii="宋体" w:hAnsi="宋体"/>
          <w:b/>
          <w:color w:val="auto"/>
          <w:sz w:val="24"/>
          <w:highlight w:val="none"/>
        </w:rPr>
      </w:pPr>
      <w:r>
        <w:rPr>
          <w:rFonts w:hint="eastAsia" w:ascii="宋体" w:hAnsi="宋体"/>
          <w:b/>
          <w:color w:val="auto"/>
          <w:sz w:val="24"/>
          <w:highlight w:val="none"/>
        </w:rPr>
        <w:t>26</w:t>
      </w:r>
      <w:r>
        <w:rPr>
          <w:rFonts w:ascii="宋体" w:hAnsi="宋体"/>
          <w:b/>
          <w:color w:val="auto"/>
          <w:sz w:val="24"/>
          <w:highlight w:val="none"/>
        </w:rPr>
        <w:t>.2</w:t>
      </w:r>
      <w:r>
        <w:rPr>
          <w:rFonts w:hint="eastAsia" w:ascii="宋体" w:hAnsi="宋体"/>
          <w:b/>
          <w:color w:val="auto"/>
          <w:sz w:val="24"/>
          <w:highlight w:val="none"/>
        </w:rPr>
        <w:t>磋商响应文件的符合性审查</w:t>
      </w:r>
    </w:p>
    <w:p w14:paraId="68ECC414">
      <w:pPr>
        <w:spacing w:line="360" w:lineRule="auto"/>
        <w:ind w:firstLine="426" w:firstLineChars="177"/>
        <w:contextualSpacing/>
        <w:rPr>
          <w:rFonts w:ascii="宋体" w:hAnsi="宋体" w:cs="Arial"/>
          <w:b/>
          <w:color w:val="auto"/>
          <w:kern w:val="0"/>
          <w:sz w:val="24"/>
          <w:highlight w:val="none"/>
        </w:rPr>
      </w:pPr>
      <w:r>
        <w:rPr>
          <w:rFonts w:hint="eastAsia" w:ascii="宋体" w:hAnsi="宋体" w:cs="Arial"/>
          <w:b/>
          <w:color w:val="auto"/>
          <w:kern w:val="0"/>
          <w:sz w:val="24"/>
          <w:highlight w:val="none"/>
        </w:rPr>
        <w:t>对所有通过资格审查的磋商响应方的响应文件进行审查、评价响应文件是否符合采购文件的商务、技术、服务等实质性要求。</w:t>
      </w:r>
    </w:p>
    <w:p w14:paraId="1AB9BA5A">
      <w:pPr>
        <w:spacing w:line="360" w:lineRule="auto"/>
        <w:contextualSpacing/>
        <w:rPr>
          <w:rFonts w:ascii="宋体" w:hAnsi="宋体"/>
          <w:color w:val="auto"/>
          <w:sz w:val="24"/>
          <w:highlight w:val="none"/>
        </w:rPr>
      </w:pPr>
      <w:r>
        <w:rPr>
          <w:rFonts w:hint="eastAsia" w:ascii="宋体" w:hAnsi="宋体"/>
          <w:color w:val="auto"/>
          <w:sz w:val="24"/>
          <w:highlight w:val="none"/>
        </w:rPr>
        <w:t>26.2.1磋商小组</w:t>
      </w:r>
      <w:r>
        <w:rPr>
          <w:rFonts w:ascii="宋体" w:hAnsi="宋体"/>
          <w:color w:val="auto"/>
          <w:sz w:val="24"/>
          <w:highlight w:val="none"/>
        </w:rPr>
        <w:t>首先</w:t>
      </w:r>
      <w:r>
        <w:rPr>
          <w:rFonts w:hint="eastAsia" w:ascii="宋体" w:hAnsi="宋体"/>
          <w:color w:val="auto"/>
          <w:sz w:val="24"/>
          <w:highlight w:val="none"/>
        </w:rPr>
        <w:t>对所有通过资格审查的响应</w:t>
      </w:r>
      <w:r>
        <w:rPr>
          <w:rFonts w:ascii="宋体" w:hAnsi="宋体"/>
          <w:color w:val="auto"/>
          <w:sz w:val="24"/>
          <w:highlight w:val="none"/>
        </w:rPr>
        <w:t>文件</w:t>
      </w:r>
      <w:r>
        <w:rPr>
          <w:rFonts w:hint="eastAsia" w:ascii="宋体" w:hAnsi="宋体"/>
          <w:color w:val="auto"/>
          <w:sz w:val="24"/>
          <w:highlight w:val="none"/>
        </w:rPr>
        <w:t>进行符合性审查，审查每份响应文件</w:t>
      </w:r>
      <w:r>
        <w:rPr>
          <w:rFonts w:ascii="宋体" w:hAnsi="宋体"/>
          <w:color w:val="auto"/>
          <w:sz w:val="24"/>
          <w:highlight w:val="none"/>
        </w:rPr>
        <w:t>是否实质上响应了</w:t>
      </w:r>
      <w:r>
        <w:rPr>
          <w:rFonts w:hint="eastAsia" w:ascii="宋体" w:hAnsi="宋体"/>
          <w:color w:val="auto"/>
          <w:sz w:val="24"/>
          <w:highlight w:val="none"/>
        </w:rPr>
        <w:t>采购</w:t>
      </w:r>
      <w:r>
        <w:rPr>
          <w:rFonts w:ascii="宋体" w:hAnsi="宋体"/>
          <w:color w:val="auto"/>
          <w:sz w:val="24"/>
          <w:highlight w:val="none"/>
        </w:rPr>
        <w:t>文件的要求</w:t>
      </w:r>
      <w:r>
        <w:rPr>
          <w:rFonts w:hint="eastAsia" w:ascii="宋体" w:hAnsi="宋体"/>
          <w:color w:val="auto"/>
          <w:sz w:val="24"/>
          <w:highlight w:val="none"/>
        </w:rPr>
        <w:t>（</w:t>
      </w:r>
      <w:r>
        <w:rPr>
          <w:rFonts w:ascii="宋体" w:hAnsi="宋体"/>
          <w:color w:val="auto"/>
          <w:sz w:val="24"/>
          <w:highlight w:val="none"/>
        </w:rPr>
        <w:t>实质性响应的文件是指</w:t>
      </w:r>
      <w:r>
        <w:rPr>
          <w:rFonts w:hint="eastAsia" w:ascii="宋体" w:hAnsi="宋体"/>
          <w:color w:val="auto"/>
          <w:sz w:val="24"/>
          <w:highlight w:val="none"/>
        </w:rPr>
        <w:t>响应</w:t>
      </w:r>
      <w:r>
        <w:rPr>
          <w:rFonts w:ascii="宋体" w:hAnsi="宋体"/>
          <w:color w:val="auto"/>
          <w:sz w:val="24"/>
          <w:highlight w:val="none"/>
        </w:rPr>
        <w:t>文件符合</w:t>
      </w:r>
      <w:r>
        <w:rPr>
          <w:rFonts w:hint="eastAsia" w:ascii="宋体" w:hAnsi="宋体"/>
          <w:color w:val="auto"/>
          <w:sz w:val="24"/>
          <w:highlight w:val="none"/>
        </w:rPr>
        <w:t>采购</w:t>
      </w:r>
      <w:r>
        <w:rPr>
          <w:rFonts w:ascii="宋体" w:hAnsi="宋体"/>
          <w:color w:val="auto"/>
          <w:sz w:val="24"/>
          <w:highlight w:val="none"/>
        </w:rPr>
        <w:t>文件规定的实质性内容、条件和规定</w:t>
      </w:r>
      <w:r>
        <w:rPr>
          <w:rFonts w:hint="eastAsia" w:ascii="宋体" w:hAnsi="宋体"/>
          <w:color w:val="auto"/>
          <w:sz w:val="24"/>
          <w:highlight w:val="none"/>
        </w:rPr>
        <w:t>）</w:t>
      </w:r>
      <w:r>
        <w:rPr>
          <w:rFonts w:ascii="宋体" w:hAnsi="宋体"/>
          <w:color w:val="auto"/>
          <w:sz w:val="24"/>
          <w:highlight w:val="none"/>
        </w:rPr>
        <w:t>。</w:t>
      </w:r>
    </w:p>
    <w:p w14:paraId="76A339F4">
      <w:pPr>
        <w:spacing w:line="360" w:lineRule="auto"/>
        <w:contextualSpacing/>
        <w:rPr>
          <w:rFonts w:ascii="宋体" w:hAnsi="宋体"/>
          <w:b/>
          <w:color w:val="auto"/>
          <w:sz w:val="24"/>
          <w:highlight w:val="none"/>
        </w:rPr>
      </w:pPr>
      <w:r>
        <w:rPr>
          <w:rFonts w:hint="eastAsia" w:ascii="宋体" w:hAnsi="宋体"/>
          <w:b/>
          <w:color w:val="auto"/>
          <w:sz w:val="24"/>
          <w:highlight w:val="none"/>
        </w:rPr>
        <w:t>26.3按标项与各磋商响应方进行磋商</w:t>
      </w:r>
    </w:p>
    <w:p w14:paraId="1D1D9784">
      <w:pPr>
        <w:spacing w:line="360" w:lineRule="auto"/>
        <w:contextualSpacing/>
        <w:rPr>
          <w:rFonts w:ascii="宋体"/>
          <w:b/>
          <w:color w:val="auto"/>
          <w:sz w:val="24"/>
          <w:highlight w:val="none"/>
        </w:rPr>
      </w:pPr>
      <w:r>
        <w:rPr>
          <w:rFonts w:hint="eastAsia" w:ascii="宋体" w:hAnsi="宋体"/>
          <w:color w:val="auto"/>
          <w:sz w:val="24"/>
          <w:highlight w:val="none"/>
        </w:rPr>
        <w:t>26.</w:t>
      </w:r>
      <w:r>
        <w:rPr>
          <w:rFonts w:ascii="宋体" w:hAnsi="宋体"/>
          <w:color w:val="auto"/>
          <w:sz w:val="24"/>
          <w:highlight w:val="none"/>
        </w:rPr>
        <w:t>3.1</w:t>
      </w:r>
      <w:r>
        <w:rPr>
          <w:rFonts w:hint="eastAsia" w:ascii="宋体" w:hAnsi="宋体"/>
          <w:color w:val="auto"/>
          <w:sz w:val="24"/>
          <w:highlight w:val="none"/>
        </w:rPr>
        <w:t>磋商小组就讨论和汇总的情况与磋商响应方展开磋商，磋商分为技术和商务两部分，商务磋商主要内容为服务方案、付款方式、特殊承诺和商务报价。</w:t>
      </w:r>
    </w:p>
    <w:p w14:paraId="356819CD">
      <w:pPr>
        <w:spacing w:line="360" w:lineRule="auto"/>
        <w:contextualSpacing/>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2</w:t>
      </w:r>
      <w:r>
        <w:rPr>
          <w:rFonts w:hint="eastAsia" w:hAnsi="宋体"/>
          <w:color w:val="auto"/>
          <w:sz w:val="24"/>
          <w:highlight w:val="none"/>
        </w:rPr>
        <w:t>磋商响应方确认服务的内容及商务要求，所作的每项书面承诺将作为磋商响应文件的补充部分，同样具有法律效力。</w:t>
      </w:r>
    </w:p>
    <w:p w14:paraId="3B8C69BD">
      <w:pPr>
        <w:spacing w:line="360" w:lineRule="auto"/>
        <w:contextualSpacing/>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3</w:t>
      </w:r>
      <w:r>
        <w:rPr>
          <w:rFonts w:hint="eastAsia" w:hAnsi="宋体"/>
          <w:color w:val="auto"/>
          <w:sz w:val="24"/>
          <w:highlight w:val="none"/>
        </w:rPr>
        <w:t>磋商小组全体成员集中与各个磋商响应方分别进行磋商，磋商一次为一个轮次，磋商轮次由磋商小组视情况决定。</w:t>
      </w:r>
    </w:p>
    <w:p w14:paraId="63925A32">
      <w:pPr>
        <w:spacing w:line="360" w:lineRule="auto"/>
        <w:contextualSpacing/>
        <w:rPr>
          <w:rFonts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.3.</w:t>
      </w:r>
      <w:r>
        <w:rPr>
          <w:rFonts w:hint="eastAsia" w:ascii="宋体" w:hAnsi="宋体"/>
          <w:color w:val="auto"/>
          <w:sz w:val="24"/>
          <w:highlight w:val="none"/>
        </w:rPr>
        <w:t>4</w:t>
      </w:r>
      <w:r>
        <w:rPr>
          <w:rFonts w:hint="eastAsia" w:hAnsi="宋体"/>
          <w:color w:val="auto"/>
          <w:sz w:val="24"/>
          <w:highlight w:val="none"/>
        </w:rPr>
        <w:t>采购要求有实质性变动的，磋商小组将以书面形式通知所有参加磋商的响应方。</w:t>
      </w:r>
    </w:p>
    <w:p w14:paraId="39C3492B">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26</w:t>
      </w:r>
      <w:r>
        <w:rPr>
          <w:rFonts w:ascii="宋体" w:hAnsi="宋体" w:cs="Arial"/>
          <w:color w:val="auto"/>
          <w:kern w:val="0"/>
          <w:sz w:val="24"/>
          <w:highlight w:val="none"/>
        </w:rPr>
        <w:t>.3.5</w:t>
      </w:r>
      <w:r>
        <w:rPr>
          <w:rFonts w:hint="eastAsia" w:ascii="宋体" w:hAnsi="宋体" w:cs="Arial"/>
          <w:color w:val="auto"/>
          <w:kern w:val="0"/>
          <w:sz w:val="24"/>
          <w:highlight w:val="none"/>
        </w:rPr>
        <w:t>各磋商响应方在本标项全部磋商结束后30分钟内进行最后报价。</w:t>
      </w:r>
    </w:p>
    <w:p w14:paraId="7D61D7C1">
      <w:pPr>
        <w:spacing w:line="360" w:lineRule="auto"/>
        <w:contextualSpacing/>
        <w:rPr>
          <w:rFonts w:ascii="宋体" w:hAnsi="宋体"/>
          <w:b/>
          <w:color w:val="auto"/>
          <w:sz w:val="24"/>
          <w:highlight w:val="none"/>
        </w:rPr>
      </w:pPr>
      <w:r>
        <w:rPr>
          <w:rFonts w:hint="eastAsia" w:ascii="宋体" w:hAnsi="宋体"/>
          <w:b/>
          <w:color w:val="auto"/>
          <w:sz w:val="24"/>
          <w:highlight w:val="none"/>
        </w:rPr>
        <w:t>26.4响应文件的澄清、说明或补正</w:t>
      </w:r>
    </w:p>
    <w:p w14:paraId="6E58A24C">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.4.1对于磋商响应文件中含义不明确、同类问题表述不一致或者有明显文字和计算错误的内容，将以书面形式（或通过“政府采购云平台”在线询标）的形式要求</w:t>
      </w:r>
      <w:r>
        <w:rPr>
          <w:rFonts w:hint="eastAsia" w:ascii="宋体" w:hAnsi="宋体" w:cs="宋体"/>
          <w:color w:val="auto"/>
          <w:sz w:val="24"/>
          <w:highlight w:val="none"/>
        </w:rPr>
        <w:t>磋商响应</w:t>
      </w:r>
      <w:r>
        <w:rPr>
          <w:rFonts w:hint="eastAsia" w:ascii="宋体" w:hAnsi="宋体" w:cs="Arial"/>
          <w:color w:val="auto"/>
          <w:kern w:val="0"/>
          <w:sz w:val="24"/>
          <w:highlight w:val="none"/>
        </w:rPr>
        <w:t>方在规定的时间内作出必要的澄清、说明或者补正，</w:t>
      </w:r>
      <w:r>
        <w:rPr>
          <w:rFonts w:hint="eastAsia" w:ascii="宋体" w:hAnsi="宋体" w:cs="宋体"/>
          <w:color w:val="auto"/>
          <w:sz w:val="24"/>
          <w:highlight w:val="none"/>
        </w:rPr>
        <w:t>磋商响应</w:t>
      </w:r>
      <w:r>
        <w:rPr>
          <w:rFonts w:hint="eastAsia" w:ascii="宋体" w:hAnsi="宋体" w:cs="Arial"/>
          <w:color w:val="auto"/>
          <w:kern w:val="0"/>
          <w:sz w:val="24"/>
          <w:highlight w:val="none"/>
        </w:rPr>
        <w:t>方澄清、说明或补正时间为30分钟。</w:t>
      </w:r>
    </w:p>
    <w:p w14:paraId="70841810">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.4.2</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方的澄清、说明或者补正应当采用书面（或通过“政府采购云平台”在线答复）形式提交，并加盖公章。</w:t>
      </w:r>
      <w:r>
        <w:rPr>
          <w:rFonts w:hint="eastAsia" w:ascii="宋体" w:hAnsi="宋体" w:cs="宋体"/>
          <w:color w:val="auto"/>
          <w:sz w:val="24"/>
          <w:highlight w:val="none"/>
        </w:rPr>
        <w:t>磋商响应</w:t>
      </w:r>
      <w:r>
        <w:rPr>
          <w:rFonts w:hint="eastAsia" w:ascii="宋体" w:hAnsi="宋体" w:cs="Arial"/>
          <w:color w:val="auto"/>
          <w:kern w:val="0"/>
          <w:sz w:val="24"/>
          <w:highlight w:val="none"/>
        </w:rPr>
        <w:t>方的澄清、说明或者补正不得超出</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文件的范围或者改变</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文件的实质性内容。</w:t>
      </w:r>
    </w:p>
    <w:p w14:paraId="39FB31BE">
      <w:pPr>
        <w:spacing w:line="360" w:lineRule="auto"/>
        <w:contextualSpacing/>
        <w:rPr>
          <w:rFonts w:ascii="宋体" w:hAnsi="宋体"/>
          <w:b/>
          <w:color w:val="auto"/>
          <w:sz w:val="24"/>
          <w:highlight w:val="none"/>
        </w:rPr>
      </w:pPr>
      <w:r>
        <w:rPr>
          <w:rFonts w:hint="eastAsia" w:ascii="宋体" w:hAnsi="宋体"/>
          <w:b/>
          <w:color w:val="auto"/>
          <w:sz w:val="24"/>
          <w:highlight w:val="none"/>
        </w:rPr>
        <w:t>26.5磋商响应文件的错误修正</w:t>
      </w:r>
    </w:p>
    <w:p w14:paraId="2DE8224F">
      <w:pPr>
        <w:spacing w:line="360" w:lineRule="auto"/>
        <w:contextualSpacing/>
        <w:rPr>
          <w:rFonts w:ascii="宋体" w:hAnsi="宋体" w:cs="Arial"/>
          <w:b/>
          <w:bCs/>
          <w:color w:val="auto"/>
          <w:kern w:val="0"/>
          <w:sz w:val="24"/>
          <w:highlight w:val="none"/>
        </w:rPr>
      </w:pPr>
      <w:r>
        <w:rPr>
          <w:rFonts w:hint="eastAsia" w:ascii="宋体" w:hAnsi="宋体"/>
          <w:b/>
          <w:bCs/>
          <w:color w:val="auto"/>
          <w:sz w:val="24"/>
          <w:highlight w:val="none"/>
        </w:rPr>
        <w:t>26</w:t>
      </w:r>
      <w:r>
        <w:rPr>
          <w:rFonts w:hint="eastAsia" w:ascii="宋体" w:hAnsi="宋体" w:cs="Arial"/>
          <w:b/>
          <w:bCs/>
          <w:color w:val="auto"/>
          <w:kern w:val="0"/>
          <w:sz w:val="24"/>
          <w:highlight w:val="none"/>
        </w:rPr>
        <w:t>.5.1</w:t>
      </w:r>
      <w:r>
        <w:rPr>
          <w:rFonts w:ascii="宋体" w:hAnsi="宋体" w:cs="Arial"/>
          <w:b/>
          <w:bCs/>
          <w:color w:val="auto"/>
          <w:kern w:val="0"/>
          <w:sz w:val="24"/>
          <w:highlight w:val="none"/>
        </w:rPr>
        <w:t>《</w:t>
      </w:r>
      <w:r>
        <w:rPr>
          <w:rFonts w:hint="eastAsia" w:ascii="宋体" w:hAnsi="宋体" w:cs="Arial"/>
          <w:b/>
          <w:bCs/>
          <w:color w:val="auto"/>
          <w:kern w:val="0"/>
          <w:sz w:val="24"/>
          <w:highlight w:val="none"/>
        </w:rPr>
        <w:t>磋商响应文件</w:t>
      </w:r>
      <w:r>
        <w:rPr>
          <w:rFonts w:ascii="宋体" w:hAnsi="宋体" w:cs="Arial"/>
          <w:b/>
          <w:bCs/>
          <w:color w:val="auto"/>
          <w:kern w:val="0"/>
          <w:sz w:val="24"/>
          <w:highlight w:val="none"/>
        </w:rPr>
        <w:t>》如果出现计算或表达上的错误，修正错误的原则如下：</w:t>
      </w:r>
    </w:p>
    <w:p w14:paraId="7E021563">
      <w:pPr>
        <w:spacing w:line="360" w:lineRule="auto"/>
        <w:ind w:firstLine="420" w:firstLineChars="175"/>
        <w:contextualSpacing/>
        <w:rPr>
          <w:rFonts w:ascii="宋体" w:hAnsi="宋体" w:cs="Arial"/>
          <w:color w:val="auto"/>
          <w:kern w:val="0"/>
          <w:sz w:val="24"/>
          <w:highlight w:val="none"/>
        </w:rPr>
      </w:pPr>
      <w:r>
        <w:rPr>
          <w:rFonts w:ascii="宋体" w:hAnsi="宋体" w:cs="Arial"/>
          <w:color w:val="auto"/>
          <w:kern w:val="0"/>
          <w:sz w:val="24"/>
          <w:highlight w:val="none"/>
        </w:rPr>
        <w:t>（1）</w:t>
      </w:r>
      <w:r>
        <w:rPr>
          <w:rFonts w:hint="eastAsia" w:ascii="宋体" w:hAnsi="宋体"/>
          <w:color w:val="auto"/>
          <w:sz w:val="24"/>
          <w:highlight w:val="none"/>
        </w:rPr>
        <w:t>磋商响应文件</w:t>
      </w:r>
      <w:r>
        <w:rPr>
          <w:rFonts w:hint="eastAsia" w:ascii="宋体" w:hAnsi="宋体" w:cs="Arial"/>
          <w:color w:val="auto"/>
          <w:kern w:val="0"/>
          <w:sz w:val="24"/>
          <w:highlight w:val="none"/>
        </w:rPr>
        <w:t>中报价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（报价表）内容</w:t>
      </w:r>
      <w:r>
        <w:rPr>
          <w:rFonts w:ascii="宋体" w:hAnsi="宋体" w:cs="Arial"/>
          <w:color w:val="auto"/>
          <w:kern w:val="0"/>
          <w:sz w:val="24"/>
          <w:highlight w:val="none"/>
        </w:rPr>
        <w:t>与</w:t>
      </w:r>
      <w:r>
        <w:rPr>
          <w:rFonts w:hint="eastAsia" w:ascii="宋体" w:hAnsi="宋体"/>
          <w:color w:val="auto"/>
          <w:sz w:val="24"/>
          <w:highlight w:val="none"/>
        </w:rPr>
        <w:t>磋商响应文件</w:t>
      </w:r>
      <w:r>
        <w:rPr>
          <w:rFonts w:hint="eastAsia" w:ascii="宋体" w:hAnsi="宋体" w:cs="Arial"/>
          <w:color w:val="auto"/>
          <w:kern w:val="0"/>
          <w:sz w:val="24"/>
          <w:highlight w:val="none"/>
        </w:rPr>
        <w:t>中相应内容不一致的</w:t>
      </w:r>
      <w:r>
        <w:rPr>
          <w:rFonts w:ascii="宋体" w:hAnsi="宋体" w:cs="Arial"/>
          <w:color w:val="auto"/>
          <w:kern w:val="0"/>
          <w:sz w:val="24"/>
          <w:highlight w:val="none"/>
        </w:rPr>
        <w:t>，以</w:t>
      </w:r>
      <w:r>
        <w:rPr>
          <w:rFonts w:hint="eastAsia" w:ascii="宋体" w:hAnsi="宋体" w:cs="Arial"/>
          <w:color w:val="auto"/>
          <w:kern w:val="0"/>
          <w:sz w:val="24"/>
          <w:highlight w:val="none"/>
        </w:rPr>
        <w:t>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w:t>
      </w:r>
      <w:r>
        <w:rPr>
          <w:rFonts w:ascii="宋体" w:hAnsi="宋体" w:cs="Arial"/>
          <w:color w:val="auto"/>
          <w:kern w:val="0"/>
          <w:sz w:val="24"/>
          <w:highlight w:val="none"/>
        </w:rPr>
        <w:t>为准。</w:t>
      </w:r>
    </w:p>
    <w:p w14:paraId="1234E387">
      <w:pPr>
        <w:spacing w:line="360" w:lineRule="auto"/>
        <w:ind w:firstLine="420" w:firstLineChars="175"/>
        <w:contextualSpacing/>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olor w:val="auto"/>
          <w:sz w:val="24"/>
          <w:highlight w:val="none"/>
        </w:rPr>
        <w:t>磋商响应文件</w:t>
      </w:r>
      <w:r>
        <w:rPr>
          <w:rFonts w:ascii="宋体" w:hAnsi="宋体" w:cs="Arial"/>
          <w:color w:val="auto"/>
          <w:kern w:val="0"/>
          <w:sz w:val="24"/>
          <w:highlight w:val="none"/>
        </w:rPr>
        <w:t>》的大写金额和小写金额不一致的，以大写金额为准；</w:t>
      </w:r>
    </w:p>
    <w:p w14:paraId="6EDD0ECE">
      <w:pPr>
        <w:spacing w:line="360" w:lineRule="auto"/>
        <w:ind w:firstLine="420" w:firstLineChars="175"/>
        <w:contextualSpacing/>
        <w:rPr>
          <w:rFonts w:ascii="宋体" w:hAnsi="宋体" w:cs="Arial"/>
          <w:color w:val="auto"/>
          <w:kern w:val="0"/>
          <w:sz w:val="24"/>
          <w:highlight w:val="none"/>
        </w:rPr>
      </w:pPr>
      <w:r>
        <w:rPr>
          <w:rFonts w:hint="eastAsia" w:ascii="宋体" w:hAnsi="宋体" w:cs="Arial"/>
          <w:color w:val="auto"/>
          <w:kern w:val="0"/>
          <w:sz w:val="24"/>
          <w:highlight w:val="none"/>
        </w:rPr>
        <w:t>（3）单价金额小数点或者百分比有明显错位的，应以报价</w:t>
      </w:r>
      <w:r>
        <w:rPr>
          <w:rFonts w:ascii="宋体" w:hAnsi="宋体" w:cs="Arial"/>
          <w:color w:val="auto"/>
          <w:kern w:val="0"/>
          <w:sz w:val="24"/>
          <w:highlight w:val="none"/>
        </w:rPr>
        <w:t>一览表</w:t>
      </w:r>
      <w:r>
        <w:rPr>
          <w:rFonts w:hint="eastAsia" w:ascii="宋体" w:hAnsi="宋体" w:cs="Arial"/>
          <w:color w:val="auto"/>
          <w:kern w:val="0"/>
          <w:sz w:val="24"/>
          <w:highlight w:val="none"/>
        </w:rPr>
        <w:t>（报价表）的总价为准，并修改单价；</w:t>
      </w:r>
    </w:p>
    <w:p w14:paraId="6D5EBF00">
      <w:pPr>
        <w:spacing w:line="360" w:lineRule="auto"/>
        <w:ind w:firstLine="420" w:firstLineChars="175"/>
        <w:contextualSpacing/>
        <w:rPr>
          <w:rFonts w:hint="eastAsia"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4</w:t>
      </w:r>
      <w:r>
        <w:rPr>
          <w:rFonts w:ascii="宋体" w:hAnsi="宋体" w:cs="Arial"/>
          <w:color w:val="auto"/>
          <w:kern w:val="0"/>
          <w:sz w:val="24"/>
          <w:highlight w:val="none"/>
        </w:rPr>
        <w:t>）总价金额与按单价汇总金额不一致的，以单价金额计算结果为准</w:t>
      </w:r>
      <w:r>
        <w:rPr>
          <w:rFonts w:hint="eastAsia" w:ascii="宋体" w:hAnsi="宋体" w:cs="Arial"/>
          <w:color w:val="auto"/>
          <w:kern w:val="0"/>
          <w:sz w:val="24"/>
          <w:highlight w:val="none"/>
        </w:rPr>
        <w:t>。</w:t>
      </w:r>
    </w:p>
    <w:p w14:paraId="48D34FAF">
      <w:pPr>
        <w:spacing w:line="360" w:lineRule="auto"/>
        <w:ind w:firstLine="420" w:firstLineChars="175"/>
        <w:contextualSpacing/>
        <w:rPr>
          <w:rFonts w:ascii="宋体" w:hAnsi="宋体" w:cs="Arial"/>
          <w:color w:val="auto"/>
          <w:kern w:val="0"/>
          <w:sz w:val="24"/>
          <w:highlight w:val="none"/>
        </w:rPr>
      </w:pPr>
      <w:r>
        <w:rPr>
          <w:rFonts w:hint="eastAsia" w:hAnsi="宋体"/>
          <w:color w:val="auto"/>
          <w:sz w:val="24"/>
          <w:highlight w:val="none"/>
        </w:rPr>
        <w:t>以修正后的总价作为投标报价。同时出现两种以上不一致的，按照前款规定的顺序修正。</w:t>
      </w:r>
    </w:p>
    <w:p w14:paraId="4DDEE9A6">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26</w:t>
      </w:r>
      <w:r>
        <w:rPr>
          <w:rFonts w:hint="eastAsia" w:ascii="宋体" w:hAnsi="宋体" w:cs="Arial"/>
          <w:color w:val="auto"/>
          <w:kern w:val="0"/>
          <w:sz w:val="24"/>
          <w:highlight w:val="none"/>
        </w:rPr>
        <w:t>.5.2</w:t>
      </w:r>
      <w:r>
        <w:rPr>
          <w:rFonts w:ascii="宋体" w:hAnsi="宋体" w:cs="Arial"/>
          <w:color w:val="auto"/>
          <w:kern w:val="0"/>
          <w:sz w:val="24"/>
          <w:highlight w:val="none"/>
        </w:rPr>
        <w:t>对不同文字文本《</w:t>
      </w:r>
      <w:r>
        <w:rPr>
          <w:rFonts w:hint="eastAsia" w:ascii="宋体" w:hAnsi="宋体"/>
          <w:color w:val="auto"/>
          <w:sz w:val="24"/>
          <w:highlight w:val="none"/>
        </w:rPr>
        <w:t>磋商响应文件</w:t>
      </w:r>
      <w:r>
        <w:rPr>
          <w:rFonts w:ascii="宋体" w:hAnsi="宋体" w:cs="Arial"/>
          <w:color w:val="auto"/>
          <w:kern w:val="0"/>
          <w:sz w:val="24"/>
          <w:highlight w:val="none"/>
        </w:rPr>
        <w:t>》的解释发生异议的，以中文文本为准。</w:t>
      </w:r>
    </w:p>
    <w:p w14:paraId="73F3CD73">
      <w:pPr>
        <w:pStyle w:val="71"/>
        <w:autoSpaceDE/>
        <w:adjustRightInd/>
        <w:spacing w:before="0" w:line="360" w:lineRule="auto"/>
        <w:ind w:left="0" w:firstLine="0"/>
        <w:contextualSpacing/>
        <w:rPr>
          <w:rFonts w:ascii="宋体" w:hAnsi="宋体" w:eastAsia="宋体" w:cs="宋体"/>
          <w:b/>
          <w:bCs/>
          <w:color w:val="auto"/>
          <w:kern w:val="2"/>
          <w:sz w:val="24"/>
          <w:szCs w:val="24"/>
          <w:highlight w:val="none"/>
        </w:rPr>
      </w:pPr>
      <w:r>
        <w:rPr>
          <w:rFonts w:hint="eastAsia" w:ascii="宋体" w:hAnsi="宋体" w:eastAsia="宋体"/>
          <w:b/>
          <w:bCs/>
          <w:color w:val="auto"/>
          <w:sz w:val="24"/>
          <w:szCs w:val="24"/>
          <w:highlight w:val="none"/>
        </w:rPr>
        <w:t>27.磋商响应文件</w:t>
      </w:r>
      <w:r>
        <w:rPr>
          <w:rFonts w:hint="eastAsia" w:ascii="宋体" w:hAnsi="宋体" w:eastAsia="宋体" w:cs="宋体"/>
          <w:b/>
          <w:bCs/>
          <w:color w:val="auto"/>
          <w:kern w:val="2"/>
          <w:sz w:val="24"/>
          <w:szCs w:val="24"/>
          <w:highlight w:val="none"/>
        </w:rPr>
        <w:t>有下列情况之一者将视为无效：</w:t>
      </w:r>
    </w:p>
    <w:p w14:paraId="3F3AEF20">
      <w:pPr>
        <w:pStyle w:val="12"/>
        <w:spacing w:line="360" w:lineRule="auto"/>
        <w:ind w:firstLine="480" w:firstLineChars="200"/>
        <w:rPr>
          <w:rFonts w:hAnsi="宋体"/>
          <w:color w:val="auto"/>
          <w:sz w:val="24"/>
          <w:highlight w:val="none"/>
        </w:rPr>
      </w:pPr>
      <w:r>
        <w:rPr>
          <w:rFonts w:hint="eastAsia" w:hAnsi="宋体"/>
          <w:color w:val="auto"/>
          <w:sz w:val="24"/>
          <w:highlight w:val="none"/>
        </w:rPr>
        <w:t>（1）仅提交“备份磋商响应文件”的；</w:t>
      </w:r>
    </w:p>
    <w:p w14:paraId="61D05695">
      <w:pPr>
        <w:pStyle w:val="12"/>
        <w:spacing w:line="360" w:lineRule="auto"/>
        <w:ind w:firstLine="480" w:firstLineChars="200"/>
        <w:rPr>
          <w:rFonts w:hAnsi="宋体"/>
          <w:color w:val="auto"/>
          <w:sz w:val="24"/>
          <w:highlight w:val="none"/>
        </w:rPr>
      </w:pPr>
      <w:r>
        <w:rPr>
          <w:rFonts w:hint="eastAsia" w:hAnsi="宋体"/>
          <w:color w:val="auto"/>
          <w:sz w:val="24"/>
          <w:highlight w:val="none"/>
        </w:rPr>
        <w:t>（2）磋商响应文件存在一个或一个以上备选（替代）磋商响应方案的；</w:t>
      </w:r>
    </w:p>
    <w:p w14:paraId="31F5AB39">
      <w:pPr>
        <w:pStyle w:val="12"/>
        <w:spacing w:line="360" w:lineRule="auto"/>
        <w:ind w:firstLine="480" w:firstLineChars="200"/>
        <w:rPr>
          <w:rFonts w:hAnsi="宋体"/>
          <w:color w:val="auto"/>
          <w:sz w:val="24"/>
          <w:highlight w:val="none"/>
        </w:rPr>
      </w:pPr>
      <w:r>
        <w:rPr>
          <w:rFonts w:hint="eastAsia" w:hAnsi="宋体"/>
          <w:color w:val="auto"/>
          <w:sz w:val="24"/>
          <w:highlight w:val="none"/>
        </w:rPr>
        <w:t>（3）磋商响应文件未按照采购文件要求签署、盖章的；</w:t>
      </w:r>
    </w:p>
    <w:p w14:paraId="25683453">
      <w:pPr>
        <w:pStyle w:val="12"/>
        <w:spacing w:line="360" w:lineRule="auto"/>
        <w:ind w:firstLine="480" w:firstLineChars="200"/>
        <w:rPr>
          <w:rFonts w:hAnsi="宋体"/>
          <w:color w:val="auto"/>
          <w:sz w:val="24"/>
          <w:highlight w:val="none"/>
        </w:rPr>
      </w:pPr>
      <w:r>
        <w:rPr>
          <w:rFonts w:hint="eastAsia" w:hAnsi="宋体"/>
          <w:color w:val="auto"/>
          <w:sz w:val="24"/>
          <w:highlight w:val="none"/>
        </w:rPr>
        <w:t>（4）磋商响应文件中法定代表人授权书所载内容与本项目内容有异的；</w:t>
      </w:r>
    </w:p>
    <w:p w14:paraId="671D5A23">
      <w:pPr>
        <w:pStyle w:val="12"/>
        <w:spacing w:line="360" w:lineRule="auto"/>
        <w:ind w:firstLine="480" w:firstLineChars="200"/>
        <w:rPr>
          <w:rFonts w:hAnsi="宋体"/>
          <w:color w:val="auto"/>
          <w:sz w:val="24"/>
          <w:highlight w:val="none"/>
        </w:rPr>
      </w:pPr>
      <w:r>
        <w:rPr>
          <w:rFonts w:hint="eastAsia" w:hAnsi="宋体"/>
          <w:color w:val="auto"/>
          <w:sz w:val="24"/>
          <w:highlight w:val="none"/>
        </w:rPr>
        <w:t>（5）磋商响应文件组成漏项或未按规定的格式编制，内容不全或内容字迹模糊辨认不清的；</w:t>
      </w:r>
    </w:p>
    <w:p w14:paraId="592A435A">
      <w:pPr>
        <w:pStyle w:val="12"/>
        <w:spacing w:line="360" w:lineRule="auto"/>
        <w:ind w:firstLine="480" w:firstLineChars="200"/>
        <w:rPr>
          <w:rFonts w:hAnsi="宋体"/>
          <w:color w:val="auto"/>
          <w:sz w:val="24"/>
          <w:highlight w:val="none"/>
        </w:rPr>
      </w:pPr>
      <w:r>
        <w:rPr>
          <w:rFonts w:hint="eastAsia" w:hAnsi="宋体"/>
          <w:color w:val="auto"/>
          <w:sz w:val="24"/>
          <w:highlight w:val="none"/>
        </w:rPr>
        <w:t>（6）投标报价明显高于市场价或低于成本价，且不能提供书面证明材料说明原因的；</w:t>
      </w:r>
    </w:p>
    <w:p w14:paraId="3E0CD599">
      <w:pPr>
        <w:pStyle w:val="12"/>
        <w:spacing w:line="360" w:lineRule="auto"/>
        <w:ind w:firstLine="480" w:firstLineChars="200"/>
        <w:rPr>
          <w:rFonts w:hAnsi="宋体"/>
          <w:color w:val="auto"/>
          <w:sz w:val="24"/>
          <w:highlight w:val="none"/>
        </w:rPr>
      </w:pPr>
      <w:r>
        <w:rPr>
          <w:rFonts w:hint="eastAsia" w:hAnsi="宋体"/>
          <w:color w:val="auto"/>
          <w:sz w:val="24"/>
          <w:highlight w:val="none"/>
        </w:rPr>
        <w:t>（7）投标报价高于本项目最高限价的；</w:t>
      </w:r>
    </w:p>
    <w:p w14:paraId="49FDBDB6">
      <w:pPr>
        <w:pStyle w:val="12"/>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8</w:t>
      </w:r>
      <w:r>
        <w:rPr>
          <w:rFonts w:hint="eastAsia" w:hAnsi="宋体"/>
          <w:color w:val="auto"/>
          <w:sz w:val="24"/>
          <w:highlight w:val="none"/>
        </w:rPr>
        <w:t>）磋商响应方未按采购文件变更通知编制磋商响应文件的；</w:t>
      </w:r>
    </w:p>
    <w:p w14:paraId="6EA4E35E">
      <w:pPr>
        <w:pStyle w:val="12"/>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9</w:t>
      </w:r>
      <w:r>
        <w:rPr>
          <w:rFonts w:hint="eastAsia" w:hAnsi="宋体"/>
          <w:color w:val="auto"/>
          <w:sz w:val="24"/>
          <w:highlight w:val="none"/>
        </w:rPr>
        <w:t>）经磋商小组审核，磋商响应方所投内容不符合实质性采购要求的；</w:t>
      </w:r>
    </w:p>
    <w:p w14:paraId="2002B6B5">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0</w:t>
      </w:r>
      <w:r>
        <w:rPr>
          <w:rFonts w:hint="eastAsia" w:hAnsi="宋体"/>
          <w:color w:val="auto"/>
          <w:sz w:val="24"/>
          <w:highlight w:val="none"/>
        </w:rPr>
        <w:t>）磋商响应方拒绝按采购文件第26.5条修正原则对磋商响应文件进行修改的；</w:t>
      </w:r>
    </w:p>
    <w:p w14:paraId="135DC583">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1</w:t>
      </w:r>
      <w:r>
        <w:rPr>
          <w:rFonts w:hint="eastAsia" w:hAnsi="宋体"/>
          <w:color w:val="auto"/>
          <w:sz w:val="24"/>
          <w:highlight w:val="none"/>
        </w:rPr>
        <w:t>）磋商响应方提供虚假材料投标的；</w:t>
      </w:r>
    </w:p>
    <w:p w14:paraId="37EC4BA5">
      <w:pPr>
        <w:pStyle w:val="12"/>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2</w:t>
      </w:r>
      <w:r>
        <w:rPr>
          <w:rFonts w:hint="eastAsia" w:hAnsi="宋体"/>
          <w:color w:val="auto"/>
          <w:sz w:val="24"/>
          <w:highlight w:val="none"/>
        </w:rPr>
        <w:t>）经磋商小组审核，磋商响应方的磋商响应文件有类同或有串标嫌疑的。</w:t>
      </w:r>
    </w:p>
    <w:p w14:paraId="5E7BA70D">
      <w:pPr>
        <w:pStyle w:val="12"/>
        <w:spacing w:line="360" w:lineRule="auto"/>
        <w:ind w:firstLine="480" w:firstLineChars="200"/>
        <w:rPr>
          <w:rFonts w:hint="eastAsia" w:hAnsi="宋体"/>
          <w:color w:val="auto"/>
          <w:sz w:val="24"/>
          <w:highlight w:val="none"/>
        </w:rPr>
      </w:pPr>
      <w:r>
        <w:rPr>
          <w:rFonts w:hint="eastAsia" w:hAnsi="宋体"/>
          <w:color w:val="auto"/>
          <w:sz w:val="24"/>
          <w:highlight w:val="none"/>
        </w:rPr>
        <w:t>（</w:t>
      </w:r>
      <w:r>
        <w:rPr>
          <w:rFonts w:hAnsi="宋体"/>
          <w:color w:val="auto"/>
          <w:sz w:val="24"/>
          <w:highlight w:val="none"/>
        </w:rPr>
        <w:t>13</w:t>
      </w:r>
      <w:r>
        <w:rPr>
          <w:rFonts w:hint="eastAsia" w:hAnsi="宋体"/>
          <w:color w:val="auto"/>
          <w:sz w:val="24"/>
          <w:highlight w:val="none"/>
        </w:rPr>
        <w:t>）磋商响应方有违法、违规行为影响本次采购公平、公正的。</w:t>
      </w:r>
    </w:p>
    <w:p w14:paraId="47B46431">
      <w:pPr>
        <w:pStyle w:val="12"/>
        <w:spacing w:line="360" w:lineRule="auto"/>
        <w:ind w:firstLine="482" w:firstLineChars="200"/>
        <w:rPr>
          <w:rFonts w:hAnsi="宋体"/>
          <w:color w:val="auto"/>
          <w:sz w:val="24"/>
          <w:highlight w:val="none"/>
        </w:rPr>
      </w:pPr>
      <w:r>
        <w:rPr>
          <w:rFonts w:hint="eastAsia" w:ascii="宋体" w:hAnsi="宋体" w:eastAsia="宋体" w:cs="宋体"/>
          <w:b/>
          <w:bCs/>
          <w:color w:val="auto"/>
          <w:kern w:val="0"/>
          <w:sz w:val="24"/>
          <w:highlight w:val="none"/>
          <w:lang w:val="en-US" w:eastAsia="zh-CN"/>
        </w:rPr>
        <w:t>（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D730E8">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28.磋商响应文件的评估、比较、评分</w:t>
      </w:r>
    </w:p>
    <w:p w14:paraId="60F46AB8">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28</w:t>
      </w:r>
      <w:r>
        <w:rPr>
          <w:rFonts w:hint="eastAsia" w:ascii="宋体" w:hAnsi="宋体" w:cs="Arial"/>
          <w:color w:val="auto"/>
          <w:kern w:val="0"/>
          <w:sz w:val="24"/>
          <w:highlight w:val="none"/>
        </w:rPr>
        <w:t>.1磋商小组应当按照采购文件中规定的磋商方法和标准，对符合性审查合格的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文件进行商务和技术评估，综合比较与评价。评标时，磋商小组各成员将独立对每个</w:t>
      </w:r>
      <w:r>
        <w:rPr>
          <w:rFonts w:hint="eastAsia" w:ascii="宋体" w:hAnsi="宋体" w:cs="宋体"/>
          <w:color w:val="auto"/>
          <w:sz w:val="24"/>
          <w:highlight w:val="none"/>
        </w:rPr>
        <w:t>磋商响应</w:t>
      </w:r>
      <w:r>
        <w:rPr>
          <w:rFonts w:hint="eastAsia" w:ascii="宋体" w:hAnsi="宋体" w:cs="Arial"/>
          <w:color w:val="auto"/>
          <w:kern w:val="0"/>
          <w:sz w:val="24"/>
          <w:highlight w:val="none"/>
        </w:rPr>
        <w:t>人的</w:t>
      </w:r>
      <w:r>
        <w:rPr>
          <w:rFonts w:hint="eastAsia" w:ascii="宋体" w:hAnsi="宋体" w:cs="宋体"/>
          <w:color w:val="auto"/>
          <w:sz w:val="24"/>
          <w:highlight w:val="none"/>
        </w:rPr>
        <w:t>磋商响应</w:t>
      </w:r>
      <w:r>
        <w:rPr>
          <w:rFonts w:hint="eastAsia" w:ascii="宋体" w:hAnsi="宋体" w:cs="Arial"/>
          <w:color w:val="auto"/>
          <w:kern w:val="0"/>
          <w:sz w:val="24"/>
          <w:highlight w:val="none"/>
        </w:rPr>
        <w:t>文件进行评价，并汇总每个</w:t>
      </w:r>
      <w:r>
        <w:rPr>
          <w:rFonts w:hint="eastAsia" w:ascii="宋体" w:hAnsi="宋体" w:cs="宋体"/>
          <w:color w:val="auto"/>
          <w:sz w:val="24"/>
          <w:highlight w:val="none"/>
        </w:rPr>
        <w:t>磋商响应</w:t>
      </w:r>
      <w:r>
        <w:rPr>
          <w:rFonts w:hint="eastAsia" w:ascii="宋体" w:hAnsi="宋体" w:cs="Arial"/>
          <w:color w:val="auto"/>
          <w:kern w:val="0"/>
          <w:sz w:val="24"/>
          <w:highlight w:val="none"/>
        </w:rPr>
        <w:t>人的得分。</w:t>
      </w:r>
    </w:p>
    <w:p w14:paraId="66D455E6">
      <w:pPr>
        <w:spacing w:line="360" w:lineRule="auto"/>
        <w:contextualSpacing/>
        <w:rPr>
          <w:rFonts w:ascii="宋体" w:hAnsi="宋体" w:cs="Arial"/>
          <w:color w:val="auto"/>
          <w:kern w:val="0"/>
          <w:sz w:val="24"/>
          <w:highlight w:val="none"/>
        </w:rPr>
      </w:pPr>
      <w:r>
        <w:rPr>
          <w:rFonts w:hint="eastAsia" w:ascii="宋体" w:hAnsi="宋体"/>
          <w:color w:val="auto"/>
          <w:sz w:val="24"/>
          <w:highlight w:val="none"/>
        </w:rPr>
        <w:t>28</w:t>
      </w:r>
      <w:r>
        <w:rPr>
          <w:rFonts w:hint="eastAsia" w:ascii="宋体" w:hAnsi="宋体" w:cs="Arial"/>
          <w:color w:val="auto"/>
          <w:kern w:val="0"/>
          <w:sz w:val="24"/>
          <w:highlight w:val="none"/>
        </w:rPr>
        <w:t>.2对采购代机构工作人员汇总的磋商结果进行确认。如发现分值汇总计算错误、分项评分超出评分标准范围、客观评分不一致以及存在畸高、畸低（其总评分偏离平均分30%以上的）情形的，磋商小组组长应提醒相关磋商人员当场改正或书面说明理由，拒不改正又不作书面说明的，由现场监督员如实记载后存入项目档案资料。</w:t>
      </w:r>
    </w:p>
    <w:p w14:paraId="02FE51BE">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29.修改磋商结果</w:t>
      </w:r>
    </w:p>
    <w:p w14:paraId="20A8C7E3">
      <w:pPr>
        <w:spacing w:line="360" w:lineRule="auto"/>
        <w:contextualSpacing/>
        <w:rPr>
          <w:rFonts w:ascii="宋体" w:hAnsi="宋体"/>
          <w:color w:val="auto"/>
          <w:sz w:val="24"/>
          <w:highlight w:val="none"/>
        </w:rPr>
      </w:pPr>
      <w:r>
        <w:rPr>
          <w:rFonts w:hint="eastAsia" w:ascii="宋体" w:hAnsi="宋体"/>
          <w:color w:val="auto"/>
          <w:sz w:val="24"/>
          <w:highlight w:val="none"/>
        </w:rPr>
        <w:t>29.1磋商结果汇总完成后，除下列情形外，任何人不得修改评标结果：</w:t>
      </w:r>
    </w:p>
    <w:p w14:paraId="73EC6B69">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（1）分值汇总计算错误的；</w:t>
      </w:r>
    </w:p>
    <w:p w14:paraId="4E69288C">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（2）分项评分超出评分标准范围的；</w:t>
      </w:r>
    </w:p>
    <w:p w14:paraId="6DA5C362">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（3）磋商小组成员对客观评审因素评分不一致的；</w:t>
      </w:r>
    </w:p>
    <w:p w14:paraId="091EB98B">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（4）经磋商小组认定评分畸高、畸低的。</w:t>
      </w:r>
    </w:p>
    <w:p w14:paraId="685D0898">
      <w:pPr>
        <w:spacing w:line="360" w:lineRule="auto"/>
        <w:rPr>
          <w:rFonts w:ascii="宋体" w:hAnsi="宋体"/>
          <w:color w:val="auto"/>
          <w:sz w:val="24"/>
          <w:highlight w:val="none"/>
        </w:rPr>
      </w:pPr>
      <w:r>
        <w:rPr>
          <w:rFonts w:hint="eastAsia" w:ascii="宋体" w:hAnsi="宋体"/>
          <w:bCs/>
          <w:color w:val="auto"/>
          <w:sz w:val="24"/>
          <w:highlight w:val="none"/>
        </w:rPr>
        <w:t>29.2</w:t>
      </w:r>
      <w:r>
        <w:rPr>
          <w:rFonts w:hint="eastAsia" w:ascii="宋体" w:hAnsi="宋体"/>
          <w:color w:val="auto"/>
          <w:sz w:val="24"/>
          <w:highlight w:val="none"/>
        </w:rPr>
        <w:t>磋商报告签署前，经复核发现存在以上情形之一的，磋商小组将当场修改磋商结果，并在磋商报告中记载。</w:t>
      </w:r>
    </w:p>
    <w:p w14:paraId="05327F93">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30.磋商响应方排序及推荐成交候选人</w:t>
      </w:r>
    </w:p>
    <w:p w14:paraId="6CBFAACA">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磋商小组根据以下规定确定磋商响应方排名并推荐成交候选人。</w:t>
      </w:r>
    </w:p>
    <w:p w14:paraId="5C41F9B1">
      <w:pPr>
        <w:spacing w:line="360" w:lineRule="auto"/>
        <w:rPr>
          <w:rFonts w:ascii="宋体" w:hAnsi="宋体" w:cs="Arial"/>
          <w:color w:val="auto"/>
          <w:kern w:val="0"/>
          <w:sz w:val="24"/>
          <w:highlight w:val="none"/>
        </w:rPr>
      </w:pPr>
      <w:r>
        <w:rPr>
          <w:rFonts w:hint="eastAsia" w:ascii="宋体" w:hAnsi="宋体" w:cs="宋体"/>
          <w:bCs/>
          <w:color w:val="auto"/>
          <w:sz w:val="24"/>
          <w:highlight w:val="none"/>
        </w:rPr>
        <w:t>30</w:t>
      </w:r>
      <w:r>
        <w:rPr>
          <w:rFonts w:hint="eastAsia" w:ascii="宋体" w:hAnsi="宋体" w:cs="Arial"/>
          <w:bCs/>
          <w:color w:val="auto"/>
          <w:sz w:val="24"/>
          <w:highlight w:val="none"/>
        </w:rPr>
        <w:t>.1磋</w:t>
      </w:r>
      <w:r>
        <w:rPr>
          <w:rFonts w:hint="eastAsia" w:ascii="宋体" w:hAnsi="宋体" w:cs="Arial"/>
          <w:color w:val="auto"/>
          <w:sz w:val="24"/>
          <w:highlight w:val="none"/>
        </w:rPr>
        <w:t>商小组根据</w:t>
      </w:r>
      <w:r>
        <w:rPr>
          <w:rFonts w:ascii="宋体" w:hAnsi="宋体" w:cs="Arial"/>
          <w:color w:val="auto"/>
          <w:sz w:val="24"/>
          <w:highlight w:val="none"/>
        </w:rPr>
        <w:t>各</w:t>
      </w:r>
      <w:r>
        <w:rPr>
          <w:rFonts w:hint="eastAsia" w:ascii="宋体" w:hAnsi="宋体" w:cs="Arial"/>
          <w:color w:val="auto"/>
          <w:sz w:val="24"/>
          <w:highlight w:val="none"/>
        </w:rPr>
        <w:t>磋商响应方</w:t>
      </w:r>
      <w:r>
        <w:rPr>
          <w:rFonts w:ascii="宋体" w:hAnsi="宋体" w:cs="Arial"/>
          <w:color w:val="auto"/>
          <w:sz w:val="24"/>
          <w:highlight w:val="none"/>
        </w:rPr>
        <w:t>的</w:t>
      </w:r>
      <w:r>
        <w:rPr>
          <w:rFonts w:hint="eastAsia" w:ascii="宋体" w:hAnsi="宋体" w:cs="Arial"/>
          <w:color w:val="auto"/>
          <w:sz w:val="24"/>
          <w:highlight w:val="none"/>
        </w:rPr>
        <w:t>综合得分（商务技术分与报价得分之和）从高到低依次进行排名排序。特殊情形按以下原则处理：</w:t>
      </w:r>
    </w:p>
    <w:p w14:paraId="2682F547">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（1）综合得分</w:t>
      </w:r>
      <w:r>
        <w:rPr>
          <w:rFonts w:ascii="宋体" w:hAnsi="宋体" w:cs="Arial"/>
          <w:color w:val="auto"/>
          <w:sz w:val="24"/>
          <w:highlight w:val="none"/>
        </w:rPr>
        <w:t>相同的，按</w:t>
      </w:r>
      <w:r>
        <w:rPr>
          <w:rFonts w:hint="eastAsia" w:ascii="宋体" w:hAnsi="宋体" w:cs="宋体"/>
          <w:color w:val="auto"/>
          <w:sz w:val="24"/>
          <w:highlight w:val="none"/>
        </w:rPr>
        <w:t>磋商响应价格</w:t>
      </w:r>
      <w:r>
        <w:rPr>
          <w:color w:val="auto"/>
          <w:sz w:val="24"/>
          <w:highlight w:val="none"/>
        </w:rPr>
        <w:t>由低到高顺序排列</w:t>
      </w:r>
      <w:r>
        <w:rPr>
          <w:rFonts w:hint="eastAsia" w:ascii="宋体" w:hAnsi="宋体" w:cs="Arial"/>
          <w:color w:val="auto"/>
          <w:sz w:val="24"/>
          <w:highlight w:val="none"/>
        </w:rPr>
        <w:t>；</w:t>
      </w:r>
    </w:p>
    <w:p w14:paraId="26C39660">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（2）综合得分和</w:t>
      </w:r>
      <w:r>
        <w:rPr>
          <w:rFonts w:hint="eastAsia" w:ascii="宋体" w:hAnsi="宋体" w:cs="宋体"/>
          <w:color w:val="auto"/>
          <w:sz w:val="24"/>
          <w:highlight w:val="none"/>
        </w:rPr>
        <w:t>磋商响应</w:t>
      </w:r>
      <w:r>
        <w:rPr>
          <w:rFonts w:ascii="宋体" w:hAnsi="宋体" w:cs="Arial"/>
          <w:color w:val="auto"/>
          <w:sz w:val="24"/>
          <w:highlight w:val="none"/>
        </w:rPr>
        <w:t>报价</w:t>
      </w:r>
      <w:r>
        <w:rPr>
          <w:rFonts w:hint="eastAsia" w:ascii="宋体" w:hAnsi="宋体" w:cs="Arial"/>
          <w:color w:val="auto"/>
          <w:sz w:val="24"/>
          <w:highlight w:val="none"/>
        </w:rPr>
        <w:t>均</w:t>
      </w:r>
      <w:r>
        <w:rPr>
          <w:rFonts w:ascii="宋体" w:hAnsi="宋体" w:cs="Arial"/>
          <w:color w:val="auto"/>
          <w:sz w:val="24"/>
          <w:highlight w:val="none"/>
        </w:rPr>
        <w:t>相同的，按</w:t>
      </w:r>
      <w:r>
        <w:rPr>
          <w:color w:val="auto"/>
          <w:sz w:val="24"/>
          <w:highlight w:val="none"/>
        </w:rPr>
        <w:t>技术指标优劣顺序排列并形成评</w:t>
      </w:r>
      <w:r>
        <w:rPr>
          <w:rFonts w:hint="eastAsia"/>
          <w:color w:val="auto"/>
          <w:sz w:val="24"/>
          <w:highlight w:val="none"/>
        </w:rPr>
        <w:t>审</w:t>
      </w:r>
      <w:r>
        <w:rPr>
          <w:color w:val="auto"/>
          <w:sz w:val="24"/>
          <w:highlight w:val="none"/>
        </w:rPr>
        <w:t>意见</w:t>
      </w:r>
      <w:r>
        <w:rPr>
          <w:rFonts w:hint="eastAsia" w:ascii="宋体" w:hAnsi="宋体" w:cs="Arial"/>
          <w:color w:val="auto"/>
          <w:sz w:val="24"/>
          <w:highlight w:val="none"/>
        </w:rPr>
        <w:t>；</w:t>
      </w:r>
    </w:p>
    <w:p w14:paraId="363DA930">
      <w:pPr>
        <w:spacing w:line="360" w:lineRule="auto"/>
        <w:ind w:firstLine="463" w:firstLineChars="193"/>
        <w:rPr>
          <w:rFonts w:ascii="宋体" w:hAnsi="宋体" w:cs="Arial"/>
          <w:color w:val="auto"/>
          <w:sz w:val="24"/>
          <w:highlight w:val="none"/>
        </w:rPr>
      </w:pPr>
      <w:r>
        <w:rPr>
          <w:rFonts w:hint="eastAsia" w:ascii="宋体" w:hAnsi="宋体" w:cs="Arial"/>
          <w:color w:val="auto"/>
          <w:sz w:val="24"/>
          <w:highlight w:val="none"/>
        </w:rPr>
        <w:t>（3）综合得分、</w:t>
      </w:r>
      <w:r>
        <w:rPr>
          <w:rFonts w:hint="eastAsia" w:ascii="宋体" w:hAnsi="宋体" w:cs="宋体"/>
          <w:color w:val="auto"/>
          <w:sz w:val="24"/>
          <w:highlight w:val="none"/>
        </w:rPr>
        <w:t>磋商响应</w:t>
      </w:r>
      <w:r>
        <w:rPr>
          <w:rFonts w:ascii="宋体" w:hAnsi="宋体" w:cs="Arial"/>
          <w:color w:val="auto"/>
          <w:sz w:val="24"/>
          <w:highlight w:val="none"/>
        </w:rPr>
        <w:t>报价</w:t>
      </w:r>
      <w:r>
        <w:rPr>
          <w:rFonts w:hint="eastAsia" w:ascii="宋体" w:hAnsi="宋体" w:cs="Arial"/>
          <w:color w:val="auto"/>
          <w:sz w:val="24"/>
          <w:highlight w:val="none"/>
        </w:rPr>
        <w:t>和技术资信得分均</w:t>
      </w:r>
      <w:r>
        <w:rPr>
          <w:rFonts w:ascii="宋体" w:hAnsi="宋体" w:cs="Arial"/>
          <w:color w:val="auto"/>
          <w:sz w:val="24"/>
          <w:highlight w:val="none"/>
        </w:rPr>
        <w:t>相同的</w:t>
      </w:r>
      <w:r>
        <w:rPr>
          <w:rFonts w:hint="eastAsia" w:ascii="宋体" w:hAnsi="宋体" w:cs="Arial"/>
          <w:color w:val="auto"/>
          <w:sz w:val="24"/>
          <w:highlight w:val="none"/>
        </w:rPr>
        <w:t>由磋商小组全体成员记名投票按少数服从多数的原则确定排名。</w:t>
      </w:r>
    </w:p>
    <w:p w14:paraId="35006911">
      <w:pPr>
        <w:spacing w:line="360" w:lineRule="auto"/>
        <w:contextualSpacing/>
        <w:rPr>
          <w:rFonts w:ascii="宋体" w:hAnsi="宋体"/>
          <w:color w:val="auto"/>
          <w:sz w:val="24"/>
          <w:highlight w:val="none"/>
        </w:rPr>
      </w:pPr>
      <w:r>
        <w:rPr>
          <w:rFonts w:hint="eastAsia" w:ascii="宋体" w:hAnsi="宋体" w:cs="宋体"/>
          <w:bCs/>
          <w:color w:val="auto"/>
          <w:sz w:val="24"/>
          <w:highlight w:val="none"/>
        </w:rPr>
        <w:t>30</w:t>
      </w:r>
      <w:r>
        <w:rPr>
          <w:rFonts w:hint="eastAsia" w:ascii="宋体" w:hAnsi="宋体" w:cs="Arial"/>
          <w:bCs/>
          <w:color w:val="auto"/>
          <w:sz w:val="24"/>
          <w:highlight w:val="none"/>
        </w:rPr>
        <w:t>.2根</w:t>
      </w:r>
      <w:r>
        <w:rPr>
          <w:rFonts w:hint="eastAsia" w:ascii="宋体" w:hAnsi="宋体" w:cs="Arial"/>
          <w:color w:val="auto"/>
          <w:sz w:val="24"/>
          <w:highlight w:val="none"/>
        </w:rPr>
        <w:t>据最终得分排序，通过书面磋商报告的形式，</w:t>
      </w:r>
      <w:r>
        <w:rPr>
          <w:rFonts w:hint="eastAsia" w:ascii="宋体" w:hAnsi="宋体" w:cs="宋体"/>
          <w:bCs/>
          <w:color w:val="auto"/>
          <w:sz w:val="24"/>
          <w:highlight w:val="none"/>
        </w:rPr>
        <w:t>向采购人按照评审得分由高到低顺序推荐3名成交候选供应商。</w:t>
      </w:r>
    </w:p>
    <w:p w14:paraId="1FBDCE3F">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31.起草、签署评审报告</w:t>
      </w:r>
    </w:p>
    <w:p w14:paraId="001CB31C">
      <w:pPr>
        <w:pStyle w:val="12"/>
        <w:spacing w:line="360" w:lineRule="auto"/>
        <w:ind w:firstLine="480" w:firstLineChars="200"/>
        <w:contextualSpacing/>
        <w:rPr>
          <w:rFonts w:hAnsi="宋体"/>
          <w:color w:val="auto"/>
          <w:sz w:val="24"/>
          <w:highlight w:val="none"/>
        </w:rPr>
      </w:pPr>
      <w:r>
        <w:rPr>
          <w:rFonts w:hint="eastAsia" w:hAnsi="宋体" w:cs="Arial"/>
          <w:color w:val="auto"/>
          <w:sz w:val="24"/>
          <w:highlight w:val="none"/>
        </w:rPr>
        <w:t>磋商结束后，磋商小组将通过“政府采购云平台”</w:t>
      </w:r>
      <w:r>
        <w:rPr>
          <w:rFonts w:hAnsi="宋体" w:cs="Arial"/>
          <w:color w:val="auto"/>
          <w:sz w:val="24"/>
          <w:highlight w:val="none"/>
        </w:rPr>
        <w:t>起草</w:t>
      </w:r>
      <w:r>
        <w:rPr>
          <w:rFonts w:hint="eastAsia" w:hAnsi="宋体" w:cs="Arial"/>
          <w:color w:val="auto"/>
          <w:sz w:val="24"/>
          <w:highlight w:val="none"/>
        </w:rPr>
        <w:t>磋商</w:t>
      </w:r>
      <w:r>
        <w:rPr>
          <w:rFonts w:hAnsi="宋体" w:cs="Arial"/>
          <w:color w:val="auto"/>
          <w:sz w:val="24"/>
          <w:highlight w:val="none"/>
        </w:rPr>
        <w:t>报告，</w:t>
      </w:r>
      <w:r>
        <w:rPr>
          <w:rFonts w:hint="eastAsia" w:hAnsi="宋体"/>
          <w:color w:val="auto"/>
          <w:sz w:val="24"/>
          <w:highlight w:val="none"/>
        </w:rPr>
        <w:t>磋商小组成员应当在磋商报告上签字，对自己的磋商意见承担法律责任。对磋商报告有异议的，应当在磋商报告上签署不同意见，并说明理由，否则视为同意磋商报告。</w:t>
      </w:r>
    </w:p>
    <w:p w14:paraId="7E48E76F">
      <w:pPr>
        <w:spacing w:line="360" w:lineRule="auto"/>
        <w:jc w:val="left"/>
        <w:rPr>
          <w:b/>
          <w:color w:val="auto"/>
          <w:sz w:val="24"/>
          <w:highlight w:val="none"/>
        </w:rPr>
      </w:pPr>
      <w:r>
        <w:rPr>
          <w:rFonts w:hint="eastAsia" w:ascii="宋体" w:hAnsi="宋体"/>
          <w:b/>
          <w:color w:val="auto"/>
          <w:sz w:val="24"/>
          <w:highlight w:val="none"/>
        </w:rPr>
        <w:t>32.综</w:t>
      </w:r>
      <w:r>
        <w:rPr>
          <w:rFonts w:hint="eastAsia"/>
          <w:b/>
          <w:color w:val="auto"/>
          <w:sz w:val="24"/>
          <w:highlight w:val="none"/>
        </w:rPr>
        <w:t>合评分法计算方法说明：</w:t>
      </w:r>
    </w:p>
    <w:p w14:paraId="074BF0F2">
      <w:pPr>
        <w:pStyle w:val="9"/>
        <w:spacing w:line="360" w:lineRule="auto"/>
        <w:ind w:firstLine="482"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b/>
          <w:color w:val="auto"/>
          <w:sz w:val="24"/>
          <w:highlight w:val="none"/>
        </w:rPr>
        <w:t>本项目采用综合评分法</w:t>
      </w:r>
      <w:r>
        <w:rPr>
          <w:rFonts w:hint="eastAsia" w:ascii="宋体" w:hAnsi="宋体"/>
          <w:color w:val="auto"/>
          <w:sz w:val="24"/>
          <w:highlight w:val="none"/>
        </w:rPr>
        <w:t>，</w:t>
      </w:r>
      <w:r>
        <w:rPr>
          <w:rFonts w:hint="eastAsia"/>
          <w:color w:val="auto"/>
          <w:sz w:val="24"/>
          <w:highlight w:val="none"/>
        </w:rPr>
        <w:t>评标委员会将对各投标人的投标报价、技术和服务方案、投标人的综合实力等方面进行综合评审，对实质上响应招标文件的投标人，由各评委独立记名打分。经统计，按最终评审分由高到低顺序排列。</w:t>
      </w:r>
      <w:r>
        <w:rPr>
          <w:rFonts w:hint="eastAsia" w:ascii="宋体" w:hAnsi="宋体"/>
          <w:color w:val="auto"/>
          <w:sz w:val="24"/>
          <w:highlight w:val="none"/>
        </w:rPr>
        <w:t>得分且投标报价相同的，</w:t>
      </w:r>
      <w:r>
        <w:rPr>
          <w:rFonts w:hint="eastAsia" w:asciiTheme="minorEastAsia" w:hAnsiTheme="minorEastAsia" w:eastAsiaTheme="minorEastAsia" w:cstheme="minorEastAsia"/>
          <w:color w:val="auto"/>
          <w:kern w:val="2"/>
          <w:sz w:val="24"/>
          <w:szCs w:val="24"/>
          <w:highlight w:val="none"/>
          <w:lang w:val="en-US" w:eastAsia="zh-CN" w:bidi="ar-SA"/>
        </w:rPr>
        <w:t>按设计方案得分优劣顺序排列，并形成评标意见。</w:t>
      </w:r>
    </w:p>
    <w:p w14:paraId="17AE842B">
      <w:pPr>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商务技术评分85分。磋商小组按评分细则,进行评判,每人一张评分票,并记名。如某张评分票的一个项目评分超过规定的分值范围,则该张评分票无效。各服务商技术的最终评分值为磋商小组的有效评分票的算术平均值。</w:t>
      </w:r>
    </w:p>
    <w:p w14:paraId="113F7726">
      <w:pPr>
        <w:spacing w:line="360" w:lineRule="auto"/>
        <w:ind w:firstLine="480" w:firstLineChars="200"/>
        <w:jc w:val="left"/>
        <w:rPr>
          <w:rFonts w:ascii="宋体" w:hAnsi="宋体"/>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2.报价评分15分。磋商</w:t>
      </w:r>
      <w:r>
        <w:rPr>
          <w:rFonts w:hint="eastAsia" w:ascii="Times New Roman" w:hAnsi="Times New Roman" w:eastAsia="宋体" w:cs="Times New Roman"/>
          <w:color w:val="auto"/>
          <w:kern w:val="2"/>
          <w:sz w:val="24"/>
          <w:szCs w:val="24"/>
          <w:highlight w:val="none"/>
          <w:lang w:val="en-US" w:eastAsia="zh-CN" w:bidi="ar-SA"/>
        </w:rPr>
        <w:t>小组按评分细则对各服务商的最终报价进行统一计算评分，集体统一判定评分。</w:t>
      </w:r>
    </w:p>
    <w:p w14:paraId="60D1148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评定标准：</w:t>
      </w:r>
    </w:p>
    <w:tbl>
      <w:tblPr>
        <w:tblStyle w:val="24"/>
        <w:tblW w:w="5366" w:type="pct"/>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456"/>
        <w:gridCol w:w="5470"/>
        <w:gridCol w:w="845"/>
        <w:gridCol w:w="1363"/>
      </w:tblGrid>
      <w:tr w14:paraId="5BC6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14:paraId="1C6770A2">
            <w:pPr>
              <w:pStyle w:val="12"/>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Ansi="宋体" w:cs="Arial"/>
                <w:b/>
                <w:color w:val="auto"/>
                <w:sz w:val="24"/>
                <w:szCs w:val="24"/>
                <w:highlight w:val="none"/>
              </w:rPr>
            </w:pPr>
            <w:r>
              <w:rPr>
                <w:rFonts w:hint="eastAsia" w:hAnsi="宋体" w:cs="Arial"/>
                <w:b/>
                <w:color w:val="auto"/>
                <w:sz w:val="24"/>
                <w:szCs w:val="24"/>
                <w:highlight w:val="none"/>
              </w:rPr>
              <w:t>序号</w:t>
            </w:r>
          </w:p>
        </w:tc>
        <w:tc>
          <w:tcPr>
            <w:tcW w:w="739" w:type="pct"/>
            <w:vAlign w:val="center"/>
          </w:tcPr>
          <w:p w14:paraId="505FD980">
            <w:pPr>
              <w:keepNext w:val="0"/>
              <w:keepLines w:val="0"/>
              <w:pageBreakBefore w:val="0"/>
              <w:widowControl w:val="0"/>
              <w:kinsoku/>
              <w:wordWrap/>
              <w:overflowPunct/>
              <w:topLinePunct w:val="0"/>
              <w:autoSpaceDE/>
              <w:autoSpaceDN/>
              <w:bidi w:val="0"/>
              <w:snapToGrid/>
              <w:spacing w:line="240" w:lineRule="auto"/>
              <w:jc w:val="center"/>
              <w:textAlignment w:val="auto"/>
              <w:rPr>
                <w:rFonts w:hAnsi="宋体" w:cs="Arial"/>
                <w:b/>
                <w:bCs/>
                <w:color w:val="auto"/>
                <w:sz w:val="24"/>
                <w:highlight w:val="none"/>
              </w:rPr>
            </w:pPr>
            <w:r>
              <w:rPr>
                <w:rFonts w:hint="eastAsia" w:ascii="宋体" w:hAnsi="宋体"/>
                <w:b/>
                <w:bCs/>
                <w:color w:val="auto"/>
                <w:sz w:val="24"/>
                <w:highlight w:val="none"/>
              </w:rPr>
              <w:t>项目名称</w:t>
            </w:r>
          </w:p>
        </w:tc>
        <w:tc>
          <w:tcPr>
            <w:tcW w:w="2777" w:type="pct"/>
            <w:vAlign w:val="center"/>
          </w:tcPr>
          <w:p w14:paraId="53DE4CFF">
            <w:pPr>
              <w:keepNext w:val="0"/>
              <w:keepLines w:val="0"/>
              <w:pageBreakBefore w:val="0"/>
              <w:widowControl w:val="0"/>
              <w:kinsoku/>
              <w:wordWrap/>
              <w:overflowPunct/>
              <w:topLinePunct w:val="0"/>
              <w:autoSpaceDE/>
              <w:autoSpaceDN/>
              <w:bidi w:val="0"/>
              <w:snapToGrid/>
              <w:spacing w:line="240" w:lineRule="auto"/>
              <w:jc w:val="center"/>
              <w:textAlignment w:val="auto"/>
              <w:rPr>
                <w:rFonts w:hAnsi="宋体"/>
                <w:b/>
                <w:bCs/>
                <w:color w:val="auto"/>
                <w:sz w:val="24"/>
                <w:highlight w:val="none"/>
              </w:rPr>
            </w:pPr>
            <w:r>
              <w:rPr>
                <w:rFonts w:hint="eastAsia" w:ascii="宋体" w:hAnsi="宋体"/>
                <w:b/>
                <w:bCs/>
                <w:color w:val="auto"/>
                <w:sz w:val="24"/>
                <w:highlight w:val="none"/>
              </w:rPr>
              <w:t>评审要点</w:t>
            </w:r>
          </w:p>
        </w:tc>
        <w:tc>
          <w:tcPr>
            <w:tcW w:w="429" w:type="pct"/>
            <w:vAlign w:val="center"/>
          </w:tcPr>
          <w:p w14:paraId="428F710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lang w:val="en-US" w:eastAsia="zh-CN"/>
              </w:rPr>
              <w:t>权重</w:t>
            </w:r>
          </w:p>
        </w:tc>
        <w:tc>
          <w:tcPr>
            <w:tcW w:w="692" w:type="pct"/>
            <w:vAlign w:val="center"/>
          </w:tcPr>
          <w:p w14:paraId="755A381B">
            <w:pPr>
              <w:keepNext w:val="0"/>
              <w:keepLines w:val="0"/>
              <w:pageBreakBefore w:val="0"/>
              <w:widowControl w:val="0"/>
              <w:kinsoku/>
              <w:wordWrap/>
              <w:overflowPunct/>
              <w:topLinePunct w:val="0"/>
              <w:autoSpaceDE/>
              <w:autoSpaceDN/>
              <w:bidi w:val="0"/>
              <w:snapToGrid/>
              <w:spacing w:line="240" w:lineRule="auto"/>
              <w:jc w:val="center"/>
              <w:textAlignment w:val="auto"/>
              <w:rPr>
                <w:rFonts w:hAnsi="宋体" w:cs="Arial"/>
                <w:b/>
                <w:bCs/>
                <w:color w:val="auto"/>
                <w:sz w:val="24"/>
                <w:highlight w:val="none"/>
              </w:rPr>
            </w:pPr>
            <w:r>
              <w:rPr>
                <w:rFonts w:hint="eastAsia" w:ascii="宋体" w:hAnsi="宋体"/>
                <w:b/>
                <w:bCs/>
                <w:color w:val="auto"/>
                <w:sz w:val="24"/>
                <w:highlight w:val="none"/>
              </w:rPr>
              <w:t>主观分/客观分属性</w:t>
            </w:r>
          </w:p>
        </w:tc>
      </w:tr>
      <w:tr w14:paraId="04D0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62" w:type="pct"/>
            <w:vAlign w:val="center"/>
          </w:tcPr>
          <w:p w14:paraId="2B664D56">
            <w:pPr>
              <w:pStyle w:val="12"/>
              <w:adjustRightInd w:val="0"/>
              <w:snapToGrid w:val="0"/>
              <w:spacing w:line="360" w:lineRule="auto"/>
              <w:jc w:val="center"/>
              <w:rPr>
                <w:rFonts w:hint="eastAsia" w:hAnsi="宋体" w:eastAsia="宋体" w:cs="Arial"/>
                <w:color w:val="auto"/>
                <w:sz w:val="24"/>
                <w:szCs w:val="24"/>
                <w:highlight w:val="none"/>
                <w:lang w:eastAsia="zh-CN"/>
              </w:rPr>
            </w:pPr>
            <w:r>
              <w:rPr>
                <w:rFonts w:hint="eastAsia" w:hAnsi="宋体" w:cs="Arial"/>
                <w:color w:val="auto"/>
                <w:sz w:val="24"/>
                <w:szCs w:val="24"/>
                <w:highlight w:val="none"/>
                <w:lang w:val="en-US" w:eastAsia="zh-CN"/>
              </w:rPr>
              <w:t>1</w:t>
            </w:r>
          </w:p>
        </w:tc>
        <w:tc>
          <w:tcPr>
            <w:tcW w:w="739" w:type="pct"/>
            <w:vAlign w:val="center"/>
          </w:tcPr>
          <w:p w14:paraId="1A5FEB7D">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Cs/>
                <w:color w:val="auto"/>
                <w:sz w:val="24"/>
                <w:szCs w:val="24"/>
                <w:highlight w:val="none"/>
              </w:rPr>
            </w:pPr>
            <w:r>
              <w:rPr>
                <w:rFonts w:hint="eastAsia" w:hAnsi="宋体"/>
                <w:bCs/>
                <w:color w:val="auto"/>
                <w:sz w:val="24"/>
                <w:szCs w:val="24"/>
                <w:highlight w:val="none"/>
                <w:lang w:val="en-US" w:eastAsia="zh-CN"/>
              </w:rPr>
              <w:t>同类</w:t>
            </w:r>
            <w:r>
              <w:rPr>
                <w:rFonts w:hint="eastAsia" w:hAnsi="宋体"/>
                <w:bCs/>
                <w:color w:val="auto"/>
                <w:sz w:val="24"/>
                <w:szCs w:val="24"/>
                <w:highlight w:val="none"/>
              </w:rPr>
              <w:t>项目业绩</w:t>
            </w:r>
          </w:p>
          <w:p w14:paraId="6B7C9F89">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Cs/>
                <w:color w:val="auto"/>
                <w:sz w:val="24"/>
                <w:szCs w:val="24"/>
                <w:highlight w:val="none"/>
                <w:lang w:eastAsia="zh-CN"/>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1分</w:t>
            </w:r>
            <w:r>
              <w:rPr>
                <w:rFonts w:hint="eastAsia" w:hAnsi="宋体"/>
                <w:bCs/>
                <w:color w:val="auto"/>
                <w:sz w:val="24"/>
                <w:szCs w:val="24"/>
                <w:highlight w:val="none"/>
                <w:lang w:eastAsia="zh-CN"/>
              </w:rPr>
              <w:t>）</w:t>
            </w:r>
          </w:p>
        </w:tc>
        <w:tc>
          <w:tcPr>
            <w:tcW w:w="2777" w:type="pct"/>
            <w:vAlign w:val="center"/>
          </w:tcPr>
          <w:p w14:paraId="3D4A6091">
            <w:pPr>
              <w:pStyle w:val="12"/>
              <w:adjustRightInd w:val="0"/>
              <w:snapToGrid w:val="0"/>
              <w:spacing w:line="360" w:lineRule="auto"/>
              <w:rPr>
                <w:rFonts w:hAnsi="宋体" w:cs="Arial"/>
                <w:color w:val="auto"/>
                <w:sz w:val="24"/>
                <w:szCs w:val="24"/>
                <w:highlight w:val="none"/>
              </w:rPr>
            </w:pPr>
            <w:r>
              <w:rPr>
                <w:rFonts w:hint="eastAsia" w:hAnsi="宋体"/>
                <w:color w:val="auto"/>
                <w:sz w:val="24"/>
                <w:szCs w:val="24"/>
                <w:highlight w:val="none"/>
              </w:rPr>
              <w:t>投标人近3年（2</w:t>
            </w:r>
            <w:r>
              <w:rPr>
                <w:rFonts w:hAnsi="宋体"/>
                <w:color w:val="auto"/>
                <w:sz w:val="24"/>
                <w:szCs w:val="24"/>
                <w:highlight w:val="none"/>
              </w:rPr>
              <w:t>02</w:t>
            </w:r>
            <w:r>
              <w:rPr>
                <w:rFonts w:hint="eastAsia" w:hAnsi="宋体"/>
                <w:color w:val="auto"/>
                <w:sz w:val="24"/>
                <w:szCs w:val="24"/>
                <w:highlight w:val="none"/>
                <w:lang w:val="en-US" w:eastAsia="zh-CN"/>
              </w:rPr>
              <w:t>2</w:t>
            </w:r>
            <w:r>
              <w:rPr>
                <w:rFonts w:hint="eastAsia" w:hAnsi="宋体"/>
                <w:color w:val="auto"/>
                <w:sz w:val="24"/>
                <w:szCs w:val="24"/>
                <w:highlight w:val="none"/>
              </w:rPr>
              <w:t>年1月1日以来）承担过类似项目</w:t>
            </w:r>
            <w:r>
              <w:rPr>
                <w:rFonts w:hint="eastAsia" w:ascii="宋体" w:hAnsi="宋体" w:eastAsia="宋体" w:cs="宋体"/>
                <w:bCs/>
                <w:color w:val="auto"/>
                <w:sz w:val="24"/>
                <w:szCs w:val="24"/>
                <w:highlight w:val="none"/>
              </w:rPr>
              <w:t>实施经验</w:t>
            </w:r>
            <w:r>
              <w:rPr>
                <w:rFonts w:hint="eastAsia" w:hAnsi="宋体"/>
                <w:color w:val="auto"/>
                <w:sz w:val="24"/>
                <w:szCs w:val="24"/>
                <w:highlight w:val="none"/>
              </w:rPr>
              <w:t>的，每提供一份</w:t>
            </w:r>
            <w:r>
              <w:rPr>
                <w:rFonts w:hint="eastAsia" w:hAnsi="宋体"/>
                <w:color w:val="auto"/>
                <w:sz w:val="24"/>
                <w:szCs w:val="24"/>
                <w:highlight w:val="none"/>
                <w:lang w:val="en-US" w:eastAsia="zh-CN"/>
              </w:rPr>
              <w:t>业绩</w:t>
            </w:r>
            <w:r>
              <w:rPr>
                <w:rFonts w:hint="eastAsia" w:hAnsi="宋体"/>
                <w:color w:val="auto"/>
                <w:sz w:val="24"/>
                <w:szCs w:val="24"/>
                <w:highlight w:val="none"/>
              </w:rPr>
              <w:t>合同得</w:t>
            </w:r>
            <w:r>
              <w:rPr>
                <w:rFonts w:hint="eastAsia" w:hAnsi="宋体"/>
                <w:color w:val="auto"/>
                <w:sz w:val="24"/>
                <w:szCs w:val="24"/>
                <w:highlight w:val="none"/>
                <w:lang w:val="en-US" w:eastAsia="zh-CN"/>
              </w:rPr>
              <w:t>0.5</w:t>
            </w:r>
            <w:r>
              <w:rPr>
                <w:rFonts w:hint="eastAsia" w:hAnsi="宋体"/>
                <w:color w:val="auto"/>
                <w:sz w:val="24"/>
                <w:szCs w:val="24"/>
                <w:highlight w:val="none"/>
              </w:rPr>
              <w:t>分，最高得</w:t>
            </w:r>
            <w:r>
              <w:rPr>
                <w:rFonts w:hAnsi="宋体"/>
                <w:color w:val="auto"/>
                <w:sz w:val="24"/>
                <w:szCs w:val="24"/>
                <w:highlight w:val="none"/>
              </w:rPr>
              <w:t>1</w:t>
            </w:r>
            <w:r>
              <w:rPr>
                <w:rFonts w:hint="eastAsia" w:hAnsi="宋体"/>
                <w:color w:val="auto"/>
                <w:sz w:val="24"/>
                <w:szCs w:val="24"/>
                <w:highlight w:val="none"/>
              </w:rPr>
              <w:t>分。（提供合同扫描件，不提供不得分）</w:t>
            </w:r>
          </w:p>
        </w:tc>
        <w:tc>
          <w:tcPr>
            <w:tcW w:w="429" w:type="pct"/>
            <w:shd w:val="clear" w:color="auto" w:fill="auto"/>
            <w:vAlign w:val="center"/>
          </w:tcPr>
          <w:p w14:paraId="5C496941">
            <w:pPr>
              <w:pStyle w:val="12"/>
              <w:adjustRightInd w:val="0"/>
              <w:snapToGrid w:val="0"/>
              <w:spacing w:line="360" w:lineRule="auto"/>
              <w:jc w:val="center"/>
              <w:rPr>
                <w:rFonts w:ascii="宋体" w:hAnsi="宋体" w:eastAsia="宋体" w:cs="Arial"/>
                <w:bCs/>
                <w:color w:val="auto"/>
                <w:kern w:val="2"/>
                <w:sz w:val="24"/>
                <w:szCs w:val="24"/>
                <w:highlight w:val="none"/>
                <w:lang w:val="en-US" w:eastAsia="zh-CN" w:bidi="ar-SA"/>
              </w:rPr>
            </w:pPr>
            <w:r>
              <w:rPr>
                <w:rFonts w:hAnsi="宋体" w:cs="Arial"/>
                <w:bCs/>
                <w:color w:val="auto"/>
                <w:sz w:val="24"/>
                <w:szCs w:val="24"/>
                <w:highlight w:val="none"/>
              </w:rPr>
              <w:t>1</w:t>
            </w:r>
          </w:p>
        </w:tc>
        <w:tc>
          <w:tcPr>
            <w:tcW w:w="692" w:type="pct"/>
            <w:vAlign w:val="center"/>
          </w:tcPr>
          <w:p w14:paraId="50EBE497">
            <w:pPr>
              <w:pStyle w:val="12"/>
              <w:adjustRightInd w:val="0"/>
              <w:snapToGrid w:val="0"/>
              <w:spacing w:line="360" w:lineRule="auto"/>
              <w:jc w:val="center"/>
              <w:rPr>
                <w:rFonts w:hAnsi="宋体" w:cs="Arial"/>
                <w:bCs/>
                <w:color w:val="auto"/>
                <w:sz w:val="24"/>
                <w:szCs w:val="24"/>
                <w:highlight w:val="none"/>
              </w:rPr>
            </w:pPr>
            <w:r>
              <w:rPr>
                <w:rFonts w:hint="eastAsia" w:hAnsi="宋体" w:cs="仿宋"/>
                <w:color w:val="auto"/>
                <w:sz w:val="24"/>
                <w:highlight w:val="none"/>
                <w:lang w:val="en-US" w:eastAsia="zh-CN"/>
              </w:rPr>
              <w:t>客观分</w:t>
            </w:r>
          </w:p>
        </w:tc>
      </w:tr>
      <w:tr w14:paraId="10DC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restart"/>
            <w:vAlign w:val="center"/>
          </w:tcPr>
          <w:p w14:paraId="543D96E0">
            <w:pPr>
              <w:pStyle w:val="12"/>
              <w:adjustRightInd w:val="0"/>
              <w:snapToGrid w:val="0"/>
              <w:spacing w:line="360" w:lineRule="auto"/>
              <w:jc w:val="center"/>
              <w:rPr>
                <w:rFonts w:hint="eastAsia" w:hAnsi="宋体" w:eastAsia="宋体" w:cs="Arial"/>
                <w:color w:val="auto"/>
                <w:sz w:val="24"/>
                <w:szCs w:val="24"/>
                <w:highlight w:val="none"/>
                <w:lang w:eastAsia="zh-CN"/>
              </w:rPr>
            </w:pPr>
            <w:r>
              <w:rPr>
                <w:rFonts w:hint="eastAsia" w:hAnsi="宋体" w:cs="Arial"/>
                <w:color w:val="auto"/>
                <w:sz w:val="24"/>
                <w:szCs w:val="24"/>
                <w:highlight w:val="none"/>
                <w:lang w:val="en-US" w:eastAsia="zh-CN"/>
              </w:rPr>
              <w:t>2</w:t>
            </w:r>
          </w:p>
        </w:tc>
        <w:tc>
          <w:tcPr>
            <w:tcW w:w="739" w:type="pct"/>
            <w:vMerge w:val="restart"/>
            <w:vAlign w:val="center"/>
          </w:tcPr>
          <w:p w14:paraId="105F4D71">
            <w:pPr>
              <w:pStyle w:val="12"/>
              <w:adjustRightInd w:val="0"/>
              <w:snapToGrid w:val="0"/>
              <w:spacing w:line="360" w:lineRule="auto"/>
              <w:jc w:val="center"/>
              <w:rPr>
                <w:rFonts w:hint="eastAsia" w:hAnsi="宋体"/>
                <w:bCs/>
                <w:color w:val="auto"/>
                <w:sz w:val="24"/>
                <w:szCs w:val="24"/>
                <w:highlight w:val="none"/>
              </w:rPr>
            </w:pPr>
            <w:r>
              <w:rPr>
                <w:rFonts w:hint="eastAsia" w:hAnsi="宋体" w:cs="宋体"/>
                <w:bCs/>
                <w:color w:val="auto"/>
                <w:sz w:val="24"/>
                <w:szCs w:val="24"/>
                <w:highlight w:val="none"/>
              </w:rPr>
              <w:t>项目</w:t>
            </w:r>
            <w:r>
              <w:rPr>
                <w:rFonts w:hint="eastAsia" w:hAnsi="宋体"/>
                <w:bCs/>
                <w:color w:val="auto"/>
                <w:sz w:val="24"/>
                <w:szCs w:val="24"/>
                <w:highlight w:val="none"/>
              </w:rPr>
              <w:t>背景及现状分析</w:t>
            </w:r>
          </w:p>
          <w:p w14:paraId="127F7E2C">
            <w:pPr>
              <w:pStyle w:val="12"/>
              <w:adjustRightInd w:val="0"/>
              <w:snapToGrid w:val="0"/>
              <w:spacing w:line="360" w:lineRule="auto"/>
              <w:jc w:val="center"/>
              <w:rPr>
                <w:rFonts w:hAnsi="宋体" w:cs="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8分</w:t>
            </w:r>
            <w:r>
              <w:rPr>
                <w:rFonts w:hint="eastAsia" w:hAnsi="宋体"/>
                <w:bCs/>
                <w:color w:val="auto"/>
                <w:sz w:val="24"/>
                <w:szCs w:val="24"/>
                <w:highlight w:val="none"/>
                <w:lang w:eastAsia="zh-CN"/>
              </w:rPr>
              <w:t>）</w:t>
            </w:r>
          </w:p>
        </w:tc>
        <w:tc>
          <w:tcPr>
            <w:tcW w:w="2777" w:type="pct"/>
            <w:vAlign w:val="center"/>
          </w:tcPr>
          <w:p w14:paraId="0AA2B5B1">
            <w:pPr>
              <w:pStyle w:val="12"/>
              <w:adjustRightInd w:val="0"/>
              <w:snapToGrid w:val="0"/>
              <w:spacing w:line="360" w:lineRule="auto"/>
              <w:rPr>
                <w:rFonts w:hint="eastAsia" w:hAnsi="宋体"/>
                <w:color w:val="auto"/>
                <w:sz w:val="24"/>
                <w:szCs w:val="24"/>
                <w:highlight w:val="none"/>
              </w:rPr>
            </w:pPr>
            <w:r>
              <w:rPr>
                <w:rFonts w:hint="eastAsia" w:hAnsi="宋体"/>
                <w:color w:val="auto"/>
                <w:sz w:val="24"/>
                <w:szCs w:val="24"/>
                <w:highlight w:val="none"/>
              </w:rPr>
              <w:t>投标人对本项目的背景及现状、存在的问题和项目的重点、难点分析。</w:t>
            </w:r>
          </w:p>
          <w:p w14:paraId="5EC3C3D4">
            <w:pPr>
              <w:pStyle w:val="12"/>
              <w:adjustRightInd w:val="0"/>
              <w:snapToGrid w:val="0"/>
              <w:spacing w:line="360" w:lineRule="auto"/>
              <w:rPr>
                <w:rFonts w:hint="default" w:hAnsi="宋体" w:eastAsia="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（评分范围</w:t>
            </w:r>
            <w:r>
              <w:rPr>
                <w:rFonts w:hint="eastAsia"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429" w:type="pct"/>
            <w:shd w:val="clear" w:color="auto" w:fill="auto"/>
            <w:vAlign w:val="center"/>
          </w:tcPr>
          <w:p w14:paraId="61F16BBA">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4</w:t>
            </w:r>
          </w:p>
        </w:tc>
        <w:tc>
          <w:tcPr>
            <w:tcW w:w="692" w:type="pct"/>
            <w:vAlign w:val="center"/>
          </w:tcPr>
          <w:p w14:paraId="588B3279">
            <w:pPr>
              <w:pStyle w:val="12"/>
              <w:adjustRightInd w:val="0"/>
              <w:snapToGrid w:val="0"/>
              <w:spacing w:line="360" w:lineRule="auto"/>
              <w:jc w:val="center"/>
              <w:rPr>
                <w:rFonts w:hint="eastAsia" w:hAnsi="宋体"/>
                <w:bCs/>
                <w:color w:val="auto"/>
                <w:sz w:val="24"/>
                <w:szCs w:val="24"/>
                <w:highlight w:val="none"/>
              </w:rPr>
            </w:pPr>
            <w:r>
              <w:rPr>
                <w:rFonts w:hint="eastAsia" w:hAnsi="宋体"/>
                <w:bCs/>
                <w:color w:val="auto"/>
                <w:sz w:val="24"/>
                <w:szCs w:val="24"/>
                <w:highlight w:val="none"/>
                <w:lang w:val="en-US" w:eastAsia="zh-CN"/>
              </w:rPr>
              <w:t>主观分</w:t>
            </w:r>
          </w:p>
        </w:tc>
      </w:tr>
      <w:tr w14:paraId="7922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66301A48">
            <w:pPr>
              <w:pStyle w:val="12"/>
              <w:adjustRightInd w:val="0"/>
              <w:snapToGrid w:val="0"/>
              <w:spacing w:line="360" w:lineRule="auto"/>
              <w:jc w:val="center"/>
              <w:rPr>
                <w:rFonts w:hAnsi="宋体" w:cs="Arial"/>
                <w:color w:val="auto"/>
                <w:sz w:val="24"/>
                <w:szCs w:val="24"/>
                <w:highlight w:val="none"/>
              </w:rPr>
            </w:pPr>
          </w:p>
        </w:tc>
        <w:tc>
          <w:tcPr>
            <w:tcW w:w="739" w:type="pct"/>
            <w:vMerge w:val="continue"/>
            <w:vAlign w:val="center"/>
          </w:tcPr>
          <w:p w14:paraId="2103886D">
            <w:pPr>
              <w:pStyle w:val="12"/>
              <w:adjustRightInd w:val="0"/>
              <w:snapToGrid w:val="0"/>
              <w:spacing w:line="360" w:lineRule="auto"/>
              <w:jc w:val="center"/>
              <w:rPr>
                <w:rFonts w:hAnsi="宋体" w:cs="宋体"/>
                <w:bCs/>
                <w:color w:val="auto"/>
                <w:sz w:val="24"/>
                <w:szCs w:val="24"/>
                <w:highlight w:val="none"/>
              </w:rPr>
            </w:pPr>
          </w:p>
        </w:tc>
        <w:tc>
          <w:tcPr>
            <w:tcW w:w="2777" w:type="pct"/>
            <w:vAlign w:val="center"/>
          </w:tcPr>
          <w:p w14:paraId="71F395A0">
            <w:pPr>
              <w:pStyle w:val="12"/>
              <w:adjustRightInd w:val="0"/>
              <w:snapToGrid w:val="0"/>
              <w:spacing w:line="360" w:lineRule="auto"/>
              <w:rPr>
                <w:rFonts w:hint="eastAsia" w:hAnsi="宋体"/>
                <w:color w:val="auto"/>
                <w:sz w:val="24"/>
                <w:szCs w:val="24"/>
                <w:highlight w:val="none"/>
              </w:rPr>
            </w:pPr>
            <w:r>
              <w:rPr>
                <w:rFonts w:hint="eastAsia" w:hAnsi="宋体"/>
                <w:color w:val="auto"/>
                <w:sz w:val="24"/>
                <w:szCs w:val="24"/>
                <w:highlight w:val="none"/>
              </w:rPr>
              <w:t>投标人针对本项目提出的合理化建议和解决方案。</w:t>
            </w:r>
          </w:p>
          <w:p w14:paraId="42EF8DAA">
            <w:pPr>
              <w:pStyle w:val="12"/>
              <w:adjustRightInd w:val="0"/>
              <w:snapToGrid w:val="0"/>
              <w:spacing w:line="360" w:lineRule="auto"/>
              <w:rPr>
                <w:rFonts w:hAnsi="宋体"/>
                <w:color w:val="auto"/>
                <w:sz w:val="24"/>
                <w:szCs w:val="24"/>
                <w:highlight w:val="none"/>
              </w:rPr>
            </w:pPr>
            <w:r>
              <w:rPr>
                <w:rFonts w:hint="eastAsia" w:ascii="宋体" w:hAnsi="宋体" w:eastAsia="宋体" w:cs="宋体"/>
                <w:b w:val="0"/>
                <w:bCs w:val="0"/>
                <w:color w:val="auto"/>
                <w:sz w:val="24"/>
                <w:szCs w:val="24"/>
                <w:highlight w:val="none"/>
                <w:lang w:val="en-US" w:eastAsia="zh-CN"/>
              </w:rPr>
              <w:t>（评分范围</w:t>
            </w:r>
            <w:r>
              <w:rPr>
                <w:rFonts w:hint="eastAsia"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429" w:type="pct"/>
            <w:shd w:val="clear" w:color="auto" w:fill="auto"/>
            <w:vAlign w:val="center"/>
          </w:tcPr>
          <w:p w14:paraId="0765F8AE">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4</w:t>
            </w:r>
          </w:p>
        </w:tc>
        <w:tc>
          <w:tcPr>
            <w:tcW w:w="692" w:type="pct"/>
            <w:vAlign w:val="center"/>
          </w:tcPr>
          <w:p w14:paraId="41489B4C">
            <w:pPr>
              <w:pStyle w:val="12"/>
              <w:adjustRightInd w:val="0"/>
              <w:snapToGrid w:val="0"/>
              <w:spacing w:line="360" w:lineRule="auto"/>
              <w:jc w:val="center"/>
              <w:rPr>
                <w:rFonts w:hint="eastAsia" w:hAnsi="宋体"/>
                <w:bCs/>
                <w:color w:val="auto"/>
                <w:sz w:val="24"/>
                <w:szCs w:val="24"/>
                <w:highlight w:val="none"/>
              </w:rPr>
            </w:pPr>
            <w:r>
              <w:rPr>
                <w:rFonts w:hint="eastAsia" w:hAnsi="宋体"/>
                <w:bCs/>
                <w:color w:val="auto"/>
                <w:sz w:val="24"/>
                <w:szCs w:val="24"/>
                <w:highlight w:val="none"/>
                <w:lang w:val="en-US" w:eastAsia="zh-CN"/>
              </w:rPr>
              <w:t>主观分</w:t>
            </w:r>
          </w:p>
        </w:tc>
      </w:tr>
      <w:tr w14:paraId="5E39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restart"/>
            <w:vAlign w:val="center"/>
          </w:tcPr>
          <w:p w14:paraId="6D4AEEE4">
            <w:pPr>
              <w:pStyle w:val="12"/>
              <w:adjustRightInd w:val="0"/>
              <w:snapToGrid w:val="0"/>
              <w:spacing w:line="360" w:lineRule="auto"/>
              <w:jc w:val="center"/>
              <w:rPr>
                <w:rFonts w:hint="eastAsia"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3</w:t>
            </w:r>
          </w:p>
        </w:tc>
        <w:tc>
          <w:tcPr>
            <w:tcW w:w="739" w:type="pct"/>
            <w:vMerge w:val="restart"/>
            <w:vAlign w:val="center"/>
          </w:tcPr>
          <w:p w14:paraId="3B2A2F92">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hAnsi="宋体" w:cs="Times New Roman"/>
                <w:bCs/>
                <w:color w:val="auto"/>
                <w:sz w:val="24"/>
                <w:szCs w:val="24"/>
                <w:highlight w:val="none"/>
                <w:lang w:val="en-US" w:eastAsia="zh-CN"/>
              </w:rPr>
              <w:t>内容采写及</w:t>
            </w:r>
            <w:r>
              <w:rPr>
                <w:rFonts w:hint="eastAsia" w:ascii="宋体" w:hAnsi="宋体" w:eastAsia="宋体" w:cs="Times New Roman"/>
                <w:bCs/>
                <w:color w:val="auto"/>
                <w:sz w:val="24"/>
                <w:szCs w:val="24"/>
                <w:highlight w:val="none"/>
              </w:rPr>
              <w:t>融媒传播</w:t>
            </w:r>
            <w:r>
              <w:rPr>
                <w:rFonts w:hint="eastAsia" w:ascii="宋体" w:hAnsi="宋体" w:eastAsia="宋体" w:cs="Times New Roman"/>
                <w:bCs/>
                <w:color w:val="auto"/>
                <w:sz w:val="24"/>
                <w:szCs w:val="24"/>
                <w:highlight w:val="none"/>
                <w:lang w:val="en-US" w:eastAsia="zh-CN"/>
              </w:rPr>
              <w:t>方案</w:t>
            </w:r>
          </w:p>
          <w:p w14:paraId="254FDE70">
            <w:pPr>
              <w:pStyle w:val="12"/>
              <w:adjustRightInd w:val="0"/>
              <w:snapToGrid w:val="0"/>
              <w:spacing w:line="360" w:lineRule="auto"/>
              <w:jc w:val="center"/>
              <w:rPr>
                <w:rFonts w:hint="eastAsia" w:hAnsi="宋体" w:eastAsia="宋体" w:cs="宋体"/>
                <w:bCs/>
                <w:color w:val="auto"/>
                <w:sz w:val="24"/>
                <w:szCs w:val="24"/>
                <w:highlight w:val="none"/>
                <w:lang w:val="en-US" w:eastAsia="zh-CN"/>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25分</w:t>
            </w:r>
            <w:r>
              <w:rPr>
                <w:rFonts w:hint="eastAsia" w:hAnsi="宋体"/>
                <w:bCs/>
                <w:color w:val="auto"/>
                <w:sz w:val="24"/>
                <w:szCs w:val="24"/>
                <w:highlight w:val="none"/>
                <w:lang w:eastAsia="zh-CN"/>
              </w:rPr>
              <w:t>）</w:t>
            </w:r>
          </w:p>
        </w:tc>
        <w:tc>
          <w:tcPr>
            <w:tcW w:w="2777" w:type="pct"/>
            <w:vAlign w:val="center"/>
          </w:tcPr>
          <w:p w14:paraId="2F970E44">
            <w:pPr>
              <w:pStyle w:val="12"/>
              <w:adjustRightInd w:val="0"/>
              <w:snapToGrid w:val="0"/>
              <w:spacing w:line="360" w:lineRule="auto"/>
              <w:rPr>
                <w:rFonts w:hint="default" w:hAnsi="宋体"/>
                <w:color w:val="auto"/>
                <w:sz w:val="24"/>
                <w:szCs w:val="24"/>
                <w:highlight w:val="none"/>
                <w:lang w:val="en-US" w:eastAsia="zh-CN"/>
              </w:rPr>
            </w:pPr>
            <w:r>
              <w:rPr>
                <w:rFonts w:hint="eastAsia" w:hAnsi="宋体"/>
                <w:color w:val="auto"/>
                <w:sz w:val="24"/>
                <w:szCs w:val="24"/>
                <w:highlight w:val="none"/>
                <w:lang w:val="en-US" w:eastAsia="zh-CN"/>
              </w:rPr>
              <w:t>是否具备人物稿件处理能力，包括人物沟通、采写、梳理提炼、成稿，并确保文字内容的真实性。</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414B3791">
            <w:pPr>
              <w:pStyle w:val="12"/>
              <w:adjustRightInd w:val="0"/>
              <w:snapToGrid w:val="0"/>
              <w:spacing w:line="360" w:lineRule="auto"/>
              <w:jc w:val="center"/>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5</w:t>
            </w:r>
          </w:p>
        </w:tc>
        <w:tc>
          <w:tcPr>
            <w:tcW w:w="692" w:type="pct"/>
            <w:vAlign w:val="center"/>
          </w:tcPr>
          <w:p w14:paraId="6CA67CA9">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主观分</w:t>
            </w:r>
          </w:p>
        </w:tc>
      </w:tr>
      <w:tr w14:paraId="3BE3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4590B632">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3EE03BA4">
            <w:pPr>
              <w:pStyle w:val="12"/>
              <w:adjustRightInd w:val="0"/>
              <w:snapToGrid w:val="0"/>
              <w:spacing w:line="360" w:lineRule="auto"/>
              <w:jc w:val="center"/>
              <w:rPr>
                <w:color w:val="auto"/>
                <w:spacing w:val="15"/>
                <w:highlight w:val="none"/>
              </w:rPr>
            </w:pPr>
          </w:p>
        </w:tc>
        <w:tc>
          <w:tcPr>
            <w:tcW w:w="2777" w:type="pct"/>
            <w:vAlign w:val="center"/>
          </w:tcPr>
          <w:p w14:paraId="5A48EB90">
            <w:pPr>
              <w:pStyle w:val="12"/>
              <w:adjustRightInd w:val="0"/>
              <w:snapToGrid w:val="0"/>
              <w:spacing w:line="360" w:lineRule="auto"/>
              <w:rPr>
                <w:rFonts w:hint="default" w:hAnsi="宋体"/>
                <w:color w:val="auto"/>
                <w:sz w:val="24"/>
                <w:szCs w:val="24"/>
                <w:highlight w:val="none"/>
                <w:lang w:val="en-US" w:eastAsia="zh-CN"/>
              </w:rPr>
            </w:pPr>
            <w:r>
              <w:rPr>
                <w:rFonts w:hint="eastAsia" w:hAnsi="宋体" w:cs="宋体"/>
                <w:b w:val="0"/>
                <w:bCs w:val="0"/>
                <w:color w:val="auto"/>
                <w:sz w:val="24"/>
                <w:szCs w:val="24"/>
                <w:highlight w:val="none"/>
                <w:lang w:val="en-US" w:eastAsia="zh-CN"/>
              </w:rPr>
              <w:t>是否对采访人物群体有较清晰的了解，能够对策展人物素材进行分类，提炼以及策展的创新能力。</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46B007E7">
            <w:pPr>
              <w:pStyle w:val="12"/>
              <w:adjustRightInd w:val="0"/>
              <w:snapToGrid w:val="0"/>
              <w:spacing w:line="360" w:lineRule="auto"/>
              <w:jc w:val="center"/>
              <w:rPr>
                <w:rFonts w:hint="default" w:ascii="宋体" w:hAnsi="宋体" w:eastAsia="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5</w:t>
            </w:r>
          </w:p>
        </w:tc>
        <w:tc>
          <w:tcPr>
            <w:tcW w:w="692" w:type="pct"/>
            <w:vAlign w:val="center"/>
          </w:tcPr>
          <w:p w14:paraId="3388DF85">
            <w:pPr>
              <w:pStyle w:val="12"/>
              <w:adjustRightInd w:val="0"/>
              <w:snapToGrid w:val="0"/>
              <w:spacing w:line="360" w:lineRule="auto"/>
              <w:jc w:val="center"/>
              <w:rPr>
                <w:rFonts w:hint="default" w:hAnsi="宋体" w:cs="Arial"/>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A1F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62" w:type="pct"/>
            <w:vMerge w:val="continue"/>
            <w:vAlign w:val="center"/>
          </w:tcPr>
          <w:p w14:paraId="11A7542B">
            <w:pPr>
              <w:pStyle w:val="12"/>
              <w:adjustRightInd w:val="0"/>
              <w:snapToGrid w:val="0"/>
              <w:spacing w:line="360" w:lineRule="auto"/>
              <w:jc w:val="center"/>
              <w:rPr>
                <w:rFonts w:hint="eastAsia" w:hAnsi="宋体" w:cs="Arial"/>
                <w:color w:val="auto"/>
                <w:sz w:val="24"/>
                <w:szCs w:val="24"/>
                <w:highlight w:val="none"/>
                <w:lang w:val="en-US" w:eastAsia="zh-CN"/>
              </w:rPr>
            </w:pPr>
          </w:p>
          <w:p w14:paraId="3E722FD5">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739B321C">
            <w:pPr>
              <w:pStyle w:val="12"/>
              <w:adjustRightInd w:val="0"/>
              <w:snapToGrid w:val="0"/>
              <w:spacing w:line="360" w:lineRule="auto"/>
              <w:jc w:val="center"/>
              <w:rPr>
                <w:color w:val="auto"/>
                <w:spacing w:val="15"/>
                <w:highlight w:val="none"/>
              </w:rPr>
            </w:pPr>
          </w:p>
        </w:tc>
        <w:tc>
          <w:tcPr>
            <w:tcW w:w="2777" w:type="pct"/>
            <w:shd w:val="clear" w:color="auto" w:fill="auto"/>
            <w:vAlign w:val="center"/>
          </w:tcPr>
          <w:p w14:paraId="3035BC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宣传方案，传播形式</w:t>
            </w:r>
            <w:r>
              <w:rPr>
                <w:rFonts w:hint="eastAsia" w:ascii="宋体" w:hAnsi="宋体" w:cs="宋体"/>
                <w:i w:val="0"/>
                <w:color w:val="auto"/>
                <w:kern w:val="0"/>
                <w:sz w:val="24"/>
                <w:szCs w:val="24"/>
                <w:highlight w:val="none"/>
                <w:u w:val="none"/>
                <w:lang w:val="en-US" w:eastAsia="zh-CN" w:bidi="ar"/>
              </w:rPr>
              <w:t>多</w:t>
            </w:r>
            <w:r>
              <w:rPr>
                <w:rFonts w:hint="eastAsia" w:ascii="宋体" w:hAnsi="宋体" w:eastAsia="宋体" w:cs="宋体"/>
                <w:i w:val="0"/>
                <w:color w:val="auto"/>
                <w:kern w:val="0"/>
                <w:sz w:val="24"/>
                <w:szCs w:val="24"/>
                <w:highlight w:val="none"/>
                <w:u w:val="none"/>
                <w:lang w:val="en-US" w:eastAsia="zh-CN" w:bidi="ar"/>
              </w:rPr>
              <w:t>样</w:t>
            </w:r>
            <w:r>
              <w:rPr>
                <w:rFonts w:hint="eastAsia" w:ascii="宋体" w:hAnsi="宋体" w:cs="宋体"/>
                <w:i w:val="0"/>
                <w:color w:val="auto"/>
                <w:kern w:val="0"/>
                <w:sz w:val="24"/>
                <w:szCs w:val="24"/>
                <w:highlight w:val="none"/>
                <w:u w:val="none"/>
                <w:lang w:val="en-US" w:eastAsia="zh-CN" w:bidi="ar"/>
              </w:rPr>
              <w:t>，覆盖面广，能够有一定的影响力，包括</w:t>
            </w:r>
            <w:r>
              <w:rPr>
                <w:rFonts w:hint="eastAsia" w:ascii="宋体" w:hAnsi="宋体" w:eastAsia="宋体" w:cs="宋体"/>
                <w:i w:val="0"/>
                <w:color w:val="auto"/>
                <w:kern w:val="0"/>
                <w:sz w:val="24"/>
                <w:szCs w:val="24"/>
                <w:highlight w:val="none"/>
                <w:u w:val="none"/>
                <w:lang w:val="en-US" w:eastAsia="zh-CN" w:bidi="ar"/>
              </w:rPr>
              <w:t>图文报道、人物访谈、短视频分享等</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26A0575D">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5</w:t>
            </w:r>
          </w:p>
        </w:tc>
        <w:tc>
          <w:tcPr>
            <w:tcW w:w="692" w:type="pct"/>
            <w:shd w:val="clear" w:color="auto" w:fill="auto"/>
            <w:vAlign w:val="center"/>
          </w:tcPr>
          <w:p w14:paraId="23E7C651">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主观分</w:t>
            </w:r>
          </w:p>
        </w:tc>
      </w:tr>
      <w:tr w14:paraId="7B13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657D6FFC">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02E84109">
            <w:pPr>
              <w:pStyle w:val="12"/>
              <w:adjustRightInd w:val="0"/>
              <w:snapToGrid w:val="0"/>
              <w:spacing w:line="360" w:lineRule="auto"/>
              <w:jc w:val="center"/>
              <w:rPr>
                <w:color w:val="auto"/>
                <w:spacing w:val="15"/>
                <w:highlight w:val="none"/>
              </w:rPr>
            </w:pPr>
          </w:p>
        </w:tc>
        <w:tc>
          <w:tcPr>
            <w:tcW w:w="2777" w:type="pct"/>
            <w:shd w:val="clear" w:color="auto" w:fill="auto"/>
            <w:vAlign w:val="center"/>
          </w:tcPr>
          <w:p w14:paraId="1B92DE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主流媒体覆盖度，包括</w:t>
            </w:r>
            <w:r>
              <w:rPr>
                <w:rFonts w:hint="eastAsia" w:ascii="宋体" w:hAnsi="宋体" w:eastAsia="宋体" w:cs="宋体"/>
                <w:i w:val="0"/>
                <w:color w:val="auto"/>
                <w:kern w:val="0"/>
                <w:sz w:val="24"/>
                <w:szCs w:val="24"/>
                <w:highlight w:val="none"/>
                <w:u w:val="none"/>
                <w:lang w:val="en-US" w:eastAsia="zh-CN" w:bidi="ar"/>
              </w:rPr>
              <w:t>中央、省、市各级媒体</w:t>
            </w:r>
            <w:r>
              <w:rPr>
                <w:rFonts w:hint="eastAsia" w:ascii="宋体" w:hAnsi="宋体" w:cs="宋体"/>
                <w:i w:val="0"/>
                <w:color w:val="auto"/>
                <w:kern w:val="0"/>
                <w:sz w:val="24"/>
                <w:szCs w:val="24"/>
                <w:highlight w:val="none"/>
                <w:u w:val="none"/>
                <w:lang w:val="en-US" w:eastAsia="zh-CN" w:bidi="ar"/>
              </w:rPr>
              <w:t>（如</w:t>
            </w:r>
            <w:r>
              <w:rPr>
                <w:rFonts w:hint="default" w:ascii="宋体" w:hAnsi="宋体" w:cs="宋体"/>
                <w:b w:val="0"/>
                <w:bCs w:val="0"/>
                <w:strike w:val="0"/>
                <w:dstrike w:val="0"/>
                <w:color w:val="auto"/>
                <w:kern w:val="2"/>
                <w:sz w:val="24"/>
                <w:szCs w:val="24"/>
                <w:highlight w:val="none"/>
                <w:lang w:val="en-US" w:eastAsia="zh-CN" w:bidi="ar-SA"/>
              </w:rPr>
              <w:t>浙江日报、钱江晚报、离退休党建杂志、新华网、中新网、</w:t>
            </w:r>
            <w:r>
              <w:rPr>
                <w:rFonts w:hint="eastAsia" w:ascii="宋体" w:hAnsi="宋体" w:eastAsia="宋体" w:cs="宋体"/>
                <w:i w:val="0"/>
                <w:color w:val="auto"/>
                <w:kern w:val="0"/>
                <w:sz w:val="24"/>
                <w:szCs w:val="24"/>
                <w:highlight w:val="none"/>
                <w:u w:val="none"/>
                <w:lang w:val="en-US" w:eastAsia="zh-CN" w:bidi="ar"/>
              </w:rPr>
              <w:t>浙江在线、</w:t>
            </w:r>
            <w:r>
              <w:rPr>
                <w:rFonts w:hint="eastAsia" w:ascii="宋体" w:hAnsi="宋体" w:cs="宋体"/>
                <w:i w:val="0"/>
                <w:color w:val="auto"/>
                <w:kern w:val="0"/>
                <w:sz w:val="24"/>
                <w:szCs w:val="24"/>
                <w:highlight w:val="none"/>
                <w:u w:val="none"/>
                <w:lang w:val="en-US" w:eastAsia="zh-CN" w:bidi="ar"/>
              </w:rPr>
              <w:t>浙江党建网、</w:t>
            </w:r>
            <w:r>
              <w:rPr>
                <w:rFonts w:hint="eastAsia" w:ascii="宋体" w:hAnsi="宋体" w:eastAsia="宋体" w:cs="宋体"/>
                <w:i w:val="0"/>
                <w:color w:val="auto"/>
                <w:kern w:val="0"/>
                <w:sz w:val="24"/>
                <w:szCs w:val="24"/>
                <w:highlight w:val="none"/>
                <w:u w:val="none"/>
                <w:lang w:val="en-US" w:eastAsia="zh-CN" w:bidi="ar"/>
              </w:rPr>
              <w:t>学习强国、各市融媒等</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1342F18B">
            <w:pPr>
              <w:pStyle w:val="12"/>
              <w:adjustRightInd w:val="0"/>
              <w:snapToGrid w:val="0"/>
              <w:spacing w:line="360" w:lineRule="auto"/>
              <w:jc w:val="center"/>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5</w:t>
            </w:r>
          </w:p>
        </w:tc>
        <w:tc>
          <w:tcPr>
            <w:tcW w:w="692" w:type="pct"/>
            <w:shd w:val="clear" w:color="auto" w:fill="auto"/>
            <w:vAlign w:val="center"/>
          </w:tcPr>
          <w:p w14:paraId="063DD7E3">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主观分</w:t>
            </w:r>
          </w:p>
        </w:tc>
      </w:tr>
      <w:tr w14:paraId="2A32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3571E48C">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7327B378">
            <w:pPr>
              <w:pStyle w:val="12"/>
              <w:adjustRightInd w:val="0"/>
              <w:snapToGrid w:val="0"/>
              <w:spacing w:line="360" w:lineRule="auto"/>
              <w:jc w:val="center"/>
              <w:rPr>
                <w:color w:val="auto"/>
                <w:spacing w:val="15"/>
                <w:highlight w:val="none"/>
              </w:rPr>
            </w:pPr>
          </w:p>
        </w:tc>
        <w:tc>
          <w:tcPr>
            <w:tcW w:w="2777" w:type="pct"/>
            <w:vAlign w:val="center"/>
          </w:tcPr>
          <w:p w14:paraId="52DB0FCD">
            <w:pPr>
              <w:pStyle w:val="12"/>
              <w:adjustRightInd w:val="0"/>
              <w:snapToGrid w:val="0"/>
              <w:spacing w:line="360" w:lineRule="auto"/>
              <w:rPr>
                <w:rFonts w:hint="default" w:hAnsi="宋体"/>
                <w:color w:val="auto"/>
                <w:sz w:val="24"/>
                <w:szCs w:val="24"/>
                <w:highlight w:val="none"/>
                <w:lang w:val="en-US" w:eastAsia="zh-CN"/>
              </w:rPr>
            </w:pPr>
            <w:r>
              <w:rPr>
                <w:rFonts w:hint="eastAsia" w:hAnsi="宋体"/>
                <w:color w:val="auto"/>
                <w:sz w:val="24"/>
                <w:szCs w:val="24"/>
                <w:highlight w:val="none"/>
                <w:lang w:val="en-US" w:eastAsia="zh-CN"/>
              </w:rPr>
              <w:t>风险预案，包括素材缺失的替代方案、传播效果点击率等。</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527699AF">
            <w:pPr>
              <w:pStyle w:val="12"/>
              <w:adjustRightInd w:val="0"/>
              <w:snapToGrid w:val="0"/>
              <w:spacing w:line="360" w:lineRule="auto"/>
              <w:jc w:val="center"/>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5</w:t>
            </w:r>
          </w:p>
        </w:tc>
        <w:tc>
          <w:tcPr>
            <w:tcW w:w="692" w:type="pct"/>
            <w:vAlign w:val="center"/>
          </w:tcPr>
          <w:p w14:paraId="37EFDC79">
            <w:pPr>
              <w:pStyle w:val="12"/>
              <w:adjustRightInd w:val="0"/>
              <w:snapToGrid w:val="0"/>
              <w:spacing w:line="360" w:lineRule="auto"/>
              <w:jc w:val="center"/>
              <w:rPr>
                <w:rFonts w:hint="eastAsia" w:hAnsi="宋体"/>
                <w:bCs/>
                <w:color w:val="auto"/>
                <w:sz w:val="24"/>
                <w:szCs w:val="24"/>
                <w:highlight w:val="none"/>
                <w:lang w:val="en-US" w:eastAsia="zh-CN"/>
              </w:rPr>
            </w:pPr>
            <w:r>
              <w:rPr>
                <w:rFonts w:hint="eastAsia" w:hAnsi="宋体"/>
                <w:bCs/>
                <w:color w:val="auto"/>
                <w:sz w:val="24"/>
                <w:szCs w:val="24"/>
                <w:highlight w:val="none"/>
                <w:lang w:val="en-US" w:eastAsia="zh-CN"/>
              </w:rPr>
              <w:t>主观分</w:t>
            </w:r>
          </w:p>
        </w:tc>
      </w:tr>
      <w:tr w14:paraId="41F3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Align w:val="center"/>
          </w:tcPr>
          <w:p w14:paraId="1EE906A0">
            <w:pPr>
              <w:pStyle w:val="12"/>
              <w:adjustRightInd w:val="0"/>
              <w:snapToGrid w:val="0"/>
              <w:spacing w:line="360" w:lineRule="auto"/>
              <w:jc w:val="center"/>
              <w:rPr>
                <w:rFonts w:hint="default" w:hAnsi="宋体" w:cs="Arial"/>
                <w:color w:val="auto"/>
                <w:sz w:val="24"/>
                <w:szCs w:val="24"/>
                <w:highlight w:val="none"/>
                <w:lang w:val="en-US" w:eastAsia="zh-CN"/>
              </w:rPr>
            </w:pPr>
            <w:r>
              <w:rPr>
                <w:rFonts w:hint="eastAsia" w:hAnsi="宋体" w:cs="Arial"/>
                <w:color w:val="auto"/>
                <w:sz w:val="24"/>
                <w:szCs w:val="24"/>
                <w:highlight w:val="none"/>
                <w:lang w:val="en-US" w:eastAsia="zh-CN"/>
              </w:rPr>
              <w:t>4</w:t>
            </w:r>
          </w:p>
        </w:tc>
        <w:tc>
          <w:tcPr>
            <w:tcW w:w="739" w:type="pct"/>
            <w:vAlign w:val="center"/>
          </w:tcPr>
          <w:p w14:paraId="6633F84A">
            <w:pPr>
              <w:pStyle w:val="12"/>
              <w:adjustRightInd w:val="0"/>
              <w:snapToGrid w:val="0"/>
              <w:spacing w:line="360" w:lineRule="auto"/>
              <w:jc w:val="center"/>
              <w:rPr>
                <w:color w:val="auto"/>
                <w:spacing w:val="15"/>
                <w:highlight w:val="none"/>
              </w:rPr>
            </w:pPr>
            <w:r>
              <w:rPr>
                <w:rFonts w:hint="eastAsia" w:ascii="宋体" w:hAnsi="宋体" w:eastAsia="宋体" w:cs="宋体"/>
                <w:i w:val="0"/>
                <w:color w:val="auto"/>
                <w:kern w:val="0"/>
                <w:sz w:val="24"/>
                <w:szCs w:val="24"/>
                <w:highlight w:val="none"/>
                <w:u w:val="none"/>
                <w:lang w:val="en-US" w:eastAsia="zh-CN" w:bidi="ar"/>
              </w:rPr>
              <w:t>物件征集方案</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2分</w:t>
            </w:r>
            <w:r>
              <w:rPr>
                <w:rFonts w:hint="eastAsia" w:hAnsi="宋体"/>
                <w:color w:val="auto"/>
                <w:sz w:val="24"/>
                <w:szCs w:val="24"/>
                <w:highlight w:val="none"/>
                <w:lang w:eastAsia="zh-CN"/>
              </w:rPr>
              <w:t>）</w:t>
            </w:r>
          </w:p>
        </w:tc>
        <w:tc>
          <w:tcPr>
            <w:tcW w:w="2777" w:type="pct"/>
            <w:vAlign w:val="center"/>
          </w:tcPr>
          <w:p w14:paraId="1B2E2C79">
            <w:pPr>
              <w:pStyle w:val="12"/>
              <w:adjustRightInd w:val="0"/>
              <w:snapToGrid w:val="0"/>
              <w:spacing w:line="360" w:lineRule="auto"/>
              <w:rPr>
                <w:rFonts w:hint="eastAsia" w:hAnsi="宋体"/>
                <w:color w:val="auto"/>
                <w:sz w:val="24"/>
                <w:szCs w:val="24"/>
                <w:highlight w:val="none"/>
                <w:lang w:val="en-US" w:eastAsia="zh-CN"/>
              </w:rPr>
            </w:pPr>
            <w:r>
              <w:rPr>
                <w:rFonts w:hint="eastAsia" w:hAnsi="宋体"/>
                <w:color w:val="auto"/>
                <w:sz w:val="24"/>
                <w:szCs w:val="24"/>
                <w:highlight w:val="none"/>
                <w:lang w:val="en-US" w:eastAsia="zh-CN"/>
              </w:rPr>
              <w:t>物件征集方案，包括但不限于征集对象、征集物件门类的选择等。</w:t>
            </w:r>
            <w:r>
              <w:rPr>
                <w:rFonts w:hint="default" w:hAnsi="宋体"/>
                <w:color w:val="auto"/>
                <w:sz w:val="24"/>
                <w:szCs w:val="24"/>
                <w:highlight w:val="none"/>
                <w:lang w:val="en-US" w:eastAsia="zh-CN"/>
              </w:rPr>
              <w:t>历史照片、文字资料、实物展品的数量及代表性，是否覆盖关键历史时期</w:t>
            </w:r>
            <w:r>
              <w:rPr>
                <w:rFonts w:hint="eastAsia" w:hAnsi="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（评分范围2，1，0）</w:t>
            </w:r>
          </w:p>
        </w:tc>
        <w:tc>
          <w:tcPr>
            <w:tcW w:w="429" w:type="pct"/>
            <w:shd w:val="clear" w:color="auto" w:fill="auto"/>
            <w:vAlign w:val="center"/>
          </w:tcPr>
          <w:p w14:paraId="47794F69">
            <w:pPr>
              <w:pStyle w:val="12"/>
              <w:adjustRightInd w:val="0"/>
              <w:snapToGrid w:val="0"/>
              <w:spacing w:line="360" w:lineRule="auto"/>
              <w:jc w:val="center"/>
              <w:rPr>
                <w:rFonts w:hint="default" w:hAnsi="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2</w:t>
            </w:r>
          </w:p>
        </w:tc>
        <w:tc>
          <w:tcPr>
            <w:tcW w:w="692" w:type="pct"/>
            <w:vAlign w:val="center"/>
          </w:tcPr>
          <w:p w14:paraId="2621D461">
            <w:pPr>
              <w:pStyle w:val="12"/>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76F3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restart"/>
            <w:vAlign w:val="center"/>
          </w:tcPr>
          <w:p w14:paraId="1D44AAA9">
            <w:pPr>
              <w:pStyle w:val="12"/>
              <w:adjustRightInd w:val="0"/>
              <w:snapToGrid w:val="0"/>
              <w:spacing w:line="360" w:lineRule="auto"/>
              <w:jc w:val="center"/>
              <w:rPr>
                <w:rFonts w:hint="default" w:hAnsi="宋体" w:cs="Arial"/>
                <w:color w:val="auto"/>
                <w:sz w:val="24"/>
                <w:szCs w:val="24"/>
                <w:highlight w:val="none"/>
                <w:lang w:val="en-US" w:eastAsia="zh-CN"/>
              </w:rPr>
            </w:pPr>
            <w:r>
              <w:rPr>
                <w:rFonts w:hint="eastAsia" w:hAnsi="宋体" w:cs="Arial"/>
                <w:color w:val="auto"/>
                <w:sz w:val="24"/>
                <w:szCs w:val="24"/>
                <w:highlight w:val="none"/>
                <w:lang w:val="en-US" w:eastAsia="zh-CN"/>
              </w:rPr>
              <w:t>5</w:t>
            </w:r>
          </w:p>
        </w:tc>
        <w:tc>
          <w:tcPr>
            <w:tcW w:w="739" w:type="pct"/>
            <w:vMerge w:val="restart"/>
            <w:vAlign w:val="center"/>
          </w:tcPr>
          <w:p w14:paraId="7779065A">
            <w:pPr>
              <w:pStyle w:val="12"/>
              <w:adjustRightInd w:val="0"/>
              <w:snapToGrid w:val="0"/>
              <w:spacing w:line="360" w:lineRule="auto"/>
              <w:jc w:val="center"/>
              <w:rPr>
                <w:rFonts w:hint="eastAsia" w:eastAsia="宋体"/>
                <w:color w:val="auto"/>
                <w:spacing w:val="15"/>
                <w:highlight w:val="none"/>
                <w:lang w:val="en-US" w:eastAsia="zh-CN"/>
              </w:rPr>
            </w:pPr>
            <w:r>
              <w:rPr>
                <w:rFonts w:hint="eastAsia" w:ascii="宋体" w:hAnsi="宋体" w:eastAsia="宋体" w:cs="宋体"/>
                <w:i w:val="0"/>
                <w:color w:val="auto"/>
                <w:kern w:val="0"/>
                <w:sz w:val="24"/>
                <w:szCs w:val="24"/>
                <w:highlight w:val="none"/>
                <w:u w:val="none"/>
                <w:lang w:val="en-US" w:eastAsia="zh-CN" w:bidi="ar"/>
              </w:rPr>
              <w:t>主题展设计及布展方案</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15分</w:t>
            </w:r>
            <w:r>
              <w:rPr>
                <w:rFonts w:hint="eastAsia" w:hAnsi="宋体"/>
                <w:color w:val="auto"/>
                <w:sz w:val="24"/>
                <w:szCs w:val="24"/>
                <w:highlight w:val="none"/>
                <w:lang w:eastAsia="zh-CN"/>
              </w:rPr>
              <w:t>）</w:t>
            </w:r>
          </w:p>
        </w:tc>
        <w:tc>
          <w:tcPr>
            <w:tcW w:w="2777" w:type="pct"/>
            <w:vAlign w:val="center"/>
          </w:tcPr>
          <w:p w14:paraId="6AE087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hAnsi="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项目主题：要求主题鲜明，立意有高度，符合项目需求。</w:t>
            </w:r>
            <w:r>
              <w:rPr>
                <w:rFonts w:hint="eastAsia" w:ascii="宋体" w:hAnsi="宋体" w:eastAsia="宋体" w:cs="宋体"/>
                <w:b w:val="0"/>
                <w:bCs w:val="0"/>
                <w:color w:val="auto"/>
                <w:sz w:val="24"/>
                <w:szCs w:val="24"/>
                <w:highlight w:val="none"/>
                <w:lang w:val="en-US" w:eastAsia="zh-CN"/>
              </w:rPr>
              <w:t>（评分范围4，3，2，1，0）</w:t>
            </w:r>
          </w:p>
        </w:tc>
        <w:tc>
          <w:tcPr>
            <w:tcW w:w="429" w:type="pct"/>
            <w:shd w:val="clear" w:color="auto" w:fill="auto"/>
            <w:vAlign w:val="center"/>
          </w:tcPr>
          <w:p w14:paraId="3D4EADF9">
            <w:pPr>
              <w:pStyle w:val="12"/>
              <w:adjustRightInd w:val="0"/>
              <w:snapToGrid w:val="0"/>
              <w:spacing w:line="360" w:lineRule="auto"/>
              <w:jc w:val="center"/>
              <w:rPr>
                <w:rFonts w:hint="default" w:ascii="宋体" w:hAnsi="宋体" w:eastAsia="宋体" w:cs="Times New Roman"/>
                <w:bCs/>
                <w:color w:val="auto"/>
                <w:sz w:val="24"/>
                <w:szCs w:val="24"/>
                <w:highlight w:val="none"/>
                <w:lang w:val="en-US" w:eastAsia="zh-CN"/>
              </w:rPr>
            </w:pPr>
            <w:r>
              <w:rPr>
                <w:rFonts w:hint="eastAsia" w:hAnsi="宋体" w:cs="Times New Roman"/>
                <w:bCs/>
                <w:color w:val="auto"/>
                <w:sz w:val="24"/>
                <w:szCs w:val="24"/>
                <w:highlight w:val="none"/>
                <w:lang w:val="en-US" w:eastAsia="zh-CN"/>
              </w:rPr>
              <w:t>4</w:t>
            </w:r>
          </w:p>
        </w:tc>
        <w:tc>
          <w:tcPr>
            <w:tcW w:w="692" w:type="pct"/>
            <w:vAlign w:val="center"/>
          </w:tcPr>
          <w:p w14:paraId="2C40493A">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主观分</w:t>
            </w:r>
          </w:p>
        </w:tc>
      </w:tr>
      <w:tr w14:paraId="6AE0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1FFA2512">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05A1A7B3">
            <w:pPr>
              <w:pStyle w:val="12"/>
              <w:adjustRightInd w:val="0"/>
              <w:snapToGrid w:val="0"/>
              <w:spacing w:line="360" w:lineRule="auto"/>
              <w:jc w:val="center"/>
              <w:rPr>
                <w:rFonts w:hint="eastAsia"/>
                <w:color w:val="auto"/>
                <w:spacing w:val="15"/>
                <w:highlight w:val="none"/>
              </w:rPr>
            </w:pPr>
          </w:p>
        </w:tc>
        <w:tc>
          <w:tcPr>
            <w:tcW w:w="2777" w:type="pct"/>
            <w:shd w:val="clear" w:color="auto" w:fill="auto"/>
            <w:vAlign w:val="center"/>
          </w:tcPr>
          <w:p w14:paraId="77BFE1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imes New Roman" w:hAnsi="宋体" w:eastAsia="宋体" w:cs="Times New Roman"/>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策展方案：板块划分合理、内容阐述详实；充分展现离休干部在不同历史时期的理想信念、奋斗足迹与卓越成就。</w:t>
            </w:r>
            <w:r>
              <w:rPr>
                <w:rFonts w:hint="eastAsia" w:ascii="宋体" w:hAnsi="宋体" w:eastAsia="宋体" w:cs="宋体"/>
                <w:b w:val="0"/>
                <w:bCs w:val="0"/>
                <w:color w:val="auto"/>
                <w:sz w:val="24"/>
                <w:szCs w:val="24"/>
                <w:highlight w:val="none"/>
                <w:lang w:val="en-US" w:eastAsia="zh-CN"/>
              </w:rPr>
              <w:t>（评分范围5，4，3，2，1，0）</w:t>
            </w:r>
          </w:p>
        </w:tc>
        <w:tc>
          <w:tcPr>
            <w:tcW w:w="429" w:type="pct"/>
            <w:shd w:val="clear" w:color="auto" w:fill="auto"/>
            <w:vAlign w:val="center"/>
          </w:tcPr>
          <w:p w14:paraId="7E46B1B7">
            <w:pPr>
              <w:pStyle w:val="12"/>
              <w:adjustRightInd w:val="0"/>
              <w:snapToGrid w:val="0"/>
              <w:spacing w:line="360" w:lineRule="auto"/>
              <w:jc w:val="center"/>
              <w:rPr>
                <w:rFonts w:hint="eastAsia" w:ascii="宋体" w:hAnsi="宋体" w:eastAsia="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5</w:t>
            </w:r>
          </w:p>
        </w:tc>
        <w:tc>
          <w:tcPr>
            <w:tcW w:w="692" w:type="pct"/>
            <w:vAlign w:val="center"/>
          </w:tcPr>
          <w:p w14:paraId="195A4E17">
            <w:pPr>
              <w:pStyle w:val="12"/>
              <w:adjustRightInd w:val="0"/>
              <w:snapToGrid w:val="0"/>
              <w:spacing w:line="360" w:lineRule="auto"/>
              <w:jc w:val="center"/>
              <w:rPr>
                <w:rFonts w:hint="eastAsia" w:hAnsi="宋体" w:cs="Arial"/>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F09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63AB69EE">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36A04D03">
            <w:pPr>
              <w:pStyle w:val="12"/>
              <w:adjustRightInd w:val="0"/>
              <w:snapToGrid w:val="0"/>
              <w:spacing w:line="360" w:lineRule="auto"/>
              <w:jc w:val="center"/>
              <w:rPr>
                <w:rFonts w:hint="eastAsia"/>
                <w:color w:val="auto"/>
                <w:spacing w:val="15"/>
                <w:highlight w:val="none"/>
              </w:rPr>
            </w:pPr>
          </w:p>
        </w:tc>
        <w:tc>
          <w:tcPr>
            <w:tcW w:w="2777" w:type="pct"/>
            <w:vAlign w:val="center"/>
          </w:tcPr>
          <w:p w14:paraId="717E74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hAnsi="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展品</w:t>
            </w:r>
            <w:r>
              <w:rPr>
                <w:rFonts w:hint="eastAsia" w:ascii="宋体" w:hAnsi="宋体" w:cs="宋体"/>
                <w:i w:val="0"/>
                <w:color w:val="auto"/>
                <w:kern w:val="0"/>
                <w:sz w:val="24"/>
                <w:szCs w:val="24"/>
                <w:highlight w:val="none"/>
                <w:u w:val="none"/>
                <w:lang w:val="en-US" w:eastAsia="zh-CN" w:bidi="ar"/>
              </w:rPr>
              <w:t>保护、</w:t>
            </w:r>
            <w:r>
              <w:rPr>
                <w:rFonts w:hint="eastAsia" w:ascii="宋体" w:hAnsi="宋体" w:eastAsia="宋体" w:cs="宋体"/>
                <w:i w:val="0"/>
                <w:color w:val="auto"/>
                <w:kern w:val="0"/>
                <w:sz w:val="24"/>
                <w:szCs w:val="24"/>
                <w:highlight w:val="none"/>
                <w:u w:val="none"/>
                <w:lang w:val="en-US" w:eastAsia="zh-CN" w:bidi="ar"/>
              </w:rPr>
              <w:t>运输</w:t>
            </w:r>
            <w:r>
              <w:rPr>
                <w:rFonts w:hint="eastAsia" w:ascii="宋体" w:hAnsi="宋体" w:eastAsia="宋体" w:cs="宋体"/>
                <w:i w:val="0"/>
                <w:color w:val="auto"/>
                <w:kern w:val="0"/>
                <w:sz w:val="24"/>
                <w:szCs w:val="24"/>
                <w:highlight w:val="none"/>
                <w:u w:val="none"/>
                <w:lang w:eastAsia="zh-CN" w:bidi="ar"/>
              </w:rPr>
              <w:t>、</w:t>
            </w:r>
            <w:r>
              <w:rPr>
                <w:rFonts w:hint="eastAsia" w:ascii="宋体" w:hAnsi="宋体" w:eastAsia="宋体" w:cs="宋体"/>
                <w:i w:val="0"/>
                <w:color w:val="auto"/>
                <w:kern w:val="0"/>
                <w:sz w:val="24"/>
                <w:szCs w:val="24"/>
                <w:highlight w:val="none"/>
                <w:u w:val="none"/>
                <w:lang w:val="en-US" w:eastAsia="zh-CN" w:bidi="ar"/>
              </w:rPr>
              <w:t>仓储</w:t>
            </w:r>
            <w:r>
              <w:rPr>
                <w:rFonts w:hint="eastAsia" w:ascii="宋体" w:hAnsi="宋体" w:eastAsia="宋体" w:cs="宋体"/>
                <w:i w:val="0"/>
                <w:color w:val="auto"/>
                <w:kern w:val="0"/>
                <w:sz w:val="24"/>
                <w:szCs w:val="24"/>
                <w:highlight w:val="none"/>
                <w:u w:val="none"/>
                <w:lang w:eastAsia="zh-CN" w:bidi="ar"/>
              </w:rPr>
              <w:t>及安保</w:t>
            </w:r>
            <w:r>
              <w:rPr>
                <w:rFonts w:hint="eastAsia" w:ascii="宋体" w:hAnsi="宋体" w:eastAsia="宋体" w:cs="宋体"/>
                <w:i w:val="0"/>
                <w:color w:val="auto"/>
                <w:kern w:val="0"/>
                <w:sz w:val="24"/>
                <w:szCs w:val="24"/>
                <w:highlight w:val="none"/>
                <w:u w:val="none"/>
                <w:lang w:val="en-US" w:eastAsia="zh-CN" w:bidi="ar"/>
              </w:rPr>
              <w:t>方案，保障活动顺利执行。</w:t>
            </w:r>
            <w:r>
              <w:rPr>
                <w:rFonts w:hint="eastAsia" w:ascii="宋体" w:hAnsi="宋体" w:eastAsia="宋体" w:cs="宋体"/>
                <w:b w:val="0"/>
                <w:bCs w:val="0"/>
                <w:color w:val="auto"/>
                <w:sz w:val="24"/>
                <w:szCs w:val="24"/>
                <w:highlight w:val="none"/>
                <w:lang w:val="en-US" w:eastAsia="zh-CN"/>
              </w:rPr>
              <w:t>（评分范围3，2，1，0）</w:t>
            </w:r>
          </w:p>
        </w:tc>
        <w:tc>
          <w:tcPr>
            <w:tcW w:w="429" w:type="pct"/>
            <w:shd w:val="clear" w:color="auto" w:fill="auto"/>
            <w:vAlign w:val="center"/>
          </w:tcPr>
          <w:p w14:paraId="35AEB302">
            <w:pPr>
              <w:pStyle w:val="12"/>
              <w:adjustRightInd w:val="0"/>
              <w:snapToGrid w:val="0"/>
              <w:spacing w:line="360" w:lineRule="auto"/>
              <w:jc w:val="center"/>
              <w:rPr>
                <w:rFonts w:hint="default" w:ascii="宋体" w:hAnsi="宋体" w:eastAsia="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3</w:t>
            </w:r>
          </w:p>
        </w:tc>
        <w:tc>
          <w:tcPr>
            <w:tcW w:w="692" w:type="pct"/>
            <w:vAlign w:val="center"/>
          </w:tcPr>
          <w:p w14:paraId="6B93D4BD">
            <w:pPr>
              <w:pStyle w:val="12"/>
              <w:adjustRightInd w:val="0"/>
              <w:snapToGrid w:val="0"/>
              <w:spacing w:line="360" w:lineRule="auto"/>
              <w:jc w:val="center"/>
              <w:rPr>
                <w:rFonts w:hint="eastAsia" w:hAnsi="宋体" w:cs="Arial"/>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29E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58943B25">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3E19B8BF">
            <w:pPr>
              <w:pStyle w:val="12"/>
              <w:adjustRightInd w:val="0"/>
              <w:snapToGrid w:val="0"/>
              <w:spacing w:line="360" w:lineRule="auto"/>
              <w:jc w:val="center"/>
              <w:rPr>
                <w:rFonts w:hint="eastAsia"/>
                <w:color w:val="auto"/>
                <w:spacing w:val="15"/>
                <w:highlight w:val="none"/>
              </w:rPr>
            </w:pPr>
          </w:p>
        </w:tc>
        <w:tc>
          <w:tcPr>
            <w:tcW w:w="2777" w:type="pct"/>
            <w:vAlign w:val="center"/>
          </w:tcPr>
          <w:p w14:paraId="53423A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物料用材、设备投入</w:t>
            </w:r>
            <w:r>
              <w:rPr>
                <w:rFonts w:hint="eastAsia" w:ascii="宋体" w:hAnsi="宋体" w:cs="宋体"/>
                <w:i w:val="0"/>
                <w:color w:val="auto"/>
                <w:kern w:val="0"/>
                <w:sz w:val="24"/>
                <w:szCs w:val="24"/>
                <w:highlight w:val="none"/>
                <w:u w:val="none"/>
                <w:lang w:val="en-US" w:eastAsia="zh-CN" w:bidi="ar"/>
              </w:rPr>
              <w:t>情况。</w:t>
            </w:r>
            <w:r>
              <w:rPr>
                <w:rFonts w:hint="eastAsia" w:ascii="宋体" w:hAnsi="宋体" w:eastAsia="宋体" w:cs="宋体"/>
                <w:b w:val="0"/>
                <w:bCs w:val="0"/>
                <w:color w:val="auto"/>
                <w:sz w:val="24"/>
                <w:szCs w:val="24"/>
                <w:highlight w:val="none"/>
                <w:lang w:val="en-US" w:eastAsia="zh-CN"/>
              </w:rPr>
              <w:t>（评分范围3，2，1，0）</w:t>
            </w:r>
          </w:p>
        </w:tc>
        <w:tc>
          <w:tcPr>
            <w:tcW w:w="429" w:type="pct"/>
            <w:shd w:val="clear" w:color="auto" w:fill="auto"/>
            <w:vAlign w:val="center"/>
          </w:tcPr>
          <w:p w14:paraId="0C82E42E">
            <w:pPr>
              <w:pStyle w:val="12"/>
              <w:adjustRightInd w:val="0"/>
              <w:snapToGrid w:val="0"/>
              <w:spacing w:line="360" w:lineRule="auto"/>
              <w:jc w:val="center"/>
              <w:rPr>
                <w:rFonts w:hint="default" w:hAnsi="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3</w:t>
            </w:r>
          </w:p>
        </w:tc>
        <w:tc>
          <w:tcPr>
            <w:tcW w:w="692" w:type="pct"/>
            <w:vAlign w:val="center"/>
          </w:tcPr>
          <w:p w14:paraId="5671A28D">
            <w:pPr>
              <w:pStyle w:val="12"/>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B1D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restart"/>
            <w:vAlign w:val="center"/>
          </w:tcPr>
          <w:p w14:paraId="2DFF9705">
            <w:pPr>
              <w:pStyle w:val="12"/>
              <w:adjustRightInd w:val="0"/>
              <w:snapToGrid w:val="0"/>
              <w:spacing w:line="360" w:lineRule="auto"/>
              <w:jc w:val="center"/>
              <w:rPr>
                <w:rFonts w:hint="default" w:hAnsi="宋体" w:cs="Arial"/>
                <w:color w:val="auto"/>
                <w:sz w:val="24"/>
                <w:szCs w:val="24"/>
                <w:highlight w:val="none"/>
                <w:lang w:val="en-US" w:eastAsia="zh-CN"/>
              </w:rPr>
            </w:pPr>
            <w:r>
              <w:rPr>
                <w:rFonts w:hint="eastAsia" w:hAnsi="宋体" w:cs="Arial"/>
                <w:color w:val="auto"/>
                <w:sz w:val="24"/>
                <w:szCs w:val="24"/>
                <w:highlight w:val="none"/>
                <w:lang w:val="en-US" w:eastAsia="zh-CN"/>
              </w:rPr>
              <w:t>6</w:t>
            </w:r>
          </w:p>
        </w:tc>
        <w:tc>
          <w:tcPr>
            <w:tcW w:w="739" w:type="pct"/>
            <w:vMerge w:val="restart"/>
            <w:vAlign w:val="center"/>
          </w:tcPr>
          <w:p w14:paraId="5DE9202D">
            <w:pPr>
              <w:pStyle w:val="12"/>
              <w:adjustRightInd w:val="0"/>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书籍出版服务方案</w:t>
            </w:r>
          </w:p>
          <w:p w14:paraId="4E6CAE32">
            <w:pPr>
              <w:pStyle w:val="12"/>
              <w:adjustRightInd w:val="0"/>
              <w:snapToGrid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（8分）</w:t>
            </w:r>
          </w:p>
        </w:tc>
        <w:tc>
          <w:tcPr>
            <w:tcW w:w="2777" w:type="pct"/>
            <w:vAlign w:val="center"/>
          </w:tcPr>
          <w:p w14:paraId="7E5B78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书籍出版服务方案</w:t>
            </w:r>
            <w:r>
              <w:rPr>
                <w:rFonts w:hint="eastAsia" w:ascii="宋体" w:hAnsi="宋体" w:cs="宋体"/>
                <w:b w:val="0"/>
                <w:bCs w:val="0"/>
                <w:color w:val="auto"/>
                <w:sz w:val="24"/>
                <w:szCs w:val="24"/>
                <w:highlight w:val="none"/>
                <w:lang w:val="en-US" w:eastAsia="zh-CN"/>
              </w:rPr>
              <w:t>，包括但不限于</w:t>
            </w:r>
            <w:r>
              <w:rPr>
                <w:rFonts w:hint="eastAsia" w:ascii="宋体" w:hAnsi="宋体" w:eastAsia="宋体" w:cs="宋体"/>
                <w:b w:val="0"/>
                <w:bCs w:val="0"/>
                <w:color w:val="auto"/>
                <w:sz w:val="24"/>
                <w:szCs w:val="24"/>
                <w:highlight w:val="none"/>
                <w:lang w:val="en-US" w:eastAsia="zh-CN"/>
              </w:rPr>
              <w:t>内容采集和提炼</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书籍页面排版与设计</w:t>
            </w:r>
            <w:r>
              <w:rPr>
                <w:rFonts w:hint="eastAsia" w:ascii="宋体" w:hAnsi="宋体" w:cs="宋体"/>
                <w:b w:val="0"/>
                <w:bCs w:val="0"/>
                <w:color w:val="auto"/>
                <w:sz w:val="24"/>
                <w:szCs w:val="24"/>
                <w:highlight w:val="none"/>
                <w:lang w:val="en-US" w:eastAsia="zh-CN"/>
              </w:rPr>
              <w:t>，审核及出版等。</w:t>
            </w:r>
          </w:p>
          <w:p w14:paraId="2A55C0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429" w:type="pct"/>
            <w:shd w:val="clear" w:color="auto" w:fill="auto"/>
            <w:vAlign w:val="center"/>
          </w:tcPr>
          <w:p w14:paraId="5C174AA4">
            <w:pPr>
              <w:pStyle w:val="12"/>
              <w:adjustRightInd w:val="0"/>
              <w:snapToGrid w:val="0"/>
              <w:spacing w:line="360" w:lineRule="auto"/>
              <w:jc w:val="center"/>
              <w:rPr>
                <w:rFonts w:hint="default" w:hAnsi="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4</w:t>
            </w:r>
          </w:p>
        </w:tc>
        <w:tc>
          <w:tcPr>
            <w:tcW w:w="692" w:type="pct"/>
            <w:vAlign w:val="center"/>
          </w:tcPr>
          <w:p w14:paraId="04995502">
            <w:pPr>
              <w:pStyle w:val="12"/>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86C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2" w:type="pct"/>
            <w:vMerge w:val="continue"/>
            <w:vAlign w:val="center"/>
          </w:tcPr>
          <w:p w14:paraId="7E3C55B6">
            <w:pPr>
              <w:pStyle w:val="12"/>
              <w:adjustRightInd w:val="0"/>
              <w:snapToGrid w:val="0"/>
              <w:spacing w:line="360" w:lineRule="auto"/>
              <w:jc w:val="center"/>
              <w:rPr>
                <w:rFonts w:hint="eastAsia" w:hAnsi="宋体" w:cs="Arial"/>
                <w:color w:val="auto"/>
                <w:sz w:val="24"/>
                <w:szCs w:val="24"/>
                <w:highlight w:val="none"/>
                <w:lang w:val="en-US" w:eastAsia="zh-CN"/>
              </w:rPr>
            </w:pPr>
          </w:p>
        </w:tc>
        <w:tc>
          <w:tcPr>
            <w:tcW w:w="739" w:type="pct"/>
            <w:vMerge w:val="continue"/>
            <w:vAlign w:val="center"/>
          </w:tcPr>
          <w:p w14:paraId="61E89863">
            <w:pPr>
              <w:pStyle w:val="12"/>
              <w:adjustRightInd w:val="0"/>
              <w:snapToGrid w:val="0"/>
              <w:spacing w:line="360" w:lineRule="auto"/>
              <w:jc w:val="center"/>
              <w:rPr>
                <w:rFonts w:hint="eastAsia"/>
                <w:color w:val="auto"/>
                <w:spacing w:val="15"/>
                <w:highlight w:val="none"/>
                <w:lang w:val="en-US" w:eastAsia="zh-CN"/>
              </w:rPr>
            </w:pPr>
          </w:p>
        </w:tc>
        <w:tc>
          <w:tcPr>
            <w:tcW w:w="2777" w:type="pct"/>
            <w:vAlign w:val="center"/>
          </w:tcPr>
          <w:p w14:paraId="5BB6F7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采编团队需含文史专家确保准确性，版式设计突出视觉叙事（如老照片修复、手绘插图）。</w:t>
            </w:r>
          </w:p>
          <w:p w14:paraId="7FE96D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429" w:type="pct"/>
            <w:shd w:val="clear" w:color="auto" w:fill="auto"/>
            <w:vAlign w:val="center"/>
          </w:tcPr>
          <w:p w14:paraId="4D627CAA">
            <w:pPr>
              <w:pStyle w:val="12"/>
              <w:adjustRightInd w:val="0"/>
              <w:snapToGrid w:val="0"/>
              <w:spacing w:line="360" w:lineRule="auto"/>
              <w:jc w:val="center"/>
              <w:rPr>
                <w:rFonts w:hint="default" w:hAnsi="宋体" w:cs="Arial"/>
                <w:bCs/>
                <w:color w:val="auto"/>
                <w:kern w:val="2"/>
                <w:sz w:val="24"/>
                <w:szCs w:val="24"/>
                <w:highlight w:val="none"/>
                <w:lang w:val="en-US" w:eastAsia="zh-CN" w:bidi="ar-SA"/>
              </w:rPr>
            </w:pPr>
            <w:r>
              <w:rPr>
                <w:rFonts w:hint="eastAsia" w:hAnsi="宋体" w:cs="Arial"/>
                <w:bCs/>
                <w:color w:val="auto"/>
                <w:kern w:val="2"/>
                <w:sz w:val="24"/>
                <w:szCs w:val="24"/>
                <w:highlight w:val="none"/>
                <w:lang w:val="en-US" w:eastAsia="zh-CN" w:bidi="ar-SA"/>
              </w:rPr>
              <w:t>4</w:t>
            </w:r>
          </w:p>
        </w:tc>
        <w:tc>
          <w:tcPr>
            <w:tcW w:w="692" w:type="pct"/>
            <w:vAlign w:val="center"/>
          </w:tcPr>
          <w:p w14:paraId="66470E02">
            <w:pPr>
              <w:pStyle w:val="12"/>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F9E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62" w:type="pct"/>
            <w:vMerge w:val="restart"/>
            <w:vAlign w:val="center"/>
          </w:tcPr>
          <w:p w14:paraId="7B52F4A6">
            <w:pPr>
              <w:pStyle w:val="12"/>
              <w:adjustRightInd w:val="0"/>
              <w:snapToGrid w:val="0"/>
              <w:spacing w:line="360" w:lineRule="auto"/>
              <w:jc w:val="center"/>
              <w:rPr>
                <w:rFonts w:hint="eastAsia" w:hAnsi="宋体" w:eastAsia="宋体" w:cs="Arial"/>
                <w:color w:val="auto"/>
                <w:sz w:val="24"/>
                <w:szCs w:val="24"/>
                <w:highlight w:val="none"/>
                <w:lang w:eastAsia="zh-CN"/>
              </w:rPr>
            </w:pPr>
            <w:r>
              <w:rPr>
                <w:rFonts w:hint="eastAsia" w:hAnsi="宋体" w:cs="Arial"/>
                <w:color w:val="auto"/>
                <w:sz w:val="24"/>
                <w:szCs w:val="24"/>
                <w:highlight w:val="none"/>
                <w:lang w:val="en-US" w:eastAsia="zh-CN"/>
              </w:rPr>
              <w:t>7</w:t>
            </w:r>
          </w:p>
        </w:tc>
        <w:tc>
          <w:tcPr>
            <w:tcW w:w="739" w:type="pct"/>
            <w:vMerge w:val="restart"/>
            <w:vAlign w:val="center"/>
          </w:tcPr>
          <w:p w14:paraId="21EA46EA">
            <w:pPr>
              <w:pStyle w:val="12"/>
              <w:adjustRightInd w:val="0"/>
              <w:snapToGrid w:val="0"/>
              <w:spacing w:line="360" w:lineRule="auto"/>
              <w:jc w:val="center"/>
              <w:rPr>
                <w:rFonts w:hint="eastAsia" w:hAnsi="宋体"/>
                <w:color w:val="auto"/>
                <w:sz w:val="24"/>
                <w:szCs w:val="24"/>
                <w:highlight w:val="none"/>
                <w:lang w:val="en-US" w:eastAsia="zh-CN"/>
              </w:rPr>
            </w:pPr>
            <w:r>
              <w:rPr>
                <w:rFonts w:hAnsi="宋体"/>
                <w:color w:val="auto"/>
                <w:sz w:val="24"/>
                <w:szCs w:val="24"/>
                <w:highlight w:val="none"/>
              </w:rPr>
              <w:t>组织</w:t>
            </w:r>
            <w:r>
              <w:rPr>
                <w:rFonts w:hint="eastAsia" w:hAnsi="宋体"/>
                <w:color w:val="auto"/>
                <w:sz w:val="24"/>
                <w:szCs w:val="24"/>
                <w:highlight w:val="none"/>
                <w:lang w:val="en-US" w:eastAsia="zh-CN"/>
              </w:rPr>
              <w:t>实施</w:t>
            </w:r>
          </w:p>
          <w:p w14:paraId="6895E028">
            <w:pPr>
              <w:pStyle w:val="12"/>
              <w:adjustRightInd w:val="0"/>
              <w:snapToGrid w:val="0"/>
              <w:spacing w:line="360" w:lineRule="auto"/>
              <w:jc w:val="center"/>
              <w:rPr>
                <w:rFonts w:hAnsi="宋体"/>
                <w:color w:val="auto"/>
                <w:sz w:val="24"/>
                <w:szCs w:val="24"/>
                <w:highlight w:val="none"/>
              </w:rPr>
            </w:pPr>
            <w:r>
              <w:rPr>
                <w:rFonts w:hAnsi="宋体"/>
                <w:color w:val="auto"/>
                <w:sz w:val="24"/>
                <w:szCs w:val="24"/>
                <w:highlight w:val="none"/>
              </w:rPr>
              <w:t>方案</w:t>
            </w:r>
          </w:p>
          <w:p w14:paraId="3DA57993">
            <w:pPr>
              <w:pStyle w:val="12"/>
              <w:adjustRightInd w:val="0"/>
              <w:snapToGrid w:val="0"/>
              <w:spacing w:line="360" w:lineRule="auto"/>
              <w:jc w:val="center"/>
              <w:rPr>
                <w:rFonts w:hint="eastAsia" w:hAnsi="宋体" w:eastAsia="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9分</w:t>
            </w:r>
            <w:r>
              <w:rPr>
                <w:rFonts w:hint="eastAsia" w:hAnsi="宋体"/>
                <w:color w:val="auto"/>
                <w:sz w:val="24"/>
                <w:szCs w:val="24"/>
                <w:highlight w:val="none"/>
                <w:lang w:eastAsia="zh-CN"/>
              </w:rPr>
              <w:t>）</w:t>
            </w:r>
          </w:p>
        </w:tc>
        <w:tc>
          <w:tcPr>
            <w:tcW w:w="2777" w:type="pct"/>
            <w:vAlign w:val="center"/>
          </w:tcPr>
          <w:p w14:paraId="53D4EC1A">
            <w:pPr>
              <w:adjustRightInd w:val="0"/>
              <w:snapToGrid w:val="0"/>
              <w:spacing w:line="312" w:lineRule="auto"/>
              <w:rPr>
                <w:rFonts w:hint="eastAsia" w:ascii="宋体" w:hAnsi="宋体" w:eastAsia="宋体" w:cs="宋体"/>
                <w:i w:val="0"/>
                <w:color w:val="auto"/>
                <w:kern w:val="0"/>
                <w:sz w:val="24"/>
                <w:szCs w:val="24"/>
                <w:highlight w:val="none"/>
                <w:u w:val="none"/>
                <w:lang w:val="en-US" w:eastAsia="zh-CN" w:bidi="ar"/>
              </w:rPr>
            </w:pPr>
            <w:r>
              <w:rPr>
                <w:rFonts w:hAnsi="宋体"/>
                <w:color w:val="auto"/>
                <w:sz w:val="24"/>
                <w:szCs w:val="24"/>
                <w:highlight w:val="none"/>
              </w:rPr>
              <w:t>组织</w:t>
            </w:r>
            <w:r>
              <w:rPr>
                <w:rFonts w:hint="eastAsia" w:hAnsi="宋体"/>
                <w:color w:val="auto"/>
                <w:sz w:val="24"/>
                <w:szCs w:val="24"/>
                <w:highlight w:val="none"/>
                <w:lang w:val="en-US" w:eastAsia="zh-CN"/>
              </w:rPr>
              <w:t>实施</w:t>
            </w:r>
            <w:r>
              <w:rPr>
                <w:rFonts w:hint="eastAsia" w:ascii="宋体" w:hAnsi="宋体" w:eastAsia="宋体" w:cs="宋体"/>
                <w:i w:val="0"/>
                <w:color w:val="auto"/>
                <w:kern w:val="0"/>
                <w:sz w:val="24"/>
                <w:szCs w:val="24"/>
                <w:highlight w:val="none"/>
                <w:u w:val="none"/>
                <w:lang w:val="en-US" w:eastAsia="zh-CN" w:bidi="ar"/>
              </w:rPr>
              <w:t>方案的完整性、合理性、可操作性。</w:t>
            </w:r>
          </w:p>
          <w:p w14:paraId="7738CC6B">
            <w:pPr>
              <w:adjustRightInd w:val="0"/>
              <w:snapToGrid w:val="0"/>
              <w:spacing w:line="312" w:lineRule="auto"/>
              <w:rPr>
                <w:rFonts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2，1，0）</w:t>
            </w:r>
          </w:p>
        </w:tc>
        <w:tc>
          <w:tcPr>
            <w:tcW w:w="429" w:type="pct"/>
            <w:vAlign w:val="center"/>
          </w:tcPr>
          <w:p w14:paraId="3E0DB7B4">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p>
        </w:tc>
        <w:tc>
          <w:tcPr>
            <w:tcW w:w="692" w:type="pct"/>
            <w:vAlign w:val="center"/>
          </w:tcPr>
          <w:p w14:paraId="4C3DE4E0">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主观分</w:t>
            </w:r>
          </w:p>
        </w:tc>
      </w:tr>
      <w:tr w14:paraId="57A2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62" w:type="pct"/>
            <w:vMerge w:val="continue"/>
            <w:vAlign w:val="center"/>
          </w:tcPr>
          <w:p w14:paraId="171B7EB9">
            <w:pPr>
              <w:pStyle w:val="12"/>
              <w:adjustRightInd w:val="0"/>
              <w:snapToGrid w:val="0"/>
              <w:spacing w:line="360" w:lineRule="auto"/>
              <w:jc w:val="center"/>
              <w:rPr>
                <w:rFonts w:hint="eastAsia" w:hAnsi="宋体" w:cs="Arial"/>
                <w:color w:val="auto"/>
                <w:sz w:val="24"/>
                <w:szCs w:val="24"/>
                <w:highlight w:val="none"/>
              </w:rPr>
            </w:pPr>
          </w:p>
        </w:tc>
        <w:tc>
          <w:tcPr>
            <w:tcW w:w="739" w:type="pct"/>
            <w:vMerge w:val="continue"/>
            <w:vAlign w:val="center"/>
          </w:tcPr>
          <w:p w14:paraId="64FCE82B">
            <w:pPr>
              <w:pStyle w:val="12"/>
              <w:adjustRightInd w:val="0"/>
              <w:snapToGrid w:val="0"/>
              <w:spacing w:line="360" w:lineRule="auto"/>
              <w:jc w:val="center"/>
              <w:rPr>
                <w:rFonts w:hAnsi="宋体"/>
                <w:color w:val="auto"/>
                <w:sz w:val="24"/>
                <w:szCs w:val="24"/>
                <w:highlight w:val="none"/>
              </w:rPr>
            </w:pPr>
          </w:p>
        </w:tc>
        <w:tc>
          <w:tcPr>
            <w:tcW w:w="2777" w:type="pct"/>
            <w:vAlign w:val="center"/>
          </w:tcPr>
          <w:p w14:paraId="5A5DB64A">
            <w:pPr>
              <w:adjustRightInd w:val="0"/>
              <w:snapToGrid w:val="0"/>
              <w:spacing w:line="312" w:lineRule="auto"/>
              <w:rPr>
                <w:rStyle w:val="73"/>
                <w:rFonts w:hint="eastAsia" w:ascii="宋体" w:hAnsi="宋体" w:eastAsia="宋体" w:cs="Times New Roman"/>
                <w:color w:val="auto"/>
                <w:sz w:val="24"/>
                <w:highlight w:val="none"/>
                <w:lang w:val="en-US" w:eastAsia="zh-CN"/>
              </w:rPr>
            </w:pPr>
            <w:r>
              <w:rPr>
                <w:rStyle w:val="73"/>
                <w:rFonts w:hint="eastAsia" w:ascii="宋体" w:hAnsi="宋体" w:eastAsia="宋体" w:cs="Times New Roman"/>
                <w:color w:val="auto"/>
                <w:sz w:val="24"/>
                <w:highlight w:val="none"/>
                <w:lang w:val="en-US" w:eastAsia="zh-CN"/>
              </w:rPr>
              <w:t>时间进度安排的合理性、可行性。</w:t>
            </w:r>
          </w:p>
          <w:p w14:paraId="799646AB">
            <w:pPr>
              <w:adjustRightInd w:val="0"/>
              <w:snapToGrid w:val="0"/>
              <w:spacing w:line="312" w:lineRule="auto"/>
              <w:rPr>
                <w:rFonts w:ascii="宋体" w:hAnsi="宋体" w:eastAsia="宋体" w:cs="Times New Roman"/>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2，1，0）</w:t>
            </w:r>
          </w:p>
        </w:tc>
        <w:tc>
          <w:tcPr>
            <w:tcW w:w="429" w:type="pct"/>
            <w:vAlign w:val="center"/>
          </w:tcPr>
          <w:p w14:paraId="39F357FC">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p>
        </w:tc>
        <w:tc>
          <w:tcPr>
            <w:tcW w:w="692" w:type="pct"/>
            <w:vAlign w:val="center"/>
          </w:tcPr>
          <w:p w14:paraId="6B626DF6">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主观分</w:t>
            </w:r>
          </w:p>
        </w:tc>
      </w:tr>
      <w:tr w14:paraId="2188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62" w:type="pct"/>
            <w:vMerge w:val="continue"/>
            <w:vAlign w:val="center"/>
          </w:tcPr>
          <w:p w14:paraId="1EA87BC8">
            <w:pPr>
              <w:pStyle w:val="12"/>
              <w:adjustRightInd w:val="0"/>
              <w:snapToGrid w:val="0"/>
              <w:spacing w:line="360" w:lineRule="auto"/>
              <w:jc w:val="center"/>
              <w:rPr>
                <w:rFonts w:hAnsi="宋体" w:cs="Arial"/>
                <w:color w:val="auto"/>
                <w:sz w:val="24"/>
                <w:szCs w:val="24"/>
                <w:highlight w:val="none"/>
              </w:rPr>
            </w:pPr>
          </w:p>
        </w:tc>
        <w:tc>
          <w:tcPr>
            <w:tcW w:w="739" w:type="pct"/>
            <w:vMerge w:val="continue"/>
            <w:vAlign w:val="center"/>
          </w:tcPr>
          <w:p w14:paraId="50A37B44">
            <w:pPr>
              <w:pStyle w:val="12"/>
              <w:adjustRightInd w:val="0"/>
              <w:snapToGrid w:val="0"/>
              <w:spacing w:line="360" w:lineRule="auto"/>
              <w:jc w:val="center"/>
              <w:rPr>
                <w:rFonts w:hAnsi="宋体"/>
                <w:color w:val="auto"/>
                <w:sz w:val="24"/>
                <w:szCs w:val="24"/>
                <w:highlight w:val="none"/>
              </w:rPr>
            </w:pPr>
          </w:p>
        </w:tc>
        <w:tc>
          <w:tcPr>
            <w:tcW w:w="2777" w:type="pct"/>
            <w:vAlign w:val="center"/>
          </w:tcPr>
          <w:p w14:paraId="1239AA32">
            <w:pPr>
              <w:adjustRightInd w:val="0"/>
              <w:snapToGrid w:val="0"/>
              <w:spacing w:line="312" w:lineRule="auto"/>
              <w:rPr>
                <w:rFonts w:hint="eastAsia" w:ascii="宋体" w:hAnsi="宋体"/>
                <w:color w:val="auto"/>
                <w:sz w:val="24"/>
                <w:highlight w:val="none"/>
              </w:rPr>
            </w:pPr>
            <w:r>
              <w:rPr>
                <w:rFonts w:hint="eastAsia" w:ascii="宋体" w:hAnsi="宋体"/>
                <w:color w:val="auto"/>
                <w:sz w:val="24"/>
                <w:highlight w:val="none"/>
              </w:rPr>
              <w:t>有明确的</w:t>
            </w:r>
            <w:r>
              <w:rPr>
                <w:rFonts w:hint="eastAsia" w:ascii="宋体" w:hAnsi="宋体"/>
                <w:color w:val="auto"/>
                <w:sz w:val="24"/>
                <w:highlight w:val="none"/>
                <w:lang w:val="en-US" w:eastAsia="zh-CN"/>
              </w:rPr>
              <w:t>服务</w:t>
            </w:r>
            <w:r>
              <w:rPr>
                <w:rFonts w:hint="eastAsia" w:ascii="宋体" w:hAnsi="宋体"/>
                <w:color w:val="auto"/>
                <w:sz w:val="24"/>
                <w:highlight w:val="none"/>
              </w:rPr>
              <w:t>保障措施和安全保障措施。</w:t>
            </w:r>
          </w:p>
          <w:p w14:paraId="0BBD4DB4">
            <w:pPr>
              <w:adjustRightInd w:val="0"/>
              <w:snapToGrid w:val="0"/>
              <w:spacing w:line="312" w:lineRule="auto"/>
              <w:rPr>
                <w:rFonts w:ascii="宋体" w:hAnsi="宋体"/>
                <w:color w:val="auto"/>
                <w:sz w:val="24"/>
                <w:highlight w:val="none"/>
              </w:rPr>
            </w:pPr>
            <w:r>
              <w:rPr>
                <w:rFonts w:hint="eastAsia" w:ascii="宋体" w:hAnsi="宋体" w:eastAsia="宋体" w:cs="宋体"/>
                <w:b w:val="0"/>
                <w:bCs w:val="0"/>
                <w:color w:val="auto"/>
                <w:sz w:val="24"/>
                <w:szCs w:val="24"/>
                <w:highlight w:val="none"/>
                <w:lang w:val="en-US" w:eastAsia="zh-CN"/>
              </w:rPr>
              <w:t>（评分范围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2，1，0）</w:t>
            </w:r>
          </w:p>
        </w:tc>
        <w:tc>
          <w:tcPr>
            <w:tcW w:w="429" w:type="pct"/>
            <w:vAlign w:val="center"/>
          </w:tcPr>
          <w:p w14:paraId="09FC74E5">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p>
        </w:tc>
        <w:tc>
          <w:tcPr>
            <w:tcW w:w="692" w:type="pct"/>
            <w:vAlign w:val="center"/>
          </w:tcPr>
          <w:p w14:paraId="170C8F54">
            <w:pPr>
              <w:pStyle w:val="12"/>
              <w:adjustRightInd w:val="0"/>
              <w:snapToGrid w:val="0"/>
              <w:spacing w:line="360" w:lineRule="auto"/>
              <w:jc w:val="center"/>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主观分</w:t>
            </w:r>
          </w:p>
        </w:tc>
      </w:tr>
      <w:tr w14:paraId="3886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restart"/>
            <w:vAlign w:val="center"/>
          </w:tcPr>
          <w:p w14:paraId="72D30671">
            <w:pPr>
              <w:pStyle w:val="12"/>
              <w:adjustRightInd w:val="0"/>
              <w:snapToGrid w:val="0"/>
              <w:spacing w:line="360" w:lineRule="auto"/>
              <w:jc w:val="center"/>
              <w:rPr>
                <w:rFonts w:hint="default"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8</w:t>
            </w:r>
          </w:p>
        </w:tc>
        <w:tc>
          <w:tcPr>
            <w:tcW w:w="739" w:type="pct"/>
            <w:vMerge w:val="restart"/>
            <w:vAlign w:val="center"/>
          </w:tcPr>
          <w:p w14:paraId="5C94D5C5">
            <w:pPr>
              <w:pStyle w:val="12"/>
              <w:adjustRightInd w:val="0"/>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售后服务</w:t>
            </w:r>
          </w:p>
          <w:p w14:paraId="30B58D44">
            <w:pPr>
              <w:pStyle w:val="12"/>
              <w:adjustRightInd w:val="0"/>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方案</w:t>
            </w:r>
          </w:p>
          <w:p w14:paraId="56467C6A">
            <w:pPr>
              <w:pStyle w:val="12"/>
              <w:adjustRightInd w:val="0"/>
              <w:snapToGrid w:val="0"/>
              <w:spacing w:line="360" w:lineRule="auto"/>
              <w:jc w:val="center"/>
              <w:rPr>
                <w:rFonts w:hint="eastAsia" w:hAnsi="宋体" w:cs="宋体"/>
                <w:color w:val="auto"/>
                <w:sz w:val="24"/>
                <w:szCs w:val="24"/>
                <w:highlight w:val="none"/>
              </w:rPr>
            </w:pPr>
            <w:r>
              <w:rPr>
                <w:rFonts w:hint="eastAsia" w:ascii="宋体" w:hAnsi="宋体" w:cs="宋体"/>
                <w:b w:val="0"/>
                <w:bCs w:val="0"/>
                <w:color w:val="auto"/>
                <w:sz w:val="24"/>
                <w:highlight w:val="none"/>
                <w:lang w:eastAsia="zh-CN"/>
              </w:rPr>
              <w:t>（</w:t>
            </w:r>
            <w:r>
              <w:rPr>
                <w:rFonts w:hint="eastAsia" w:hAnsi="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分</w:t>
            </w:r>
            <w:r>
              <w:rPr>
                <w:rFonts w:hint="eastAsia" w:ascii="宋体" w:hAnsi="宋体" w:cs="宋体"/>
                <w:b w:val="0"/>
                <w:bCs w:val="0"/>
                <w:color w:val="auto"/>
                <w:sz w:val="24"/>
                <w:highlight w:val="none"/>
                <w:lang w:eastAsia="zh-CN"/>
              </w:rPr>
              <w:t>）</w:t>
            </w:r>
          </w:p>
          <w:p w14:paraId="786F3062">
            <w:pPr>
              <w:pStyle w:val="12"/>
              <w:adjustRightInd w:val="0"/>
              <w:snapToGrid w:val="0"/>
              <w:spacing w:line="360" w:lineRule="auto"/>
              <w:jc w:val="center"/>
              <w:rPr>
                <w:rFonts w:hAnsi="宋体" w:cs="宋体"/>
                <w:color w:val="auto"/>
                <w:sz w:val="24"/>
                <w:szCs w:val="24"/>
                <w:highlight w:val="none"/>
              </w:rPr>
            </w:pPr>
          </w:p>
        </w:tc>
        <w:tc>
          <w:tcPr>
            <w:tcW w:w="2777" w:type="pct"/>
            <w:vAlign w:val="center"/>
          </w:tcPr>
          <w:p w14:paraId="2132F415">
            <w:pPr>
              <w:pStyle w:val="12"/>
              <w:adjustRightInd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根据投标人提供售后服务方案（内容包括但不限于投标人的售后服务承诺、</w:t>
            </w:r>
            <w:r>
              <w:rPr>
                <w:rFonts w:hint="eastAsia" w:ascii="宋体" w:hAnsi="宋体" w:eastAsia="宋体" w:cs="宋体"/>
                <w:color w:val="auto"/>
                <w:sz w:val="24"/>
                <w:szCs w:val="24"/>
                <w:highlight w:val="none"/>
                <w:lang w:val="zh-CN"/>
              </w:rPr>
              <w:t>现场技术支持</w:t>
            </w:r>
            <w:r>
              <w:rPr>
                <w:rFonts w:hint="eastAsia" w:hAnsi="宋体" w:cs="宋体"/>
                <w:color w:val="auto"/>
                <w:sz w:val="24"/>
                <w:szCs w:val="24"/>
                <w:highlight w:val="none"/>
              </w:rPr>
              <w:t>、质量保证期限及范围）进行打分。</w:t>
            </w:r>
            <w:r>
              <w:rPr>
                <w:rFonts w:hint="eastAsia" w:ascii="宋体" w:hAnsi="宋体" w:eastAsia="宋体" w:cs="宋体"/>
                <w:b w:val="0"/>
                <w:bCs w:val="0"/>
                <w:color w:val="auto"/>
                <w:sz w:val="24"/>
                <w:szCs w:val="24"/>
                <w:highlight w:val="none"/>
                <w:lang w:val="en-US" w:eastAsia="zh-CN"/>
              </w:rPr>
              <w:t>（评分范围3，2，1，0）</w:t>
            </w:r>
          </w:p>
        </w:tc>
        <w:tc>
          <w:tcPr>
            <w:tcW w:w="429" w:type="pct"/>
            <w:vAlign w:val="center"/>
          </w:tcPr>
          <w:p w14:paraId="3E8632EB">
            <w:pPr>
              <w:pStyle w:val="12"/>
              <w:adjustRightInd w:val="0"/>
              <w:snapToGrid w:val="0"/>
              <w:spacing w:line="360" w:lineRule="auto"/>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3</w:t>
            </w:r>
          </w:p>
        </w:tc>
        <w:tc>
          <w:tcPr>
            <w:tcW w:w="692" w:type="pct"/>
            <w:vAlign w:val="center"/>
          </w:tcPr>
          <w:p w14:paraId="7A819DA9">
            <w:pPr>
              <w:pStyle w:val="12"/>
              <w:adjustRightInd w:val="0"/>
              <w:snapToGrid w:val="0"/>
              <w:spacing w:line="360" w:lineRule="auto"/>
              <w:jc w:val="center"/>
              <w:rPr>
                <w:rFonts w:hAnsi="宋体" w:cs="Arial"/>
                <w:bCs/>
                <w:color w:val="auto"/>
                <w:sz w:val="24"/>
                <w:szCs w:val="24"/>
                <w:highlight w:val="none"/>
              </w:rPr>
            </w:pPr>
            <w:r>
              <w:rPr>
                <w:rFonts w:hint="eastAsia" w:hAnsi="宋体" w:cs="仿宋"/>
                <w:color w:val="auto"/>
                <w:sz w:val="24"/>
                <w:highlight w:val="none"/>
                <w:lang w:val="en-US" w:eastAsia="zh-CN"/>
              </w:rPr>
              <w:t>主观分</w:t>
            </w:r>
          </w:p>
        </w:tc>
      </w:tr>
      <w:tr w14:paraId="62E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62" w:type="pct"/>
            <w:vMerge w:val="continue"/>
            <w:vAlign w:val="center"/>
          </w:tcPr>
          <w:p w14:paraId="39B96F6A">
            <w:pPr>
              <w:pStyle w:val="12"/>
              <w:adjustRightInd w:val="0"/>
              <w:snapToGrid w:val="0"/>
              <w:spacing w:line="360" w:lineRule="auto"/>
              <w:jc w:val="center"/>
              <w:rPr>
                <w:rFonts w:hAnsi="宋体" w:cs="Arial"/>
                <w:color w:val="auto"/>
                <w:sz w:val="24"/>
                <w:szCs w:val="24"/>
                <w:highlight w:val="none"/>
              </w:rPr>
            </w:pPr>
          </w:p>
        </w:tc>
        <w:tc>
          <w:tcPr>
            <w:tcW w:w="739" w:type="pct"/>
            <w:vMerge w:val="continue"/>
            <w:vAlign w:val="center"/>
          </w:tcPr>
          <w:p w14:paraId="23141D2E">
            <w:pPr>
              <w:pStyle w:val="12"/>
              <w:adjustRightInd w:val="0"/>
              <w:snapToGrid w:val="0"/>
              <w:spacing w:line="360" w:lineRule="auto"/>
              <w:jc w:val="center"/>
              <w:rPr>
                <w:rFonts w:hAnsi="宋体" w:cs="宋体"/>
                <w:color w:val="auto"/>
                <w:sz w:val="24"/>
                <w:szCs w:val="24"/>
                <w:highlight w:val="none"/>
              </w:rPr>
            </w:pPr>
          </w:p>
        </w:tc>
        <w:tc>
          <w:tcPr>
            <w:tcW w:w="2777" w:type="pct"/>
            <w:shd w:val="clear" w:color="auto" w:fill="auto"/>
            <w:vAlign w:val="center"/>
          </w:tcPr>
          <w:p w14:paraId="0F9D6E21">
            <w:pPr>
              <w:pStyle w:val="12"/>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提供服务承诺方案，服务响应迅速，</w:t>
            </w:r>
            <w:r>
              <w:rPr>
                <w:rFonts w:hint="eastAsia" w:ascii="宋体" w:hAnsi="宋体" w:cs="宋体"/>
                <w:color w:val="auto"/>
                <w:kern w:val="0"/>
                <w:sz w:val="24"/>
                <w:highlight w:val="none"/>
                <w:lang w:val="en-US" w:eastAsia="zh-CN" w:bidi="ar"/>
              </w:rPr>
              <w:t>能承诺</w:t>
            </w:r>
            <w:r>
              <w:rPr>
                <w:rFonts w:hint="eastAsia" w:ascii="宋体" w:hAnsi="宋体" w:cs="宋体"/>
                <w:color w:val="auto"/>
                <w:kern w:val="0"/>
                <w:sz w:val="24"/>
                <w:highlight w:val="none"/>
                <w:lang w:bidi="ar"/>
              </w:rPr>
              <w:t>提供上门服务</w:t>
            </w:r>
            <w:r>
              <w:rPr>
                <w:rFonts w:hint="eastAsia" w:ascii="宋体" w:hAnsi="宋体" w:cs="宋体"/>
                <w:color w:val="auto"/>
                <w:kern w:val="0"/>
                <w:sz w:val="24"/>
                <w:highlight w:val="none"/>
                <w:lang w:val="en-US" w:eastAsia="zh-CN" w:bidi="ar"/>
              </w:rPr>
              <w:t>的得2分</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不承</w:t>
            </w:r>
            <w:r>
              <w:rPr>
                <w:rFonts w:hint="eastAsia" w:ascii="宋体" w:hAnsi="宋体" w:eastAsia="宋体" w:cs="宋体"/>
                <w:color w:val="auto"/>
                <w:kern w:val="0"/>
                <w:sz w:val="24"/>
                <w:highlight w:val="none"/>
                <w:lang w:bidi="ar"/>
              </w:rPr>
              <w:t>诺不得分</w:t>
            </w:r>
            <w:r>
              <w:rPr>
                <w:rFonts w:hint="eastAsia" w:ascii="宋体" w:hAnsi="宋体" w:eastAsia="宋体" w:cs="宋体"/>
                <w:color w:val="auto"/>
                <w:kern w:val="0"/>
                <w:sz w:val="24"/>
                <w:highlight w:val="none"/>
                <w:lang w:val="en-US" w:eastAsia="zh-CN" w:bidi="ar"/>
              </w:rPr>
              <w:t>(承诺函格式自拟)</w:t>
            </w:r>
            <w:r>
              <w:rPr>
                <w:rFonts w:hint="eastAsia" w:hAnsi="宋体" w:cs="宋体"/>
                <w:bCs/>
                <w:color w:val="auto"/>
                <w:sz w:val="24"/>
                <w:szCs w:val="24"/>
                <w:highlight w:val="none"/>
                <w:lang w:val="en-US" w:eastAsia="zh-CN"/>
              </w:rPr>
              <w:t>。</w:t>
            </w:r>
          </w:p>
        </w:tc>
        <w:tc>
          <w:tcPr>
            <w:tcW w:w="429" w:type="pct"/>
            <w:shd w:val="clear" w:color="auto" w:fill="auto"/>
            <w:vAlign w:val="center"/>
          </w:tcPr>
          <w:p w14:paraId="38DA6FFC">
            <w:pPr>
              <w:pStyle w:val="12"/>
              <w:adjustRightInd w:val="0"/>
              <w:snapToGrid w:val="0"/>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szCs w:val="24"/>
                <w:highlight w:val="none"/>
                <w:lang w:val="en-US" w:eastAsia="zh-CN"/>
              </w:rPr>
              <w:t>2</w:t>
            </w:r>
          </w:p>
        </w:tc>
        <w:tc>
          <w:tcPr>
            <w:tcW w:w="692" w:type="pct"/>
            <w:shd w:val="clear" w:color="auto" w:fill="auto"/>
            <w:vAlign w:val="center"/>
          </w:tcPr>
          <w:p w14:paraId="2DF71F66">
            <w:pPr>
              <w:pStyle w:val="12"/>
              <w:adjustRightInd w:val="0"/>
              <w:snapToGrid w:val="0"/>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hAnsi="宋体" w:cs="仿宋"/>
                <w:color w:val="auto"/>
                <w:sz w:val="24"/>
                <w:highlight w:val="none"/>
                <w:lang w:val="en-US" w:eastAsia="zh-CN"/>
              </w:rPr>
              <w:t>客观分</w:t>
            </w:r>
          </w:p>
        </w:tc>
      </w:tr>
      <w:tr w14:paraId="5BE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62" w:type="pct"/>
            <w:vAlign w:val="center"/>
          </w:tcPr>
          <w:p w14:paraId="7CA50F08">
            <w:pPr>
              <w:pStyle w:val="12"/>
              <w:adjustRightInd w:val="0"/>
              <w:snapToGrid w:val="0"/>
              <w:spacing w:line="360" w:lineRule="auto"/>
              <w:jc w:val="center"/>
              <w:rPr>
                <w:rFonts w:hint="default"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9</w:t>
            </w:r>
          </w:p>
        </w:tc>
        <w:tc>
          <w:tcPr>
            <w:tcW w:w="739" w:type="pct"/>
            <w:vAlign w:val="center"/>
          </w:tcPr>
          <w:p w14:paraId="2916E057">
            <w:pPr>
              <w:pStyle w:val="12"/>
              <w:adjustRightInd w:val="0"/>
              <w:snapToGrid w:val="0"/>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应急响应方案</w:t>
            </w:r>
          </w:p>
          <w:p w14:paraId="1A125ED8">
            <w:pPr>
              <w:pStyle w:val="12"/>
              <w:adjustRightInd w:val="0"/>
              <w:snapToGrid w:val="0"/>
              <w:spacing w:line="360" w:lineRule="auto"/>
              <w:jc w:val="center"/>
              <w:rPr>
                <w:rFonts w:hAnsi="宋体" w:cs="宋体"/>
                <w:color w:val="auto"/>
                <w:sz w:val="24"/>
                <w:szCs w:val="24"/>
                <w:highlight w:val="none"/>
              </w:rPr>
            </w:pPr>
            <w:r>
              <w:rPr>
                <w:rFonts w:hint="eastAsia" w:ascii="宋体" w:hAnsi="宋体" w:cs="宋体"/>
                <w:b w:val="0"/>
                <w:bCs w:val="0"/>
                <w:color w:val="auto"/>
                <w:sz w:val="24"/>
                <w:highlight w:val="none"/>
                <w:lang w:eastAsia="zh-CN"/>
              </w:rPr>
              <w:t>（</w:t>
            </w:r>
            <w:r>
              <w:rPr>
                <w:rFonts w:hint="eastAsia" w:hAnsi="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分</w:t>
            </w:r>
            <w:r>
              <w:rPr>
                <w:rFonts w:hint="eastAsia" w:ascii="宋体" w:hAnsi="宋体" w:cs="宋体"/>
                <w:b w:val="0"/>
                <w:bCs w:val="0"/>
                <w:color w:val="auto"/>
                <w:sz w:val="24"/>
                <w:highlight w:val="none"/>
                <w:lang w:eastAsia="zh-CN"/>
              </w:rPr>
              <w:t>）</w:t>
            </w:r>
          </w:p>
        </w:tc>
        <w:tc>
          <w:tcPr>
            <w:tcW w:w="2777" w:type="pct"/>
            <w:vAlign w:val="center"/>
          </w:tcPr>
          <w:p w14:paraId="7CDDDED7">
            <w:pPr>
              <w:pStyle w:val="12"/>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投标人按要求有明确的</w:t>
            </w:r>
            <w:r>
              <w:rPr>
                <w:rFonts w:hint="eastAsia" w:hAnsi="宋体" w:cs="宋体"/>
                <w:color w:val="auto"/>
                <w:sz w:val="24"/>
                <w:szCs w:val="24"/>
                <w:highlight w:val="none"/>
              </w:rPr>
              <w:t>应急响应方案</w:t>
            </w:r>
            <w:r>
              <w:rPr>
                <w:rFonts w:hint="eastAsia" w:ascii="宋体" w:hAnsi="宋体" w:eastAsia="宋体" w:cs="宋体"/>
                <w:color w:val="auto"/>
                <w:sz w:val="24"/>
                <w:szCs w:val="24"/>
                <w:highlight w:val="none"/>
              </w:rPr>
              <w:t>，并具有详细的实施内容等。</w:t>
            </w:r>
          </w:p>
          <w:p w14:paraId="64A627A7">
            <w:pPr>
              <w:pStyle w:val="12"/>
              <w:adjustRightInd w:val="0"/>
              <w:snapToGrid w:val="0"/>
              <w:spacing w:line="360" w:lineRule="auto"/>
              <w:rPr>
                <w:rFonts w:hAnsi="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（评分范围2，1，0）</w:t>
            </w:r>
          </w:p>
        </w:tc>
        <w:tc>
          <w:tcPr>
            <w:tcW w:w="429" w:type="pct"/>
            <w:vAlign w:val="center"/>
          </w:tcPr>
          <w:p w14:paraId="644A9879">
            <w:pPr>
              <w:pStyle w:val="12"/>
              <w:adjustRightInd w:val="0"/>
              <w:snapToGrid w:val="0"/>
              <w:spacing w:line="360" w:lineRule="auto"/>
              <w:jc w:val="center"/>
              <w:rPr>
                <w:rFonts w:hint="default" w:hAnsi="宋体"/>
                <w:color w:val="auto"/>
                <w:sz w:val="24"/>
                <w:szCs w:val="24"/>
                <w:highlight w:val="none"/>
                <w:lang w:val="en-US" w:eastAsia="zh-CN"/>
              </w:rPr>
            </w:pPr>
            <w:r>
              <w:rPr>
                <w:rFonts w:hint="eastAsia" w:hAnsi="宋体"/>
                <w:color w:val="auto"/>
                <w:sz w:val="24"/>
                <w:szCs w:val="24"/>
                <w:highlight w:val="none"/>
                <w:lang w:val="en-US" w:eastAsia="zh-CN"/>
              </w:rPr>
              <w:t>2</w:t>
            </w:r>
          </w:p>
        </w:tc>
        <w:tc>
          <w:tcPr>
            <w:tcW w:w="692" w:type="pct"/>
            <w:vAlign w:val="center"/>
          </w:tcPr>
          <w:p w14:paraId="20B42665">
            <w:pPr>
              <w:pStyle w:val="12"/>
              <w:adjustRightInd w:val="0"/>
              <w:snapToGrid w:val="0"/>
              <w:spacing w:line="360" w:lineRule="auto"/>
              <w:jc w:val="center"/>
              <w:rPr>
                <w:rFonts w:hAnsi="宋体" w:cs="宋体"/>
                <w:color w:val="auto"/>
                <w:sz w:val="24"/>
                <w:szCs w:val="24"/>
                <w:highlight w:val="none"/>
              </w:rPr>
            </w:pPr>
            <w:r>
              <w:rPr>
                <w:rFonts w:hint="eastAsia" w:hAnsi="宋体" w:cs="仿宋"/>
                <w:color w:val="auto"/>
                <w:sz w:val="24"/>
                <w:highlight w:val="none"/>
                <w:lang w:val="en-US" w:eastAsia="zh-CN"/>
              </w:rPr>
              <w:t>主观分</w:t>
            </w:r>
          </w:p>
        </w:tc>
      </w:tr>
      <w:tr w14:paraId="59B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62" w:type="pct"/>
            <w:vMerge w:val="restart"/>
            <w:vAlign w:val="center"/>
          </w:tcPr>
          <w:p w14:paraId="578CAA54">
            <w:pPr>
              <w:pStyle w:val="12"/>
              <w:adjustRightInd w:val="0"/>
              <w:snapToGrid w:val="0"/>
              <w:spacing w:line="360" w:lineRule="auto"/>
              <w:jc w:val="center"/>
              <w:rPr>
                <w:rFonts w:hint="default" w:hAnsi="宋体" w:eastAsia="宋体" w:cs="Arial"/>
                <w:color w:val="auto"/>
                <w:sz w:val="24"/>
                <w:szCs w:val="24"/>
                <w:highlight w:val="none"/>
                <w:lang w:val="en-US" w:eastAsia="zh-CN"/>
              </w:rPr>
            </w:pPr>
            <w:r>
              <w:rPr>
                <w:rFonts w:hint="eastAsia" w:hAnsi="宋体" w:cs="Arial"/>
                <w:color w:val="auto"/>
                <w:sz w:val="24"/>
                <w:szCs w:val="24"/>
                <w:highlight w:val="none"/>
                <w:lang w:val="en-US" w:eastAsia="zh-CN"/>
              </w:rPr>
              <w:t>10</w:t>
            </w:r>
          </w:p>
        </w:tc>
        <w:tc>
          <w:tcPr>
            <w:tcW w:w="739" w:type="pct"/>
            <w:vMerge w:val="restart"/>
            <w:vAlign w:val="center"/>
          </w:tcPr>
          <w:p w14:paraId="328C118C">
            <w:pPr>
              <w:pageBreakBefore w:val="0"/>
              <w:widowControl/>
              <w:kinsoku/>
              <w:wordWrap/>
              <w:overflowPunct/>
              <w:topLinePunct w:val="0"/>
              <w:autoSpaceDE/>
              <w:autoSpaceDN/>
              <w:bidi w:val="0"/>
              <w:adjustRightInd w:val="0"/>
              <w:snapToGrid/>
              <w:spacing w:line="360" w:lineRule="auto"/>
              <w:ind w:left="0" w:firstLine="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项目团队</w:t>
            </w:r>
          </w:p>
          <w:p w14:paraId="3683602F">
            <w:pPr>
              <w:pStyle w:val="3"/>
              <w:pageBreakBefore w:val="0"/>
              <w:kinsoku/>
              <w:wordWrap/>
              <w:overflowPunct/>
              <w:topLinePunct w:val="0"/>
              <w:autoSpaceDE/>
              <w:autoSpaceDN/>
              <w:bidi w:val="0"/>
              <w:adjustRightInd w:val="0"/>
              <w:snapToGrid/>
              <w:spacing w:before="0" w:after="0" w:line="360" w:lineRule="auto"/>
              <w:ind w:left="0" w:firstLine="0"/>
              <w:jc w:val="center"/>
              <w:textAlignment w:val="auto"/>
              <w:rPr>
                <w:rFonts w:ascii="宋体" w:hAnsi="宋体"/>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10分</w:t>
            </w:r>
            <w:r>
              <w:rPr>
                <w:rFonts w:hint="eastAsia" w:ascii="宋体" w:hAnsi="宋体" w:cs="宋体"/>
                <w:b w:val="0"/>
                <w:bCs w:val="0"/>
                <w:color w:val="auto"/>
                <w:sz w:val="24"/>
                <w:highlight w:val="none"/>
                <w:lang w:eastAsia="zh-CN"/>
              </w:rPr>
              <w:t>）</w:t>
            </w:r>
          </w:p>
        </w:tc>
        <w:tc>
          <w:tcPr>
            <w:tcW w:w="2777" w:type="pct"/>
            <w:vAlign w:val="center"/>
          </w:tcPr>
          <w:p w14:paraId="21954289">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仿宋"/>
                <w:color w:val="auto"/>
                <w:sz w:val="24"/>
                <w:highlight w:val="none"/>
              </w:rPr>
            </w:pPr>
            <w:r>
              <w:rPr>
                <w:rFonts w:hint="eastAsia" w:ascii="宋体" w:hAnsi="宋体" w:eastAsia="宋体" w:cs="宋体"/>
                <w:bCs/>
                <w:color w:val="auto"/>
                <w:sz w:val="24"/>
                <w:szCs w:val="24"/>
                <w:highlight w:val="none"/>
              </w:rPr>
              <w:t>项目负责人具有副高及以上职称证书的得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没有不得分</w:t>
            </w:r>
            <w:r>
              <w:rPr>
                <w:rFonts w:hint="eastAsia" w:ascii="宋体" w:hAnsi="宋体" w:eastAsia="宋体" w:cs="宋体"/>
                <w:bCs/>
                <w:color w:val="auto"/>
                <w:sz w:val="24"/>
                <w:szCs w:val="24"/>
                <w:highlight w:val="none"/>
              </w:rPr>
              <w:t>。</w:t>
            </w:r>
          </w:p>
          <w:p w14:paraId="70EF31AB">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color w:val="auto"/>
                <w:sz w:val="24"/>
                <w:highlight w:val="none"/>
              </w:rPr>
            </w:pPr>
            <w:r>
              <w:rPr>
                <w:rFonts w:ascii="宋体" w:hAnsi="宋体"/>
                <w:b/>
                <w:color w:val="auto"/>
                <w:sz w:val="24"/>
                <w:highlight w:val="none"/>
              </w:rPr>
              <w:t>（</w:t>
            </w:r>
            <w:r>
              <w:rPr>
                <w:rFonts w:hint="eastAsia" w:ascii="宋体" w:hAnsi="宋体"/>
                <w:b/>
                <w:color w:val="auto"/>
                <w:sz w:val="24"/>
                <w:highlight w:val="none"/>
              </w:rPr>
              <w:t>提供职称证书</w:t>
            </w:r>
            <w:r>
              <w:rPr>
                <w:rFonts w:hint="eastAsia" w:ascii="宋体" w:hAnsi="宋体"/>
                <w:b/>
                <w:color w:val="auto"/>
                <w:sz w:val="24"/>
                <w:highlight w:val="none"/>
                <w:lang w:val="en-US" w:eastAsia="zh-CN"/>
              </w:rPr>
              <w:t>扫描</w:t>
            </w:r>
            <w:r>
              <w:rPr>
                <w:rFonts w:hint="eastAsia" w:ascii="宋体" w:hAnsi="宋体"/>
                <w:b/>
                <w:color w:val="auto"/>
                <w:sz w:val="24"/>
                <w:highlight w:val="none"/>
              </w:rPr>
              <w:t>件</w:t>
            </w:r>
            <w:r>
              <w:rPr>
                <w:rFonts w:hint="eastAsia" w:ascii="宋体" w:hAnsi="宋体"/>
                <w:b/>
                <w:color w:val="auto"/>
                <w:sz w:val="24"/>
                <w:highlight w:val="none"/>
                <w:lang w:val="en-US" w:eastAsia="zh-CN"/>
              </w:rPr>
              <w:t>及</w:t>
            </w:r>
            <w:r>
              <w:rPr>
                <w:rFonts w:hint="eastAsia" w:ascii="宋体" w:hAnsi="宋体"/>
                <w:b/>
                <w:color w:val="auto"/>
                <w:sz w:val="24"/>
                <w:highlight w:val="none"/>
              </w:rPr>
              <w:t>劳动合同</w:t>
            </w:r>
            <w:r>
              <w:rPr>
                <w:rFonts w:hint="eastAsia" w:ascii="宋体" w:hAnsi="宋体"/>
                <w:b/>
                <w:color w:val="auto"/>
                <w:sz w:val="24"/>
                <w:highlight w:val="none"/>
                <w:lang w:val="en-US" w:eastAsia="zh-CN"/>
              </w:rPr>
              <w:t>或在职社保证明</w:t>
            </w:r>
            <w:r>
              <w:rPr>
                <w:rFonts w:ascii="宋体" w:hAnsi="宋体"/>
                <w:b/>
                <w:color w:val="auto"/>
                <w:sz w:val="24"/>
                <w:highlight w:val="none"/>
              </w:rPr>
              <w:t>，不提供不得分）</w:t>
            </w:r>
          </w:p>
        </w:tc>
        <w:tc>
          <w:tcPr>
            <w:tcW w:w="429" w:type="pct"/>
            <w:vAlign w:val="center"/>
          </w:tcPr>
          <w:p w14:paraId="1393E76E">
            <w:pPr>
              <w:pStyle w:val="12"/>
              <w:widowControl/>
              <w:adjustRightInd w:val="0"/>
              <w:snapToGrid w:val="0"/>
              <w:spacing w:line="36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92" w:type="pct"/>
            <w:vAlign w:val="center"/>
          </w:tcPr>
          <w:p w14:paraId="56A67A44">
            <w:pPr>
              <w:keepNext w:val="0"/>
              <w:keepLines w:val="0"/>
              <w:pageBreakBefore w:val="0"/>
              <w:kinsoku/>
              <w:wordWrap/>
              <w:overflowPunct/>
              <w:topLinePunct w:val="0"/>
              <w:autoSpaceDE/>
              <w:autoSpaceDN/>
              <w:bidi w:val="0"/>
              <w:adjustRightInd w:val="0"/>
              <w:snapToGrid w:val="0"/>
              <w:spacing w:line="332" w:lineRule="auto"/>
              <w:jc w:val="center"/>
              <w:textAlignment w:val="auto"/>
              <w:rPr>
                <w:rFonts w:hAnsi="宋体" w:cs="宋体"/>
                <w:color w:val="auto"/>
                <w:sz w:val="24"/>
                <w:szCs w:val="24"/>
                <w:highlight w:val="none"/>
              </w:rPr>
            </w:pPr>
            <w:r>
              <w:rPr>
                <w:rFonts w:hint="eastAsia" w:hAnsi="宋体" w:cs="仿宋"/>
                <w:color w:val="auto"/>
                <w:sz w:val="24"/>
                <w:highlight w:val="none"/>
                <w:lang w:val="en-US" w:eastAsia="zh-CN"/>
              </w:rPr>
              <w:t>客观分</w:t>
            </w:r>
          </w:p>
        </w:tc>
      </w:tr>
      <w:tr w14:paraId="7205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Merge w:val="continue"/>
            <w:vAlign w:val="center"/>
          </w:tcPr>
          <w:p w14:paraId="3701118D">
            <w:pPr>
              <w:widowControl/>
              <w:adjustRightInd w:val="0"/>
              <w:snapToGrid w:val="0"/>
              <w:spacing w:line="360" w:lineRule="auto"/>
              <w:jc w:val="left"/>
              <w:rPr>
                <w:color w:val="auto"/>
                <w:highlight w:val="none"/>
              </w:rPr>
            </w:pPr>
          </w:p>
        </w:tc>
        <w:tc>
          <w:tcPr>
            <w:tcW w:w="739" w:type="pct"/>
            <w:vMerge w:val="continue"/>
            <w:vAlign w:val="center"/>
          </w:tcPr>
          <w:p w14:paraId="5EBE05C3">
            <w:pPr>
              <w:widowControl/>
              <w:adjustRightInd w:val="0"/>
              <w:snapToGrid w:val="0"/>
              <w:spacing w:line="360" w:lineRule="auto"/>
              <w:jc w:val="left"/>
              <w:rPr>
                <w:color w:val="auto"/>
                <w:highlight w:val="none"/>
              </w:rPr>
            </w:pPr>
          </w:p>
        </w:tc>
        <w:tc>
          <w:tcPr>
            <w:tcW w:w="2777" w:type="pct"/>
            <w:vAlign w:val="center"/>
          </w:tcPr>
          <w:p w14:paraId="271BF5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项目团队成员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不少于8人</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不含项目负责人</w:t>
            </w:r>
            <w:r>
              <w:rPr>
                <w:rFonts w:hint="eastAsia" w:ascii="宋体" w:hAnsi="宋体" w:cs="宋体"/>
                <w:bCs/>
                <w:color w:val="auto"/>
                <w:sz w:val="24"/>
                <w:szCs w:val="24"/>
                <w:highlight w:val="none"/>
                <w:lang w:val="en-US" w:eastAsia="zh-CN"/>
              </w:rPr>
              <w:t>）：</w:t>
            </w:r>
          </w:p>
          <w:p w14:paraId="6A36B2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具有正高级职称证书的每人得3分；副高级职称证书的每人得2分；中级职称的每人得1分；初级及以下不得分；满分8分。</w:t>
            </w:r>
          </w:p>
          <w:p w14:paraId="3DBF1E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Arial"/>
                <w:b/>
                <w:bCs/>
                <w:color w:val="auto"/>
                <w:kern w:val="28"/>
                <w:sz w:val="24"/>
                <w:highlight w:val="none"/>
              </w:rPr>
            </w:pPr>
            <w:r>
              <w:rPr>
                <w:rFonts w:ascii="宋体" w:hAnsi="宋体"/>
                <w:b/>
                <w:color w:val="auto"/>
                <w:sz w:val="24"/>
                <w:highlight w:val="none"/>
              </w:rPr>
              <w:t>（</w:t>
            </w:r>
            <w:r>
              <w:rPr>
                <w:rFonts w:hint="eastAsia" w:ascii="宋体" w:hAnsi="宋体"/>
                <w:b/>
                <w:color w:val="auto"/>
                <w:sz w:val="24"/>
                <w:highlight w:val="none"/>
              </w:rPr>
              <w:t>提供</w:t>
            </w:r>
            <w:r>
              <w:rPr>
                <w:rFonts w:hint="eastAsia" w:ascii="宋体" w:hAnsi="宋体"/>
                <w:b/>
                <w:color w:val="auto"/>
                <w:sz w:val="24"/>
                <w:highlight w:val="none"/>
                <w:lang w:val="en-US" w:eastAsia="zh-CN"/>
              </w:rPr>
              <w:t>人员清单、</w:t>
            </w:r>
            <w:r>
              <w:rPr>
                <w:rFonts w:hint="eastAsia" w:ascii="宋体" w:hAnsi="宋体"/>
                <w:b/>
                <w:color w:val="auto"/>
                <w:sz w:val="24"/>
                <w:highlight w:val="none"/>
              </w:rPr>
              <w:t>职称证书</w:t>
            </w:r>
            <w:r>
              <w:rPr>
                <w:rFonts w:hint="eastAsia" w:ascii="宋体" w:hAnsi="宋体"/>
                <w:b/>
                <w:color w:val="auto"/>
                <w:sz w:val="24"/>
                <w:highlight w:val="none"/>
                <w:lang w:val="en-US" w:eastAsia="zh-CN"/>
              </w:rPr>
              <w:t>扫描</w:t>
            </w:r>
            <w:r>
              <w:rPr>
                <w:rFonts w:hint="eastAsia" w:ascii="宋体" w:hAnsi="宋体"/>
                <w:b/>
                <w:color w:val="auto"/>
                <w:sz w:val="24"/>
                <w:highlight w:val="none"/>
              </w:rPr>
              <w:t>件</w:t>
            </w:r>
            <w:r>
              <w:rPr>
                <w:rFonts w:hint="eastAsia" w:ascii="宋体" w:hAnsi="宋体"/>
                <w:b/>
                <w:color w:val="auto"/>
                <w:sz w:val="24"/>
                <w:highlight w:val="none"/>
                <w:lang w:val="en-US" w:eastAsia="zh-CN"/>
              </w:rPr>
              <w:t>及</w:t>
            </w:r>
            <w:r>
              <w:rPr>
                <w:rFonts w:hint="eastAsia" w:ascii="宋体" w:hAnsi="宋体"/>
                <w:b/>
                <w:color w:val="auto"/>
                <w:sz w:val="24"/>
                <w:highlight w:val="none"/>
              </w:rPr>
              <w:t>劳动合同</w:t>
            </w:r>
            <w:r>
              <w:rPr>
                <w:rFonts w:hint="eastAsia" w:ascii="宋体" w:hAnsi="宋体"/>
                <w:b/>
                <w:color w:val="auto"/>
                <w:sz w:val="24"/>
                <w:highlight w:val="none"/>
                <w:lang w:val="en-US" w:eastAsia="zh-CN"/>
              </w:rPr>
              <w:t>或在职社保证明</w:t>
            </w:r>
            <w:r>
              <w:rPr>
                <w:rFonts w:ascii="宋体" w:hAnsi="宋体"/>
                <w:b/>
                <w:color w:val="auto"/>
                <w:sz w:val="24"/>
                <w:highlight w:val="none"/>
              </w:rPr>
              <w:t>，不提供不得分）</w:t>
            </w:r>
          </w:p>
        </w:tc>
        <w:tc>
          <w:tcPr>
            <w:tcW w:w="429" w:type="pct"/>
            <w:shd w:val="clear" w:color="auto" w:fill="auto"/>
            <w:vAlign w:val="center"/>
          </w:tcPr>
          <w:p w14:paraId="416FE065">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692" w:type="pct"/>
            <w:shd w:val="clear" w:color="auto" w:fill="auto"/>
            <w:vAlign w:val="center"/>
          </w:tcPr>
          <w:p w14:paraId="0BAB4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kern w:val="2"/>
                <w:sz w:val="24"/>
                <w:szCs w:val="24"/>
                <w:highlight w:val="none"/>
                <w:lang w:val="en-US" w:eastAsia="zh-CN" w:bidi="ar-SA"/>
              </w:rPr>
            </w:pPr>
            <w:r>
              <w:rPr>
                <w:rFonts w:hint="eastAsia" w:hAnsi="宋体" w:cs="仿宋"/>
                <w:color w:val="auto"/>
                <w:sz w:val="24"/>
                <w:highlight w:val="none"/>
                <w:lang w:val="en-US" w:eastAsia="zh-CN"/>
              </w:rPr>
              <w:t>客观分</w:t>
            </w:r>
          </w:p>
        </w:tc>
      </w:tr>
      <w:tr w14:paraId="3440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vAlign w:val="center"/>
          </w:tcPr>
          <w:p w14:paraId="15F91C4E">
            <w:pPr>
              <w:pStyle w:val="12"/>
              <w:jc w:val="center"/>
              <w:rPr>
                <w:rFonts w:hint="default" w:eastAsia="宋体"/>
                <w:color w:val="auto"/>
                <w:highlight w:val="none"/>
                <w:lang w:val="en-US" w:eastAsia="zh-CN"/>
              </w:rPr>
            </w:pPr>
            <w:r>
              <w:rPr>
                <w:rFonts w:hint="eastAsia" w:hAnsi="宋体" w:cs="Arial"/>
                <w:color w:val="auto"/>
                <w:sz w:val="24"/>
                <w:szCs w:val="24"/>
                <w:highlight w:val="none"/>
                <w:lang w:val="en-US" w:eastAsia="zh-CN"/>
              </w:rPr>
              <w:t>11</w:t>
            </w:r>
          </w:p>
        </w:tc>
        <w:tc>
          <w:tcPr>
            <w:tcW w:w="739" w:type="pct"/>
            <w:vAlign w:val="center"/>
          </w:tcPr>
          <w:p w14:paraId="1850CE76">
            <w:pPr>
              <w:pageBreakBefore w:val="0"/>
              <w:widowControl/>
              <w:kinsoku/>
              <w:wordWrap/>
              <w:overflowPunct/>
              <w:topLinePunct w:val="0"/>
              <w:autoSpaceDE/>
              <w:autoSpaceDN/>
              <w:bidi w:val="0"/>
              <w:adjustRightInd w:val="0"/>
              <w:snapToGrid/>
              <w:spacing w:line="360" w:lineRule="auto"/>
              <w:ind w:left="0" w:firstLine="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p w14:paraId="2869ED79">
            <w:pPr>
              <w:pageBreakBefore w:val="0"/>
              <w:widowControl/>
              <w:kinsoku/>
              <w:wordWrap/>
              <w:overflowPunct/>
              <w:topLinePunct w:val="0"/>
              <w:autoSpaceDE/>
              <w:autoSpaceDN/>
              <w:bidi w:val="0"/>
              <w:adjustRightInd w:val="0"/>
              <w:snapToGrid/>
              <w:spacing w:line="360" w:lineRule="auto"/>
              <w:ind w:left="0" w:firstLine="0"/>
              <w:jc w:val="center"/>
              <w:textAlignment w:val="auto"/>
              <w:rPr>
                <w:rFonts w:hint="default" w:eastAsia="宋体"/>
                <w:color w:val="auto"/>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15分</w:t>
            </w:r>
            <w:r>
              <w:rPr>
                <w:rFonts w:hint="eastAsia" w:ascii="宋体" w:hAnsi="宋体" w:eastAsia="宋体" w:cs="宋体"/>
                <w:color w:val="auto"/>
                <w:sz w:val="24"/>
                <w:highlight w:val="none"/>
                <w:lang w:eastAsia="zh-CN"/>
              </w:rPr>
              <w:t>）</w:t>
            </w:r>
          </w:p>
        </w:tc>
        <w:tc>
          <w:tcPr>
            <w:tcW w:w="2777" w:type="pct"/>
            <w:vAlign w:val="center"/>
          </w:tcPr>
          <w:p w14:paraId="53A43B6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］的计算公式计算。</w:t>
            </w:r>
          </w:p>
          <w:p w14:paraId="32388BF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评标过程中，不得去掉报价中的最高报价和最低报价。</w:t>
            </w:r>
          </w:p>
          <w:p w14:paraId="212916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auto"/>
                <w:sz w:val="24"/>
                <w:highlight w:val="none"/>
                <w:lang w:val="en-US" w:eastAsia="zh-CN"/>
              </w:rPr>
            </w:pPr>
            <w:r>
              <w:rPr>
                <w:rFonts w:hint="eastAsia" w:ascii="宋体" w:hAnsi="宋体" w:eastAsia="宋体" w:cs="宋体"/>
                <w:b w:val="0"/>
                <w:bCs w:val="0"/>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%的扣除，用扣除后的价格参加评审。</w:t>
            </w:r>
          </w:p>
        </w:tc>
        <w:tc>
          <w:tcPr>
            <w:tcW w:w="429" w:type="pct"/>
            <w:shd w:val="clear" w:color="auto" w:fill="auto"/>
            <w:vAlign w:val="center"/>
          </w:tcPr>
          <w:p w14:paraId="28280C33">
            <w:pPr>
              <w:widowControl/>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92" w:type="pct"/>
            <w:shd w:val="clear" w:color="auto" w:fill="auto"/>
            <w:vAlign w:val="center"/>
          </w:tcPr>
          <w:p w14:paraId="7FF3E0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cs="仿宋"/>
                <w:color w:val="auto"/>
                <w:sz w:val="24"/>
                <w:highlight w:val="none"/>
                <w:lang w:val="en-US" w:eastAsia="zh-CN"/>
              </w:rPr>
            </w:pPr>
            <w:r>
              <w:rPr>
                <w:rFonts w:hint="eastAsia" w:hAnsi="宋体" w:cs="仿宋"/>
                <w:color w:val="auto"/>
                <w:sz w:val="24"/>
                <w:highlight w:val="none"/>
                <w:lang w:val="en-US" w:eastAsia="zh-CN"/>
              </w:rPr>
              <w:t>/</w:t>
            </w:r>
          </w:p>
        </w:tc>
      </w:tr>
    </w:tbl>
    <w:p w14:paraId="19754123">
      <w:pPr>
        <w:pStyle w:val="12"/>
        <w:spacing w:line="440" w:lineRule="exact"/>
        <w:rPr>
          <w:rFonts w:ascii="Times New Roman" w:hAnsi="Times New Roman"/>
          <w:b/>
          <w:color w:val="auto"/>
          <w:sz w:val="24"/>
          <w:highlight w:val="none"/>
        </w:rPr>
      </w:pPr>
      <w:r>
        <w:rPr>
          <w:rFonts w:hint="eastAsia" w:ascii="Times New Roman" w:hAnsi="Times New Roman"/>
          <w:b/>
          <w:color w:val="auto"/>
          <w:sz w:val="24"/>
          <w:highlight w:val="none"/>
        </w:rPr>
        <w:t>33.</w:t>
      </w:r>
      <w:r>
        <w:rPr>
          <w:rFonts w:hint="eastAsia" w:hAnsi="宋体"/>
          <w:b/>
          <w:color w:val="auto"/>
          <w:sz w:val="24"/>
          <w:highlight w:val="none"/>
        </w:rPr>
        <w:t>评标内容的保密</w:t>
      </w:r>
    </w:p>
    <w:p w14:paraId="78E9612E">
      <w:pPr>
        <w:pStyle w:val="12"/>
        <w:spacing w:line="440" w:lineRule="exact"/>
        <w:ind w:left="-1"/>
        <w:rPr>
          <w:rFonts w:hAnsi="宋体"/>
          <w:color w:val="auto"/>
          <w:sz w:val="24"/>
          <w:highlight w:val="none"/>
        </w:rPr>
      </w:pPr>
      <w:r>
        <w:rPr>
          <w:rFonts w:hint="eastAsia" w:hAnsi="宋体"/>
          <w:color w:val="auto"/>
          <w:sz w:val="24"/>
          <w:highlight w:val="none"/>
        </w:rPr>
        <w:t>33</w:t>
      </w:r>
      <w:r>
        <w:rPr>
          <w:rFonts w:hAnsi="宋体"/>
          <w:color w:val="auto"/>
          <w:sz w:val="24"/>
          <w:highlight w:val="none"/>
        </w:rPr>
        <w:t>.1</w:t>
      </w:r>
      <w:r>
        <w:rPr>
          <w:rFonts w:hint="eastAsia" w:hAnsi="宋体"/>
          <w:color w:val="auto"/>
          <w:sz w:val="24"/>
          <w:highlight w:val="none"/>
        </w:rPr>
        <w:t>磋商后，直到宣布成交单位止，凡属于审查、澄清、评价和比较</w:t>
      </w:r>
      <w:r>
        <w:rPr>
          <w:rFonts w:hint="eastAsia" w:hAnsi="宋体" w:cs="宋体"/>
          <w:color w:val="auto"/>
          <w:sz w:val="24"/>
          <w:highlight w:val="none"/>
        </w:rPr>
        <w:t>磋商响应方</w:t>
      </w:r>
      <w:r>
        <w:rPr>
          <w:rFonts w:hint="eastAsia" w:hAnsi="宋体"/>
          <w:color w:val="auto"/>
          <w:sz w:val="24"/>
          <w:highlight w:val="none"/>
        </w:rPr>
        <w:t>的所有资料及有关的信息，都不应向</w:t>
      </w:r>
      <w:r>
        <w:rPr>
          <w:rFonts w:hint="eastAsia" w:hAnsi="宋体" w:cs="宋体"/>
          <w:color w:val="auto"/>
          <w:sz w:val="24"/>
          <w:highlight w:val="none"/>
        </w:rPr>
        <w:t>磋商响应方</w:t>
      </w:r>
      <w:r>
        <w:rPr>
          <w:rFonts w:hint="eastAsia" w:hAnsi="宋体"/>
          <w:color w:val="auto"/>
          <w:sz w:val="24"/>
          <w:highlight w:val="none"/>
        </w:rPr>
        <w:t>或与磋商无关的其他人泄漏。</w:t>
      </w:r>
    </w:p>
    <w:p w14:paraId="5CA47AF2">
      <w:pPr>
        <w:pStyle w:val="12"/>
        <w:spacing w:line="440" w:lineRule="exact"/>
        <w:rPr>
          <w:rFonts w:hAnsi="宋体"/>
          <w:color w:val="auto"/>
          <w:sz w:val="24"/>
          <w:highlight w:val="none"/>
        </w:rPr>
      </w:pPr>
      <w:r>
        <w:rPr>
          <w:rFonts w:hint="eastAsia" w:hAnsi="宋体"/>
          <w:color w:val="auto"/>
          <w:sz w:val="24"/>
          <w:highlight w:val="none"/>
        </w:rPr>
        <w:t>33</w:t>
      </w:r>
      <w:r>
        <w:rPr>
          <w:rFonts w:hAnsi="宋体"/>
          <w:color w:val="auto"/>
          <w:sz w:val="24"/>
          <w:highlight w:val="none"/>
        </w:rPr>
        <w:t>.2</w:t>
      </w:r>
      <w:r>
        <w:rPr>
          <w:rFonts w:hint="eastAsia" w:hAnsi="宋体"/>
          <w:color w:val="auto"/>
          <w:sz w:val="24"/>
          <w:highlight w:val="none"/>
        </w:rPr>
        <w:t>在</w:t>
      </w:r>
      <w:r>
        <w:rPr>
          <w:rFonts w:hint="eastAsia" w:hAnsi="宋体" w:cs="宋体"/>
          <w:color w:val="auto"/>
          <w:sz w:val="24"/>
          <w:highlight w:val="none"/>
        </w:rPr>
        <w:t>磋商响应</w:t>
      </w:r>
      <w:r>
        <w:rPr>
          <w:rFonts w:hint="eastAsia" w:hAnsi="宋体"/>
          <w:color w:val="auto"/>
          <w:sz w:val="24"/>
          <w:highlight w:val="none"/>
        </w:rPr>
        <w:t>文件的审查、澄清、评价和比较以及确定成交单位过程中，</w:t>
      </w:r>
      <w:r>
        <w:rPr>
          <w:rFonts w:hint="eastAsia" w:hAnsi="宋体" w:cs="宋体"/>
          <w:color w:val="auto"/>
          <w:sz w:val="24"/>
          <w:highlight w:val="none"/>
        </w:rPr>
        <w:t>磋商响应方</w:t>
      </w:r>
      <w:r>
        <w:rPr>
          <w:rFonts w:hint="eastAsia" w:hAnsi="宋体"/>
          <w:color w:val="auto"/>
          <w:sz w:val="24"/>
          <w:highlight w:val="none"/>
        </w:rPr>
        <w:t>对采购人和磋商小组施加影响的任何行为，都将导致取消资格。</w:t>
      </w:r>
    </w:p>
    <w:p w14:paraId="05DE0729">
      <w:pPr>
        <w:pStyle w:val="12"/>
        <w:spacing w:line="440" w:lineRule="exact"/>
        <w:rPr>
          <w:rFonts w:hint="eastAsia" w:hAnsi="宋体"/>
          <w:b/>
          <w:color w:val="auto"/>
          <w:sz w:val="24"/>
          <w:highlight w:val="none"/>
        </w:rPr>
      </w:pPr>
      <w:r>
        <w:rPr>
          <w:rFonts w:hint="eastAsia" w:hAnsi="宋体"/>
          <w:b/>
          <w:color w:val="auto"/>
          <w:sz w:val="24"/>
          <w:highlight w:val="none"/>
        </w:rPr>
        <w:t>34.废标</w:t>
      </w:r>
    </w:p>
    <w:p w14:paraId="063CCEF5">
      <w:pPr>
        <w:pStyle w:val="12"/>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根据《中华人民共和国政府采购法》第三十六条之规定，在采购中，出现下列情况之一的，应予以废标：</w:t>
      </w:r>
    </w:p>
    <w:p w14:paraId="475C4E1F">
      <w:pPr>
        <w:pStyle w:val="12"/>
        <w:spacing w:line="360" w:lineRule="auto"/>
        <w:ind w:firstLine="480" w:firstLineChars="200"/>
        <w:rPr>
          <w:rFonts w:hAnsi="宋体"/>
          <w:color w:val="auto"/>
          <w:sz w:val="24"/>
          <w:highlight w:val="none"/>
        </w:rPr>
      </w:pPr>
      <w:r>
        <w:rPr>
          <w:rFonts w:hint="eastAsia" w:hAnsi="宋体"/>
          <w:color w:val="auto"/>
          <w:sz w:val="24"/>
          <w:highlight w:val="none"/>
        </w:rPr>
        <w:t>（1）符合专业条件的磋商响应方或者对采购文件作实质响应的磋商响应方不足三家的；</w:t>
      </w:r>
    </w:p>
    <w:p w14:paraId="5E4A2E38">
      <w:pPr>
        <w:pStyle w:val="12"/>
        <w:spacing w:line="360" w:lineRule="auto"/>
        <w:ind w:firstLine="480" w:firstLineChars="200"/>
        <w:rPr>
          <w:rFonts w:hAnsi="宋体"/>
          <w:color w:val="auto"/>
          <w:sz w:val="24"/>
          <w:highlight w:val="none"/>
        </w:rPr>
      </w:pPr>
      <w:r>
        <w:rPr>
          <w:rFonts w:hint="eastAsia" w:hAnsi="宋体"/>
          <w:color w:val="auto"/>
          <w:sz w:val="24"/>
          <w:highlight w:val="none"/>
        </w:rPr>
        <w:t>（2）出现影响采购公正的违法、违规行为的；</w:t>
      </w:r>
    </w:p>
    <w:p w14:paraId="0DEA2915">
      <w:pPr>
        <w:pStyle w:val="12"/>
        <w:spacing w:line="360" w:lineRule="auto"/>
        <w:ind w:firstLine="480" w:firstLineChars="200"/>
        <w:rPr>
          <w:rFonts w:hAnsi="宋体"/>
          <w:color w:val="auto"/>
          <w:sz w:val="24"/>
          <w:highlight w:val="none"/>
        </w:rPr>
      </w:pPr>
      <w:r>
        <w:rPr>
          <w:rFonts w:hint="eastAsia" w:hAnsi="宋体"/>
          <w:color w:val="auto"/>
          <w:sz w:val="24"/>
          <w:highlight w:val="none"/>
        </w:rPr>
        <w:t>（3）报价均超过了采购预算，采购单位不能支付的；</w:t>
      </w:r>
    </w:p>
    <w:p w14:paraId="180C9626">
      <w:pPr>
        <w:pStyle w:val="12"/>
        <w:spacing w:line="360" w:lineRule="auto"/>
        <w:ind w:firstLine="480" w:firstLineChars="200"/>
        <w:rPr>
          <w:rFonts w:hAnsi="宋体"/>
          <w:color w:val="auto"/>
          <w:sz w:val="24"/>
          <w:highlight w:val="none"/>
        </w:rPr>
      </w:pPr>
      <w:r>
        <w:rPr>
          <w:rFonts w:hint="eastAsia" w:hAnsi="宋体"/>
          <w:color w:val="auto"/>
          <w:sz w:val="24"/>
          <w:highlight w:val="none"/>
        </w:rPr>
        <w:t>（4）因重大变故、疫情影响，采购任务取消的。</w:t>
      </w:r>
    </w:p>
    <w:p w14:paraId="787C32B7">
      <w:pPr>
        <w:pStyle w:val="12"/>
        <w:spacing w:line="440" w:lineRule="exact"/>
        <w:ind w:firstLine="480" w:firstLineChars="200"/>
        <w:rPr>
          <w:rFonts w:ascii="Times New Roman" w:hAnsi="Times New Roman"/>
          <w:color w:val="auto"/>
          <w:sz w:val="24"/>
          <w:highlight w:val="none"/>
        </w:rPr>
      </w:pPr>
      <w:r>
        <w:rPr>
          <w:rFonts w:hint="eastAsia" w:hAnsi="宋体"/>
          <w:color w:val="auto"/>
          <w:sz w:val="24"/>
          <w:highlight w:val="none"/>
        </w:rPr>
        <w:t>废标后，采购代理机构应当将废标理由通知所有磋商响应方。</w:t>
      </w:r>
    </w:p>
    <w:p w14:paraId="5AB75181">
      <w:pPr>
        <w:pStyle w:val="12"/>
        <w:spacing w:line="440" w:lineRule="exact"/>
        <w:rPr>
          <w:rFonts w:hAnsi="宋体"/>
          <w:b/>
          <w:color w:val="auto"/>
          <w:sz w:val="24"/>
          <w:highlight w:val="none"/>
        </w:rPr>
      </w:pPr>
      <w:r>
        <w:rPr>
          <w:rFonts w:hint="eastAsia" w:hAnsi="宋体"/>
          <w:b/>
          <w:color w:val="auto"/>
          <w:sz w:val="24"/>
          <w:highlight w:val="none"/>
        </w:rPr>
        <w:t>35.可中止电子交易活动的情形</w:t>
      </w:r>
    </w:p>
    <w:p w14:paraId="59C5CF0B">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采购过程中出现以下情形，导致电子交易平台无法正常运行，或者无法保证电子交易的公平、公正和安全时，采购组织机构可中止电子交易活动：</w:t>
      </w:r>
    </w:p>
    <w:p w14:paraId="28FA3FA5">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（1）电子交易平台发生故障而无法登录访问的；</w:t>
      </w:r>
    </w:p>
    <w:p w14:paraId="7CAE8640">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（2）电子交易平台应用或数据库出现错误，不能进行正常操作的；</w:t>
      </w:r>
    </w:p>
    <w:p w14:paraId="479EEBC1">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（3）电子交易平台发现严重安全漏洞，有潜在泄密危险的；</w:t>
      </w:r>
    </w:p>
    <w:p w14:paraId="6B2CCD88">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（4）病毒发作导致不能进行正常操作的；</w:t>
      </w:r>
    </w:p>
    <w:p w14:paraId="05DBE13C">
      <w:pPr>
        <w:pStyle w:val="12"/>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（5）其他无法保证电子交易的公平、公正和安全的情况。</w:t>
      </w:r>
    </w:p>
    <w:p w14:paraId="535A4598">
      <w:pPr>
        <w:pStyle w:val="12"/>
        <w:spacing w:line="360" w:lineRule="auto"/>
        <w:ind w:firstLine="480" w:firstLineChars="200"/>
        <w:contextualSpacing/>
        <w:rPr>
          <w:rFonts w:ascii="Times New Roman" w:hAnsi="Times New Roman"/>
          <w:color w:val="auto"/>
          <w:sz w:val="24"/>
          <w:highlight w:val="none"/>
        </w:rPr>
      </w:pPr>
      <w:r>
        <w:rPr>
          <w:rFonts w:hint="eastAsia" w:ascii="Times New Roman" w:hAnsi="Times New Roman"/>
          <w:color w:val="auto"/>
          <w:sz w:val="24"/>
          <w:highlight w:val="none"/>
        </w:rPr>
        <w:t>出现前款规定情形，不影响采购公平、公正性的，采购代理机构可以待上述情形消除后继续组织电子交易活动；影响或可能影响采购公平、公正性的，应当重新采购。</w:t>
      </w:r>
    </w:p>
    <w:p w14:paraId="10C6C2AC">
      <w:pPr>
        <w:adjustRightInd w:val="0"/>
        <w:snapToGrid w:val="0"/>
        <w:spacing w:line="360" w:lineRule="auto"/>
        <w:jc w:val="center"/>
        <w:rPr>
          <w:rFonts w:hAnsi="宋体"/>
          <w:b/>
          <w:bCs/>
          <w:color w:val="auto"/>
          <w:sz w:val="24"/>
          <w:szCs w:val="20"/>
          <w:highlight w:val="none"/>
        </w:rPr>
      </w:pPr>
      <w:r>
        <w:rPr>
          <w:rFonts w:hint="eastAsia" w:hAnsi="宋体"/>
          <w:b/>
          <w:bCs/>
          <w:color w:val="auto"/>
          <w:sz w:val="24"/>
          <w:szCs w:val="20"/>
          <w:highlight w:val="none"/>
        </w:rPr>
        <w:t>七、定标</w:t>
      </w:r>
    </w:p>
    <w:p w14:paraId="44D2F594">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w:t>
      </w:r>
      <w:r>
        <w:rPr>
          <w:rFonts w:ascii="宋体" w:hAnsi="宋体" w:cs="宋体"/>
          <w:b/>
          <w:bCs/>
          <w:color w:val="auto"/>
          <w:sz w:val="24"/>
          <w:highlight w:val="none"/>
        </w:rPr>
        <w:t>6.</w:t>
      </w:r>
      <w:r>
        <w:rPr>
          <w:rFonts w:hint="eastAsia" w:ascii="宋体" w:hAnsi="宋体" w:cs="宋体"/>
          <w:b/>
          <w:bCs/>
          <w:color w:val="auto"/>
          <w:sz w:val="24"/>
          <w:highlight w:val="none"/>
        </w:rPr>
        <w:t>定标</w:t>
      </w:r>
    </w:p>
    <w:p w14:paraId="674A9ECF">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磋商小组将根据磋商文件和有关规定，履行评标工作职责，以磋商办法为标准，全面衡量各磋商响应方对磋商文件的响应情况。对实质上响应磋商文件的磋商响应方，以打分的方法，排出推荐成交的磋商响应方的先后顺序，并按顺序提出授标建议。磋商结果报经采购人同意，最终确定成交人。</w:t>
      </w:r>
    </w:p>
    <w:p w14:paraId="247E1E5A">
      <w:pPr>
        <w:pStyle w:val="12"/>
        <w:spacing w:line="440" w:lineRule="exact"/>
        <w:jc w:val="center"/>
        <w:rPr>
          <w:rFonts w:ascii="Times New Roman" w:hAnsi="宋体"/>
          <w:b/>
          <w:bCs/>
          <w:color w:val="auto"/>
          <w:sz w:val="24"/>
          <w:highlight w:val="none"/>
        </w:rPr>
      </w:pPr>
      <w:r>
        <w:rPr>
          <w:rFonts w:hint="eastAsia" w:ascii="Times New Roman" w:hAnsi="宋体"/>
          <w:b/>
          <w:bCs/>
          <w:color w:val="auto"/>
          <w:sz w:val="24"/>
          <w:highlight w:val="none"/>
        </w:rPr>
        <w:t>八</w:t>
      </w:r>
      <w:r>
        <w:rPr>
          <w:rFonts w:ascii="Times New Roman" w:hAnsi="宋体"/>
          <w:b/>
          <w:bCs/>
          <w:color w:val="auto"/>
          <w:sz w:val="24"/>
          <w:highlight w:val="none"/>
        </w:rPr>
        <w:t>、</w:t>
      </w:r>
      <w:r>
        <w:rPr>
          <w:rFonts w:hint="eastAsia" w:ascii="Times New Roman" w:hAnsi="宋体"/>
          <w:b/>
          <w:bCs/>
          <w:color w:val="auto"/>
          <w:sz w:val="24"/>
          <w:highlight w:val="none"/>
        </w:rPr>
        <w:t>合同签订及其他</w:t>
      </w:r>
    </w:p>
    <w:p w14:paraId="38F8D5BD">
      <w:pPr>
        <w:pStyle w:val="12"/>
        <w:spacing w:line="440" w:lineRule="exact"/>
        <w:rPr>
          <w:rFonts w:hAnsi="宋体"/>
          <w:b/>
          <w:color w:val="auto"/>
          <w:sz w:val="24"/>
          <w:highlight w:val="none"/>
        </w:rPr>
      </w:pPr>
      <w:r>
        <w:rPr>
          <w:rFonts w:hint="eastAsia" w:hAnsi="宋体"/>
          <w:b/>
          <w:bCs/>
          <w:color w:val="auto"/>
          <w:sz w:val="24"/>
          <w:highlight w:val="none"/>
        </w:rPr>
        <w:t>37</w:t>
      </w:r>
      <w:r>
        <w:rPr>
          <w:rFonts w:hint="eastAsia" w:hAnsi="宋体"/>
          <w:b/>
          <w:color w:val="auto"/>
          <w:sz w:val="24"/>
          <w:highlight w:val="none"/>
        </w:rPr>
        <w:t>.合同的签订</w:t>
      </w:r>
    </w:p>
    <w:p w14:paraId="5035CC38">
      <w:pPr>
        <w:pStyle w:val="12"/>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成交供应商</w:t>
      </w:r>
      <w:r>
        <w:rPr>
          <w:rFonts w:ascii="Times New Roman" w:hAnsi="Times New Roman"/>
          <w:color w:val="auto"/>
          <w:sz w:val="24"/>
          <w:highlight w:val="none"/>
        </w:rPr>
        <w:t>按</w:t>
      </w:r>
      <w:r>
        <w:rPr>
          <w:rFonts w:hint="eastAsia" w:ascii="Times New Roman" w:hAnsi="Times New Roman"/>
          <w:color w:val="auto"/>
          <w:sz w:val="24"/>
          <w:highlight w:val="none"/>
        </w:rPr>
        <w:t>约定</w:t>
      </w:r>
      <w:r>
        <w:rPr>
          <w:rFonts w:ascii="Times New Roman" w:hAnsi="Times New Roman"/>
          <w:color w:val="auto"/>
          <w:sz w:val="24"/>
          <w:highlight w:val="none"/>
        </w:rPr>
        <w:t>的时间、地点，由法定代表人或授权代表与采购人签订合同。</w:t>
      </w:r>
    </w:p>
    <w:p w14:paraId="22CD1F25">
      <w:pPr>
        <w:pStyle w:val="45"/>
        <w:spacing w:line="360" w:lineRule="auto"/>
        <w:ind w:firstLine="482"/>
        <w:jc w:val="center"/>
        <w:outlineLvl w:val="1"/>
        <w:rPr>
          <w:rFonts w:hAnsi="宋体"/>
          <w:b/>
          <w:bCs/>
          <w:color w:val="auto"/>
          <w:sz w:val="24"/>
          <w:highlight w:val="none"/>
        </w:rPr>
      </w:pPr>
      <w:r>
        <w:rPr>
          <w:rFonts w:hint="eastAsia" w:hAnsi="宋体"/>
          <w:b/>
          <w:bCs/>
          <w:color w:val="auto"/>
          <w:sz w:val="24"/>
          <w:highlight w:val="none"/>
        </w:rPr>
        <w:t>九、质疑与投诉</w:t>
      </w:r>
    </w:p>
    <w:p w14:paraId="62AA633D">
      <w:pPr>
        <w:pStyle w:val="68"/>
        <w:spacing w:before="0"/>
        <w:ind w:firstLine="480"/>
        <w:rPr>
          <w:rFonts w:ascii="宋体" w:hAnsi="宋体" w:eastAsia="宋体" w:cs="宋体"/>
          <w:bCs/>
          <w:color w:val="auto"/>
          <w:szCs w:val="24"/>
          <w:highlight w:val="none"/>
          <w:lang w:val="zh-CN"/>
        </w:rPr>
      </w:pPr>
      <w:r>
        <w:rPr>
          <w:rFonts w:hint="eastAsia" w:ascii="宋体" w:hAnsi="宋体" w:eastAsia="宋体" w:cs="宋体"/>
          <w:bCs/>
          <w:color w:val="auto"/>
          <w:szCs w:val="24"/>
          <w:highlight w:val="none"/>
          <w:lang w:val="zh-CN"/>
        </w:rPr>
        <w:t>根据《中华人民共和国政府采购法》、</w:t>
      </w:r>
      <w:r>
        <w:rPr>
          <w:rFonts w:hint="eastAsia" w:ascii="宋体" w:hAnsi="宋体" w:eastAsia="宋体" w:cs="宋体"/>
          <w:bCs/>
          <w:color w:val="auto"/>
          <w:szCs w:val="24"/>
          <w:highlight w:val="none"/>
        </w:rPr>
        <w:t>《政府采购质疑和投诉办法》（中华人民共和国财政部令第94号）、</w:t>
      </w:r>
      <w:r>
        <w:rPr>
          <w:rFonts w:hint="eastAsia" w:ascii="宋体" w:hAnsi="宋体" w:eastAsia="宋体" w:cs="宋体"/>
          <w:bCs/>
          <w:color w:val="auto"/>
          <w:szCs w:val="24"/>
          <w:highlight w:val="none"/>
          <w:lang w:val="zh-CN"/>
        </w:rPr>
        <w:t>《财政部关于加强政府采购供应商投诉受理审查工作的通知》(财库〔2007〕1号)和《浙江省政府采购供应商质疑处理办法》（浙财采监[2012]18号）的规定，政府采购供应商可以依法提起质疑和投诉。</w:t>
      </w:r>
    </w:p>
    <w:p w14:paraId="4762C23C">
      <w:pPr>
        <w:pStyle w:val="12"/>
        <w:spacing w:line="440" w:lineRule="exact"/>
        <w:rPr>
          <w:rFonts w:hAnsi="宋体"/>
          <w:b/>
          <w:bCs/>
          <w:color w:val="auto"/>
          <w:sz w:val="24"/>
          <w:highlight w:val="none"/>
        </w:rPr>
      </w:pPr>
      <w:r>
        <w:rPr>
          <w:rFonts w:hint="eastAsia" w:hAnsi="宋体"/>
          <w:b/>
          <w:bCs/>
          <w:color w:val="auto"/>
          <w:sz w:val="24"/>
          <w:highlight w:val="none"/>
        </w:rPr>
        <w:t>38.供应商询问</w:t>
      </w:r>
    </w:p>
    <w:p w14:paraId="6792B67E">
      <w:pPr>
        <w:pStyle w:val="68"/>
        <w:spacing w:before="0"/>
        <w:ind w:firstLine="480"/>
        <w:rPr>
          <w:rFonts w:ascii="宋体" w:hAnsi="宋体" w:eastAsia="宋体" w:cs="宋体"/>
          <w:bCs/>
          <w:color w:val="auto"/>
          <w:szCs w:val="24"/>
          <w:highlight w:val="none"/>
          <w:lang w:val="zh-CN"/>
        </w:rPr>
      </w:pPr>
      <w:r>
        <w:rPr>
          <w:rFonts w:hint="eastAsia" w:ascii="宋体" w:hAnsi="宋体" w:eastAsia="宋体" w:cs="宋体"/>
          <w:bCs/>
          <w:color w:val="auto"/>
          <w:szCs w:val="24"/>
          <w:highlight w:val="none"/>
        </w:rPr>
        <w:t>供应商对政府采购活动事项有疑问的，可以向采购机构提出询问，采购机构将在3个工作日内对供应商依法提出的询问作出答复，但答复的内容不得涉及商业秘密。</w:t>
      </w:r>
    </w:p>
    <w:p w14:paraId="4679CAAC">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39.供应商质疑</w:t>
      </w:r>
    </w:p>
    <w:p w14:paraId="77A10F4C">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39.1供应商认为采购文件、采购过程和中标、成交结果使自己的权益受到损害的，可以在知道或者应知其权益受到损害之日起七个工作日内，以书面形式向采购机构提出质疑。</w:t>
      </w:r>
    </w:p>
    <w:p w14:paraId="1B2D9F90">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39.1.1供应商如认为采购公告信息使自身的合法权益受到损害的，应于自采购公告发布之日起七个工作日内以书面形式向采购机构提出质疑；</w:t>
      </w:r>
    </w:p>
    <w:p w14:paraId="19D4AA53">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39.1.2供应商如认为采购文件使自身的合法权益受到损害的，应于自获取采购文件之日起七个工作日内以书面形式向采购机构提出质疑（公告期限届满后获取采购文件的，应于公告期限届满之日起七个工作日内以书面形式向采购机构提出）；</w:t>
      </w:r>
    </w:p>
    <w:p w14:paraId="3E235AD5">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39.1.3供应商如认为采购过程和成交结果使自身的合法权益受到损害的，应于自成交结果公告之日起七个工作日内以书面形式向采购机构提出质疑。</w:t>
      </w:r>
    </w:p>
    <w:p w14:paraId="7307EC4C">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39.2、供应商提交的质疑书需一式三份，由法定代表人签字（或盖章）并加盖单位公章。质疑书至少应包括下列主要内容：</w:t>
      </w:r>
    </w:p>
    <w:p w14:paraId="74B286C6">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39.2.1质疑人的名称、地址、邮政编码、联系人、联系电话，以及被质疑人名称及联系方式；</w:t>
      </w:r>
    </w:p>
    <w:p w14:paraId="4464ED52">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39.2.2被质疑采购项目名称、编号及采购内容；</w:t>
      </w:r>
    </w:p>
    <w:p w14:paraId="35F5CAA0">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39.2.3具体的质疑事项及事实依据；</w:t>
      </w:r>
    </w:p>
    <w:p w14:paraId="623D1863">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39.2.4认为自己合法权益受到损害或可能受到损害的相关证据材料；</w:t>
      </w:r>
    </w:p>
    <w:p w14:paraId="468372E0">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39.2.5提出质疑的日期。</w:t>
      </w:r>
    </w:p>
    <w:p w14:paraId="0EE3677B">
      <w:pPr>
        <w:pStyle w:val="68"/>
        <w:spacing w:before="0"/>
        <w:ind w:firstLine="0" w:firstLineChars="0"/>
        <w:rPr>
          <w:rFonts w:ascii="宋体" w:hAnsi="宋体" w:eastAsia="宋体"/>
          <w:color w:val="auto"/>
          <w:szCs w:val="20"/>
          <w:highlight w:val="none"/>
        </w:rPr>
      </w:pPr>
      <w:r>
        <w:rPr>
          <w:rFonts w:hint="eastAsia" w:ascii="宋体" w:hAnsi="宋体" w:eastAsia="宋体"/>
          <w:color w:val="auto"/>
          <w:szCs w:val="20"/>
          <w:highlight w:val="none"/>
        </w:rPr>
        <w:t>39.3采购单位和采购代理机构应当在收到供应商的书面质疑后七个工作日内作出答复，并以书面形式通知质疑供应商和其他与质疑处理结果有利害关系的政府采购当事人，但答复的内容不得涉及商业秘密。</w:t>
      </w:r>
    </w:p>
    <w:p w14:paraId="4AF366B2">
      <w:pPr>
        <w:pStyle w:val="68"/>
        <w:spacing w:before="0"/>
        <w:ind w:firstLine="0" w:firstLineChars="0"/>
        <w:rPr>
          <w:rFonts w:ascii="宋体" w:hAnsi="宋体"/>
          <w:b/>
          <w:color w:val="auto"/>
          <w:highlight w:val="none"/>
        </w:rPr>
      </w:pPr>
      <w:r>
        <w:rPr>
          <w:rFonts w:hint="eastAsia" w:ascii="宋体" w:hAnsi="宋体" w:eastAsia="宋体"/>
          <w:b/>
          <w:color w:val="auto"/>
          <w:highlight w:val="none"/>
        </w:rPr>
        <w:t>4</w:t>
      </w:r>
      <w:r>
        <w:rPr>
          <w:rFonts w:ascii="宋体" w:hAnsi="宋体" w:eastAsia="宋体"/>
          <w:b/>
          <w:color w:val="auto"/>
          <w:highlight w:val="none"/>
        </w:rPr>
        <w:t>0</w:t>
      </w:r>
      <w:r>
        <w:rPr>
          <w:rFonts w:hint="eastAsia" w:ascii="宋体" w:hAnsi="宋体"/>
          <w:b/>
          <w:color w:val="auto"/>
          <w:highlight w:val="none"/>
        </w:rPr>
        <w:t>.</w:t>
      </w:r>
      <w:r>
        <w:rPr>
          <w:rFonts w:hint="eastAsia" w:ascii="宋体" w:hAnsi="宋体" w:eastAsia="宋体" w:cs="宋体"/>
          <w:b/>
          <w:color w:val="auto"/>
          <w:highlight w:val="none"/>
        </w:rPr>
        <w:t>供应商</w:t>
      </w:r>
      <w:r>
        <w:rPr>
          <w:rFonts w:hint="eastAsia" w:ascii="宋体" w:hAnsi="宋体"/>
          <w:b/>
          <w:color w:val="auto"/>
          <w:highlight w:val="none"/>
        </w:rPr>
        <w:t>投诉</w:t>
      </w:r>
    </w:p>
    <w:p w14:paraId="7948E3B1">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质疑供应商对</w:t>
      </w:r>
      <w:r>
        <w:rPr>
          <w:rFonts w:hint="eastAsia" w:ascii="宋体" w:hAnsi="宋体"/>
          <w:color w:val="auto"/>
          <w:sz w:val="24"/>
          <w:highlight w:val="none"/>
        </w:rPr>
        <w:t>采购单位和采购代理机构</w:t>
      </w:r>
      <w:r>
        <w:rPr>
          <w:rFonts w:hint="eastAsia" w:ascii="宋体" w:hAnsi="宋体"/>
          <w:color w:val="auto"/>
          <w:sz w:val="24"/>
          <w:szCs w:val="20"/>
          <w:highlight w:val="none"/>
        </w:rPr>
        <w:t>的答复不满意或者采购机构未在规定的时间内作出答复的，可以在答复期满后十五个工作日内向同级政府采购监督管理部门提出投诉。</w:t>
      </w:r>
    </w:p>
    <w:p w14:paraId="21587B32">
      <w:pPr>
        <w:spacing w:line="360" w:lineRule="auto"/>
        <w:rPr>
          <w:rFonts w:ascii="宋体" w:hAnsi="宋体"/>
          <w:b/>
          <w:color w:val="auto"/>
          <w:sz w:val="24"/>
          <w:highlight w:val="none"/>
        </w:rPr>
      </w:pPr>
      <w:r>
        <w:rPr>
          <w:rFonts w:hint="eastAsia" w:ascii="宋体" w:hAnsi="宋体"/>
          <w:b/>
          <w:color w:val="auto"/>
          <w:sz w:val="24"/>
          <w:highlight w:val="none"/>
        </w:rPr>
        <w:t>4</w:t>
      </w:r>
      <w:r>
        <w:rPr>
          <w:rFonts w:ascii="宋体" w:hAnsi="宋体"/>
          <w:b/>
          <w:color w:val="auto"/>
          <w:sz w:val="24"/>
          <w:highlight w:val="none"/>
        </w:rPr>
        <w:t>1</w:t>
      </w:r>
      <w:r>
        <w:rPr>
          <w:rFonts w:hint="eastAsia" w:ascii="宋体" w:hAnsi="宋体"/>
          <w:b/>
          <w:color w:val="auto"/>
          <w:sz w:val="24"/>
          <w:highlight w:val="none"/>
        </w:rPr>
        <w:t>．解释权</w:t>
      </w:r>
    </w:p>
    <w:p w14:paraId="0F2A327C">
      <w:pPr>
        <w:pStyle w:val="12"/>
        <w:spacing w:line="440" w:lineRule="exact"/>
        <w:jc w:val="center"/>
        <w:rPr>
          <w:rFonts w:ascii="Times New Roman" w:hAnsi="宋体"/>
          <w:b/>
          <w:bCs/>
          <w:color w:val="auto"/>
          <w:sz w:val="24"/>
          <w:highlight w:val="none"/>
        </w:rPr>
      </w:pPr>
      <w:r>
        <w:rPr>
          <w:rFonts w:hint="eastAsia" w:hAnsi="宋体"/>
          <w:color w:val="auto"/>
          <w:sz w:val="24"/>
          <w:highlight w:val="none"/>
        </w:rPr>
        <w:t>凡涉及本次磋商采购文件的解释权均属于</w:t>
      </w:r>
      <w:r>
        <w:rPr>
          <w:rFonts w:hint="eastAsia" w:hAnsi="宋体" w:cs="宋体"/>
          <w:color w:val="auto"/>
          <w:kern w:val="0"/>
          <w:sz w:val="24"/>
          <w:highlight w:val="none"/>
        </w:rPr>
        <w:t>杭州意信招标代理有限公司。</w:t>
      </w:r>
    </w:p>
    <w:p w14:paraId="19C4F2C1">
      <w:pPr>
        <w:snapToGrid w:val="0"/>
        <w:spacing w:line="360" w:lineRule="auto"/>
        <w:outlineLvl w:val="0"/>
        <w:rPr>
          <w:b/>
          <w:color w:val="auto"/>
          <w:sz w:val="36"/>
          <w:szCs w:val="36"/>
          <w:highlight w:val="none"/>
        </w:rPr>
      </w:pPr>
    </w:p>
    <w:p w14:paraId="715B1107">
      <w:pPr>
        <w:widowControl/>
        <w:jc w:val="left"/>
        <w:rPr>
          <w:b/>
          <w:color w:val="auto"/>
          <w:sz w:val="36"/>
          <w:highlight w:val="none"/>
        </w:rPr>
      </w:pPr>
      <w:r>
        <w:rPr>
          <w:b/>
          <w:color w:val="auto"/>
          <w:sz w:val="36"/>
          <w:highlight w:val="none"/>
        </w:rPr>
        <w:br w:type="page"/>
      </w:r>
    </w:p>
    <w:p w14:paraId="5B545065">
      <w:pPr>
        <w:snapToGrid w:val="0"/>
        <w:spacing w:line="360" w:lineRule="auto"/>
        <w:jc w:val="center"/>
        <w:outlineLvl w:val="0"/>
        <w:rPr>
          <w:rFonts w:hint="eastAsia" w:eastAsia="宋体"/>
          <w:color w:val="auto"/>
          <w:sz w:val="32"/>
          <w:highlight w:val="none"/>
          <w:lang w:eastAsia="zh-CN"/>
        </w:rPr>
      </w:pPr>
      <w:r>
        <w:rPr>
          <w:b/>
          <w:color w:val="auto"/>
          <w:sz w:val="36"/>
          <w:highlight w:val="none"/>
        </w:rPr>
        <w:t>第</w:t>
      </w:r>
      <w:r>
        <w:rPr>
          <w:rFonts w:hint="eastAsia"/>
          <w:b/>
          <w:color w:val="auto"/>
          <w:sz w:val="36"/>
          <w:highlight w:val="none"/>
        </w:rPr>
        <w:t>三</w:t>
      </w:r>
      <w:r>
        <w:rPr>
          <w:b/>
          <w:color w:val="auto"/>
          <w:sz w:val="36"/>
          <w:highlight w:val="none"/>
        </w:rPr>
        <w:t>章、</w:t>
      </w:r>
      <w:r>
        <w:rPr>
          <w:rFonts w:hint="eastAsia"/>
          <w:b/>
          <w:color w:val="auto"/>
          <w:sz w:val="36"/>
          <w:highlight w:val="none"/>
          <w:lang w:eastAsia="zh-CN"/>
        </w:rPr>
        <w:t>采购需求</w:t>
      </w:r>
    </w:p>
    <w:p w14:paraId="77FC4215">
      <w:pPr>
        <w:adjustRightInd w:val="0"/>
        <w:snapToGrid w:val="0"/>
        <w:spacing w:line="360" w:lineRule="auto"/>
        <w:jc w:val="center"/>
        <w:rPr>
          <w:b/>
          <w:color w:val="auto"/>
          <w:sz w:val="32"/>
          <w:szCs w:val="32"/>
          <w:highlight w:val="none"/>
        </w:rPr>
      </w:pPr>
    </w:p>
    <w:p w14:paraId="342CFD5E">
      <w:pPr>
        <w:adjustRightInd w:val="0"/>
        <w:snapToGrid w:val="0"/>
        <w:spacing w:line="360" w:lineRule="auto"/>
        <w:outlineLvl w:val="0"/>
        <w:rPr>
          <w:rFonts w:hint="eastAsia" w:ascii="宋体" w:hAnsi="宋体"/>
          <w:b/>
          <w:color w:val="auto"/>
          <w:sz w:val="24"/>
          <w:szCs w:val="24"/>
          <w:highlight w:val="none"/>
        </w:rPr>
      </w:pPr>
      <w:r>
        <w:rPr>
          <w:rFonts w:hint="eastAsia" w:ascii="宋体" w:hAnsi="宋体"/>
          <w:b/>
          <w:color w:val="auto"/>
          <w:sz w:val="24"/>
          <w:szCs w:val="24"/>
          <w:highlight w:val="none"/>
        </w:rPr>
        <w:t>一、项目背景</w:t>
      </w:r>
    </w:p>
    <w:p w14:paraId="6C67B304">
      <w:pPr>
        <w:spacing w:line="360" w:lineRule="auto"/>
        <w:ind w:firstLine="480" w:firstLineChars="200"/>
        <w:rPr>
          <w:color w:val="auto"/>
          <w:kern w:val="0"/>
          <w:sz w:val="24"/>
          <w:szCs w:val="24"/>
          <w:highlight w:val="none"/>
        </w:rPr>
      </w:pPr>
      <w:r>
        <w:rPr>
          <w:rFonts w:hint="eastAsia"/>
          <w:color w:val="auto"/>
          <w:kern w:val="0"/>
          <w:sz w:val="24"/>
          <w:szCs w:val="24"/>
          <w:highlight w:val="none"/>
        </w:rPr>
        <w:t>红色是中国共产党、中华人民共和国最鲜亮的底色。在实现中华民族伟大复兴的征程上，红色血脉代代相传，红色基因生生不息。党的十八大以来，以习近平同志为核心的党中央高度重视红色资源利用、红色基因传承工作。离休干部是党和国家的宝贵财富，在中国革命、建设和改革、发展时期都作出了巨大贡献，离休干部红色档案承载着鲜活的历史记忆，是红色资源的重要组成部分，是传承红色基因的重要载体。为把这些红色档案保管好、利用好，讲好红色故事，赓续红色血脉，在新的历史起点上把革命先辈开创的伟大事业不断推向前进，拟以2025年抗战胜利80周年为契机，联合省委党史和文献研究室、省档案馆等单位，开展离休干部红色档案挖掘保护和宣传展示工作。</w:t>
      </w:r>
    </w:p>
    <w:p w14:paraId="61CA651E">
      <w:pPr>
        <w:widowControl/>
        <w:spacing w:line="360" w:lineRule="auto"/>
        <w:jc w:val="left"/>
        <w:rPr>
          <w:rFonts w:hint="eastAsia" w:ascii="宋体" w:hAnsi="宋体" w:cs="Arial"/>
          <w:b/>
          <w:bCs/>
          <w:color w:val="auto"/>
          <w:sz w:val="24"/>
          <w:szCs w:val="24"/>
          <w:highlight w:val="none"/>
        </w:rPr>
      </w:pPr>
      <w:r>
        <w:rPr>
          <w:rFonts w:hint="eastAsia" w:ascii="宋体" w:hAnsi="宋体" w:cs="Arial"/>
          <w:b/>
          <w:bCs/>
          <w:color w:val="auto"/>
          <w:sz w:val="24"/>
          <w:szCs w:val="24"/>
          <w:highlight w:val="none"/>
          <w:lang w:val="en-US" w:eastAsia="zh-CN"/>
        </w:rPr>
        <w:t>二</w:t>
      </w:r>
      <w:r>
        <w:rPr>
          <w:rFonts w:hint="eastAsia" w:ascii="宋体" w:hAnsi="宋体" w:cs="Arial"/>
          <w:b/>
          <w:bCs/>
          <w:color w:val="auto"/>
          <w:sz w:val="24"/>
          <w:szCs w:val="24"/>
          <w:highlight w:val="none"/>
        </w:rPr>
        <w:t>、主题</w:t>
      </w:r>
    </w:p>
    <w:p w14:paraId="72532D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b w:val="0"/>
          <w:bCs w:val="0"/>
          <w:color w:val="auto"/>
          <w:sz w:val="24"/>
          <w:szCs w:val="24"/>
          <w:highlight w:val="none"/>
        </w:rPr>
      </w:pPr>
      <w:r>
        <w:rPr>
          <w:rFonts w:hint="eastAsia" w:ascii="宋体" w:hAnsi="宋体" w:cs="Arial"/>
          <w:b w:val="0"/>
          <w:bCs w:val="0"/>
          <w:color w:val="auto"/>
          <w:sz w:val="24"/>
          <w:szCs w:val="24"/>
          <w:highlight w:val="none"/>
        </w:rPr>
        <w:t>“传承红色基因，赓续红色血脉”——浙江省离休干部红色档案挖掘保护和宣传展示工作。</w:t>
      </w:r>
    </w:p>
    <w:p w14:paraId="27DCFACD">
      <w:pPr>
        <w:widowControl/>
        <w:spacing w:line="360" w:lineRule="auto"/>
        <w:jc w:val="left"/>
        <w:rPr>
          <w:rFonts w:hint="eastAsia" w:ascii="宋体" w:hAnsi="宋体" w:cs="Arial"/>
          <w:b/>
          <w:bCs/>
          <w:color w:val="auto"/>
          <w:sz w:val="24"/>
          <w:szCs w:val="24"/>
          <w:highlight w:val="none"/>
        </w:rPr>
      </w:pPr>
      <w:r>
        <w:rPr>
          <w:rFonts w:hint="eastAsia" w:ascii="宋体" w:hAnsi="宋体" w:cs="Arial"/>
          <w:b/>
          <w:bCs/>
          <w:color w:val="auto"/>
          <w:sz w:val="24"/>
          <w:szCs w:val="24"/>
          <w:highlight w:val="none"/>
          <w:lang w:val="en-US" w:eastAsia="zh-CN"/>
        </w:rPr>
        <w:t>三</w:t>
      </w:r>
      <w:r>
        <w:rPr>
          <w:rFonts w:hint="eastAsia" w:ascii="宋体" w:hAnsi="宋体" w:cs="Arial"/>
          <w:b/>
          <w:bCs/>
          <w:color w:val="auto"/>
          <w:sz w:val="24"/>
          <w:szCs w:val="24"/>
          <w:highlight w:val="none"/>
        </w:rPr>
        <w:t>、主要内容：</w:t>
      </w:r>
    </w:p>
    <w:p w14:paraId="296C3317">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向全省离休干部广泛征集奖章勋章、书信证件、照片资料等珍贵的红色档案，以“传承”为主题，以“老物件”为切入口，回顾离休干部在各个历史时期的奋斗历程，举办“</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个一”系列活动，让广大干部群众重温无悔奋斗的峥嵘岁月，更直观地触碰历史、读懂历史，在红色档案中与革命先辈血脉相通，将离休干部“个人记忆”转化为更多人心中的“红色烙印”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鼓舞广大干部群众发扬红色传统，赓续伟大精神，激励担当作为。</w:t>
      </w:r>
    </w:p>
    <w:p w14:paraId="3BCE0C27">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开展一次融媒传播。整合多方资源，全方位、立体式讲述离休干部光辉事迹。充分发挥融媒传播优势，联合省内主流媒体，开设专题专栏，通过图文报道、人物访谈、短视频分享等多种形式，对入选的离休干部红色档案进行深度报道，广泛传播，扩大活动社会影响力。</w:t>
      </w:r>
      <w:r>
        <w:rPr>
          <w:rFonts w:hint="eastAsia" w:ascii="宋体" w:hAnsi="宋体" w:cs="宋体"/>
          <w:color w:val="auto"/>
          <w:sz w:val="24"/>
          <w:szCs w:val="24"/>
          <w:highlight w:val="none"/>
          <w:lang w:val="en-US" w:eastAsia="zh-CN"/>
        </w:rPr>
        <w:t>预计实施</w:t>
      </w:r>
      <w:r>
        <w:rPr>
          <w:rFonts w:hint="eastAsia" w:ascii="宋体" w:hAnsi="宋体" w:eastAsia="宋体" w:cs="宋体"/>
          <w:color w:val="auto"/>
          <w:sz w:val="24"/>
          <w:szCs w:val="24"/>
          <w:highlight w:val="none"/>
          <w:lang w:val="zh-CN"/>
        </w:rPr>
        <w:t>时间：</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lang w:val="zh-CN"/>
        </w:rPr>
        <w:t>7-9月。</w:t>
      </w:r>
    </w:p>
    <w:p w14:paraId="167E3924">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举办一个主题展览。拟在广泛征集素材的基础上，在浙江老年大学一楼展厅举办主题展览。通过珍贵的历史照片、详实的文字资料、生动的实物展品等，展现离休干部在不同历史时期的理想信念、奋斗足迹与卓越成就。</w:t>
      </w:r>
      <w:r>
        <w:rPr>
          <w:rFonts w:hint="eastAsia" w:ascii="宋体" w:hAnsi="宋体" w:cs="宋体"/>
          <w:color w:val="auto"/>
          <w:sz w:val="24"/>
          <w:szCs w:val="24"/>
          <w:highlight w:val="none"/>
          <w:lang w:val="en-US" w:eastAsia="zh-CN"/>
        </w:rPr>
        <w:t>预计实施</w:t>
      </w:r>
      <w:r>
        <w:rPr>
          <w:rFonts w:hint="eastAsia" w:ascii="宋体" w:hAnsi="宋体" w:eastAsia="宋体" w:cs="宋体"/>
          <w:color w:val="auto"/>
          <w:sz w:val="24"/>
          <w:szCs w:val="24"/>
          <w:highlight w:val="none"/>
          <w:lang w:val="zh-CN"/>
        </w:rPr>
        <w:t>时间：</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lang w:val="zh-CN"/>
        </w:rPr>
        <w:t>8-9月。</w:t>
      </w:r>
    </w:p>
    <w:p w14:paraId="6161E986">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3.出版一本书籍。深入挖掘离休干部红色档案以及背后鲜为人知的感人故事，以“一人一物一故事”的形式，出版一本讲述离休干部光辉事迹的书籍。</w:t>
      </w:r>
      <w:r>
        <w:rPr>
          <w:rFonts w:hint="eastAsia" w:ascii="宋体" w:hAnsi="宋体" w:cs="宋体"/>
          <w:color w:val="auto"/>
          <w:sz w:val="24"/>
          <w:szCs w:val="24"/>
          <w:highlight w:val="none"/>
          <w:lang w:val="en-US" w:eastAsia="zh-CN"/>
        </w:rPr>
        <w:t>预计实施</w:t>
      </w:r>
      <w:r>
        <w:rPr>
          <w:rFonts w:hint="eastAsia" w:ascii="宋体" w:hAnsi="宋体" w:eastAsia="宋体" w:cs="宋体"/>
          <w:color w:val="auto"/>
          <w:sz w:val="24"/>
          <w:szCs w:val="24"/>
          <w:highlight w:val="none"/>
          <w:lang w:val="zh-CN"/>
        </w:rPr>
        <w:t>时间：</w:t>
      </w:r>
      <w:r>
        <w:rPr>
          <w:rFonts w:hint="eastAsia" w:ascii="宋体" w:hAnsi="宋体" w:cs="宋体"/>
          <w:color w:val="auto"/>
          <w:sz w:val="24"/>
          <w:szCs w:val="24"/>
          <w:highlight w:val="none"/>
          <w:lang w:val="en-US" w:eastAsia="zh-CN"/>
        </w:rPr>
        <w:t>2025年</w:t>
      </w:r>
      <w:r>
        <w:rPr>
          <w:rFonts w:hint="eastAsia" w:ascii="宋体" w:hAnsi="宋体" w:cs="宋体"/>
          <w:color w:val="auto"/>
          <w:sz w:val="24"/>
          <w:szCs w:val="24"/>
          <w:highlight w:val="none"/>
          <w:lang w:val="zh-CN" w:eastAsia="zh-CN"/>
        </w:rPr>
        <w:t>12月</w:t>
      </w:r>
      <w:r>
        <w:rPr>
          <w:rFonts w:hint="eastAsia" w:ascii="宋体" w:hAnsi="宋体" w:cs="宋体"/>
          <w:color w:val="auto"/>
          <w:sz w:val="24"/>
          <w:szCs w:val="24"/>
          <w:highlight w:val="none"/>
          <w:lang w:val="en-US" w:eastAsia="zh-CN"/>
        </w:rPr>
        <w:t>10日</w:t>
      </w:r>
      <w:r>
        <w:rPr>
          <w:rFonts w:hint="eastAsia" w:ascii="宋体" w:hAnsi="宋体" w:cs="宋体"/>
          <w:color w:val="auto"/>
          <w:sz w:val="24"/>
          <w:szCs w:val="24"/>
          <w:highlight w:val="none"/>
          <w:lang w:val="zh-CN" w:eastAsia="zh-CN"/>
        </w:rPr>
        <w:t>前。</w:t>
      </w:r>
    </w:p>
    <w:p w14:paraId="0813E6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四、物件征集</w:t>
      </w:r>
    </w:p>
    <w:p w14:paraId="162E08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（一）征集对象</w:t>
      </w:r>
    </w:p>
    <w:p w14:paraId="1BC270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全省健在的离休干部。</w:t>
      </w:r>
    </w:p>
    <w:p w14:paraId="21815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（二）征集内容</w:t>
      </w:r>
    </w:p>
    <w:p w14:paraId="567F53F9">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t>奖章勋章、书信证件、日记笔记、照片音像视频等珍贵的红色档案资料，以及与该档案资料相关的、离休干部的光辉事迹。</w:t>
      </w:r>
    </w:p>
    <w:p w14:paraId="306E51DA">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t>（一）红色档案资料</w:t>
      </w:r>
    </w:p>
    <w:p w14:paraId="08326CC2">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t>1.文本类档案资料。</w:t>
      </w:r>
      <w:r>
        <w:rPr>
          <w:rFonts w:hint="eastAsia" w:asciiTheme="minorEastAsia" w:hAnsiTheme="minorEastAsia" w:eastAsiaTheme="minorEastAsia" w:cstheme="minorEastAsia"/>
          <w:bCs/>
          <w:color w:val="auto"/>
          <w:sz w:val="24"/>
          <w:szCs w:val="24"/>
          <w:highlight w:val="none"/>
          <w:shd w:val="clear" w:color="auto" w:fill="auto"/>
        </w:rPr>
        <w:t>反映老同志</w:t>
      </w:r>
      <w:r>
        <w:rPr>
          <w:rFonts w:hint="eastAsia" w:asciiTheme="minorEastAsia" w:hAnsiTheme="minorEastAsia" w:eastAsiaTheme="minorEastAsia" w:cstheme="minorEastAsia"/>
          <w:bCs/>
          <w:color w:val="auto"/>
          <w:sz w:val="24"/>
          <w:szCs w:val="24"/>
          <w:highlight w:val="none"/>
          <w:shd w:val="clear" w:color="auto" w:fill="auto"/>
          <w:lang w:eastAsia="zh-CN"/>
        </w:rPr>
        <w:t>参与</w:t>
      </w:r>
      <w:r>
        <w:rPr>
          <w:rFonts w:hint="eastAsia" w:asciiTheme="minorEastAsia" w:hAnsiTheme="minorEastAsia" w:eastAsiaTheme="minorEastAsia" w:cstheme="minorEastAsia"/>
          <w:bCs/>
          <w:color w:val="auto"/>
          <w:sz w:val="24"/>
          <w:szCs w:val="24"/>
          <w:highlight w:val="none"/>
          <w:shd w:val="clear" w:color="auto" w:fill="auto"/>
        </w:rPr>
        <w:t>重要政务活动、主要社会活动及个人经历的工作</w:t>
      </w:r>
      <w:r>
        <w:rPr>
          <w:rFonts w:hint="eastAsia" w:asciiTheme="minorEastAsia" w:hAnsiTheme="minorEastAsia" w:eastAsiaTheme="minorEastAsia" w:cstheme="minorEastAsia"/>
          <w:bCs/>
          <w:color w:val="auto"/>
          <w:sz w:val="24"/>
          <w:szCs w:val="24"/>
          <w:highlight w:val="none"/>
          <w:shd w:val="clear" w:color="auto" w:fill="auto"/>
          <w:lang w:eastAsia="zh-CN"/>
        </w:rPr>
        <w:t>日记</w:t>
      </w:r>
      <w:r>
        <w:rPr>
          <w:rFonts w:hint="eastAsia" w:asciiTheme="minorEastAsia" w:hAnsiTheme="minorEastAsia" w:eastAsiaTheme="minorEastAsia" w:cstheme="minorEastAsia"/>
          <w:bCs/>
          <w:color w:val="auto"/>
          <w:sz w:val="24"/>
          <w:szCs w:val="24"/>
          <w:highlight w:val="none"/>
          <w:shd w:val="clear" w:color="auto" w:fill="auto"/>
        </w:rPr>
        <w:t>笔记、</w:t>
      </w:r>
      <w:r>
        <w:rPr>
          <w:rFonts w:hint="eastAsia" w:asciiTheme="minorEastAsia" w:hAnsiTheme="minorEastAsia" w:eastAsiaTheme="minorEastAsia" w:cstheme="minorEastAsia"/>
          <w:bCs/>
          <w:color w:val="auto"/>
          <w:sz w:val="24"/>
          <w:szCs w:val="24"/>
          <w:highlight w:val="none"/>
          <w:shd w:val="clear" w:color="auto" w:fill="auto"/>
          <w:lang w:eastAsia="zh-CN"/>
        </w:rPr>
        <w:t>书信函件</w:t>
      </w:r>
      <w:r>
        <w:rPr>
          <w:rFonts w:hint="eastAsia" w:asciiTheme="minorEastAsia" w:hAnsiTheme="minorEastAsia" w:eastAsiaTheme="minorEastAsia" w:cstheme="minorEastAsia"/>
          <w:bCs/>
          <w:color w:val="auto"/>
          <w:sz w:val="24"/>
          <w:szCs w:val="24"/>
          <w:highlight w:val="none"/>
          <w:shd w:val="clear" w:color="auto" w:fill="auto"/>
        </w:rPr>
        <w:t>、任职文书、履历表、讲话稿、调研报告、</w:t>
      </w:r>
      <w:r>
        <w:rPr>
          <w:rFonts w:hint="eastAsia" w:asciiTheme="minorEastAsia" w:hAnsiTheme="minorEastAsia" w:eastAsiaTheme="minorEastAsia" w:cstheme="minorEastAsia"/>
          <w:bCs/>
          <w:color w:val="auto"/>
          <w:sz w:val="24"/>
          <w:szCs w:val="24"/>
          <w:highlight w:val="none"/>
          <w:shd w:val="clear" w:color="auto" w:fill="auto"/>
          <w:lang w:eastAsia="zh-CN"/>
        </w:rPr>
        <w:t>传记、回忆录、家风家训</w:t>
      </w:r>
      <w:r>
        <w:rPr>
          <w:rFonts w:hint="eastAsia" w:asciiTheme="minorEastAsia" w:hAnsiTheme="minorEastAsia" w:eastAsiaTheme="minorEastAsia" w:cstheme="minorEastAsia"/>
          <w:bCs/>
          <w:color w:val="auto"/>
          <w:sz w:val="24"/>
          <w:szCs w:val="24"/>
          <w:highlight w:val="none"/>
          <w:shd w:val="clear" w:color="auto" w:fill="auto"/>
        </w:rPr>
        <w:t>等文字资料。</w:t>
      </w:r>
    </w:p>
    <w:p w14:paraId="78977769">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t>2.实物类档案资料。</w:t>
      </w:r>
      <w:r>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t>反映老同志个人经历、资历、功绩的军服、徽章、奖章、证书、工作证件、代表证件、行军用品以及票据、契约、地图、牌匾、碑刻、宣传品、旗帜、会标等具有时代特色、教育功能和纪念意义的实物资料。</w:t>
      </w:r>
    </w:p>
    <w:p w14:paraId="69E208EE">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t>3.声像类档案资料。</w:t>
      </w:r>
      <w:r>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t>与老同志相关的、</w:t>
      </w:r>
      <w:r>
        <w:rPr>
          <w:rFonts w:hint="eastAsia" w:asciiTheme="minorEastAsia" w:hAnsiTheme="minorEastAsia" w:eastAsiaTheme="minorEastAsia" w:cstheme="minorEastAsia"/>
          <w:bCs/>
          <w:color w:val="auto"/>
          <w:sz w:val="24"/>
          <w:szCs w:val="24"/>
          <w:highlight w:val="none"/>
          <w:shd w:val="clear" w:color="auto" w:fill="auto"/>
        </w:rPr>
        <w:t>具有特殊意义和纪念价值的</w:t>
      </w:r>
      <w:r>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t>照片、图片、录音、录像资料，个人或群像资料皆可。</w:t>
      </w:r>
    </w:p>
    <w:p w14:paraId="4626A8A1">
      <w:pPr>
        <w:pStyle w:val="91"/>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80" w:firstLineChars="200"/>
        <w:textAlignment w:val="auto"/>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b w:val="0"/>
          <w:bCs w:val="0"/>
          <w:color w:val="auto"/>
          <w:spacing w:val="0"/>
          <w:kern w:val="2"/>
          <w:sz w:val="24"/>
          <w:szCs w:val="24"/>
          <w:highlight w:val="none"/>
          <w:shd w:val="clear" w:color="auto" w:fill="auto"/>
          <w:lang w:val="en-US" w:eastAsia="zh-CN" w:bidi="ar-SA"/>
        </w:rPr>
        <w:t>4.其他具有历史价值和典型意义的红色档案资料。</w:t>
      </w:r>
    </w:p>
    <w:p w14:paraId="1533CE61">
      <w:pPr>
        <w:keepNext w:val="0"/>
        <w:keepLines w:val="0"/>
        <w:pageBreakBefore w:val="0"/>
        <w:widowControl w:val="0"/>
        <w:suppressAutoHyphens/>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（二）离休干部事迹</w:t>
      </w:r>
    </w:p>
    <w:p w14:paraId="343EFFB1">
      <w:pPr>
        <w:keepNext w:val="0"/>
        <w:keepLines w:val="0"/>
        <w:pageBreakBefore w:val="0"/>
        <w:widowControl w:val="0"/>
        <w:suppressAutoHyphens/>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以“老物件”为切入口，完成离休干部故事采集，形成</w:t>
      </w:r>
      <w:r>
        <w:rPr>
          <w:rFonts w:hint="eastAsia" w:asciiTheme="minorEastAsia" w:hAnsiTheme="minorEastAsia" w:eastAsiaTheme="minorEastAsia" w:cstheme="minorEastAsia"/>
          <w:color w:val="auto"/>
          <w:kern w:val="2"/>
          <w:sz w:val="24"/>
          <w:szCs w:val="24"/>
          <w:highlight w:val="none"/>
          <w:shd w:val="clear" w:color="auto" w:fill="auto"/>
          <w:lang w:val="en-US" w:eastAsia="zh-CN" w:bidi="ar-SA"/>
        </w:rPr>
        <w:t>“一人一物一故事”。</w:t>
      </w:r>
      <w:r>
        <w:rPr>
          <w:rFonts w:hint="eastAsia" w:asciiTheme="minorEastAsia" w:hAnsiTheme="minorEastAsia" w:eastAsiaTheme="minorEastAsia" w:cstheme="minorEastAsia"/>
          <w:color w:val="auto"/>
          <w:spacing w:val="0"/>
          <w:kern w:val="2"/>
          <w:sz w:val="24"/>
          <w:szCs w:val="24"/>
          <w:highlight w:val="none"/>
          <w:shd w:val="clear" w:color="auto" w:fill="auto"/>
          <w:lang w:val="en-US" w:eastAsia="zh-CN" w:bidi="ar-SA"/>
        </w:rPr>
        <w:t>设置不同类型离休干部事迹，以充分挖掘不同时期、不同领域、不同岗位离休干部在坚定共产主义信仰、全心全意为人民服务、艰苦奋斗、廉洁自律、发挥余热、家风家教等方面的光辉事迹和感人故事。</w:t>
      </w:r>
    </w:p>
    <w:p w14:paraId="160931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五、项目要求</w:t>
      </w:r>
    </w:p>
    <w:p w14:paraId="06EE7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default" w:ascii="宋体" w:hAnsi="宋体" w:cs="宋体"/>
          <w:b w:val="0"/>
          <w:bCs w:val="0"/>
          <w:color w:val="auto"/>
          <w:kern w:val="2"/>
          <w:sz w:val="24"/>
          <w:szCs w:val="24"/>
          <w:highlight w:val="none"/>
          <w:lang w:val="en-US" w:eastAsia="zh-CN" w:bidi="ar-SA"/>
        </w:rPr>
        <w:t>融媒传播</w:t>
      </w:r>
      <w:r>
        <w:rPr>
          <w:rFonts w:hint="eastAsia" w:ascii="宋体" w:hAnsi="宋体" w:cs="宋体"/>
          <w:b w:val="0"/>
          <w:bCs w:val="0"/>
          <w:color w:val="auto"/>
          <w:kern w:val="2"/>
          <w:sz w:val="24"/>
          <w:szCs w:val="24"/>
          <w:highlight w:val="none"/>
          <w:lang w:val="en-US" w:eastAsia="zh-CN" w:bidi="ar-SA"/>
        </w:rPr>
        <w:t>：</w:t>
      </w:r>
    </w:p>
    <w:p w14:paraId="35093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default" w:ascii="宋体" w:hAnsi="宋体" w:cs="宋体"/>
          <w:b w:val="0"/>
          <w:bCs w:val="0"/>
          <w:color w:val="auto"/>
          <w:kern w:val="2"/>
          <w:sz w:val="24"/>
          <w:szCs w:val="24"/>
          <w:highlight w:val="none"/>
          <w:lang w:val="en-US" w:eastAsia="zh-CN" w:bidi="ar-SA"/>
        </w:rPr>
        <w:t>人物信息采集，包括对接、采访、文章图片整理、差旅费等。</w:t>
      </w:r>
    </w:p>
    <w:p w14:paraId="090FD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default" w:ascii="宋体" w:hAnsi="宋体" w:cs="宋体"/>
          <w:b w:val="0"/>
          <w:bCs w:val="0"/>
          <w:strike w:val="0"/>
          <w:dstrike w:val="0"/>
          <w:color w:val="auto"/>
          <w:kern w:val="2"/>
          <w:sz w:val="24"/>
          <w:szCs w:val="24"/>
          <w:highlight w:val="none"/>
          <w:lang w:val="en-US" w:eastAsia="zh-CN" w:bidi="ar-SA"/>
        </w:rPr>
        <w:t>浙江日报、钱江晚报、离退休党建杂志、新华网、中新网、</w:t>
      </w:r>
      <w:r>
        <w:rPr>
          <w:rFonts w:hint="default" w:ascii="宋体" w:hAnsi="宋体" w:cs="宋体"/>
          <w:b w:val="0"/>
          <w:bCs w:val="0"/>
          <w:color w:val="auto"/>
          <w:kern w:val="2"/>
          <w:sz w:val="24"/>
          <w:szCs w:val="24"/>
          <w:highlight w:val="none"/>
          <w:lang w:val="en-US" w:eastAsia="zh-CN" w:bidi="ar-SA"/>
        </w:rPr>
        <w:t>浙江在线、浙江党建网、学习强国等中央</w:t>
      </w:r>
      <w:r>
        <w:rPr>
          <w:rFonts w:hint="eastAsia" w:ascii="宋体" w:hAnsi="宋体" w:cs="宋体"/>
          <w:b w:val="0"/>
          <w:bCs w:val="0"/>
          <w:color w:val="auto"/>
          <w:kern w:val="2"/>
          <w:sz w:val="24"/>
          <w:szCs w:val="24"/>
          <w:highlight w:val="none"/>
          <w:lang w:val="en-US" w:eastAsia="zh-CN" w:bidi="ar-SA"/>
        </w:rPr>
        <w:t>及</w:t>
      </w:r>
      <w:r>
        <w:rPr>
          <w:rFonts w:hint="default" w:ascii="宋体" w:hAnsi="宋体" w:cs="宋体"/>
          <w:b w:val="0"/>
          <w:bCs w:val="0"/>
          <w:color w:val="auto"/>
          <w:kern w:val="2"/>
          <w:sz w:val="24"/>
          <w:szCs w:val="24"/>
          <w:highlight w:val="none"/>
          <w:lang w:val="en-US" w:eastAsia="zh-CN" w:bidi="ar-SA"/>
        </w:rPr>
        <w:t>省级媒体融媒体发布。</w:t>
      </w:r>
    </w:p>
    <w:p w14:paraId="50D2E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2.主题展览：</w:t>
      </w:r>
    </w:p>
    <w:p w14:paraId="6F6BE70A">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活动时间：</w:t>
      </w:r>
      <w:r>
        <w:rPr>
          <w:rFonts w:hint="eastAsia" w:ascii="宋体" w:hAnsi="宋体" w:cs="宋体"/>
          <w:color w:val="auto"/>
          <w:sz w:val="24"/>
          <w:szCs w:val="24"/>
          <w:highlight w:val="none"/>
          <w:lang w:val="zh-CN" w:eastAsia="zh-CN"/>
        </w:rPr>
        <w:t>8-9月（</w:t>
      </w:r>
      <w:r>
        <w:rPr>
          <w:rFonts w:hint="eastAsia" w:ascii="宋体" w:hAnsi="宋体" w:cs="宋体"/>
          <w:color w:val="auto"/>
          <w:sz w:val="24"/>
          <w:szCs w:val="24"/>
          <w:highlight w:val="none"/>
          <w:lang w:val="en-US" w:eastAsia="zh-CN"/>
        </w:rPr>
        <w:t>待定</w:t>
      </w:r>
      <w:r>
        <w:rPr>
          <w:rFonts w:hint="eastAsia" w:ascii="宋体" w:hAnsi="宋体" w:cs="宋体"/>
          <w:color w:val="auto"/>
          <w:sz w:val="24"/>
          <w:szCs w:val="24"/>
          <w:highlight w:val="none"/>
          <w:lang w:val="zh-CN" w:eastAsia="zh-CN"/>
        </w:rPr>
        <w:t>）</w:t>
      </w:r>
    </w:p>
    <w:p w14:paraId="00233D4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活动地点：</w:t>
      </w:r>
      <w:r>
        <w:rPr>
          <w:rFonts w:hint="eastAsia" w:ascii="宋体" w:hAnsi="宋体" w:eastAsia="宋体" w:cs="宋体"/>
          <w:color w:val="auto"/>
          <w:sz w:val="24"/>
          <w:szCs w:val="24"/>
          <w:highlight w:val="none"/>
          <w:lang w:val="zh-CN"/>
        </w:rPr>
        <w:t>浙江老年大学一楼展厅（</w:t>
      </w:r>
      <w:r>
        <w:rPr>
          <w:rFonts w:hint="eastAsia" w:ascii="宋体" w:hAnsi="宋体" w:eastAsia="宋体" w:cs="宋体"/>
          <w:color w:val="auto"/>
          <w:sz w:val="24"/>
          <w:szCs w:val="24"/>
          <w:highlight w:val="none"/>
          <w:lang w:val="en-US" w:eastAsia="zh-CN"/>
        </w:rPr>
        <w:t>待定</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供应商可自行前往现场踏勘</w:t>
      </w:r>
    </w:p>
    <w:p w14:paraId="55438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default" w:ascii="宋体" w:hAnsi="宋体" w:cs="宋体"/>
          <w:b w:val="0"/>
          <w:bCs w:val="0"/>
          <w:color w:val="auto"/>
          <w:kern w:val="2"/>
          <w:sz w:val="24"/>
          <w:szCs w:val="24"/>
          <w:highlight w:val="none"/>
          <w:lang w:val="en-US" w:eastAsia="zh-CN" w:bidi="ar-SA"/>
        </w:rPr>
        <w:t>布展设计，包含主色调、效果图等。</w:t>
      </w:r>
    </w:p>
    <w:p w14:paraId="19BE3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default" w:ascii="宋体" w:hAnsi="宋体" w:cs="宋体"/>
          <w:b w:val="0"/>
          <w:bCs w:val="0"/>
          <w:color w:val="auto"/>
          <w:kern w:val="2"/>
          <w:sz w:val="24"/>
          <w:szCs w:val="24"/>
          <w:highlight w:val="none"/>
          <w:lang w:val="en-US" w:eastAsia="zh-CN" w:bidi="ar-SA"/>
        </w:rPr>
        <w:t>制作展台框架、展板、装饰等物料。</w:t>
      </w:r>
    </w:p>
    <w:p w14:paraId="4304B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default" w:ascii="宋体" w:hAnsi="宋体" w:cs="宋体"/>
          <w:b w:val="0"/>
          <w:bCs w:val="0"/>
          <w:color w:val="auto"/>
          <w:kern w:val="2"/>
          <w:sz w:val="24"/>
          <w:szCs w:val="24"/>
          <w:highlight w:val="none"/>
          <w:lang w:val="en-US" w:eastAsia="zh-CN" w:bidi="ar-SA"/>
        </w:rPr>
        <w:t>多媒体设备，如电视机、投影仪等。</w:t>
      </w:r>
    </w:p>
    <w:p w14:paraId="5B948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3.书籍出版：</w:t>
      </w:r>
    </w:p>
    <w:p w14:paraId="452E2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对精选出的人物进行内容采集和提炼。</w:t>
      </w:r>
    </w:p>
    <w:p w14:paraId="054D2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书籍页面排版与设计</w:t>
      </w:r>
      <w:r>
        <w:rPr>
          <w:rFonts w:hint="eastAsia" w:ascii="宋体" w:hAnsi="宋体" w:cs="宋体"/>
          <w:b w:val="0"/>
          <w:bCs w:val="0"/>
          <w:color w:val="auto"/>
          <w:kern w:val="2"/>
          <w:sz w:val="24"/>
          <w:szCs w:val="24"/>
          <w:highlight w:val="none"/>
          <w:lang w:val="en-US" w:eastAsia="zh-CN" w:bidi="ar-SA"/>
        </w:rPr>
        <w:t>。</w:t>
      </w:r>
    </w:p>
    <w:p w14:paraId="25B2A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（3）正规</w:t>
      </w:r>
      <w:r>
        <w:rPr>
          <w:rFonts w:hint="eastAsia" w:ascii="宋体" w:hAnsi="宋体" w:eastAsia="宋体" w:cs="宋体"/>
          <w:b w:val="0"/>
          <w:bCs w:val="0"/>
          <w:color w:val="auto"/>
          <w:kern w:val="2"/>
          <w:sz w:val="24"/>
          <w:szCs w:val="24"/>
          <w:highlight w:val="none"/>
          <w:lang w:val="en-US" w:eastAsia="zh-CN" w:bidi="ar-SA"/>
        </w:rPr>
        <w:t>出版社内容审核及出版</w:t>
      </w:r>
      <w:r>
        <w:rPr>
          <w:rFonts w:hint="eastAsia" w:ascii="宋体" w:hAnsi="宋体" w:cs="宋体"/>
          <w:b w:val="0"/>
          <w:bCs w:val="0"/>
          <w:color w:val="auto"/>
          <w:kern w:val="2"/>
          <w:sz w:val="24"/>
          <w:szCs w:val="24"/>
          <w:highlight w:val="none"/>
          <w:lang w:val="en-US" w:eastAsia="zh-CN" w:bidi="ar-SA"/>
        </w:rPr>
        <w:t>。</w:t>
      </w:r>
    </w:p>
    <w:p w14:paraId="5284B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书籍印刷</w:t>
      </w:r>
      <w:r>
        <w:rPr>
          <w:rFonts w:hint="eastAsia" w:ascii="宋体" w:hAnsi="宋体" w:cs="宋体"/>
          <w:b w:val="0"/>
          <w:bCs w:val="0"/>
          <w:color w:val="auto"/>
          <w:kern w:val="2"/>
          <w:sz w:val="24"/>
          <w:szCs w:val="24"/>
          <w:highlight w:val="none"/>
          <w:lang w:val="en-US" w:eastAsia="zh-CN" w:bidi="ar-SA"/>
        </w:rPr>
        <w:t>。</w:t>
      </w:r>
    </w:p>
    <w:p w14:paraId="24753A83">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六、其他要求</w:t>
      </w:r>
    </w:p>
    <w:p w14:paraId="4D71DB9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1</w:t>
      </w:r>
      <w:r>
        <w:rPr>
          <w:rFonts w:hint="eastAsia" w:ascii="宋体" w:hAnsi="宋体" w:cs="宋体"/>
          <w:b w:val="0"/>
          <w:bCs w:val="0"/>
          <w:color w:val="auto"/>
          <w:w w:val="100"/>
          <w:sz w:val="24"/>
          <w:szCs w:val="24"/>
          <w:highlight w:val="none"/>
          <w:lang w:val="en-US" w:eastAsia="zh-CN"/>
        </w:rPr>
        <w:t>.</w:t>
      </w:r>
      <w:r>
        <w:rPr>
          <w:rFonts w:hint="eastAsia" w:ascii="宋体" w:hAnsi="宋体" w:eastAsia="宋体" w:cs="宋体"/>
          <w:b w:val="0"/>
          <w:bCs w:val="0"/>
          <w:color w:val="auto"/>
          <w:w w:val="100"/>
          <w:sz w:val="24"/>
          <w:szCs w:val="24"/>
          <w:highlight w:val="none"/>
          <w:lang w:val="en-US" w:eastAsia="zh-CN"/>
        </w:rPr>
        <w:t>提供完整可执行的方案，包括但不限于以下要求：</w:t>
      </w:r>
    </w:p>
    <w:p w14:paraId="38AC919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（1）提供完整的项目策略，具有高度及创意性；</w:t>
      </w:r>
    </w:p>
    <w:p w14:paraId="5CEC546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（2）提供项目主题，要求主题鲜明，立意有高度；</w:t>
      </w:r>
    </w:p>
    <w:p w14:paraId="1A6A595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（3）提供完整的策展方案，板块划分合理、内容阐述详实；</w:t>
      </w:r>
    </w:p>
    <w:p w14:paraId="56504EA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lang w:val="en-US" w:eastAsia="zh-CN"/>
        </w:rPr>
        <w:t>（4）提供展览设计方案、布置搭建，要求设计方案具体详细；</w:t>
      </w:r>
    </w:p>
    <w:p w14:paraId="4F48928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b w:val="0"/>
          <w:bCs w:val="0"/>
          <w:color w:val="auto"/>
          <w:w w:val="100"/>
          <w:sz w:val="24"/>
          <w:szCs w:val="24"/>
          <w:highlight w:val="none"/>
          <w:lang w:val="en-US" w:eastAsia="zh-CN"/>
        </w:rPr>
      </w:pPr>
      <w:r>
        <w:rPr>
          <w:rFonts w:hint="eastAsia" w:ascii="宋体" w:hAnsi="宋体" w:eastAsia="宋体" w:cs="宋体"/>
          <w:b w:val="0"/>
          <w:bCs w:val="0"/>
          <w:color w:val="auto"/>
          <w:w w:val="100"/>
          <w:sz w:val="24"/>
          <w:szCs w:val="24"/>
          <w:highlight w:val="none"/>
        </w:rPr>
        <w:t>（5）提供</w:t>
      </w:r>
      <w:r>
        <w:rPr>
          <w:rFonts w:hint="eastAsia" w:ascii="宋体" w:hAnsi="宋体" w:cs="宋体"/>
          <w:b w:val="0"/>
          <w:bCs w:val="0"/>
          <w:color w:val="auto"/>
          <w:w w:val="100"/>
          <w:sz w:val="24"/>
          <w:szCs w:val="24"/>
          <w:highlight w:val="none"/>
          <w:lang w:val="en-US" w:eastAsia="zh-CN"/>
        </w:rPr>
        <w:t>宣传展示方案；</w:t>
      </w:r>
    </w:p>
    <w:p w14:paraId="186E5F1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color w:val="auto"/>
          <w:highlight w:val="none"/>
          <w:lang w:eastAsia="zh-CN"/>
        </w:rPr>
      </w:pPr>
      <w:r>
        <w:rPr>
          <w:rFonts w:hint="eastAsia" w:ascii="宋体" w:hAnsi="宋体" w:eastAsia="宋体" w:cs="宋体"/>
          <w:b w:val="0"/>
          <w:bCs w:val="0"/>
          <w:color w:val="auto"/>
          <w:w w:val="100"/>
          <w:sz w:val="24"/>
          <w:szCs w:val="24"/>
          <w:highlight w:val="none"/>
        </w:rPr>
        <w:t>（</w:t>
      </w:r>
      <w:r>
        <w:rPr>
          <w:rFonts w:hint="eastAsia" w:ascii="宋体" w:hAnsi="宋体" w:cs="宋体"/>
          <w:b w:val="0"/>
          <w:bCs w:val="0"/>
          <w:color w:val="auto"/>
          <w:w w:val="100"/>
          <w:sz w:val="24"/>
          <w:szCs w:val="24"/>
          <w:highlight w:val="none"/>
          <w:lang w:val="en-US" w:eastAsia="zh-CN"/>
        </w:rPr>
        <w:t>6</w:t>
      </w:r>
      <w:r>
        <w:rPr>
          <w:rFonts w:hint="eastAsia" w:ascii="宋体" w:hAnsi="宋体" w:eastAsia="宋体" w:cs="宋体"/>
          <w:b w:val="0"/>
          <w:bCs w:val="0"/>
          <w:color w:val="auto"/>
          <w:w w:val="100"/>
          <w:sz w:val="24"/>
          <w:szCs w:val="24"/>
          <w:highlight w:val="none"/>
        </w:rPr>
        <w:t>）提供</w:t>
      </w:r>
      <w:r>
        <w:rPr>
          <w:rFonts w:hint="eastAsia" w:ascii="宋体" w:hAnsi="宋体" w:cs="宋体"/>
          <w:b w:val="0"/>
          <w:bCs w:val="0"/>
          <w:color w:val="auto"/>
          <w:w w:val="100"/>
          <w:sz w:val="24"/>
          <w:szCs w:val="24"/>
          <w:highlight w:val="none"/>
          <w:lang w:val="en-US" w:eastAsia="zh-CN"/>
        </w:rPr>
        <w:t>书籍出版方案。</w:t>
      </w:r>
    </w:p>
    <w:p w14:paraId="3B126F5B">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w w:val="100"/>
          <w:sz w:val="24"/>
          <w:szCs w:val="24"/>
          <w:highlight w:val="none"/>
          <w:lang w:val="en-US" w:eastAsia="zh-CN"/>
        </w:rPr>
      </w:pPr>
      <w:r>
        <w:rPr>
          <w:rFonts w:hint="eastAsia" w:ascii="宋体" w:hAnsi="宋体" w:cs="宋体"/>
          <w:b w:val="0"/>
          <w:bCs w:val="0"/>
          <w:color w:val="auto"/>
          <w:w w:val="100"/>
          <w:sz w:val="24"/>
          <w:szCs w:val="24"/>
          <w:highlight w:val="none"/>
          <w:lang w:val="en-US" w:eastAsia="zh-CN"/>
        </w:rPr>
        <w:t>以上服务方案需经采购人确认后实施。</w:t>
      </w:r>
    </w:p>
    <w:p w14:paraId="18CABB0F">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要求提供拟定执行团队人员名单，团队人员配置合理充足，执行力强。</w:t>
      </w:r>
    </w:p>
    <w:p w14:paraId="4DB7955B">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投标人须根据以上采购内容自行编制服务方案，要求具体完整。</w:t>
      </w:r>
    </w:p>
    <w:p w14:paraId="0AAE03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商务要求</w:t>
      </w:r>
    </w:p>
    <w:p w14:paraId="2C09E4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1.服务</w:t>
      </w:r>
      <w:r>
        <w:rPr>
          <w:rFonts w:hint="eastAsia" w:ascii="宋体" w:hAnsi="宋体" w:cs="宋体"/>
          <w:snapToGrid w:val="0"/>
          <w:color w:val="auto"/>
          <w:kern w:val="0"/>
          <w:sz w:val="24"/>
          <w:szCs w:val="24"/>
          <w:highlight w:val="none"/>
          <w:lang w:val="en-US" w:eastAsia="zh-CN"/>
        </w:rPr>
        <w:t>期限</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合同签订之日起至2025年12月10日</w:t>
      </w:r>
      <w:r>
        <w:rPr>
          <w:rFonts w:hint="eastAsia" w:ascii="宋体" w:hAnsi="宋体" w:eastAsia="宋体" w:cs="宋体"/>
          <w:snapToGrid w:val="0"/>
          <w:color w:val="auto"/>
          <w:kern w:val="0"/>
          <w:sz w:val="24"/>
          <w:szCs w:val="24"/>
          <w:highlight w:val="none"/>
        </w:rPr>
        <w:t>。</w:t>
      </w:r>
    </w:p>
    <w:p w14:paraId="506E999D">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snapToGrid w:val="0"/>
          <w:color w:val="auto"/>
          <w:kern w:val="0"/>
          <w:sz w:val="24"/>
          <w:szCs w:val="24"/>
          <w:highlight w:val="none"/>
        </w:rPr>
        <w:t>2.付款方式：</w:t>
      </w:r>
      <w:r>
        <w:rPr>
          <w:rFonts w:hint="default"/>
          <w:color w:val="auto"/>
          <w:sz w:val="24"/>
          <w:szCs w:val="24"/>
          <w:highlight w:val="none"/>
          <w:lang w:val="en-US" w:eastAsia="zh-CN"/>
        </w:rPr>
        <w:t>合同生效以及具备实施条件</w:t>
      </w:r>
      <w:r>
        <w:rPr>
          <w:rFonts w:hint="eastAsia"/>
          <w:color w:val="auto"/>
          <w:sz w:val="24"/>
          <w:szCs w:val="24"/>
          <w:highlight w:val="none"/>
          <w:lang w:val="en-US" w:eastAsia="zh-CN"/>
        </w:rPr>
        <w:t>且收到成交人开具的发票</w:t>
      </w:r>
      <w:r>
        <w:rPr>
          <w:rFonts w:hint="default"/>
          <w:color w:val="auto"/>
          <w:sz w:val="24"/>
          <w:szCs w:val="24"/>
          <w:highlight w:val="none"/>
          <w:lang w:val="en-US" w:eastAsia="zh-CN"/>
        </w:rPr>
        <w:t>后7个工作日内，</w:t>
      </w:r>
      <w:r>
        <w:rPr>
          <w:rFonts w:hint="eastAsia"/>
          <w:color w:val="auto"/>
          <w:sz w:val="24"/>
          <w:szCs w:val="24"/>
          <w:highlight w:val="none"/>
          <w:lang w:val="en-US" w:eastAsia="zh-CN"/>
        </w:rPr>
        <w:t>采购人</w:t>
      </w:r>
      <w:r>
        <w:rPr>
          <w:rFonts w:hint="default"/>
          <w:color w:val="auto"/>
          <w:sz w:val="24"/>
          <w:szCs w:val="24"/>
          <w:highlight w:val="none"/>
          <w:lang w:val="en-US" w:eastAsia="zh-CN"/>
        </w:rPr>
        <w:t>向</w:t>
      </w:r>
      <w:r>
        <w:rPr>
          <w:rFonts w:hint="eastAsia"/>
          <w:color w:val="auto"/>
          <w:sz w:val="24"/>
          <w:szCs w:val="24"/>
          <w:highlight w:val="none"/>
          <w:lang w:val="en-US" w:eastAsia="zh-CN"/>
        </w:rPr>
        <w:t>成交人</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50</w:t>
      </w:r>
      <w:r>
        <w:rPr>
          <w:rFonts w:hint="default"/>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项目履约完成，经</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lang w:val="en-US" w:eastAsia="zh-CN"/>
        </w:rPr>
        <w:t>验收合格，</w:t>
      </w:r>
      <w:r>
        <w:rPr>
          <w:rFonts w:hint="eastAsia" w:ascii="Times New Roman" w:hAnsi="Times New Roman" w:eastAsia="宋体" w:cs="Times New Roman"/>
          <w:color w:val="auto"/>
          <w:sz w:val="24"/>
          <w:szCs w:val="24"/>
          <w:highlight w:val="none"/>
          <w:lang w:val="en-US" w:eastAsia="zh-CN"/>
        </w:rPr>
        <w:t>收到</w:t>
      </w:r>
      <w:r>
        <w:rPr>
          <w:rFonts w:hint="eastAsia"/>
          <w:color w:val="auto"/>
          <w:sz w:val="24"/>
          <w:szCs w:val="24"/>
          <w:highlight w:val="none"/>
          <w:lang w:val="en-US" w:eastAsia="zh-CN"/>
        </w:rPr>
        <w:t>成交人开具的</w:t>
      </w:r>
      <w:r>
        <w:rPr>
          <w:rFonts w:hint="eastAsia" w:ascii="Times New Roman" w:hAnsi="Times New Roman" w:eastAsia="宋体" w:cs="Times New Roman"/>
          <w:color w:val="auto"/>
          <w:sz w:val="24"/>
          <w:szCs w:val="24"/>
          <w:highlight w:val="none"/>
          <w:lang w:val="en-US" w:eastAsia="zh-CN"/>
        </w:rPr>
        <w:t>发票后7个工作日内</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lang w:val="en-US" w:eastAsia="zh-CN"/>
        </w:rPr>
        <w:t>向</w:t>
      </w:r>
      <w:r>
        <w:rPr>
          <w:rFonts w:hint="eastAsia"/>
          <w:color w:val="auto"/>
          <w:sz w:val="24"/>
          <w:szCs w:val="24"/>
          <w:highlight w:val="none"/>
          <w:lang w:val="en-US" w:eastAsia="zh-CN"/>
        </w:rPr>
        <w:t>成交人</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50</w:t>
      </w:r>
      <w:r>
        <w:rPr>
          <w:rFonts w:hint="default"/>
          <w:color w:val="auto"/>
          <w:sz w:val="24"/>
          <w:szCs w:val="24"/>
          <w:highlight w:val="none"/>
          <w:lang w:val="en-US" w:eastAsia="zh-CN"/>
        </w:rPr>
        <w:t>%</w:t>
      </w:r>
      <w:r>
        <w:rPr>
          <w:rFonts w:hint="eastAsia"/>
          <w:color w:val="auto"/>
          <w:sz w:val="24"/>
          <w:szCs w:val="24"/>
          <w:highlight w:val="none"/>
          <w:lang w:val="en-US" w:eastAsia="zh-CN"/>
        </w:rPr>
        <w:t>，</w:t>
      </w:r>
      <w:r>
        <w:rPr>
          <w:rFonts w:hint="eastAsia"/>
          <w:color w:val="auto"/>
          <w:sz w:val="24"/>
          <w:highlight w:val="none"/>
        </w:rPr>
        <w:t>如遇年底关账，款项顺延至下一年度预算下达后7个工作日内支付。</w:t>
      </w:r>
    </w:p>
    <w:p w14:paraId="29F27E5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宋体"/>
          <w:color w:val="auto"/>
          <w:sz w:val="24"/>
          <w:highlight w:val="none"/>
        </w:rPr>
      </w:pPr>
      <w:r>
        <w:rPr>
          <w:rFonts w:hint="eastAsia" w:ascii="宋体" w:hAnsi="宋体"/>
          <w:snapToGrid w:val="0"/>
          <w:color w:val="auto"/>
          <w:kern w:val="0"/>
          <w:sz w:val="24"/>
          <w:szCs w:val="24"/>
          <w:highlight w:val="none"/>
        </w:rPr>
        <w:t>3.报价方式：</w:t>
      </w:r>
      <w:r>
        <w:rPr>
          <w:rFonts w:hint="eastAsia"/>
          <w:color w:val="auto"/>
          <w:sz w:val="24"/>
          <w:szCs w:val="24"/>
          <w:highlight w:val="none"/>
        </w:rPr>
        <w:t>投标总价应包括本项目整个服务期所需的一切费用（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w:t>
      </w:r>
      <w:r>
        <w:rPr>
          <w:rFonts w:hint="eastAsia"/>
          <w:color w:val="auto"/>
          <w:sz w:val="24"/>
          <w:szCs w:val="24"/>
          <w:highlight w:val="none"/>
          <w:lang w:val="en-US" w:eastAsia="zh-CN"/>
        </w:rPr>
        <w:t>已包含在投标总价中</w:t>
      </w:r>
      <w:r>
        <w:rPr>
          <w:rFonts w:hint="eastAsia"/>
          <w:color w:val="auto"/>
          <w:sz w:val="24"/>
          <w:szCs w:val="24"/>
          <w:highlight w:val="none"/>
        </w:rPr>
        <w:t>）。</w:t>
      </w:r>
    </w:p>
    <w:p w14:paraId="6CAF96E9">
      <w:pPr>
        <w:pStyle w:val="23"/>
        <w:ind w:left="0" w:leftChars="0" w:firstLine="0" w:firstLineChars="0"/>
        <w:rPr>
          <w:rFonts w:ascii="宋体" w:hAnsi="宋体" w:cs="宋体"/>
          <w:color w:val="auto"/>
          <w:sz w:val="24"/>
          <w:highlight w:val="none"/>
        </w:rPr>
        <w:sectPr>
          <w:headerReference r:id="rId7" w:type="default"/>
          <w:footerReference r:id="rId8" w:type="default"/>
          <w:pgSz w:w="11906" w:h="16838"/>
          <w:pgMar w:top="1418" w:right="1474" w:bottom="1418" w:left="1474" w:header="851" w:footer="992" w:gutter="0"/>
          <w:pgNumType w:fmt="decimal"/>
          <w:cols w:space="720" w:num="1"/>
          <w:docGrid w:type="lines" w:linePitch="312" w:charSpace="0"/>
        </w:sectPr>
      </w:pPr>
    </w:p>
    <w:p w14:paraId="20843C44">
      <w:pPr>
        <w:spacing w:line="360" w:lineRule="auto"/>
        <w:jc w:val="center"/>
        <w:rPr>
          <w:b/>
          <w:color w:val="auto"/>
          <w:sz w:val="36"/>
          <w:highlight w:val="none"/>
        </w:rPr>
      </w:pPr>
      <w:r>
        <w:rPr>
          <w:b/>
          <w:color w:val="auto"/>
          <w:sz w:val="36"/>
          <w:highlight w:val="none"/>
        </w:rPr>
        <w:t>第</w:t>
      </w:r>
      <w:r>
        <w:rPr>
          <w:rFonts w:hint="eastAsia"/>
          <w:b/>
          <w:color w:val="auto"/>
          <w:sz w:val="36"/>
          <w:highlight w:val="none"/>
        </w:rPr>
        <w:t>四</w:t>
      </w:r>
      <w:r>
        <w:rPr>
          <w:b/>
          <w:color w:val="auto"/>
          <w:sz w:val="36"/>
          <w:highlight w:val="none"/>
        </w:rPr>
        <w:t>章、</w:t>
      </w:r>
      <w:r>
        <w:rPr>
          <w:rFonts w:hint="eastAsia"/>
          <w:b/>
          <w:color w:val="auto"/>
          <w:sz w:val="36"/>
          <w:highlight w:val="none"/>
        </w:rPr>
        <w:t>采购合同的一般和特殊</w:t>
      </w:r>
      <w:r>
        <w:rPr>
          <w:b/>
          <w:color w:val="auto"/>
          <w:sz w:val="36"/>
          <w:highlight w:val="none"/>
        </w:rPr>
        <w:t>条款</w:t>
      </w:r>
    </w:p>
    <w:p w14:paraId="7BF2826D">
      <w:pPr>
        <w:spacing w:line="360" w:lineRule="auto"/>
        <w:jc w:val="center"/>
        <w:rPr>
          <w:rFonts w:ascii="宋体" w:hAnsi="宋体"/>
          <w:b/>
          <w:color w:val="auto"/>
          <w:szCs w:val="21"/>
          <w:highlight w:val="none"/>
        </w:rPr>
      </w:pPr>
      <w:r>
        <w:rPr>
          <w:rFonts w:hint="eastAsia" w:ascii="宋体" w:hAnsi="宋体"/>
          <w:b/>
          <w:color w:val="auto"/>
          <w:szCs w:val="21"/>
          <w:highlight w:val="none"/>
        </w:rPr>
        <w:t>（本合同为合同样稿，最终稿由双方协商后确定）</w:t>
      </w:r>
    </w:p>
    <w:p w14:paraId="35878A2E">
      <w:pPr>
        <w:spacing w:line="360" w:lineRule="auto"/>
        <w:jc w:val="center"/>
        <w:rPr>
          <w:rFonts w:ascii="宋体" w:hAnsi="宋体" w:cs="宋体"/>
          <w:color w:val="auto"/>
          <w:sz w:val="24"/>
          <w:highlight w:val="none"/>
        </w:rPr>
      </w:pPr>
    </w:p>
    <w:p w14:paraId="2D9DF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rPr>
      </w:pPr>
      <w:r>
        <w:rPr>
          <w:rFonts w:hint="eastAsia" w:ascii="宋体" w:hAnsi="宋体" w:cs="宋体"/>
          <w:color w:val="auto"/>
          <w:sz w:val="24"/>
          <w:highlight w:val="none"/>
        </w:rPr>
        <w:t>合同编号：</w:t>
      </w:r>
    </w:p>
    <w:p w14:paraId="1CFB5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rPr>
      </w:pPr>
      <w:r>
        <w:rPr>
          <w:rFonts w:hint="eastAsia" w:ascii="宋体" w:hAnsi="宋体" w:cs="宋体"/>
          <w:color w:val="auto"/>
          <w:sz w:val="24"/>
          <w:highlight w:val="none"/>
        </w:rPr>
        <w:t>采购计划文号：</w:t>
      </w:r>
    </w:p>
    <w:p w14:paraId="3B17EF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rPr>
      </w:pPr>
      <w:r>
        <w:rPr>
          <w:rFonts w:hint="eastAsia" w:ascii="宋体" w:hAnsi="宋体" w:cs="宋体"/>
          <w:color w:val="auto"/>
          <w:sz w:val="24"/>
          <w:highlight w:val="none"/>
        </w:rPr>
        <w:t>预算金额：</w:t>
      </w:r>
    </w:p>
    <w:p w14:paraId="4192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采购人（以下称甲方）：</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中共浙江省委老干部局</w:t>
      </w:r>
      <w:r>
        <w:rPr>
          <w:rFonts w:hint="eastAsia" w:ascii="宋体" w:hAnsi="宋体" w:cs="宋体"/>
          <w:color w:val="auto"/>
          <w:sz w:val="24"/>
          <w:highlight w:val="none"/>
          <w:u w:val="single"/>
        </w:rPr>
        <w:t xml:space="preserve">     </w:t>
      </w:r>
    </w:p>
    <w:p w14:paraId="58F255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u w:val="single"/>
        </w:rPr>
      </w:pPr>
      <w:r>
        <w:rPr>
          <w:rFonts w:hint="eastAsia" w:ascii="宋体" w:hAnsi="宋体"/>
          <w:color w:val="auto"/>
          <w:sz w:val="24"/>
          <w:highlight w:val="none"/>
        </w:rPr>
        <w:t>服务</w:t>
      </w:r>
      <w:r>
        <w:rPr>
          <w:rFonts w:hint="eastAsia" w:ascii="宋体" w:hAnsi="宋体" w:cs="宋体"/>
          <w:color w:val="auto"/>
          <w:sz w:val="24"/>
          <w:highlight w:val="none"/>
        </w:rPr>
        <w:t>商（以下称乙方）：</w:t>
      </w:r>
      <w:r>
        <w:rPr>
          <w:rFonts w:hint="eastAsia" w:ascii="宋体" w:hAnsi="宋体" w:cs="宋体"/>
          <w:color w:val="auto"/>
          <w:sz w:val="24"/>
          <w:highlight w:val="none"/>
          <w:u w:val="single"/>
        </w:rPr>
        <w:t xml:space="preserve">                               </w:t>
      </w:r>
    </w:p>
    <w:p w14:paraId="3991C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sz w:val="24"/>
          <w:highlight w:val="none"/>
        </w:rPr>
      </w:pPr>
    </w:p>
    <w:p w14:paraId="75EA7B0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zh-CN"/>
        </w:rPr>
        <w:t>合同”</w:t>
      </w:r>
      <w:r>
        <w:rPr>
          <w:rFonts w:hint="eastAsia" w:ascii="宋体" w:hAnsi="宋体" w:cs="宋体"/>
          <w:color w:val="auto"/>
          <w:sz w:val="24"/>
          <w:highlight w:val="none"/>
        </w:rPr>
        <w:t>即由</w:t>
      </w:r>
      <w:r>
        <w:rPr>
          <w:rFonts w:hint="eastAsia" w:ascii="宋体" w:hAnsi="宋体" w:cs="宋体"/>
          <w:color w:val="auto"/>
          <w:sz w:val="24"/>
          <w:highlight w:val="none"/>
          <w:lang w:val="zh-CN"/>
        </w:rPr>
        <w:t>甲乙方</w:t>
      </w:r>
      <w:r>
        <w:rPr>
          <w:rFonts w:hint="eastAsia" w:ascii="宋体" w:hAnsi="宋体" w:cs="宋体"/>
          <w:color w:val="auto"/>
          <w:sz w:val="24"/>
          <w:highlight w:val="none"/>
        </w:rPr>
        <w:t>双方签订的合同格式中的文件，包括所有的附件、附录和组成合同部分的所有其他文件。</w:t>
      </w:r>
    </w:p>
    <w:p w14:paraId="61FF2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合同将由中共浙江省委老干部局（以下简称甲方）与经评审最终确定的成交人（以下简称乙方）结合本项目具体情况协商后签订</w:t>
      </w:r>
      <w:r>
        <w:rPr>
          <w:rFonts w:hint="eastAsia" w:ascii="宋体" w:hAnsi="宋体" w:cs="宋体"/>
          <w:color w:val="auto"/>
          <w:sz w:val="24"/>
          <w:highlight w:val="none"/>
          <w:lang w:val="zh-CN"/>
        </w:rPr>
        <w:t>。以下为采购人提出涉及乙方的主要条款，投标人在应标文件中应对其进行确认或拒绝。如投标人在其应标文件中未做拒绝或提出修改要求的，采购人将视作认同</w:t>
      </w:r>
      <w:r>
        <w:rPr>
          <w:rFonts w:hint="eastAsia" w:ascii="宋体" w:hAnsi="宋体" w:cs="宋体"/>
          <w:color w:val="auto"/>
          <w:sz w:val="24"/>
          <w:highlight w:val="none"/>
        </w:rPr>
        <w:t>。</w:t>
      </w:r>
    </w:p>
    <w:p w14:paraId="346F4A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1．2“合同价格”系指根据合同规定，在服务商全面正确地履行合同义务时，采购人应支付给服务商的款项。</w:t>
      </w:r>
    </w:p>
    <w:p w14:paraId="08F79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1．3“服务”系指招标文件规定服务商须承担的</w:t>
      </w:r>
      <w:r>
        <w:rPr>
          <w:rFonts w:ascii="宋体" w:hAnsi="宋体"/>
          <w:color w:val="auto"/>
          <w:sz w:val="24"/>
          <w:highlight w:val="none"/>
        </w:rPr>
        <w:t>涉及</w:t>
      </w:r>
      <w:r>
        <w:rPr>
          <w:rFonts w:hint="eastAsia" w:ascii="宋体" w:hAnsi="宋体"/>
          <w:color w:val="auto"/>
          <w:sz w:val="24"/>
          <w:highlight w:val="none"/>
          <w:lang w:eastAsia="zh-CN"/>
        </w:rPr>
        <w:t>浙江省离休干部红色档案挖掘保护和宣传展示</w:t>
      </w:r>
      <w:r>
        <w:rPr>
          <w:rFonts w:hint="eastAsia" w:ascii="宋体" w:hAnsi="宋体"/>
          <w:color w:val="auto"/>
          <w:sz w:val="24"/>
          <w:highlight w:val="none"/>
          <w:lang w:val="en-US" w:eastAsia="zh-CN"/>
        </w:rPr>
        <w:t>工作</w:t>
      </w:r>
      <w:r>
        <w:rPr>
          <w:rFonts w:hint="eastAsia" w:ascii="宋体" w:hAnsi="宋体" w:cs="宋体"/>
          <w:color w:val="auto"/>
          <w:sz w:val="24"/>
          <w:highlight w:val="none"/>
        </w:rPr>
        <w:t>以及其它类似的义务。</w:t>
      </w:r>
    </w:p>
    <w:p w14:paraId="0621EB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1．4“现场”系指将要进行</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的地点。</w:t>
      </w:r>
    </w:p>
    <w:p w14:paraId="536C2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1．5“验收”系指采购人依据技术规格规定接受合同所依据的程序和条件。</w:t>
      </w:r>
    </w:p>
    <w:p w14:paraId="11C5AD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适用范围</w:t>
      </w:r>
    </w:p>
    <w:p w14:paraId="0326C6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本合同条款适用与本次采购活动。项目实施范围详见附件——竞争性磋商采购文件和磋商响应文件及补充文件、采购设计图、承诺书等。 </w:t>
      </w:r>
    </w:p>
    <w:p w14:paraId="40E967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highlight w:val="none"/>
        </w:rPr>
      </w:pPr>
      <w:r>
        <w:rPr>
          <w:rFonts w:hint="eastAsia" w:ascii="宋体" w:hAnsi="宋体"/>
          <w:b/>
          <w:bCs/>
          <w:color w:val="auto"/>
          <w:sz w:val="24"/>
          <w:highlight w:val="none"/>
          <w:lang w:val="en-US" w:eastAsia="zh-CN"/>
        </w:rPr>
        <w:t>3.</w:t>
      </w:r>
      <w:r>
        <w:rPr>
          <w:rFonts w:ascii="宋体" w:hAnsi="宋体"/>
          <w:b/>
          <w:bCs/>
          <w:color w:val="auto"/>
          <w:sz w:val="24"/>
          <w:highlight w:val="none"/>
        </w:rPr>
        <w:t>合同基本条款</w:t>
      </w:r>
    </w:p>
    <w:p w14:paraId="6D88C361">
      <w:pPr>
        <w:pStyle w:val="12"/>
        <w:keepNext w:val="0"/>
        <w:keepLines w:val="0"/>
        <w:pageBreakBefore w:val="0"/>
        <w:kinsoku/>
        <w:wordWrap/>
        <w:overflowPunct/>
        <w:topLinePunct w:val="0"/>
        <w:autoSpaceDE/>
        <w:autoSpaceDN/>
        <w:bidi w:val="0"/>
        <w:adjustRightInd/>
        <w:snapToGrid/>
        <w:spacing w:line="360" w:lineRule="auto"/>
        <w:ind w:left="0" w:firstLine="482" w:firstLineChars="200"/>
        <w:rPr>
          <w:rFonts w:hint="eastAsia" w:hAnsi="宋体"/>
          <w:b/>
          <w:color w:val="auto"/>
          <w:sz w:val="24"/>
          <w:szCs w:val="24"/>
          <w:highlight w:val="none"/>
        </w:rPr>
      </w:pPr>
      <w:r>
        <w:rPr>
          <w:rFonts w:hint="eastAsia" w:hAnsi="宋体"/>
          <w:b/>
          <w:color w:val="auto"/>
          <w:sz w:val="24"/>
          <w:szCs w:val="24"/>
          <w:highlight w:val="none"/>
        </w:rPr>
        <w:t>第一条：</w:t>
      </w:r>
      <w:r>
        <w:rPr>
          <w:rFonts w:ascii="Times New Roman" w:hAnsi="Times New Roman"/>
          <w:b/>
          <w:color w:val="auto"/>
          <w:sz w:val="24"/>
          <w:highlight w:val="none"/>
        </w:rPr>
        <w:t>服务</w:t>
      </w:r>
      <w:r>
        <w:rPr>
          <w:rFonts w:hint="eastAsia" w:ascii="Times New Roman" w:hAnsi="Times New Roman"/>
          <w:b/>
          <w:color w:val="auto"/>
          <w:sz w:val="24"/>
          <w:highlight w:val="none"/>
        </w:rPr>
        <w:t>内容及</w:t>
      </w:r>
      <w:r>
        <w:rPr>
          <w:rFonts w:ascii="Times New Roman" w:hAnsi="Times New Roman"/>
          <w:b/>
          <w:color w:val="auto"/>
          <w:sz w:val="24"/>
          <w:highlight w:val="none"/>
        </w:rPr>
        <w:t>价格</w:t>
      </w:r>
    </w:p>
    <w:p w14:paraId="41628D4C">
      <w:pPr>
        <w:pStyle w:val="12"/>
        <w:keepNext w:val="0"/>
        <w:keepLines w:val="0"/>
        <w:pageBreakBefore w:val="0"/>
        <w:numPr>
          <w:ilvl w:val="0"/>
          <w:numId w:val="0"/>
        </w:numPr>
        <w:kinsoku/>
        <w:wordWrap/>
        <w:overflowPunct/>
        <w:topLinePunct w:val="0"/>
        <w:autoSpaceDE/>
        <w:autoSpaceDN/>
        <w:bidi w:val="0"/>
        <w:adjustRightInd/>
        <w:snapToGrid/>
        <w:spacing w:line="360" w:lineRule="auto"/>
        <w:ind w:left="0" w:firstLine="482" w:firstLineChars="200"/>
        <w:rPr>
          <w:rFonts w:hint="eastAsia" w:hAnsi="宋体"/>
          <w:b/>
          <w:color w:val="auto"/>
          <w:sz w:val="24"/>
          <w:szCs w:val="24"/>
          <w:highlight w:val="none"/>
          <w:lang w:val="en-US" w:eastAsia="zh-CN"/>
        </w:rPr>
      </w:pPr>
      <w:r>
        <w:rPr>
          <w:rFonts w:hint="eastAsia" w:ascii="宋体" w:hAnsi="宋体"/>
          <w:b/>
          <w:color w:val="auto"/>
          <w:kern w:val="0"/>
          <w:sz w:val="24"/>
          <w:szCs w:val="24"/>
          <w:highlight w:val="none"/>
          <w:lang w:val="en-US" w:eastAsia="zh-CN" w:bidi="ar-SA"/>
        </w:rPr>
        <w:t>1.</w:t>
      </w:r>
      <w:r>
        <w:rPr>
          <w:rFonts w:hint="eastAsia" w:hAnsi="宋体"/>
          <w:b/>
          <w:color w:val="auto"/>
          <w:sz w:val="24"/>
          <w:szCs w:val="24"/>
          <w:highlight w:val="none"/>
          <w:lang w:val="en-US" w:eastAsia="zh-CN"/>
        </w:rPr>
        <w:t>服务内容及要求</w:t>
      </w:r>
    </w:p>
    <w:p w14:paraId="5EC6E314">
      <w:pPr>
        <w:pStyle w:val="12"/>
        <w:keepNext w:val="0"/>
        <w:keepLines w:val="0"/>
        <w:pageBreakBefore w:val="0"/>
        <w:kinsoku/>
        <w:wordWrap/>
        <w:overflowPunct/>
        <w:topLinePunct w:val="0"/>
        <w:bidi w:val="0"/>
        <w:snapToGrid/>
        <w:spacing w:line="360" w:lineRule="auto"/>
        <w:ind w:left="0" w:firstLine="480" w:firstLineChars="200"/>
        <w:rPr>
          <w:rFonts w:hAnsi="宋体"/>
          <w:b/>
          <w:color w:val="auto"/>
          <w:sz w:val="24"/>
          <w:szCs w:val="24"/>
          <w:highlight w:val="none"/>
        </w:rPr>
      </w:pPr>
      <w:r>
        <w:rPr>
          <w:rFonts w:hint="eastAsia" w:hAnsi="宋体"/>
          <w:color w:val="auto"/>
          <w:sz w:val="24"/>
          <w:szCs w:val="24"/>
          <w:highlight w:val="none"/>
        </w:rPr>
        <w:t>（按</w:t>
      </w:r>
      <w:r>
        <w:rPr>
          <w:rFonts w:hint="eastAsia" w:ascii="宋体" w:hAnsi="宋体" w:eastAsia="宋体" w:cs="宋体"/>
          <w:color w:val="auto"/>
          <w:sz w:val="24"/>
          <w:highlight w:val="none"/>
          <w:u w:val="none"/>
          <w:lang w:val="en-US" w:eastAsia="zh-CN"/>
        </w:rPr>
        <w:t>采购</w:t>
      </w:r>
      <w:r>
        <w:rPr>
          <w:rFonts w:hint="eastAsia" w:ascii="宋体" w:hAnsi="宋体" w:eastAsia="宋体" w:cs="宋体"/>
          <w:color w:val="auto"/>
          <w:sz w:val="24"/>
          <w:highlight w:val="none"/>
          <w:u w:val="none"/>
        </w:rPr>
        <w:t>文件第</w:t>
      </w:r>
      <w:r>
        <w:rPr>
          <w:rFonts w:hint="eastAsia" w:ascii="宋体" w:hAnsi="宋体" w:eastAsia="宋体" w:cs="宋体"/>
          <w:color w:val="auto"/>
          <w:sz w:val="24"/>
          <w:highlight w:val="none"/>
          <w:u w:val="none"/>
          <w:lang w:val="en-US" w:eastAsia="zh-CN"/>
        </w:rPr>
        <w:t>三</w:t>
      </w:r>
      <w:r>
        <w:rPr>
          <w:rFonts w:hint="eastAsia" w:ascii="宋体" w:hAnsi="宋体" w:eastAsia="宋体" w:cs="宋体"/>
          <w:color w:val="auto"/>
          <w:sz w:val="24"/>
          <w:highlight w:val="none"/>
          <w:u w:val="none"/>
        </w:rPr>
        <w:t>章“</w:t>
      </w:r>
      <w:r>
        <w:rPr>
          <w:rFonts w:hint="eastAsia" w:hAnsi="宋体" w:eastAsia="宋体" w:cs="宋体"/>
          <w:color w:val="auto"/>
          <w:sz w:val="24"/>
          <w:highlight w:val="none"/>
          <w:u w:val="none"/>
          <w:lang w:eastAsia="zh-CN"/>
        </w:rPr>
        <w:t>采购需求</w:t>
      </w:r>
      <w:r>
        <w:rPr>
          <w:rFonts w:hint="eastAsia" w:ascii="宋体" w:hAnsi="宋体" w:eastAsia="宋体" w:cs="宋体"/>
          <w:color w:val="auto"/>
          <w:sz w:val="24"/>
          <w:highlight w:val="none"/>
          <w:u w:val="none"/>
        </w:rPr>
        <w:t>”</w:t>
      </w:r>
      <w:r>
        <w:rPr>
          <w:rFonts w:hint="eastAsia" w:ascii="宋体" w:hAnsi="宋体" w:eastAsia="宋体" w:cs="宋体"/>
          <w:color w:val="auto"/>
          <w:spacing w:val="-4"/>
          <w:sz w:val="24"/>
          <w:highlight w:val="none"/>
          <w:u w:val="none"/>
          <w:lang w:val="en-US" w:eastAsia="zh-CN"/>
        </w:rPr>
        <w:t>及供应商磋商响应文件</w:t>
      </w:r>
      <w:r>
        <w:rPr>
          <w:rFonts w:hint="eastAsia" w:hAnsi="宋体"/>
          <w:color w:val="auto"/>
          <w:sz w:val="24"/>
          <w:szCs w:val="24"/>
          <w:highlight w:val="none"/>
        </w:rPr>
        <w:t>的内容填写）</w:t>
      </w:r>
    </w:p>
    <w:p w14:paraId="318D4D9F">
      <w:pPr>
        <w:pStyle w:val="12"/>
        <w:keepNext w:val="0"/>
        <w:keepLines w:val="0"/>
        <w:pageBreakBefore w:val="0"/>
        <w:numPr>
          <w:ilvl w:val="0"/>
          <w:numId w:val="0"/>
        </w:numPr>
        <w:kinsoku/>
        <w:wordWrap/>
        <w:overflowPunct/>
        <w:topLinePunct w:val="0"/>
        <w:autoSpaceDE/>
        <w:autoSpaceDN/>
        <w:bidi w:val="0"/>
        <w:adjustRightInd/>
        <w:snapToGrid/>
        <w:spacing w:line="360" w:lineRule="auto"/>
        <w:ind w:left="0" w:firstLine="482" w:firstLineChars="200"/>
        <w:rPr>
          <w:rFonts w:hint="default" w:hAnsi="宋体"/>
          <w:b/>
          <w:color w:val="auto"/>
          <w:sz w:val="24"/>
          <w:szCs w:val="24"/>
          <w:highlight w:val="none"/>
          <w:lang w:val="en-US" w:eastAsia="zh-CN"/>
        </w:rPr>
      </w:pPr>
      <w:r>
        <w:rPr>
          <w:rFonts w:hint="default" w:ascii="宋体" w:hAnsi="宋体"/>
          <w:b/>
          <w:color w:val="auto"/>
          <w:kern w:val="0"/>
          <w:sz w:val="24"/>
          <w:szCs w:val="24"/>
          <w:highlight w:val="none"/>
          <w:lang w:val="en-US" w:eastAsia="zh-CN" w:bidi="ar-SA"/>
        </w:rPr>
        <w:t>2.</w:t>
      </w:r>
      <w:r>
        <w:rPr>
          <w:rFonts w:hint="eastAsia" w:hAnsi="宋体"/>
          <w:b/>
          <w:color w:val="auto"/>
          <w:sz w:val="24"/>
          <w:szCs w:val="24"/>
          <w:highlight w:val="none"/>
          <w:lang w:val="en-US" w:eastAsia="zh-CN"/>
        </w:rPr>
        <w:t>合同价格</w:t>
      </w:r>
    </w:p>
    <w:p w14:paraId="46CA062F">
      <w:pPr>
        <w:pStyle w:val="9"/>
        <w:keepNext w:val="0"/>
        <w:keepLines w:val="0"/>
        <w:pageBreakBefore w:val="0"/>
        <w:kinsoku/>
        <w:wordWrap/>
        <w:overflowPunct/>
        <w:topLinePunct w:val="0"/>
        <w:bidi w:val="0"/>
        <w:snapToGrid/>
        <w:spacing w:line="360" w:lineRule="auto"/>
        <w:ind w:left="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本合同总价为人民币（</w:t>
      </w:r>
      <w:r>
        <w:rPr>
          <w:rFonts w:hint="eastAsia" w:ascii="宋体" w:hAnsi="宋体" w:cs="宋体"/>
          <w:color w:val="auto"/>
          <w:sz w:val="24"/>
          <w:highlight w:val="none"/>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须提供费用明细，列明分项费用</w:t>
      </w:r>
      <w:r>
        <w:rPr>
          <w:rFonts w:hint="eastAsia" w:ascii="宋体" w:hAnsi="宋体" w:eastAsia="宋体" w:cs="宋体"/>
          <w:color w:val="auto"/>
          <w:sz w:val="24"/>
          <w:highlight w:val="none"/>
          <w:lang w:val="zh-CN"/>
        </w:rPr>
        <w:t>）</w:t>
      </w:r>
    </w:p>
    <w:p w14:paraId="744F7AAB">
      <w:pPr>
        <w:pStyle w:val="12"/>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rPr>
          <w:rFonts w:hint="default" w:hAnsi="宋体"/>
          <w:b/>
          <w:color w:val="auto"/>
          <w:sz w:val="24"/>
          <w:szCs w:val="24"/>
          <w:highlight w:val="none"/>
          <w:lang w:val="en-US" w:eastAsia="zh-CN"/>
        </w:rPr>
      </w:pPr>
      <w:r>
        <w:rPr>
          <w:rFonts w:hint="eastAsia" w:hAnsi="宋体"/>
          <w:color w:val="auto"/>
          <w:sz w:val="24"/>
          <w:highlight w:val="none"/>
        </w:rPr>
        <w:t>有关本项目实施所需的所有费用（含税费）均计入报价</w:t>
      </w:r>
      <w:r>
        <w:rPr>
          <w:rFonts w:hAnsi="宋体"/>
          <w:color w:val="auto"/>
          <w:sz w:val="24"/>
          <w:highlight w:val="none"/>
        </w:rPr>
        <w:t>。</w:t>
      </w:r>
      <w:r>
        <w:rPr>
          <w:rFonts w:hint="eastAsia" w:hAnsi="宋体"/>
          <w:color w:val="auto"/>
          <w:sz w:val="24"/>
          <w:highlight w:val="none"/>
        </w:rPr>
        <w:t>投标人在投标报价中应充分考虑所有可能发生的费用，</w:t>
      </w:r>
      <w:r>
        <w:rPr>
          <w:rFonts w:hAnsi="宋体"/>
          <w:color w:val="auto"/>
          <w:sz w:val="24"/>
          <w:highlight w:val="none"/>
        </w:rPr>
        <w:t>如有漏项，视同已包含在其总项目中，中标后合同总价不做调整</w:t>
      </w:r>
      <w:r>
        <w:rPr>
          <w:rFonts w:hint="eastAsia" w:hAnsi="宋体"/>
          <w:color w:val="auto"/>
          <w:sz w:val="24"/>
          <w:highlight w:val="none"/>
        </w:rPr>
        <w:t>。</w:t>
      </w:r>
    </w:p>
    <w:p w14:paraId="6F180DEB">
      <w:pPr>
        <w:pStyle w:val="12"/>
        <w:keepNext w:val="0"/>
        <w:keepLines w:val="0"/>
        <w:pageBreakBefore w:val="0"/>
        <w:kinsoku/>
        <w:wordWrap/>
        <w:overflowPunct/>
        <w:topLinePunct w:val="0"/>
        <w:autoSpaceDE/>
        <w:autoSpaceDN/>
        <w:bidi w:val="0"/>
        <w:adjustRightInd/>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第二条：技术资料</w:t>
      </w:r>
    </w:p>
    <w:p w14:paraId="4C07DBB5">
      <w:pPr>
        <w:pStyle w:val="12"/>
        <w:keepNext w:val="0"/>
        <w:keepLines w:val="0"/>
        <w:pageBreakBefore w:val="0"/>
        <w:kinsoku/>
        <w:wordWrap/>
        <w:overflowPunct/>
        <w:topLinePunct w:val="0"/>
        <w:autoSpaceDE/>
        <w:autoSpaceDN/>
        <w:bidi w:val="0"/>
        <w:adjustRightInd/>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1.乙方应按招标文件规定的时间向甲方提供有关技术资料。</w:t>
      </w:r>
    </w:p>
    <w:p w14:paraId="1A5CD94F">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DEB5AB">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第三条：知识产权</w:t>
      </w:r>
    </w:p>
    <w:p w14:paraId="5F54705D">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1.乙方应保证提供服务过程中不会侵犯任何第三方的知识产权。如果任何第三方提出侵权指控，那么乙方须与该第三方交涉并承担由此发生的一切责任、费用和赔偿。</w:t>
      </w:r>
      <w:r>
        <w:rPr>
          <w:rFonts w:hint="eastAsia" w:ascii="宋体" w:hAnsi="宋体" w:eastAsia="宋体" w:cs="Times New Roman"/>
          <w:color w:val="auto"/>
          <w:sz w:val="24"/>
          <w:szCs w:val="24"/>
          <w:highlight w:val="none"/>
          <w:lang w:val="zh-CN" w:eastAsia="zh-CN"/>
        </w:rPr>
        <w:t>若因此造成甲方被第三方起诉的，乙方还需承担由此给甲方造成的损失（包括但不限于甲方向第三方支付的赔偿金、诉讼费、律师费、调查取证费用、保全费等必要费用。</w:t>
      </w:r>
      <w:r>
        <w:rPr>
          <w:rFonts w:hint="eastAsia" w:ascii="宋体" w:hAnsi="宋体" w:eastAsia="宋体" w:cs="Times New Roman"/>
          <w:color w:val="auto"/>
          <w:sz w:val="24"/>
          <w:szCs w:val="24"/>
          <w:highlight w:val="none"/>
          <w:lang w:val="en-US" w:eastAsia="zh-CN"/>
        </w:rPr>
        <w:t>乙方还应及时澄清相关信息，使甲方声誉免受损害，甲方保留追责的权利。</w:t>
      </w:r>
    </w:p>
    <w:p w14:paraId="65306C35">
      <w:pPr>
        <w:pStyle w:val="12"/>
        <w:keepNext w:val="0"/>
        <w:keepLines w:val="0"/>
        <w:pageBreakBefore w:val="0"/>
        <w:numPr>
          <w:ilvl w:val="0"/>
          <w:numId w:val="0"/>
        </w:numPr>
        <w:kinsoku/>
        <w:wordWrap/>
        <w:overflowPunct/>
        <w:topLinePunct w:val="0"/>
        <w:bidi w:val="0"/>
        <w:snapToGrid/>
        <w:spacing w:line="360" w:lineRule="auto"/>
        <w:ind w:left="0" w:firstLine="482" w:firstLineChars="200"/>
        <w:rPr>
          <w:color w:val="auto"/>
          <w:sz w:val="24"/>
          <w:szCs w:val="24"/>
          <w:highlight w:val="none"/>
        </w:rPr>
      </w:pPr>
      <w:r>
        <w:rPr>
          <w:rFonts w:ascii="宋体" w:hAnsi="Courier New"/>
          <w:b/>
          <w:bCs/>
          <w:color w:val="auto"/>
          <w:kern w:val="0"/>
          <w:sz w:val="24"/>
          <w:szCs w:val="24"/>
          <w:highlight w:val="none"/>
          <w:lang w:val="en-US" w:eastAsia="zh-CN" w:bidi="ar-SA"/>
        </w:rPr>
        <w:t>2.</w:t>
      </w:r>
      <w:r>
        <w:rPr>
          <w:rFonts w:hint="eastAsia"/>
          <w:b/>
          <w:bCs/>
          <w:color w:val="auto"/>
          <w:sz w:val="24"/>
          <w:szCs w:val="24"/>
          <w:highlight w:val="none"/>
          <w:lang w:val="en-US" w:eastAsia="zh-CN"/>
        </w:rPr>
        <w:t>知识产权的归属</w:t>
      </w:r>
    </w:p>
    <w:p w14:paraId="62F6E30F">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合同所产生服务成果的全部知识产权均归甲方所有，未经甲方事先书面许可，乙方及乙方工作人员不得在本合同约定事项之外实施、使用该项知识产权，也不得将该项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1CDE1EE5">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第四条：</w:t>
      </w:r>
      <w:r>
        <w:rPr>
          <w:rFonts w:ascii="宋体" w:hAnsi="宋体"/>
          <w:b/>
          <w:color w:val="auto"/>
          <w:sz w:val="24"/>
          <w:highlight w:val="none"/>
        </w:rPr>
        <w:t>合同转让和分包</w:t>
      </w:r>
    </w:p>
    <w:p w14:paraId="76A5B2D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3EABA38">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五</w:t>
      </w:r>
      <w:r>
        <w:rPr>
          <w:rFonts w:hint="eastAsia" w:hAnsi="宋体"/>
          <w:b/>
          <w:color w:val="auto"/>
          <w:sz w:val="24"/>
          <w:szCs w:val="24"/>
          <w:highlight w:val="none"/>
        </w:rPr>
        <w:t>条：合同履行时间、履行方式及履行地点</w:t>
      </w:r>
    </w:p>
    <w:p w14:paraId="5C7DD6DC">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1.履行时间：合同签订之日起至202</w:t>
      </w:r>
      <w:r>
        <w:rPr>
          <w:rFonts w:hint="eastAsia" w:hAnsi="宋体"/>
          <w:color w:val="auto"/>
          <w:sz w:val="24"/>
          <w:szCs w:val="24"/>
          <w:highlight w:val="none"/>
          <w:lang w:val="en-US" w:eastAsia="zh-CN"/>
        </w:rPr>
        <w:t>5</w:t>
      </w:r>
      <w:r>
        <w:rPr>
          <w:rFonts w:hint="eastAsia" w:hAnsi="宋体"/>
          <w:color w:val="auto"/>
          <w:sz w:val="24"/>
          <w:szCs w:val="24"/>
          <w:highlight w:val="none"/>
        </w:rPr>
        <w:t>年</w:t>
      </w:r>
      <w:r>
        <w:rPr>
          <w:rFonts w:hint="eastAsia" w:hAnsi="宋体"/>
          <w:color w:val="auto"/>
          <w:sz w:val="24"/>
          <w:szCs w:val="24"/>
          <w:highlight w:val="none"/>
          <w:lang w:val="en-US" w:eastAsia="zh-CN"/>
        </w:rPr>
        <w:t>12月10日</w:t>
      </w:r>
      <w:r>
        <w:rPr>
          <w:rFonts w:hint="eastAsia" w:hAnsi="宋体"/>
          <w:color w:val="auto"/>
          <w:sz w:val="24"/>
          <w:highlight w:val="none"/>
        </w:rPr>
        <w:t>。</w:t>
      </w:r>
      <w:r>
        <w:rPr>
          <w:rFonts w:hint="eastAsia" w:hAnsi="宋体"/>
          <w:color w:val="auto"/>
          <w:sz w:val="24"/>
          <w:szCs w:val="24"/>
          <w:highlight w:val="none"/>
        </w:rPr>
        <w:t xml:space="preserve"> </w:t>
      </w:r>
    </w:p>
    <w:p w14:paraId="2064F320">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2.履行方式：按照招标文件中的规定以及甲方的要求履行。</w:t>
      </w:r>
    </w:p>
    <w:p w14:paraId="0319ED05">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3.履行地点：</w:t>
      </w:r>
      <w:r>
        <w:rPr>
          <w:rFonts w:hint="eastAsia" w:hAnsi="宋体" w:cs="宋体"/>
          <w:color w:val="auto"/>
          <w:kern w:val="0"/>
          <w:sz w:val="24"/>
          <w:szCs w:val="24"/>
          <w:highlight w:val="none"/>
          <w:lang w:val="en-US" w:eastAsia="zh-CN"/>
        </w:rPr>
        <w:t>甲方指定地点</w:t>
      </w:r>
      <w:r>
        <w:rPr>
          <w:rFonts w:hint="eastAsia" w:hAnsi="宋体"/>
          <w:color w:val="auto"/>
          <w:sz w:val="24"/>
          <w:szCs w:val="24"/>
          <w:highlight w:val="none"/>
        </w:rPr>
        <w:t>。</w:t>
      </w:r>
    </w:p>
    <w:p w14:paraId="7F2913F5">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六</w:t>
      </w:r>
      <w:r>
        <w:rPr>
          <w:rFonts w:hint="eastAsia" w:hAnsi="宋体"/>
          <w:b/>
          <w:color w:val="auto"/>
          <w:sz w:val="24"/>
          <w:szCs w:val="24"/>
          <w:highlight w:val="none"/>
        </w:rPr>
        <w:t>条：履约保证金</w:t>
      </w:r>
    </w:p>
    <w:p w14:paraId="205FF4A1">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highlight w:val="none"/>
        </w:rPr>
        <w:t>本项目不收取履约保证金。</w:t>
      </w:r>
    </w:p>
    <w:p w14:paraId="3B56F6F4">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七</w:t>
      </w:r>
      <w:r>
        <w:rPr>
          <w:rFonts w:hint="eastAsia" w:hAnsi="宋体"/>
          <w:b/>
          <w:color w:val="auto"/>
          <w:sz w:val="24"/>
          <w:szCs w:val="24"/>
          <w:highlight w:val="none"/>
        </w:rPr>
        <w:t>条：款项支付</w:t>
      </w:r>
    </w:p>
    <w:p w14:paraId="2B4D6F96">
      <w:pPr>
        <w:keepNext w:val="0"/>
        <w:keepLines w:val="0"/>
        <w:pageBreakBefore w:val="0"/>
        <w:widowControl/>
        <w:kinsoku/>
        <w:wordWrap/>
        <w:overflowPunct/>
        <w:topLinePunct w:val="0"/>
        <w:autoSpaceDE/>
        <w:autoSpaceDN/>
        <w:bidi w:val="0"/>
        <w:adjustRightInd/>
        <w:snapToGrid/>
        <w:spacing w:after="0" w:line="360" w:lineRule="auto"/>
        <w:ind w:left="0" w:firstLineChars="200"/>
        <w:jc w:val="left"/>
        <w:rPr>
          <w:rFonts w:hint="default"/>
          <w:color w:val="auto"/>
          <w:sz w:val="24"/>
          <w:szCs w:val="24"/>
          <w:highlight w:val="none"/>
          <w:lang w:val="en-US" w:eastAsia="zh-CN"/>
        </w:rPr>
      </w:pPr>
      <w:r>
        <w:rPr>
          <w:rFonts w:hint="default"/>
          <w:color w:val="auto"/>
          <w:sz w:val="24"/>
          <w:szCs w:val="24"/>
          <w:highlight w:val="none"/>
          <w:lang w:val="en-US" w:eastAsia="zh-CN"/>
        </w:rPr>
        <w:t>合同生效以及具备实施条件</w:t>
      </w:r>
      <w:r>
        <w:rPr>
          <w:rFonts w:hint="eastAsia"/>
          <w:color w:val="auto"/>
          <w:sz w:val="24"/>
          <w:szCs w:val="24"/>
          <w:highlight w:val="none"/>
          <w:lang w:val="en-US" w:eastAsia="zh-CN"/>
        </w:rPr>
        <w:t>且收到乙方开具的发票</w:t>
      </w:r>
      <w:r>
        <w:rPr>
          <w:rFonts w:hint="default"/>
          <w:color w:val="auto"/>
          <w:sz w:val="24"/>
          <w:szCs w:val="24"/>
          <w:highlight w:val="none"/>
          <w:lang w:val="en-US" w:eastAsia="zh-CN"/>
        </w:rPr>
        <w:t>后7个工作日内，</w:t>
      </w:r>
      <w:r>
        <w:rPr>
          <w:rFonts w:hint="eastAsia"/>
          <w:color w:val="auto"/>
          <w:sz w:val="24"/>
          <w:szCs w:val="24"/>
          <w:highlight w:val="none"/>
          <w:lang w:val="en-US" w:eastAsia="zh-CN"/>
        </w:rPr>
        <w:t>甲方</w:t>
      </w:r>
      <w:r>
        <w:rPr>
          <w:rFonts w:hint="default"/>
          <w:color w:val="auto"/>
          <w:sz w:val="24"/>
          <w:szCs w:val="24"/>
          <w:highlight w:val="none"/>
          <w:lang w:val="en-US" w:eastAsia="zh-CN"/>
        </w:rPr>
        <w:t>向</w:t>
      </w:r>
      <w:r>
        <w:rPr>
          <w:rFonts w:hint="eastAsia"/>
          <w:color w:val="auto"/>
          <w:sz w:val="24"/>
          <w:szCs w:val="24"/>
          <w:highlight w:val="none"/>
          <w:lang w:val="en-US" w:eastAsia="zh-CN"/>
        </w:rPr>
        <w:t>乙方</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50</w:t>
      </w:r>
      <w:r>
        <w:rPr>
          <w:rFonts w:hint="default"/>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项目履约完成，经</w:t>
      </w:r>
      <w:r>
        <w:rPr>
          <w:rFonts w:hint="eastAsia"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验收合格，</w:t>
      </w:r>
      <w:r>
        <w:rPr>
          <w:rFonts w:hint="eastAsia" w:ascii="Times New Roman" w:hAnsi="Times New Roman" w:eastAsia="宋体" w:cs="Times New Roman"/>
          <w:color w:val="auto"/>
          <w:sz w:val="24"/>
          <w:szCs w:val="24"/>
          <w:highlight w:val="none"/>
          <w:lang w:val="en-US" w:eastAsia="zh-CN"/>
        </w:rPr>
        <w:t>收到</w:t>
      </w:r>
      <w:r>
        <w:rPr>
          <w:rFonts w:hint="eastAsia"/>
          <w:color w:val="auto"/>
          <w:sz w:val="24"/>
          <w:szCs w:val="24"/>
          <w:highlight w:val="none"/>
          <w:lang w:val="en-US" w:eastAsia="zh-CN"/>
        </w:rPr>
        <w:t>乙方开具的</w:t>
      </w:r>
      <w:r>
        <w:rPr>
          <w:rFonts w:hint="eastAsia" w:ascii="Times New Roman" w:hAnsi="Times New Roman" w:eastAsia="宋体" w:cs="Times New Roman"/>
          <w:color w:val="auto"/>
          <w:sz w:val="24"/>
          <w:szCs w:val="24"/>
          <w:highlight w:val="none"/>
          <w:lang w:val="en-US" w:eastAsia="zh-CN"/>
        </w:rPr>
        <w:t>发票后7个工作日内</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lang w:val="en-US" w:eastAsia="zh-CN"/>
        </w:rPr>
        <w:t>向</w:t>
      </w:r>
      <w:r>
        <w:rPr>
          <w:rFonts w:hint="eastAsia"/>
          <w:color w:val="auto"/>
          <w:sz w:val="24"/>
          <w:szCs w:val="24"/>
          <w:highlight w:val="none"/>
          <w:lang w:val="en-US" w:eastAsia="zh-CN"/>
        </w:rPr>
        <w:t>乙方</w:t>
      </w:r>
      <w:r>
        <w:rPr>
          <w:rFonts w:hint="default"/>
          <w:color w:val="auto"/>
          <w:sz w:val="24"/>
          <w:szCs w:val="24"/>
          <w:highlight w:val="none"/>
          <w:lang w:val="en-US" w:eastAsia="zh-CN"/>
        </w:rPr>
        <w:t>支付合同总价的</w:t>
      </w:r>
      <w:r>
        <w:rPr>
          <w:rFonts w:hint="eastAsia"/>
          <w:color w:val="auto"/>
          <w:sz w:val="24"/>
          <w:szCs w:val="24"/>
          <w:highlight w:val="none"/>
          <w:lang w:val="en-US" w:eastAsia="zh-CN"/>
        </w:rPr>
        <w:t>50</w:t>
      </w:r>
      <w:r>
        <w:rPr>
          <w:rFonts w:hint="default"/>
          <w:color w:val="auto"/>
          <w:sz w:val="24"/>
          <w:szCs w:val="24"/>
          <w:highlight w:val="none"/>
          <w:lang w:val="en-US" w:eastAsia="zh-CN"/>
        </w:rPr>
        <w:t>%</w:t>
      </w:r>
      <w:r>
        <w:rPr>
          <w:rFonts w:hint="eastAsia"/>
          <w:color w:val="auto"/>
          <w:sz w:val="24"/>
          <w:szCs w:val="24"/>
          <w:highlight w:val="none"/>
          <w:lang w:val="en-US" w:eastAsia="zh-CN"/>
        </w:rPr>
        <w:t>，</w:t>
      </w:r>
      <w:r>
        <w:rPr>
          <w:rFonts w:hint="eastAsia"/>
          <w:color w:val="auto"/>
          <w:sz w:val="24"/>
          <w:highlight w:val="none"/>
        </w:rPr>
        <w:t>如遇年底关账，款项顺延至下一年度预算下达后7个工作日内支付。</w:t>
      </w:r>
    </w:p>
    <w:p w14:paraId="5A80ACE0">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highlight w:val="none"/>
        </w:rPr>
        <w:t>付款按财政政策执行，</w:t>
      </w:r>
      <w:r>
        <w:rPr>
          <w:rStyle w:val="73"/>
          <w:rFonts w:hAnsi="宋体"/>
          <w:color w:val="auto"/>
          <w:sz w:val="24"/>
          <w:highlight w:val="none"/>
          <w:lang w:val="en-GB"/>
        </w:rPr>
        <w:t>因</w:t>
      </w:r>
      <w:r>
        <w:rPr>
          <w:rStyle w:val="73"/>
          <w:rFonts w:hint="eastAsia" w:hAnsi="宋体"/>
          <w:color w:val="auto"/>
          <w:sz w:val="24"/>
          <w:highlight w:val="none"/>
        </w:rPr>
        <w:t>乙方</w:t>
      </w:r>
      <w:r>
        <w:rPr>
          <w:rStyle w:val="73"/>
          <w:rFonts w:hAnsi="宋体"/>
          <w:color w:val="auto"/>
          <w:sz w:val="24"/>
          <w:highlight w:val="none"/>
          <w:lang w:val="en-GB"/>
        </w:rPr>
        <w:t>未按合同履行任务</w:t>
      </w:r>
      <w:r>
        <w:rPr>
          <w:rStyle w:val="73"/>
          <w:rFonts w:hint="eastAsia" w:hAnsi="宋体"/>
          <w:color w:val="auto"/>
          <w:highlight w:val="none"/>
        </w:rPr>
        <w:t>或</w:t>
      </w:r>
      <w:r>
        <w:rPr>
          <w:rFonts w:hint="eastAsia" w:hAnsi="宋体"/>
          <w:color w:val="auto"/>
          <w:sz w:val="24"/>
          <w:highlight w:val="none"/>
        </w:rPr>
        <w:t>不符合财政资金支付时间要求等原因造成不能及时付款的，甲方不承担责任。</w:t>
      </w:r>
    </w:p>
    <w:p w14:paraId="1438BD21">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八</w:t>
      </w:r>
      <w:r>
        <w:rPr>
          <w:rFonts w:hint="eastAsia" w:hAnsi="宋体"/>
          <w:b/>
          <w:color w:val="auto"/>
          <w:sz w:val="24"/>
          <w:szCs w:val="24"/>
          <w:highlight w:val="none"/>
        </w:rPr>
        <w:t>条：税费</w:t>
      </w:r>
    </w:p>
    <w:p w14:paraId="1A54B5F5">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szCs w:val="24"/>
          <w:highlight w:val="none"/>
        </w:rPr>
      </w:pPr>
      <w:r>
        <w:rPr>
          <w:rFonts w:hint="eastAsia" w:hAnsi="宋体"/>
          <w:color w:val="auto"/>
          <w:sz w:val="24"/>
          <w:szCs w:val="24"/>
          <w:highlight w:val="none"/>
        </w:rPr>
        <w:t>本合同执行中相关的一切税费均由乙方负担。</w:t>
      </w:r>
    </w:p>
    <w:p w14:paraId="0AE31DAF">
      <w:pPr>
        <w:pStyle w:val="90"/>
        <w:keepNext w:val="0"/>
        <w:keepLines w:val="0"/>
        <w:pageBreakBefore w:val="0"/>
        <w:shd w:val="clear" w:color="auto" w:fill="FFFFFF"/>
        <w:kinsoku/>
        <w:wordWrap/>
        <w:overflowPunct/>
        <w:topLinePunct w:val="0"/>
        <w:bidi w:val="0"/>
        <w:snapToGrid/>
        <w:spacing w:line="360" w:lineRule="auto"/>
        <w:ind w:left="0" w:firstLine="482" w:firstLineChars="200"/>
        <w:contextualSpacing/>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w:t>
      </w: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lang w:eastAsia="zh-CN"/>
        </w:rPr>
        <w:t>条：质量保证及后续服务</w:t>
      </w:r>
    </w:p>
    <w:p w14:paraId="231E7309">
      <w:pPr>
        <w:pStyle w:val="90"/>
        <w:keepNext w:val="0"/>
        <w:keepLines w:val="0"/>
        <w:pageBreakBefore w:val="0"/>
        <w:shd w:val="clear" w:color="auto" w:fill="FFFFFF"/>
        <w:kinsoku/>
        <w:wordWrap/>
        <w:overflowPunct/>
        <w:topLinePunct w:val="0"/>
        <w:bidi w:val="0"/>
        <w:snapToGrid/>
        <w:spacing w:line="360" w:lineRule="auto"/>
        <w:ind w:left="0"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1.乙方应按招标文件规定向甲方提供服务。</w:t>
      </w:r>
    </w:p>
    <w:p w14:paraId="4B5C4E4A">
      <w:pPr>
        <w:pStyle w:val="90"/>
        <w:keepNext w:val="0"/>
        <w:keepLines w:val="0"/>
        <w:pageBreakBefore w:val="0"/>
        <w:shd w:val="clear" w:color="auto" w:fill="FFFFFF"/>
        <w:kinsoku/>
        <w:wordWrap/>
        <w:overflowPunct/>
        <w:topLinePunct w:val="0"/>
        <w:bidi w:val="0"/>
        <w:snapToGrid/>
        <w:spacing w:line="360" w:lineRule="auto"/>
        <w:ind w:left="0"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2.乙方提供的服务在服务期内发生突发情况的，乙方应在突发情况结束后继续提供服务。对达不到要求者，根据实际情况，经双方协商，可按以下办法处理：</w:t>
      </w:r>
    </w:p>
    <w:p w14:paraId="19760BB5">
      <w:pPr>
        <w:pStyle w:val="90"/>
        <w:keepNext w:val="0"/>
        <w:keepLines w:val="0"/>
        <w:pageBreakBefore w:val="0"/>
        <w:shd w:val="clear" w:color="auto" w:fill="FFFFFF"/>
        <w:kinsoku/>
        <w:wordWrap/>
        <w:overflowPunct/>
        <w:topLinePunct w:val="0"/>
        <w:bidi w:val="0"/>
        <w:snapToGrid/>
        <w:spacing w:line="360" w:lineRule="auto"/>
        <w:ind w:left="0"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（1）重做：由乙方承担所发生的全部费用。</w:t>
      </w:r>
    </w:p>
    <w:p w14:paraId="48F99028">
      <w:pPr>
        <w:pStyle w:val="90"/>
        <w:keepNext w:val="0"/>
        <w:keepLines w:val="0"/>
        <w:pageBreakBefore w:val="0"/>
        <w:shd w:val="clear" w:color="auto" w:fill="FFFFFF"/>
        <w:kinsoku/>
        <w:wordWrap/>
        <w:overflowPunct/>
        <w:topLinePunct w:val="0"/>
        <w:bidi w:val="0"/>
        <w:snapToGrid/>
        <w:spacing w:line="360" w:lineRule="auto"/>
        <w:ind w:left="0"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（2）解除合同。</w:t>
      </w:r>
    </w:p>
    <w:p w14:paraId="207CAF0E">
      <w:pPr>
        <w:pStyle w:val="90"/>
        <w:keepNext w:val="0"/>
        <w:keepLines w:val="0"/>
        <w:pageBreakBefore w:val="0"/>
        <w:shd w:val="clear" w:color="auto" w:fill="FFFFFF"/>
        <w:kinsoku/>
        <w:wordWrap/>
        <w:overflowPunct/>
        <w:topLinePunct w:val="0"/>
        <w:bidi w:val="0"/>
        <w:snapToGrid/>
        <w:spacing w:line="360" w:lineRule="auto"/>
        <w:ind w:left="0" w:firstLine="480" w:firstLineChars="200"/>
        <w:contextualSpacing/>
        <w:rPr>
          <w:rFonts w:hint="eastAsia" w:ascii="宋体" w:hAnsi="宋体"/>
          <w:b/>
          <w:color w:val="auto"/>
          <w:kern w:val="0"/>
          <w:sz w:val="24"/>
          <w:highlight w:val="none"/>
        </w:rPr>
      </w:pPr>
      <w:r>
        <w:rPr>
          <w:rFonts w:hint="eastAsia" w:ascii="宋体" w:hAnsi="宋体" w:eastAsia="宋体"/>
          <w:color w:val="auto"/>
          <w:sz w:val="24"/>
          <w:szCs w:val="24"/>
          <w:highlight w:val="none"/>
          <w:lang w:eastAsia="zh-CN"/>
        </w:rPr>
        <w:t>3.在服务期内，乙方应对出现的安全问题负责处理解决并承担一切费用。</w:t>
      </w:r>
    </w:p>
    <w:p w14:paraId="44921801">
      <w:pPr>
        <w:keepNext w:val="0"/>
        <w:keepLines w:val="0"/>
        <w:pageBreakBefore w:val="0"/>
        <w:widowControl/>
        <w:kinsoku/>
        <w:wordWrap/>
        <w:overflowPunct/>
        <w:topLinePunct w:val="0"/>
        <w:autoSpaceDE w:val="0"/>
        <w:autoSpaceDN w:val="0"/>
        <w:bidi w:val="0"/>
        <w:snapToGrid/>
        <w:spacing w:line="360" w:lineRule="auto"/>
        <w:ind w:left="0" w:firstLine="482" w:firstLineChars="200"/>
        <w:textAlignment w:val="bottom"/>
        <w:rPr>
          <w:rFonts w:hint="eastAsia" w:ascii="宋体" w:hAnsi="宋体"/>
          <w:b/>
          <w:color w:val="auto"/>
          <w:kern w:val="0"/>
          <w:sz w:val="24"/>
          <w:highlight w:val="none"/>
        </w:rPr>
      </w:pPr>
      <w:r>
        <w:rPr>
          <w:rFonts w:hint="eastAsia" w:ascii="宋体" w:hAnsi="宋体"/>
          <w:b/>
          <w:color w:val="auto"/>
          <w:kern w:val="0"/>
          <w:sz w:val="24"/>
          <w:highlight w:val="none"/>
        </w:rPr>
        <w:t>第十条：验收</w:t>
      </w:r>
    </w:p>
    <w:p w14:paraId="6431770B">
      <w:pPr>
        <w:keepNext w:val="0"/>
        <w:keepLines w:val="0"/>
        <w:pageBreakBefore w:val="0"/>
        <w:widowControl/>
        <w:kinsoku/>
        <w:wordWrap/>
        <w:overflowPunct/>
        <w:topLinePunct w:val="0"/>
        <w:autoSpaceDE w:val="0"/>
        <w:autoSpaceDN w:val="0"/>
        <w:bidi w:val="0"/>
        <w:snapToGrid/>
        <w:spacing w:line="360" w:lineRule="auto"/>
        <w:ind w:left="0"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验收根据本次项目</w:t>
      </w:r>
      <w:r>
        <w:rPr>
          <w:rFonts w:hint="eastAsia" w:ascii="宋体" w:hAnsi="宋体"/>
          <w:color w:val="auto"/>
          <w:kern w:val="0"/>
          <w:sz w:val="24"/>
          <w:highlight w:val="none"/>
          <w:lang w:val="en-US" w:eastAsia="zh-CN"/>
        </w:rPr>
        <w:t>招标</w:t>
      </w:r>
      <w:r>
        <w:rPr>
          <w:rFonts w:hint="eastAsia" w:ascii="宋体" w:hAnsi="宋体"/>
          <w:color w:val="auto"/>
          <w:kern w:val="0"/>
          <w:sz w:val="24"/>
          <w:highlight w:val="none"/>
        </w:rPr>
        <w:t>文件中相关技术要求进行。验收由甲方负责实施。</w:t>
      </w:r>
    </w:p>
    <w:p w14:paraId="1D12DD0A">
      <w:pPr>
        <w:keepNext w:val="0"/>
        <w:keepLines w:val="0"/>
        <w:pageBreakBefore w:val="0"/>
        <w:widowControl/>
        <w:kinsoku/>
        <w:wordWrap/>
        <w:overflowPunct/>
        <w:topLinePunct w:val="0"/>
        <w:autoSpaceDE w:val="0"/>
        <w:autoSpaceDN w:val="0"/>
        <w:bidi w:val="0"/>
        <w:snapToGrid/>
        <w:spacing w:line="360" w:lineRule="auto"/>
        <w:ind w:left="0"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验收的依据：合同和</w:t>
      </w:r>
      <w:r>
        <w:rPr>
          <w:rFonts w:hint="eastAsia" w:ascii="宋体" w:hAnsi="宋体"/>
          <w:color w:val="auto"/>
          <w:sz w:val="24"/>
          <w:highlight w:val="none"/>
        </w:rPr>
        <w:t>招标文件、投标文件</w:t>
      </w:r>
      <w:r>
        <w:rPr>
          <w:rFonts w:ascii="宋体" w:hAnsi="宋体"/>
          <w:color w:val="auto"/>
          <w:sz w:val="24"/>
          <w:highlight w:val="none"/>
        </w:rPr>
        <w:t>（及</w:t>
      </w:r>
      <w:r>
        <w:rPr>
          <w:rFonts w:hint="eastAsia" w:ascii="宋体" w:hAnsi="宋体"/>
          <w:color w:val="auto"/>
          <w:sz w:val="24"/>
          <w:highlight w:val="none"/>
        </w:rPr>
        <w:t>评审</w:t>
      </w:r>
      <w:r>
        <w:rPr>
          <w:rFonts w:ascii="宋体" w:hAnsi="宋体"/>
          <w:color w:val="auto"/>
          <w:sz w:val="24"/>
          <w:highlight w:val="none"/>
        </w:rPr>
        <w:t>时的相关承诺）</w:t>
      </w:r>
      <w:r>
        <w:rPr>
          <w:rFonts w:hint="eastAsia" w:ascii="宋体" w:hAnsi="宋体"/>
          <w:color w:val="auto"/>
          <w:sz w:val="24"/>
          <w:highlight w:val="none"/>
          <w:lang w:val="en-US" w:eastAsia="zh-CN"/>
        </w:rPr>
        <w:t>及成果</w:t>
      </w:r>
      <w:r>
        <w:rPr>
          <w:rFonts w:hint="eastAsia" w:ascii="宋体" w:hAnsi="宋体" w:eastAsia="宋体" w:cs="宋体"/>
          <w:color w:val="auto"/>
          <w:sz w:val="24"/>
          <w:szCs w:val="24"/>
          <w:highlight w:val="none"/>
        </w:rPr>
        <w:t>验收</w:t>
      </w:r>
      <w:r>
        <w:rPr>
          <w:rFonts w:hint="eastAsia" w:ascii="宋体" w:hAnsi="宋体"/>
          <w:color w:val="auto"/>
          <w:sz w:val="24"/>
          <w:highlight w:val="none"/>
        </w:rPr>
        <w:t>。</w:t>
      </w:r>
    </w:p>
    <w:p w14:paraId="60C48AED">
      <w:pPr>
        <w:pStyle w:val="12"/>
        <w:keepNext w:val="0"/>
        <w:keepLines w:val="0"/>
        <w:pageBreakBefore w:val="0"/>
        <w:widowControl w:val="0"/>
        <w:kinsoku/>
        <w:wordWrap/>
        <w:overflowPunct/>
        <w:topLinePunct w:val="0"/>
        <w:bidi w:val="0"/>
        <w:adjustRightInd/>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第十一条：违约责任</w:t>
      </w:r>
    </w:p>
    <w:p w14:paraId="73C8BF38">
      <w:pPr>
        <w:keepNext w:val="0"/>
        <w:keepLines w:val="0"/>
        <w:pageBreakBefore w:val="0"/>
        <w:kinsoku/>
        <w:wordWrap/>
        <w:overflowPunct/>
        <w:topLinePunct w:val="0"/>
        <w:bidi w:val="0"/>
        <w:adjustRightInd w:val="0"/>
        <w:snapToGrid/>
        <w:spacing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1.甲方应当履行合同约定的义务，如有违反，须承担相应的违约责任。</w:t>
      </w:r>
    </w:p>
    <w:p w14:paraId="15DC3E8B">
      <w:pPr>
        <w:keepNext w:val="0"/>
        <w:keepLines w:val="0"/>
        <w:pageBreakBefore w:val="0"/>
        <w:kinsoku/>
        <w:wordWrap/>
        <w:overflowPunct/>
        <w:topLinePunct w:val="0"/>
        <w:bidi w:val="0"/>
        <w:adjustRightInd w:val="0"/>
        <w:snapToGrid/>
        <w:spacing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2.未经甲方同意，乙方不得在任何时期擅自更换投标文件中规定的项目负责人，同时必须确保项目人员的数量和水平与投标文件一致，否则甲方有权放弃或终止合同。</w:t>
      </w:r>
    </w:p>
    <w:p w14:paraId="6E3E1B7A">
      <w:pPr>
        <w:keepNext w:val="0"/>
        <w:keepLines w:val="0"/>
        <w:pageBreakBefore w:val="0"/>
        <w:kinsoku/>
        <w:wordWrap/>
        <w:overflowPunct/>
        <w:topLinePunct w:val="0"/>
        <w:bidi w:val="0"/>
        <w:adjustRightInd w:val="0"/>
        <w:snapToGrid/>
        <w:spacing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3.因不可抗力导致合同不能全部或部分履行，甲、乙双方协商解决。</w:t>
      </w:r>
    </w:p>
    <w:p w14:paraId="08F42DA0">
      <w:pPr>
        <w:keepNext w:val="0"/>
        <w:keepLines w:val="0"/>
        <w:pageBreakBefore w:val="0"/>
        <w:kinsoku/>
        <w:wordWrap/>
        <w:overflowPunct/>
        <w:topLinePunct w:val="0"/>
        <w:bidi w:val="0"/>
        <w:adjustRightInd w:val="0"/>
        <w:snapToGrid/>
        <w:spacing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4.乙方因自身原因为未能如期履约的，每逾期1日向甲方偿付合同金额的0.05%的违约金，并不免其履约职责。乙方超过约定日期 10 个工作日仍不能提供服务的，甲方可解除本合同。</w:t>
      </w:r>
    </w:p>
    <w:p w14:paraId="3EDA2B00">
      <w:pPr>
        <w:keepNext w:val="0"/>
        <w:keepLines w:val="0"/>
        <w:pageBreakBefore w:val="0"/>
        <w:kinsoku/>
        <w:wordWrap/>
        <w:overflowPunct/>
        <w:topLinePunct w:val="0"/>
        <w:bidi w:val="0"/>
        <w:adjustRightInd w:val="0"/>
        <w:snapToGrid/>
        <w:spacing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5.其他约定：</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B2B04EA">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第十二条：不可抗力</w:t>
      </w:r>
    </w:p>
    <w:p w14:paraId="449A69A0">
      <w:pPr>
        <w:keepNext w:val="0"/>
        <w:keepLines w:val="0"/>
        <w:pageBreakBefore w:val="0"/>
        <w:kinsoku/>
        <w:wordWrap/>
        <w:overflowPunct/>
        <w:topLinePunct w:val="0"/>
        <w:bidi w:val="0"/>
        <w:snapToGrid/>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1.不可抗力事故系指甲乙双方在缔结合同时所不能预见的，并且它的发生及其后果无法避免和无法克服的事故。</w:t>
      </w:r>
    </w:p>
    <w:p w14:paraId="67A2B56E">
      <w:pPr>
        <w:keepNext w:val="0"/>
        <w:keepLines w:val="0"/>
        <w:pageBreakBefore w:val="0"/>
        <w:kinsoku/>
        <w:wordWrap/>
        <w:overflowPunct/>
        <w:topLinePunct w:val="0"/>
        <w:bidi w:val="0"/>
        <w:snapToGrid/>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29EA09C">
      <w:pPr>
        <w:pStyle w:val="12"/>
        <w:keepNext w:val="0"/>
        <w:keepLines w:val="0"/>
        <w:pageBreakBefore w:val="0"/>
        <w:kinsoku/>
        <w:wordWrap/>
        <w:overflowPunct/>
        <w:topLinePunct w:val="0"/>
        <w:bidi w:val="0"/>
        <w:snapToGrid/>
        <w:spacing w:line="360" w:lineRule="auto"/>
        <w:ind w:left="0" w:firstLine="482" w:firstLineChars="200"/>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十</w:t>
      </w:r>
      <w:r>
        <w:rPr>
          <w:rFonts w:hint="eastAsia" w:hAnsi="宋体"/>
          <w:b/>
          <w:color w:val="auto"/>
          <w:sz w:val="24"/>
          <w:szCs w:val="24"/>
          <w:highlight w:val="none"/>
        </w:rPr>
        <w:t>三条：争议处理</w:t>
      </w:r>
    </w:p>
    <w:p w14:paraId="03C79061">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1.在本合同履行过程中发生争议，双方应当协商解决。双方不愿协商、调解解决或者协商、调解不成的，可向甲方所在地法院起诉。</w:t>
      </w:r>
    </w:p>
    <w:p w14:paraId="1BC067BB">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2.在诉讼期间，除正在进行诉讼的部分外，本合同其他部分应当继续执行。</w:t>
      </w:r>
    </w:p>
    <w:p w14:paraId="34A70B91">
      <w:pPr>
        <w:pStyle w:val="12"/>
        <w:keepNext w:val="0"/>
        <w:keepLines w:val="0"/>
        <w:pageBreakBefore w:val="0"/>
        <w:kinsoku/>
        <w:wordWrap/>
        <w:overflowPunct/>
        <w:topLinePunct w:val="0"/>
        <w:bidi w:val="0"/>
        <w:snapToGrid/>
        <w:spacing w:line="360" w:lineRule="auto"/>
        <w:ind w:left="0" w:firstLine="482" w:firstLineChars="200"/>
        <w:rPr>
          <w:rFonts w:hAnsi="宋体"/>
          <w:b/>
          <w:bCs/>
          <w:color w:val="auto"/>
          <w:sz w:val="24"/>
          <w:highlight w:val="none"/>
        </w:rPr>
      </w:pPr>
      <w:r>
        <w:rPr>
          <w:rFonts w:hint="eastAsia" w:hAnsi="宋体"/>
          <w:b/>
          <w:color w:val="auto"/>
          <w:sz w:val="24"/>
          <w:szCs w:val="24"/>
          <w:highlight w:val="none"/>
        </w:rPr>
        <w:t>第十四条：</w:t>
      </w:r>
      <w:r>
        <w:rPr>
          <w:rFonts w:hint="eastAsia" w:hAnsi="宋体"/>
          <w:b/>
          <w:bCs/>
          <w:color w:val="auto"/>
          <w:sz w:val="24"/>
          <w:highlight w:val="none"/>
        </w:rPr>
        <w:t>合同修改</w:t>
      </w:r>
    </w:p>
    <w:p w14:paraId="434B9862">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bCs/>
          <w:color w:val="auto"/>
          <w:sz w:val="24"/>
          <w:highlight w:val="none"/>
        </w:rPr>
        <w:t>1.</w:t>
      </w:r>
      <w:r>
        <w:rPr>
          <w:rFonts w:hint="eastAsia" w:hAnsi="宋体"/>
          <w:color w:val="auto"/>
          <w:sz w:val="24"/>
          <w:highlight w:val="none"/>
        </w:rPr>
        <w:t>合同履行期内甲乙双方均不得随意变更或解除合同。合同若有未尽事宜，需经双方共同协商，订立补充协议，并报管理部门备案，补充协议与本合同有同等法律效力。</w:t>
      </w:r>
    </w:p>
    <w:p w14:paraId="3360BB4F">
      <w:pPr>
        <w:keepNext w:val="0"/>
        <w:keepLines w:val="0"/>
        <w:pageBreakBefore w:val="0"/>
        <w:kinsoku/>
        <w:wordWrap/>
        <w:overflowPunct/>
        <w:topLinePunct w:val="0"/>
        <w:bidi w:val="0"/>
        <w:snapToGrid/>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2.因一方变更或解除合同使另一方遭受损失的，除依法可以免除责任的外，应由责任方负责赔偿。变更或解除合同的通知或协议应当采取书面形式，协议未达成之前，原合同仍然有效。</w:t>
      </w:r>
    </w:p>
    <w:p w14:paraId="772E9449">
      <w:pPr>
        <w:pStyle w:val="12"/>
        <w:keepNext w:val="0"/>
        <w:keepLines w:val="0"/>
        <w:pageBreakBefore w:val="0"/>
        <w:kinsoku/>
        <w:wordWrap/>
        <w:overflowPunct/>
        <w:topLinePunct w:val="0"/>
        <w:bidi w:val="0"/>
        <w:snapToGrid/>
        <w:spacing w:line="360" w:lineRule="auto"/>
        <w:ind w:left="0" w:firstLine="482" w:firstLineChars="200"/>
        <w:rPr>
          <w:rFonts w:hAnsi="宋体"/>
          <w:b/>
          <w:bCs/>
          <w:color w:val="auto"/>
          <w:sz w:val="24"/>
          <w:highlight w:val="none"/>
        </w:rPr>
      </w:pPr>
      <w:r>
        <w:rPr>
          <w:rFonts w:hint="eastAsia" w:hAnsi="宋体"/>
          <w:b/>
          <w:color w:val="auto"/>
          <w:sz w:val="24"/>
          <w:szCs w:val="24"/>
          <w:highlight w:val="none"/>
        </w:rPr>
        <w:t>第十五条：</w:t>
      </w:r>
      <w:r>
        <w:rPr>
          <w:rFonts w:hint="eastAsia" w:hAnsi="宋体"/>
          <w:b/>
          <w:bCs/>
          <w:color w:val="auto"/>
          <w:sz w:val="24"/>
          <w:highlight w:val="none"/>
        </w:rPr>
        <w:t>其他</w:t>
      </w:r>
    </w:p>
    <w:p w14:paraId="59E98E54">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1.乙方不得参与可能与合同规定的与甲方的利益相冲突的任何活动。</w:t>
      </w:r>
    </w:p>
    <w:p w14:paraId="407E695F">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2.乙方人员在甲方场地工作时，应遵守甲方相关规章、制度。</w:t>
      </w:r>
    </w:p>
    <w:p w14:paraId="5FD977E9">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3.本合同任何一方给另一方的通知，都应以书面或传真的形式发送，而另一方应以书面形式确认并发送到对方明确的地址。</w:t>
      </w:r>
    </w:p>
    <w:p w14:paraId="30B627F4">
      <w:pPr>
        <w:pStyle w:val="12"/>
        <w:keepNext w:val="0"/>
        <w:keepLines w:val="0"/>
        <w:pageBreakBefore w:val="0"/>
        <w:kinsoku/>
        <w:wordWrap/>
        <w:overflowPunct/>
        <w:topLinePunct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4.适用法律：本合同应按照中华人民共和国的法律进行解释。</w:t>
      </w:r>
    </w:p>
    <w:p w14:paraId="63E2E48D">
      <w:pPr>
        <w:pStyle w:val="12"/>
        <w:keepNext w:val="0"/>
        <w:keepLines w:val="0"/>
        <w:pageBreakBefore w:val="0"/>
        <w:kinsoku/>
        <w:wordWrap/>
        <w:overflowPunct/>
        <w:topLinePunct w:val="0"/>
        <w:bidi w:val="0"/>
        <w:snapToGrid/>
        <w:spacing w:line="360" w:lineRule="auto"/>
        <w:ind w:left="0" w:firstLine="482" w:firstLineChars="200"/>
        <w:rPr>
          <w:rFonts w:hAnsi="宋体"/>
          <w:b/>
          <w:bCs/>
          <w:color w:val="auto"/>
          <w:sz w:val="24"/>
          <w:highlight w:val="none"/>
        </w:rPr>
      </w:pPr>
      <w:r>
        <w:rPr>
          <w:rFonts w:hint="eastAsia" w:hAnsi="宋体"/>
          <w:b/>
          <w:color w:val="auto"/>
          <w:sz w:val="24"/>
          <w:szCs w:val="24"/>
          <w:highlight w:val="none"/>
        </w:rPr>
        <w:t>第十六条：</w:t>
      </w:r>
      <w:r>
        <w:rPr>
          <w:rFonts w:hint="eastAsia" w:hAnsi="宋体"/>
          <w:b/>
          <w:bCs/>
          <w:color w:val="auto"/>
          <w:sz w:val="24"/>
          <w:highlight w:val="none"/>
        </w:rPr>
        <w:t>未尽事宜</w:t>
      </w:r>
    </w:p>
    <w:p w14:paraId="01250AE8">
      <w:pPr>
        <w:keepNext w:val="0"/>
        <w:keepLines w:val="0"/>
        <w:pageBreakBefore w:val="0"/>
        <w:kinsoku/>
        <w:wordWrap/>
        <w:overflowPunct/>
        <w:topLinePunct w:val="0"/>
        <w:autoSpaceDE w:val="0"/>
        <w:autoSpaceDN w:val="0"/>
        <w:bidi w:val="0"/>
        <w:snapToGrid/>
        <w:spacing w:line="360" w:lineRule="auto"/>
        <w:ind w:left="0" w:firstLine="480" w:firstLineChars="200"/>
        <w:rPr>
          <w:rFonts w:hAnsi="宋体"/>
          <w:color w:val="auto"/>
          <w:sz w:val="24"/>
          <w:highlight w:val="none"/>
        </w:rPr>
      </w:pPr>
      <w:r>
        <w:rPr>
          <w:rFonts w:hint="eastAsia" w:hAnsi="宋体"/>
          <w:color w:val="auto"/>
          <w:sz w:val="24"/>
          <w:highlight w:val="none"/>
        </w:rPr>
        <w:t>未尽事宜，双方协商解决，并就协商内容达成书面的补充协议并盖章确认。</w:t>
      </w:r>
    </w:p>
    <w:p w14:paraId="34F6ECCF">
      <w:pPr>
        <w:keepNext w:val="0"/>
        <w:keepLines w:val="0"/>
        <w:pageBreakBefore w:val="0"/>
        <w:kinsoku/>
        <w:wordWrap/>
        <w:overflowPunct/>
        <w:topLinePunct w:val="0"/>
        <w:bidi w:val="0"/>
        <w:snapToGrid/>
        <w:spacing w:line="360" w:lineRule="auto"/>
        <w:ind w:left="0" w:firstLine="482" w:firstLineChars="200"/>
        <w:contextualSpacing/>
        <w:rPr>
          <w:rFonts w:ascii="宋体" w:hAnsi="宋体"/>
          <w:b/>
          <w:bCs/>
          <w:color w:val="auto"/>
          <w:sz w:val="24"/>
          <w:highlight w:val="none"/>
        </w:rPr>
      </w:pPr>
      <w:r>
        <w:rPr>
          <w:rFonts w:hint="eastAsia" w:hAnsi="宋体"/>
          <w:b/>
          <w:color w:val="auto"/>
          <w:sz w:val="24"/>
          <w:highlight w:val="none"/>
        </w:rPr>
        <w:t>第十七条：</w:t>
      </w:r>
      <w:r>
        <w:rPr>
          <w:rFonts w:hint="eastAsia" w:ascii="宋体" w:hAnsi="宋体"/>
          <w:b/>
          <w:bCs/>
          <w:color w:val="auto"/>
          <w:sz w:val="24"/>
          <w:highlight w:val="none"/>
        </w:rPr>
        <w:t>合同生效</w:t>
      </w:r>
    </w:p>
    <w:p w14:paraId="48BA0BB8">
      <w:pPr>
        <w:pStyle w:val="12"/>
        <w:keepNext w:val="0"/>
        <w:keepLines w:val="0"/>
        <w:pageBreakBefore w:val="0"/>
        <w:kinsoku/>
        <w:wordWrap/>
        <w:overflowPunct/>
        <w:topLinePunct w:val="0"/>
        <w:bidi w:val="0"/>
        <w:snapToGrid/>
        <w:spacing w:line="360" w:lineRule="auto"/>
        <w:ind w:left="0" w:firstLine="480" w:firstLineChars="200"/>
        <w:contextualSpacing/>
        <w:rPr>
          <w:color w:val="auto"/>
          <w:sz w:val="24"/>
          <w:highlight w:val="none"/>
        </w:rPr>
      </w:pPr>
      <w:r>
        <w:rPr>
          <w:rFonts w:hint="eastAsia"/>
          <w:color w:val="auto"/>
          <w:sz w:val="24"/>
          <w:highlight w:val="none"/>
        </w:rPr>
        <w:t>1.本次</w:t>
      </w:r>
      <w:r>
        <w:rPr>
          <w:rFonts w:hint="eastAsia"/>
          <w:color w:val="auto"/>
          <w:sz w:val="24"/>
          <w:highlight w:val="none"/>
          <w:lang w:val="en-US" w:eastAsia="zh-CN"/>
        </w:rPr>
        <w:t>采购</w:t>
      </w:r>
      <w:r>
        <w:rPr>
          <w:rFonts w:hint="eastAsia"/>
          <w:color w:val="auto"/>
          <w:sz w:val="24"/>
          <w:highlight w:val="none"/>
        </w:rPr>
        <w:t>文件（编号：</w:t>
      </w:r>
      <w:r>
        <w:rPr>
          <w:rFonts w:hint="eastAsia"/>
          <w:b/>
          <w:color w:val="auto"/>
          <w:sz w:val="24"/>
          <w:highlight w:val="none"/>
        </w:rPr>
        <w:t xml:space="preserve">   </w:t>
      </w:r>
      <w:r>
        <w:rPr>
          <w:rFonts w:hint="eastAsia"/>
          <w:color w:val="auto"/>
          <w:sz w:val="24"/>
          <w:highlight w:val="none"/>
        </w:rPr>
        <w:t>）、</w:t>
      </w:r>
      <w:r>
        <w:rPr>
          <w:rFonts w:hint="eastAsia"/>
          <w:color w:val="auto"/>
          <w:sz w:val="24"/>
          <w:highlight w:val="none"/>
          <w:lang w:val="en-US" w:eastAsia="zh-CN"/>
        </w:rPr>
        <w:t>磋商响应</w:t>
      </w:r>
      <w:r>
        <w:rPr>
          <w:rFonts w:hint="eastAsia"/>
          <w:color w:val="auto"/>
          <w:sz w:val="24"/>
          <w:highlight w:val="none"/>
        </w:rPr>
        <w:t>文件及</w:t>
      </w:r>
      <w:r>
        <w:rPr>
          <w:rFonts w:hint="eastAsia"/>
          <w:color w:val="auto"/>
          <w:sz w:val="24"/>
          <w:highlight w:val="none"/>
          <w:lang w:val="en-US" w:eastAsia="zh-CN"/>
        </w:rPr>
        <w:t>磋商</w:t>
      </w:r>
      <w:r>
        <w:rPr>
          <w:rFonts w:hint="eastAsia"/>
          <w:color w:val="auto"/>
          <w:sz w:val="24"/>
          <w:highlight w:val="none"/>
        </w:rPr>
        <w:t>过程中形成的文字资料、询标纪要均作为本合同的组成部分，具有同等效力。</w:t>
      </w:r>
    </w:p>
    <w:p w14:paraId="6522DA4E">
      <w:pPr>
        <w:pStyle w:val="12"/>
        <w:keepNext w:val="0"/>
        <w:keepLines w:val="0"/>
        <w:pageBreakBefore w:val="0"/>
        <w:kinsoku/>
        <w:wordWrap/>
        <w:overflowPunct/>
        <w:topLinePunct w:val="0"/>
        <w:bidi w:val="0"/>
        <w:snapToGrid/>
        <w:spacing w:line="360" w:lineRule="auto"/>
        <w:ind w:left="0" w:firstLine="480" w:firstLineChars="200"/>
        <w:contextualSpacing/>
        <w:rPr>
          <w:color w:val="auto"/>
          <w:sz w:val="24"/>
          <w:highlight w:val="none"/>
        </w:rPr>
      </w:pPr>
      <w:r>
        <w:rPr>
          <w:rFonts w:hint="eastAsia"/>
          <w:color w:val="auto"/>
          <w:sz w:val="24"/>
          <w:highlight w:val="none"/>
        </w:rPr>
        <w:t xml:space="preserve">2.前述文件内容如与本合同发生冲突，以本合同为准，本合同没有约定的，前述文件作为补充和解释。        </w:t>
      </w:r>
    </w:p>
    <w:p w14:paraId="4903D99D">
      <w:pPr>
        <w:pStyle w:val="12"/>
        <w:keepNext w:val="0"/>
        <w:keepLines w:val="0"/>
        <w:pageBreakBefore w:val="0"/>
        <w:kinsoku/>
        <w:wordWrap/>
        <w:overflowPunct/>
        <w:topLinePunct w:val="0"/>
        <w:bidi w:val="0"/>
        <w:snapToGrid/>
        <w:spacing w:line="360" w:lineRule="auto"/>
        <w:ind w:left="0" w:firstLine="480" w:firstLineChars="200"/>
        <w:contextualSpacing/>
        <w:rPr>
          <w:rFonts w:hint="eastAsia" w:hAnsi="宋体"/>
          <w:color w:val="auto"/>
          <w:sz w:val="24"/>
          <w:highlight w:val="none"/>
        </w:rPr>
      </w:pPr>
      <w:r>
        <w:rPr>
          <w:rFonts w:hint="eastAsia"/>
          <w:bCs/>
          <w:color w:val="auto"/>
          <w:sz w:val="24"/>
          <w:highlight w:val="none"/>
        </w:rPr>
        <w:t>3.</w:t>
      </w:r>
      <w:r>
        <w:rPr>
          <w:rFonts w:hint="eastAsia"/>
          <w:color w:val="auto"/>
          <w:sz w:val="24"/>
          <w:highlight w:val="none"/>
        </w:rPr>
        <w:t>本合同经甲乙双方法定代表人或其委托人签字并加盖双方公章</w:t>
      </w:r>
      <w:r>
        <w:rPr>
          <w:rFonts w:hint="eastAsia" w:hAnsi="宋体"/>
          <w:color w:val="auto"/>
          <w:sz w:val="24"/>
          <w:highlight w:val="none"/>
          <w:lang w:val="zh-CN"/>
        </w:rPr>
        <w:t>后生效</w:t>
      </w:r>
      <w:r>
        <w:rPr>
          <w:rFonts w:hint="eastAsia" w:hAnsi="宋体"/>
          <w:color w:val="auto"/>
          <w:sz w:val="24"/>
          <w:highlight w:val="none"/>
        </w:rPr>
        <w:t>。</w:t>
      </w:r>
    </w:p>
    <w:p w14:paraId="6BC59644">
      <w:pPr>
        <w:pStyle w:val="12"/>
        <w:keepNext w:val="0"/>
        <w:keepLines w:val="0"/>
        <w:pageBreakBefore w:val="0"/>
        <w:kinsoku/>
        <w:wordWrap/>
        <w:overflowPunct/>
        <w:topLinePunct w:val="0"/>
        <w:bidi w:val="0"/>
        <w:snapToGrid/>
        <w:spacing w:line="360" w:lineRule="auto"/>
        <w:ind w:left="0" w:firstLine="480" w:firstLineChars="200"/>
        <w:contextualSpacing/>
        <w:rPr>
          <w:rFonts w:hint="eastAsia"/>
          <w:color w:val="auto"/>
          <w:sz w:val="24"/>
          <w:highlight w:val="none"/>
        </w:rPr>
      </w:pPr>
      <w:r>
        <w:rPr>
          <w:rFonts w:hint="eastAsia"/>
          <w:color w:val="auto"/>
          <w:sz w:val="24"/>
          <w:highlight w:val="none"/>
        </w:rPr>
        <w:t>4.本合同一式四份，甲方、乙方各执二份。</w:t>
      </w:r>
    </w:p>
    <w:p w14:paraId="57AC9670">
      <w:pPr>
        <w:pStyle w:val="12"/>
        <w:keepNext w:val="0"/>
        <w:keepLines w:val="0"/>
        <w:pageBreakBefore w:val="0"/>
        <w:kinsoku/>
        <w:wordWrap/>
        <w:overflowPunct/>
        <w:topLinePunct w:val="0"/>
        <w:bidi w:val="0"/>
        <w:snapToGrid/>
        <w:spacing w:line="360" w:lineRule="auto"/>
        <w:ind w:left="0" w:firstLine="480" w:firstLineChars="200"/>
        <w:contextualSpacing/>
        <w:rPr>
          <w:rFonts w:hint="eastAsia"/>
          <w:color w:val="auto"/>
          <w:sz w:val="24"/>
          <w:highlight w:val="none"/>
          <w:lang w:val="en-US" w:eastAsia="zh-CN"/>
        </w:rPr>
      </w:pPr>
      <w:r>
        <w:rPr>
          <w:rFonts w:hint="eastAsia"/>
          <w:color w:val="auto"/>
          <w:sz w:val="24"/>
          <w:highlight w:val="none"/>
          <w:lang w:val="en-US" w:eastAsia="zh-CN"/>
        </w:rPr>
        <w:t>【以下无正文】</w:t>
      </w:r>
    </w:p>
    <w:p w14:paraId="670ABDA2">
      <w:pPr>
        <w:pStyle w:val="12"/>
        <w:spacing w:line="360" w:lineRule="auto"/>
        <w:ind w:firstLine="480" w:firstLineChars="200"/>
        <w:contextualSpacing/>
        <w:rPr>
          <w:rFonts w:hAnsi="宋体"/>
          <w:color w:val="auto"/>
          <w:sz w:val="24"/>
          <w:highlight w:val="none"/>
        </w:rPr>
      </w:pPr>
    </w:p>
    <w:tbl>
      <w:tblPr>
        <w:tblStyle w:val="24"/>
        <w:tblW w:w="9458" w:type="dxa"/>
        <w:tblInd w:w="0" w:type="dxa"/>
        <w:tblLayout w:type="fixed"/>
        <w:tblCellMar>
          <w:top w:w="0" w:type="dxa"/>
          <w:left w:w="108" w:type="dxa"/>
          <w:bottom w:w="0" w:type="dxa"/>
          <w:right w:w="108" w:type="dxa"/>
        </w:tblCellMar>
      </w:tblPr>
      <w:tblGrid>
        <w:gridCol w:w="4729"/>
        <w:gridCol w:w="4729"/>
      </w:tblGrid>
      <w:tr w14:paraId="3C2AFB8E">
        <w:tblPrEx>
          <w:tblCellMar>
            <w:top w:w="0" w:type="dxa"/>
            <w:left w:w="108" w:type="dxa"/>
            <w:bottom w:w="0" w:type="dxa"/>
            <w:right w:w="108" w:type="dxa"/>
          </w:tblCellMar>
        </w:tblPrEx>
        <w:tc>
          <w:tcPr>
            <w:tcW w:w="4729" w:type="dxa"/>
          </w:tcPr>
          <w:p w14:paraId="55AC1373">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甲方（盖章）：</w:t>
            </w:r>
          </w:p>
        </w:tc>
        <w:tc>
          <w:tcPr>
            <w:tcW w:w="4729" w:type="dxa"/>
          </w:tcPr>
          <w:p w14:paraId="37EFC509">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乙方（盖章）：</w:t>
            </w:r>
          </w:p>
        </w:tc>
      </w:tr>
      <w:tr w14:paraId="0C757DD7">
        <w:tblPrEx>
          <w:tblCellMar>
            <w:top w:w="0" w:type="dxa"/>
            <w:left w:w="108" w:type="dxa"/>
            <w:bottom w:w="0" w:type="dxa"/>
            <w:right w:w="108" w:type="dxa"/>
          </w:tblCellMar>
        </w:tblPrEx>
        <w:tc>
          <w:tcPr>
            <w:tcW w:w="4729" w:type="dxa"/>
          </w:tcPr>
          <w:p w14:paraId="5DFA3B6D">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6FED356E">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c>
          <w:tcPr>
            <w:tcW w:w="4729" w:type="dxa"/>
          </w:tcPr>
          <w:p w14:paraId="42466ADB">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5D7F1209">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r>
      <w:tr w14:paraId="4B9035F5">
        <w:tblPrEx>
          <w:tblCellMar>
            <w:top w:w="0" w:type="dxa"/>
            <w:left w:w="108" w:type="dxa"/>
            <w:bottom w:w="0" w:type="dxa"/>
            <w:right w:w="108" w:type="dxa"/>
          </w:tblCellMar>
        </w:tblPrEx>
        <w:tc>
          <w:tcPr>
            <w:tcW w:w="4729" w:type="dxa"/>
          </w:tcPr>
          <w:p w14:paraId="368FEBCE">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c>
          <w:tcPr>
            <w:tcW w:w="4729" w:type="dxa"/>
          </w:tcPr>
          <w:p w14:paraId="5F3499F3">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r>
      <w:tr w14:paraId="793ADD97">
        <w:tblPrEx>
          <w:tblCellMar>
            <w:top w:w="0" w:type="dxa"/>
            <w:left w:w="108" w:type="dxa"/>
            <w:bottom w:w="0" w:type="dxa"/>
            <w:right w:w="108" w:type="dxa"/>
          </w:tblCellMar>
        </w:tblPrEx>
        <w:tc>
          <w:tcPr>
            <w:tcW w:w="4729" w:type="dxa"/>
          </w:tcPr>
          <w:p w14:paraId="227C61D8">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c>
          <w:tcPr>
            <w:tcW w:w="4729" w:type="dxa"/>
          </w:tcPr>
          <w:p w14:paraId="730A4941">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r>
      <w:tr w14:paraId="72688EFC">
        <w:tblPrEx>
          <w:tblCellMar>
            <w:top w:w="0" w:type="dxa"/>
            <w:left w:w="108" w:type="dxa"/>
            <w:bottom w:w="0" w:type="dxa"/>
            <w:right w:w="108" w:type="dxa"/>
          </w:tblCellMar>
        </w:tblPrEx>
        <w:tc>
          <w:tcPr>
            <w:tcW w:w="4729" w:type="dxa"/>
          </w:tcPr>
          <w:p w14:paraId="2695FA2E">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c>
          <w:tcPr>
            <w:tcW w:w="4729" w:type="dxa"/>
          </w:tcPr>
          <w:p w14:paraId="1231A29C">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r>
      <w:tr w14:paraId="12BEC5E3">
        <w:tblPrEx>
          <w:tblCellMar>
            <w:top w:w="0" w:type="dxa"/>
            <w:left w:w="108" w:type="dxa"/>
            <w:bottom w:w="0" w:type="dxa"/>
            <w:right w:w="108" w:type="dxa"/>
          </w:tblCellMar>
        </w:tblPrEx>
        <w:tc>
          <w:tcPr>
            <w:tcW w:w="4729" w:type="dxa"/>
          </w:tcPr>
          <w:p w14:paraId="6FCD8F5E">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c>
          <w:tcPr>
            <w:tcW w:w="4729" w:type="dxa"/>
          </w:tcPr>
          <w:p w14:paraId="6A77AF73">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r>
      <w:tr w14:paraId="5E3CDFA8">
        <w:tblPrEx>
          <w:tblCellMar>
            <w:top w:w="0" w:type="dxa"/>
            <w:left w:w="108" w:type="dxa"/>
            <w:bottom w:w="0" w:type="dxa"/>
            <w:right w:w="108" w:type="dxa"/>
          </w:tblCellMar>
        </w:tblPrEx>
        <w:tc>
          <w:tcPr>
            <w:tcW w:w="4729" w:type="dxa"/>
          </w:tcPr>
          <w:p w14:paraId="66DA16B5">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c>
          <w:tcPr>
            <w:tcW w:w="4729" w:type="dxa"/>
          </w:tcPr>
          <w:p w14:paraId="06008F9B">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r>
      <w:tr w14:paraId="448DF2C9">
        <w:tblPrEx>
          <w:tblCellMar>
            <w:top w:w="0" w:type="dxa"/>
            <w:left w:w="108" w:type="dxa"/>
            <w:bottom w:w="0" w:type="dxa"/>
            <w:right w:w="108" w:type="dxa"/>
          </w:tblCellMar>
        </w:tblPrEx>
        <w:tc>
          <w:tcPr>
            <w:tcW w:w="4729" w:type="dxa"/>
          </w:tcPr>
          <w:p w14:paraId="3C9907EA">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c>
          <w:tcPr>
            <w:tcW w:w="4729" w:type="dxa"/>
          </w:tcPr>
          <w:p w14:paraId="554828CB">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r>
    </w:tbl>
    <w:p w14:paraId="1E31C62E">
      <w:pPr>
        <w:spacing w:line="360" w:lineRule="auto"/>
        <w:jc w:val="center"/>
        <w:rPr>
          <w:b/>
          <w:color w:val="auto"/>
          <w:sz w:val="36"/>
          <w:highlight w:val="none"/>
        </w:rPr>
      </w:pPr>
      <w:r>
        <w:rPr>
          <w:b/>
          <w:color w:val="auto"/>
          <w:sz w:val="36"/>
          <w:highlight w:val="none"/>
        </w:rPr>
        <w:br w:type="page"/>
      </w:r>
      <w:r>
        <w:rPr>
          <w:b/>
          <w:color w:val="auto"/>
          <w:sz w:val="36"/>
          <w:highlight w:val="none"/>
        </w:rPr>
        <w:t>第</w:t>
      </w:r>
      <w:r>
        <w:rPr>
          <w:rFonts w:hint="eastAsia"/>
          <w:b/>
          <w:color w:val="auto"/>
          <w:sz w:val="36"/>
          <w:highlight w:val="none"/>
        </w:rPr>
        <w:t>五</w:t>
      </w:r>
      <w:r>
        <w:rPr>
          <w:b/>
          <w:color w:val="auto"/>
          <w:sz w:val="36"/>
          <w:highlight w:val="none"/>
        </w:rPr>
        <w:t>章</w:t>
      </w:r>
      <w:r>
        <w:rPr>
          <w:rFonts w:hint="eastAsia"/>
          <w:b/>
          <w:color w:val="auto"/>
          <w:sz w:val="36"/>
          <w:highlight w:val="none"/>
        </w:rPr>
        <w:t>、磋商响应</w:t>
      </w:r>
      <w:r>
        <w:rPr>
          <w:b/>
          <w:color w:val="auto"/>
          <w:sz w:val="36"/>
          <w:highlight w:val="none"/>
        </w:rPr>
        <w:t>文件格式及其附件</w:t>
      </w:r>
    </w:p>
    <w:p w14:paraId="426B89D1">
      <w:pPr>
        <w:pStyle w:val="12"/>
        <w:spacing w:line="360" w:lineRule="auto"/>
        <w:outlineLvl w:val="1"/>
        <w:rPr>
          <w:rFonts w:hAnsi="宋体"/>
          <w:b/>
          <w:color w:val="auto"/>
          <w:sz w:val="24"/>
          <w:highlight w:val="none"/>
        </w:rPr>
      </w:pPr>
      <w:r>
        <w:rPr>
          <w:rFonts w:hint="eastAsia" w:hAnsi="宋体"/>
          <w:b/>
          <w:color w:val="auto"/>
          <w:sz w:val="24"/>
          <w:highlight w:val="none"/>
        </w:rPr>
        <w:t>一、磋商响应方提交磋商响应文件须知：</w:t>
      </w:r>
    </w:p>
    <w:p w14:paraId="052ACE49">
      <w:pPr>
        <w:pStyle w:val="12"/>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、磋商响应方应严格按照以下顺序填写和提交下述规定的全部格式文件以及其他有关资料，混乱的编排导致磋商响应文件被误读或磋商小组查找不到有效文件是磋商响应方的风险。</w:t>
      </w:r>
    </w:p>
    <w:p w14:paraId="11D67BC8">
      <w:pPr>
        <w:pStyle w:val="12"/>
        <w:spacing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、所附表格中要求回答的全部问题和</w:t>
      </w:r>
      <w:r>
        <w:rPr>
          <w:rFonts w:hAnsi="宋体"/>
          <w:color w:val="auto"/>
          <w:sz w:val="24"/>
          <w:highlight w:val="none"/>
        </w:rPr>
        <w:t>/</w:t>
      </w:r>
      <w:r>
        <w:rPr>
          <w:rFonts w:hint="eastAsia" w:hAnsi="宋体"/>
          <w:color w:val="auto"/>
          <w:sz w:val="24"/>
          <w:highlight w:val="none"/>
        </w:rPr>
        <w:t>或信息都必须正面回答。</w:t>
      </w:r>
    </w:p>
    <w:p w14:paraId="388374FB">
      <w:pPr>
        <w:pStyle w:val="12"/>
        <w:spacing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、本声明书的签字人应保证全部声明和问题的回答是真实的和准确的。</w:t>
      </w:r>
    </w:p>
    <w:p w14:paraId="597F8D70">
      <w:pPr>
        <w:pStyle w:val="12"/>
        <w:spacing w:line="360" w:lineRule="auto"/>
        <w:rPr>
          <w:rFonts w:hAnsi="宋体"/>
          <w:color w:val="auto"/>
          <w:sz w:val="24"/>
          <w:highlight w:val="none"/>
        </w:rPr>
      </w:pPr>
      <w:r>
        <w:rPr>
          <w:rFonts w:hAnsi="宋体"/>
          <w:color w:val="auto"/>
          <w:sz w:val="24"/>
          <w:highlight w:val="none"/>
        </w:rPr>
        <w:t>4</w:t>
      </w:r>
      <w:r>
        <w:rPr>
          <w:rFonts w:hint="eastAsia" w:hAnsi="宋体"/>
          <w:color w:val="auto"/>
          <w:sz w:val="24"/>
          <w:highlight w:val="none"/>
        </w:rPr>
        <w:t>、磋商小组将应用磋商响应方提交的资料根据自己的判断和考虑决定磋商响应方履行合同的合格性及能力。</w:t>
      </w:r>
    </w:p>
    <w:p w14:paraId="4B3290D9">
      <w:pPr>
        <w:pStyle w:val="12"/>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、磋商响应方提交的材料将在一定期限内被保密保存，但不退还。</w:t>
      </w:r>
    </w:p>
    <w:p w14:paraId="37B1687A">
      <w:pPr>
        <w:pStyle w:val="12"/>
        <w:spacing w:line="360" w:lineRule="auto"/>
        <w:rPr>
          <w:rFonts w:hAnsi="宋体"/>
          <w:b/>
          <w:color w:val="auto"/>
          <w:sz w:val="24"/>
          <w:highlight w:val="none"/>
        </w:rPr>
      </w:pPr>
      <w:r>
        <w:rPr>
          <w:rFonts w:hAnsi="宋体"/>
          <w:color w:val="auto"/>
          <w:sz w:val="24"/>
          <w:highlight w:val="none"/>
        </w:rPr>
        <w:t>6</w:t>
      </w:r>
      <w:r>
        <w:rPr>
          <w:rFonts w:hint="eastAsia" w:hAnsi="宋体"/>
          <w:color w:val="auto"/>
          <w:sz w:val="24"/>
          <w:highlight w:val="none"/>
        </w:rPr>
        <w:t>、全部文件应按磋商响应方须知中规定的语言和份数提交。磋商响应文件组成漏项或未按规定的格式编制，内容不全或内容字迹模糊辨认不清的情况，</w:t>
      </w:r>
      <w:r>
        <w:rPr>
          <w:rFonts w:hint="eastAsia" w:hAnsi="宋体"/>
          <w:b/>
          <w:color w:val="auto"/>
          <w:sz w:val="24"/>
          <w:highlight w:val="none"/>
        </w:rPr>
        <w:t>将有可能被磋商小组认定为投标无效。</w:t>
      </w:r>
    </w:p>
    <w:p w14:paraId="516BBEB5">
      <w:pPr>
        <w:pStyle w:val="12"/>
        <w:spacing w:line="360" w:lineRule="auto"/>
        <w:outlineLvl w:val="1"/>
        <w:rPr>
          <w:rFonts w:hAnsi="宋体"/>
          <w:b/>
          <w:color w:val="auto"/>
          <w:sz w:val="24"/>
          <w:szCs w:val="24"/>
          <w:highlight w:val="none"/>
        </w:rPr>
      </w:pPr>
      <w:r>
        <w:rPr>
          <w:rFonts w:hint="eastAsia" w:hAnsi="宋体"/>
          <w:b/>
          <w:color w:val="auto"/>
          <w:sz w:val="24"/>
          <w:szCs w:val="24"/>
          <w:highlight w:val="none"/>
        </w:rPr>
        <w:t>二、</w:t>
      </w:r>
      <w:r>
        <w:rPr>
          <w:rFonts w:hint="eastAsia" w:hAnsi="宋体"/>
          <w:b/>
          <w:color w:val="auto"/>
          <w:sz w:val="24"/>
          <w:highlight w:val="none"/>
        </w:rPr>
        <w:t>磋商响应</w:t>
      </w:r>
      <w:r>
        <w:rPr>
          <w:rFonts w:hint="eastAsia" w:hAnsi="宋体"/>
          <w:b/>
          <w:color w:val="auto"/>
          <w:sz w:val="24"/>
          <w:szCs w:val="24"/>
          <w:highlight w:val="none"/>
        </w:rPr>
        <w:t>文件编制格式及规范要求：</w:t>
      </w:r>
    </w:p>
    <w:p w14:paraId="122BE800">
      <w:pPr>
        <w:widowControl/>
        <w:autoSpaceDE w:val="0"/>
        <w:autoSpaceDN w:val="0"/>
        <w:spacing w:line="360" w:lineRule="auto"/>
        <w:ind w:firstLine="482" w:firstLineChars="200"/>
        <w:textAlignment w:val="bottom"/>
        <w:rPr>
          <w:rFonts w:hAnsi="宋体"/>
          <w:color w:val="auto"/>
          <w:sz w:val="24"/>
          <w:highlight w:val="none"/>
        </w:rPr>
      </w:pPr>
      <w:r>
        <w:rPr>
          <w:rFonts w:hint="eastAsia" w:hAnsi="宋体"/>
          <w:b/>
          <w:color w:val="auto"/>
          <w:sz w:val="24"/>
          <w:highlight w:val="none"/>
        </w:rPr>
        <w:t>报价文件</w:t>
      </w:r>
      <w:r>
        <w:rPr>
          <w:rFonts w:hint="eastAsia" w:hAnsi="宋体"/>
          <w:color w:val="auto"/>
          <w:sz w:val="24"/>
          <w:highlight w:val="none"/>
        </w:rPr>
        <w:t>（投标响应函、初次报价表</w:t>
      </w:r>
      <w:r>
        <w:rPr>
          <w:rFonts w:hAnsi="宋体"/>
          <w:color w:val="auto"/>
          <w:sz w:val="24"/>
          <w:highlight w:val="none"/>
        </w:rPr>
        <w:t>和相关的报价明细清单</w:t>
      </w:r>
      <w:r>
        <w:rPr>
          <w:rFonts w:hint="eastAsia" w:hAnsi="宋体"/>
          <w:color w:val="auto"/>
          <w:sz w:val="24"/>
          <w:highlight w:val="none"/>
        </w:rPr>
        <w:t>），</w:t>
      </w:r>
      <w:r>
        <w:rPr>
          <w:rFonts w:hint="eastAsia" w:hAnsi="宋体"/>
          <w:b/>
          <w:color w:val="auto"/>
          <w:sz w:val="24"/>
          <w:highlight w:val="none"/>
        </w:rPr>
        <w:t>商务技术文件</w:t>
      </w:r>
      <w:r>
        <w:rPr>
          <w:rFonts w:hint="eastAsia" w:hAnsi="宋体"/>
          <w:color w:val="auto"/>
          <w:sz w:val="24"/>
          <w:highlight w:val="none"/>
        </w:rPr>
        <w:t>（针对本项目的技术和服务响应方案，</w:t>
      </w:r>
      <w:r>
        <w:rPr>
          <w:color w:val="auto"/>
          <w:sz w:val="24"/>
          <w:highlight w:val="none"/>
        </w:rPr>
        <w:t>商务偏离说明表，</w:t>
      </w:r>
      <w:r>
        <w:rPr>
          <w:rFonts w:hint="eastAsia" w:hAnsi="宋体"/>
          <w:color w:val="auto"/>
          <w:sz w:val="24"/>
          <w:highlight w:val="none"/>
        </w:rPr>
        <w:t>技术和服务偏离说明表，采购文件要求提供的其他资料等），</w:t>
      </w:r>
      <w:r>
        <w:rPr>
          <w:rFonts w:hint="eastAsia" w:hAnsi="宋体"/>
          <w:b/>
          <w:color w:val="auto"/>
          <w:sz w:val="24"/>
          <w:highlight w:val="none"/>
        </w:rPr>
        <w:t>资格文件</w:t>
      </w:r>
      <w:r>
        <w:rPr>
          <w:rFonts w:hint="eastAsia" w:hAnsi="宋体"/>
          <w:color w:val="auto"/>
          <w:sz w:val="24"/>
          <w:highlight w:val="none"/>
        </w:rPr>
        <w:t>（证明其为合格磋商响应方和所提供的的有关资格文件，采购文件要求提供的其他资料等）组成三部分，各磋商响应方在编制磋商响应文件时请按照以下格式进行。</w:t>
      </w:r>
    </w:p>
    <w:p w14:paraId="69FF2769">
      <w:pPr>
        <w:widowControl/>
        <w:jc w:val="left"/>
        <w:rPr>
          <w:rFonts w:hAnsi="宋体"/>
          <w:color w:val="auto"/>
          <w:sz w:val="24"/>
          <w:highlight w:val="none"/>
        </w:rPr>
      </w:pPr>
      <w:r>
        <w:rPr>
          <w:rFonts w:hAnsi="宋体"/>
          <w:color w:val="auto"/>
          <w:sz w:val="24"/>
          <w:highlight w:val="none"/>
        </w:rPr>
        <w:br w:type="page"/>
      </w:r>
    </w:p>
    <w:p w14:paraId="0AB079A4">
      <w:pPr>
        <w:pStyle w:val="12"/>
        <w:jc w:val="left"/>
        <w:rPr>
          <w:rFonts w:ascii="黑体" w:eastAsia="黑体"/>
          <w:color w:val="auto"/>
          <w:sz w:val="24"/>
          <w:szCs w:val="24"/>
          <w:highlight w:val="none"/>
        </w:rPr>
      </w:pPr>
      <w:r>
        <w:rPr>
          <w:rFonts w:hint="eastAsia" w:ascii="黑体" w:eastAsia="黑体"/>
          <w:color w:val="auto"/>
          <w:sz w:val="24"/>
          <w:szCs w:val="24"/>
          <w:highlight w:val="none"/>
        </w:rPr>
        <w:t>磋商响应文件封面</w:t>
      </w:r>
    </w:p>
    <w:p w14:paraId="20585A3F">
      <w:pPr>
        <w:pStyle w:val="12"/>
        <w:rPr>
          <w:rFonts w:ascii="黑体" w:eastAsia="黑体"/>
          <w:color w:val="auto"/>
          <w:sz w:val="24"/>
          <w:szCs w:val="24"/>
          <w:highlight w:val="none"/>
        </w:rPr>
      </w:pPr>
    </w:p>
    <w:p w14:paraId="7DB98858">
      <w:pPr>
        <w:jc w:val="center"/>
        <w:rPr>
          <w:rFonts w:ascii="黑体" w:eastAsia="黑体"/>
          <w:color w:val="auto"/>
          <w:sz w:val="72"/>
          <w:szCs w:val="72"/>
          <w:highlight w:val="none"/>
        </w:rPr>
      </w:pPr>
    </w:p>
    <w:p w14:paraId="0DD076BD">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360E8D94">
      <w:pPr>
        <w:jc w:val="center"/>
        <w:rPr>
          <w:rFonts w:ascii="宋体" w:hAnsi="宋体"/>
          <w:color w:val="auto"/>
          <w:sz w:val="44"/>
          <w:szCs w:val="44"/>
          <w:highlight w:val="none"/>
        </w:rPr>
      </w:pPr>
    </w:p>
    <w:p w14:paraId="1CF7B662">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010A80B5">
      <w:pPr>
        <w:jc w:val="center"/>
        <w:rPr>
          <w:rFonts w:ascii="宋体" w:hAnsi="宋体"/>
          <w:color w:val="auto"/>
          <w:sz w:val="32"/>
          <w:highlight w:val="none"/>
        </w:rPr>
      </w:pPr>
    </w:p>
    <w:p w14:paraId="27ADF1B6">
      <w:pPr>
        <w:jc w:val="center"/>
        <w:rPr>
          <w:rFonts w:ascii="宋体" w:hAnsi="宋体"/>
          <w:color w:val="auto"/>
          <w:sz w:val="32"/>
          <w:highlight w:val="none"/>
        </w:rPr>
      </w:pPr>
      <w:r>
        <w:rPr>
          <w:rFonts w:hint="eastAsia" w:ascii="宋体" w:hAnsi="宋体"/>
          <w:color w:val="auto"/>
          <w:sz w:val="32"/>
          <w:highlight w:val="none"/>
        </w:rPr>
        <w:t>标项：（如有多个标项）</w:t>
      </w:r>
    </w:p>
    <w:p w14:paraId="31031D8F">
      <w:pPr>
        <w:jc w:val="center"/>
        <w:rPr>
          <w:color w:val="auto"/>
          <w:sz w:val="72"/>
          <w:highlight w:val="none"/>
        </w:rPr>
      </w:pPr>
    </w:p>
    <w:p w14:paraId="7672D421">
      <w:pPr>
        <w:jc w:val="center"/>
        <w:rPr>
          <w:color w:val="auto"/>
          <w:sz w:val="72"/>
          <w:highlight w:val="none"/>
        </w:rPr>
      </w:pPr>
      <w:r>
        <w:rPr>
          <w:rFonts w:hint="eastAsia"/>
          <w:color w:val="auto"/>
          <w:sz w:val="72"/>
          <w:highlight w:val="none"/>
        </w:rPr>
        <w:t>报</w:t>
      </w:r>
    </w:p>
    <w:p w14:paraId="07694CF0">
      <w:pPr>
        <w:jc w:val="center"/>
        <w:rPr>
          <w:color w:val="auto"/>
          <w:sz w:val="72"/>
          <w:highlight w:val="none"/>
        </w:rPr>
      </w:pPr>
      <w:r>
        <w:rPr>
          <w:rFonts w:hint="eastAsia"/>
          <w:color w:val="auto"/>
          <w:sz w:val="72"/>
          <w:highlight w:val="none"/>
        </w:rPr>
        <w:t>价</w:t>
      </w:r>
    </w:p>
    <w:p w14:paraId="1C9FE3AB">
      <w:pPr>
        <w:jc w:val="center"/>
        <w:rPr>
          <w:color w:val="auto"/>
          <w:sz w:val="72"/>
          <w:highlight w:val="none"/>
        </w:rPr>
      </w:pPr>
      <w:r>
        <w:rPr>
          <w:rFonts w:hint="eastAsia"/>
          <w:color w:val="auto"/>
          <w:sz w:val="72"/>
          <w:highlight w:val="none"/>
        </w:rPr>
        <w:t>文</w:t>
      </w:r>
    </w:p>
    <w:p w14:paraId="2AC6B4E1">
      <w:pPr>
        <w:jc w:val="center"/>
        <w:rPr>
          <w:color w:val="auto"/>
          <w:sz w:val="72"/>
          <w:highlight w:val="none"/>
        </w:rPr>
      </w:pPr>
      <w:r>
        <w:rPr>
          <w:rFonts w:hint="eastAsia"/>
          <w:color w:val="auto"/>
          <w:sz w:val="72"/>
          <w:highlight w:val="none"/>
        </w:rPr>
        <w:t>件</w:t>
      </w:r>
    </w:p>
    <w:p w14:paraId="735792F7">
      <w:pPr>
        <w:jc w:val="center"/>
        <w:rPr>
          <w:color w:val="auto"/>
          <w:sz w:val="72"/>
          <w:highlight w:val="none"/>
        </w:rPr>
      </w:pPr>
    </w:p>
    <w:p w14:paraId="4AFA07D2">
      <w:pPr>
        <w:jc w:val="center"/>
        <w:rPr>
          <w:color w:val="auto"/>
          <w:sz w:val="30"/>
          <w:szCs w:val="30"/>
          <w:highlight w:val="none"/>
        </w:rPr>
      </w:pPr>
    </w:p>
    <w:p w14:paraId="7DB22E40">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78B54302">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7A9543D1">
      <w:pPr>
        <w:spacing w:line="360" w:lineRule="auto"/>
        <w:jc w:val="center"/>
        <w:rPr>
          <w:rFonts w:ascii="宋体" w:hAnsi="宋体"/>
          <w:color w:val="auto"/>
          <w:sz w:val="32"/>
          <w:highlight w:val="none"/>
        </w:rPr>
      </w:pPr>
      <w:r>
        <w:rPr>
          <w:rFonts w:hint="eastAsia" w:ascii="宋体" w:hAnsi="宋体"/>
          <w:color w:val="auto"/>
          <w:sz w:val="32"/>
          <w:highlight w:val="none"/>
        </w:rPr>
        <w:t>年  月  日</w:t>
      </w:r>
    </w:p>
    <w:p w14:paraId="48C08B0C">
      <w:pPr>
        <w:spacing w:line="460" w:lineRule="exact"/>
        <w:ind w:firstLine="472" w:firstLineChars="196"/>
        <w:rPr>
          <w:rFonts w:ascii="宋体" w:hAnsi="宋体"/>
          <w:b/>
          <w:bCs/>
          <w:color w:val="auto"/>
          <w:sz w:val="24"/>
          <w:highlight w:val="none"/>
        </w:rPr>
      </w:pPr>
    </w:p>
    <w:p w14:paraId="6C608B26">
      <w:pPr>
        <w:spacing w:line="460" w:lineRule="exact"/>
        <w:ind w:firstLine="472" w:firstLineChars="196"/>
        <w:jc w:val="center"/>
        <w:rPr>
          <w:b/>
          <w:color w:val="auto"/>
          <w:sz w:val="36"/>
          <w:szCs w:val="36"/>
          <w:highlight w:val="none"/>
        </w:rPr>
      </w:pPr>
      <w:r>
        <w:rPr>
          <w:rFonts w:ascii="宋体" w:hAnsi="宋体"/>
          <w:b/>
          <w:bCs/>
          <w:color w:val="auto"/>
          <w:sz w:val="24"/>
          <w:highlight w:val="none"/>
        </w:rPr>
        <w:br w:type="page"/>
      </w:r>
      <w:r>
        <w:rPr>
          <w:rFonts w:hint="eastAsia"/>
          <w:b/>
          <w:color w:val="auto"/>
          <w:sz w:val="36"/>
          <w:szCs w:val="36"/>
          <w:highlight w:val="none"/>
        </w:rPr>
        <w:t>报价文件</w:t>
      </w:r>
    </w:p>
    <w:p w14:paraId="5633875D">
      <w:pPr>
        <w:autoSpaceDE w:val="0"/>
        <w:autoSpaceDN w:val="0"/>
        <w:jc w:val="center"/>
        <w:textAlignment w:val="bottom"/>
        <w:outlineLvl w:val="2"/>
        <w:rPr>
          <w:b/>
          <w:color w:val="auto"/>
          <w:sz w:val="36"/>
          <w:szCs w:val="36"/>
          <w:highlight w:val="none"/>
        </w:rPr>
      </w:pPr>
    </w:p>
    <w:p w14:paraId="01AD4F17">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目录</w:t>
      </w:r>
    </w:p>
    <w:p w14:paraId="4A04AC10">
      <w:pPr>
        <w:pStyle w:val="12"/>
        <w:numPr>
          <w:ilvl w:val="0"/>
          <w:numId w:val="4"/>
        </w:numPr>
        <w:spacing w:line="360" w:lineRule="auto"/>
        <w:rPr>
          <w:rFonts w:hAnsi="宋体"/>
          <w:color w:val="auto"/>
          <w:sz w:val="24"/>
          <w:highlight w:val="none"/>
        </w:rPr>
      </w:pPr>
      <w:r>
        <w:rPr>
          <w:rFonts w:hint="eastAsia"/>
          <w:color w:val="auto"/>
          <w:sz w:val="24"/>
          <w:highlight w:val="none"/>
        </w:rPr>
        <w:t>磋商响应函</w:t>
      </w:r>
      <w:r>
        <w:rPr>
          <w:rFonts w:hAnsi="宋体"/>
          <w:color w:val="auto"/>
          <w:sz w:val="24"/>
          <w:highlight w:val="none"/>
        </w:rPr>
        <w:t>………………………………………………………………………</w:t>
      </w:r>
      <w:r>
        <w:rPr>
          <w:rFonts w:hint="eastAsia" w:hAnsi="宋体"/>
          <w:color w:val="auto"/>
          <w:sz w:val="24"/>
          <w:highlight w:val="none"/>
        </w:rPr>
        <w:t>页码</w:t>
      </w:r>
    </w:p>
    <w:p w14:paraId="6AD5F4B9">
      <w:pPr>
        <w:pStyle w:val="12"/>
        <w:numPr>
          <w:ilvl w:val="0"/>
          <w:numId w:val="4"/>
        </w:numPr>
        <w:spacing w:line="360" w:lineRule="auto"/>
        <w:rPr>
          <w:rFonts w:hAnsi="宋体"/>
          <w:color w:val="auto"/>
          <w:sz w:val="24"/>
          <w:highlight w:val="none"/>
        </w:rPr>
      </w:pPr>
      <w:r>
        <w:rPr>
          <w:rFonts w:hint="eastAsia"/>
          <w:color w:val="auto"/>
          <w:sz w:val="24"/>
          <w:highlight w:val="none"/>
        </w:rPr>
        <w:t>初次报价一览表</w:t>
      </w:r>
      <w:r>
        <w:rPr>
          <w:rFonts w:hAnsi="宋体"/>
          <w:color w:val="auto"/>
          <w:sz w:val="24"/>
          <w:highlight w:val="none"/>
        </w:rPr>
        <w:t>…………………………………………………………………</w:t>
      </w:r>
      <w:r>
        <w:rPr>
          <w:rFonts w:hint="eastAsia" w:hAnsi="宋体"/>
          <w:color w:val="auto"/>
          <w:sz w:val="24"/>
          <w:highlight w:val="none"/>
        </w:rPr>
        <w:t>页码</w:t>
      </w:r>
    </w:p>
    <w:p w14:paraId="687E075B">
      <w:pPr>
        <w:pStyle w:val="12"/>
        <w:numPr>
          <w:ilvl w:val="0"/>
          <w:numId w:val="4"/>
        </w:numPr>
        <w:spacing w:line="360" w:lineRule="auto"/>
        <w:rPr>
          <w:rFonts w:ascii="仿宋_GB2312" w:hAnsi="宋体" w:eastAsia="仿宋_GB2312" w:cs="宋体"/>
          <w:b/>
          <w:color w:val="auto"/>
          <w:kern w:val="0"/>
          <w:sz w:val="32"/>
          <w:szCs w:val="32"/>
          <w:highlight w:val="none"/>
        </w:rPr>
      </w:pPr>
      <w:r>
        <w:rPr>
          <w:rFonts w:hint="eastAsia" w:hAnsi="宋体"/>
          <w:color w:val="auto"/>
          <w:sz w:val="24"/>
          <w:highlight w:val="none"/>
        </w:rPr>
        <w:t>报价明细清单</w:t>
      </w:r>
      <w:r>
        <w:rPr>
          <w:rFonts w:hAnsi="宋体"/>
          <w:color w:val="auto"/>
          <w:sz w:val="24"/>
          <w:highlight w:val="none"/>
        </w:rPr>
        <w:t>……………………………………………………………………</w:t>
      </w:r>
      <w:r>
        <w:rPr>
          <w:rFonts w:hint="eastAsia" w:hAnsi="宋体"/>
          <w:color w:val="auto"/>
          <w:sz w:val="24"/>
          <w:highlight w:val="none"/>
        </w:rPr>
        <w:t>页码</w:t>
      </w:r>
    </w:p>
    <w:p w14:paraId="72D5D164">
      <w:pPr>
        <w:pStyle w:val="45"/>
        <w:numPr>
          <w:ilvl w:val="0"/>
          <w:numId w:val="4"/>
        </w:numPr>
        <w:spacing w:line="360" w:lineRule="auto"/>
        <w:rPr>
          <w:rFonts w:ascii="Times New Roman" w:hAnsi="Times New Roman"/>
          <w:color w:val="auto"/>
          <w:sz w:val="24"/>
          <w:highlight w:val="none"/>
        </w:rPr>
      </w:pPr>
      <w:r>
        <w:rPr>
          <w:rFonts w:hint="eastAsia" w:hAnsi="宋体"/>
          <w:color w:val="auto"/>
          <w:sz w:val="24"/>
          <w:highlight w:val="none"/>
        </w:rPr>
        <w:t>代理服务费支付承诺书</w:t>
      </w:r>
      <w:r>
        <w:rPr>
          <w:rFonts w:hAnsi="宋体"/>
          <w:color w:val="auto"/>
          <w:sz w:val="24"/>
          <w:highlight w:val="none"/>
        </w:rPr>
        <w:t>…………………………………………………………页码</w:t>
      </w:r>
    </w:p>
    <w:p w14:paraId="6E9C7BCE">
      <w:pPr>
        <w:pStyle w:val="45"/>
        <w:numPr>
          <w:ilvl w:val="0"/>
          <w:numId w:val="0"/>
        </w:numPr>
        <w:spacing w:line="360" w:lineRule="auto"/>
        <w:ind w:leftChars="0"/>
        <w:rPr>
          <w:rFonts w:hint="eastAsia" w:ascii="Times New Roman" w:hAnsi="Times New Roman"/>
          <w:color w:val="auto"/>
          <w:sz w:val="24"/>
          <w:highlight w:val="none"/>
        </w:rPr>
      </w:pPr>
      <w:r>
        <w:rPr>
          <w:rFonts w:hint="eastAsia" w:ascii="Times New Roman" w:hAnsi="Times New Roman"/>
          <w:color w:val="auto"/>
          <w:sz w:val="24"/>
          <w:highlight w:val="none"/>
        </w:rPr>
        <w:t>附1中小企业声明函（如果有）………………………………………………………页码</w:t>
      </w:r>
    </w:p>
    <w:p w14:paraId="1DF3ED64">
      <w:pPr>
        <w:pStyle w:val="45"/>
        <w:numPr>
          <w:ilvl w:val="0"/>
          <w:numId w:val="0"/>
        </w:numPr>
        <w:spacing w:line="360" w:lineRule="auto"/>
        <w:ind w:leftChars="0"/>
        <w:rPr>
          <w:rFonts w:hint="eastAsia" w:ascii="Times New Roman" w:hAnsi="Times New Roman"/>
          <w:color w:val="auto"/>
          <w:sz w:val="24"/>
          <w:highlight w:val="none"/>
        </w:rPr>
      </w:pPr>
      <w:r>
        <w:rPr>
          <w:rFonts w:hint="eastAsia" w:ascii="Times New Roman" w:hAnsi="Times New Roman"/>
          <w:color w:val="auto"/>
          <w:sz w:val="24"/>
          <w:highlight w:val="none"/>
        </w:rPr>
        <w:t>附2残疾人福利性单位声明函（如果有）……………………………………………页码</w:t>
      </w:r>
    </w:p>
    <w:p w14:paraId="276B2E02">
      <w:pPr>
        <w:pStyle w:val="45"/>
        <w:numPr>
          <w:ilvl w:val="0"/>
          <w:numId w:val="0"/>
        </w:numPr>
        <w:spacing w:line="360" w:lineRule="auto"/>
        <w:ind w:left="0" w:right="63" w:firstLine="0"/>
        <w:rPr>
          <w:b/>
          <w:color w:val="auto"/>
          <w:sz w:val="36"/>
          <w:szCs w:val="36"/>
          <w:highlight w:val="none"/>
        </w:rPr>
      </w:pPr>
      <w:r>
        <w:rPr>
          <w:rFonts w:hint="eastAsia" w:ascii="Times New Roman" w:hAnsi="Times New Roman"/>
          <w:color w:val="auto"/>
          <w:sz w:val="24"/>
          <w:highlight w:val="none"/>
        </w:rPr>
        <w:t>附3监狱企业资格证明材料（如果有）………………………………………………页码</w:t>
      </w:r>
    </w:p>
    <w:p w14:paraId="704981D7">
      <w:pPr>
        <w:pStyle w:val="45"/>
        <w:numPr>
          <w:ilvl w:val="0"/>
          <w:numId w:val="0"/>
        </w:numPr>
        <w:spacing w:line="360" w:lineRule="auto"/>
        <w:ind w:leftChars="0"/>
        <w:rPr>
          <w:rFonts w:ascii="Times New Roman" w:hAnsi="Times New Roman"/>
          <w:color w:val="auto"/>
          <w:sz w:val="24"/>
          <w:highlight w:val="none"/>
        </w:rPr>
      </w:pPr>
    </w:p>
    <w:p w14:paraId="0FD41425">
      <w:pPr>
        <w:spacing w:line="360" w:lineRule="auto"/>
        <w:rPr>
          <w:rFonts w:ascii="仿宋_GB2312" w:hAnsi="宋体" w:eastAsia="仿宋_GB2312" w:cs="宋体"/>
          <w:b/>
          <w:color w:val="auto"/>
          <w:kern w:val="0"/>
          <w:sz w:val="32"/>
          <w:szCs w:val="32"/>
          <w:highlight w:val="none"/>
        </w:rPr>
      </w:pPr>
    </w:p>
    <w:p w14:paraId="61AA6C1A">
      <w:pPr>
        <w:spacing w:line="360" w:lineRule="auto"/>
        <w:jc w:val="center"/>
        <w:rPr>
          <w:rFonts w:ascii="仿宋_GB2312" w:hAnsi="宋体" w:eastAsia="仿宋_GB2312" w:cs="宋体"/>
          <w:b/>
          <w:color w:val="auto"/>
          <w:kern w:val="0"/>
          <w:sz w:val="32"/>
          <w:szCs w:val="32"/>
          <w:highlight w:val="none"/>
        </w:rPr>
      </w:pPr>
    </w:p>
    <w:p w14:paraId="538915B8">
      <w:pPr>
        <w:spacing w:line="360" w:lineRule="auto"/>
        <w:jc w:val="center"/>
        <w:rPr>
          <w:rFonts w:ascii="宋体" w:hAnsi="宋体"/>
          <w:b/>
          <w:bCs/>
          <w:color w:val="auto"/>
          <w:sz w:val="32"/>
          <w:szCs w:val="32"/>
          <w:highlight w:val="none"/>
        </w:rPr>
      </w:pPr>
    </w:p>
    <w:p w14:paraId="7C84CF3C">
      <w:pPr>
        <w:spacing w:line="360" w:lineRule="auto"/>
        <w:jc w:val="center"/>
        <w:rPr>
          <w:rFonts w:ascii="宋体" w:hAnsi="宋体"/>
          <w:b/>
          <w:bCs/>
          <w:color w:val="auto"/>
          <w:sz w:val="32"/>
          <w:szCs w:val="32"/>
          <w:highlight w:val="none"/>
        </w:rPr>
      </w:pPr>
    </w:p>
    <w:p w14:paraId="57A7459C">
      <w:pPr>
        <w:spacing w:line="360" w:lineRule="auto"/>
        <w:jc w:val="center"/>
        <w:rPr>
          <w:rFonts w:ascii="宋体" w:hAnsi="宋体"/>
          <w:b/>
          <w:bCs/>
          <w:color w:val="auto"/>
          <w:sz w:val="32"/>
          <w:szCs w:val="32"/>
          <w:highlight w:val="none"/>
        </w:rPr>
      </w:pPr>
    </w:p>
    <w:p w14:paraId="6D2877F4">
      <w:pPr>
        <w:spacing w:line="360" w:lineRule="auto"/>
        <w:jc w:val="center"/>
        <w:rPr>
          <w:rFonts w:ascii="宋体" w:hAnsi="宋体"/>
          <w:b/>
          <w:bCs/>
          <w:color w:val="auto"/>
          <w:sz w:val="32"/>
          <w:szCs w:val="32"/>
          <w:highlight w:val="none"/>
        </w:rPr>
      </w:pPr>
    </w:p>
    <w:p w14:paraId="228A6096">
      <w:pPr>
        <w:spacing w:line="360" w:lineRule="auto"/>
        <w:jc w:val="center"/>
        <w:rPr>
          <w:rFonts w:ascii="宋体" w:hAnsi="宋体"/>
          <w:b/>
          <w:bCs/>
          <w:color w:val="auto"/>
          <w:sz w:val="32"/>
          <w:szCs w:val="32"/>
          <w:highlight w:val="none"/>
        </w:rPr>
      </w:pPr>
    </w:p>
    <w:p w14:paraId="6B847152">
      <w:pPr>
        <w:spacing w:line="360" w:lineRule="auto"/>
        <w:jc w:val="center"/>
        <w:rPr>
          <w:rFonts w:ascii="宋体" w:hAnsi="宋体"/>
          <w:b/>
          <w:bCs/>
          <w:color w:val="auto"/>
          <w:sz w:val="32"/>
          <w:szCs w:val="32"/>
          <w:highlight w:val="none"/>
        </w:rPr>
      </w:pPr>
    </w:p>
    <w:p w14:paraId="7456EFBB">
      <w:pPr>
        <w:spacing w:line="360" w:lineRule="auto"/>
        <w:jc w:val="center"/>
        <w:rPr>
          <w:rFonts w:ascii="宋体" w:hAnsi="宋体"/>
          <w:b/>
          <w:bCs/>
          <w:color w:val="auto"/>
          <w:sz w:val="32"/>
          <w:szCs w:val="32"/>
          <w:highlight w:val="none"/>
        </w:rPr>
      </w:pPr>
    </w:p>
    <w:p w14:paraId="1CD6F9D5">
      <w:pPr>
        <w:spacing w:line="360" w:lineRule="auto"/>
        <w:jc w:val="center"/>
        <w:rPr>
          <w:rFonts w:ascii="宋体" w:hAnsi="宋体"/>
          <w:b/>
          <w:bCs/>
          <w:color w:val="auto"/>
          <w:sz w:val="32"/>
          <w:szCs w:val="32"/>
          <w:highlight w:val="none"/>
        </w:rPr>
      </w:pPr>
    </w:p>
    <w:p w14:paraId="13E15CE8">
      <w:pPr>
        <w:spacing w:line="360" w:lineRule="auto"/>
        <w:jc w:val="center"/>
        <w:rPr>
          <w:rFonts w:ascii="宋体" w:hAnsi="宋体"/>
          <w:b/>
          <w:bCs/>
          <w:color w:val="auto"/>
          <w:sz w:val="32"/>
          <w:szCs w:val="32"/>
          <w:highlight w:val="none"/>
        </w:rPr>
      </w:pPr>
    </w:p>
    <w:p w14:paraId="02298106">
      <w:pPr>
        <w:spacing w:line="360" w:lineRule="auto"/>
        <w:jc w:val="center"/>
        <w:rPr>
          <w:rFonts w:ascii="宋体" w:hAnsi="宋体"/>
          <w:b/>
          <w:bCs/>
          <w:color w:val="auto"/>
          <w:sz w:val="32"/>
          <w:szCs w:val="32"/>
          <w:highlight w:val="none"/>
        </w:rPr>
      </w:pPr>
    </w:p>
    <w:p w14:paraId="6F05284B">
      <w:pPr>
        <w:spacing w:line="360" w:lineRule="auto"/>
        <w:jc w:val="center"/>
        <w:rPr>
          <w:rFonts w:ascii="宋体" w:hAnsi="宋体"/>
          <w:b/>
          <w:bCs/>
          <w:color w:val="auto"/>
          <w:sz w:val="32"/>
          <w:szCs w:val="32"/>
          <w:highlight w:val="none"/>
        </w:rPr>
      </w:pPr>
    </w:p>
    <w:p w14:paraId="5AF1412F">
      <w:pPr>
        <w:spacing w:line="360" w:lineRule="auto"/>
        <w:jc w:val="center"/>
        <w:rPr>
          <w:rFonts w:ascii="仿宋_GB2312" w:eastAsia="仿宋_GB2312"/>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一、磋商响应函</w:t>
      </w:r>
    </w:p>
    <w:p w14:paraId="5E698FB0">
      <w:pPr>
        <w:spacing w:line="440" w:lineRule="exact"/>
        <w:rPr>
          <w:b/>
          <w:color w:val="auto"/>
          <w:sz w:val="24"/>
          <w:highlight w:val="none"/>
        </w:rPr>
      </w:pPr>
      <w:r>
        <w:rPr>
          <w:rFonts w:hint="eastAsia"/>
          <w:b/>
          <w:color w:val="auto"/>
          <w:sz w:val="24"/>
          <w:highlight w:val="none"/>
        </w:rPr>
        <w:t>中共浙江省委老干部局、杭州意信招标代理有限公司：</w:t>
      </w:r>
    </w:p>
    <w:p w14:paraId="449F86F8">
      <w:pPr>
        <w:spacing w:line="440" w:lineRule="exact"/>
        <w:ind w:firstLine="600" w:firstLineChars="250"/>
        <w:rPr>
          <w:color w:val="auto"/>
          <w:sz w:val="24"/>
          <w:highlight w:val="none"/>
        </w:rPr>
      </w:pPr>
      <w:r>
        <w:rPr>
          <w:color w:val="auto"/>
          <w:sz w:val="24"/>
          <w:highlight w:val="none"/>
          <w:u w:val="single"/>
        </w:rPr>
        <w:t>(</w:t>
      </w:r>
      <w:r>
        <w:rPr>
          <w:rFonts w:hint="eastAsia"/>
          <w:color w:val="auto"/>
          <w:sz w:val="24"/>
          <w:highlight w:val="none"/>
          <w:u w:val="single"/>
        </w:rPr>
        <w:t>磋商响应方全称</w:t>
      </w:r>
      <w:r>
        <w:rPr>
          <w:color w:val="auto"/>
          <w:sz w:val="24"/>
          <w:highlight w:val="none"/>
          <w:u w:val="single"/>
        </w:rPr>
        <w:t>)</w:t>
      </w:r>
      <w:r>
        <w:rPr>
          <w:rFonts w:hint="eastAsia"/>
          <w:color w:val="auto"/>
          <w:sz w:val="24"/>
          <w:highlight w:val="none"/>
        </w:rPr>
        <w:t>授权</w:t>
      </w:r>
      <w:r>
        <w:rPr>
          <w:color w:val="auto"/>
          <w:sz w:val="24"/>
          <w:highlight w:val="none"/>
          <w:u w:val="single"/>
        </w:rPr>
        <w:t>(</w:t>
      </w:r>
      <w:r>
        <w:rPr>
          <w:rFonts w:hint="eastAsia" w:ascii="宋体" w:hAnsi="宋体"/>
          <w:color w:val="auto"/>
          <w:sz w:val="24"/>
          <w:highlight w:val="none"/>
          <w:u w:val="single"/>
        </w:rPr>
        <w:t>授权代表</w:t>
      </w:r>
      <w:r>
        <w:rPr>
          <w:rFonts w:hint="eastAsia"/>
          <w:color w:val="auto"/>
          <w:sz w:val="24"/>
          <w:highlight w:val="none"/>
          <w:u w:val="single"/>
        </w:rPr>
        <w:t>姓名</w:t>
      </w:r>
      <w:r>
        <w:rPr>
          <w:color w:val="auto"/>
          <w:sz w:val="24"/>
          <w:highlight w:val="none"/>
          <w:u w:val="single"/>
        </w:rPr>
        <w:t>)(</w:t>
      </w:r>
      <w:r>
        <w:rPr>
          <w:rFonts w:hint="eastAsia"/>
          <w:color w:val="auto"/>
          <w:sz w:val="24"/>
          <w:highlight w:val="none"/>
          <w:u w:val="single"/>
        </w:rPr>
        <w:t>职务、职称</w:t>
      </w:r>
      <w:r>
        <w:rPr>
          <w:color w:val="auto"/>
          <w:sz w:val="24"/>
          <w:highlight w:val="none"/>
          <w:u w:val="single"/>
        </w:rPr>
        <w:t>)</w:t>
      </w:r>
      <w:r>
        <w:rPr>
          <w:rFonts w:hint="eastAsia"/>
          <w:color w:val="auto"/>
          <w:sz w:val="24"/>
          <w:highlight w:val="none"/>
        </w:rPr>
        <w:t>为全权代表，参加贵方组织的</w:t>
      </w:r>
      <w:r>
        <w:rPr>
          <w:color w:val="auto"/>
          <w:sz w:val="24"/>
          <w:highlight w:val="none"/>
          <w:u w:val="single"/>
        </w:rPr>
        <w:t>(</w:t>
      </w:r>
      <w:r>
        <w:rPr>
          <w:rFonts w:hint="eastAsia"/>
          <w:color w:val="auto"/>
          <w:sz w:val="24"/>
          <w:highlight w:val="none"/>
          <w:u w:val="single"/>
        </w:rPr>
        <w:t>采购</w:t>
      </w:r>
      <w:r>
        <w:rPr>
          <w:rFonts w:hint="eastAsia" w:ascii="宋体" w:hAnsi="宋体"/>
          <w:color w:val="auto"/>
          <w:sz w:val="24"/>
          <w:highlight w:val="none"/>
          <w:u w:val="single"/>
        </w:rPr>
        <w:t>项目名称</w:t>
      </w:r>
      <w:r>
        <w:rPr>
          <w:color w:val="auto"/>
          <w:sz w:val="24"/>
          <w:highlight w:val="none"/>
          <w:u w:val="single"/>
        </w:rPr>
        <w:t>)</w:t>
      </w:r>
      <w:r>
        <w:rPr>
          <w:rFonts w:hint="eastAsia"/>
          <w:color w:val="auto"/>
          <w:sz w:val="24"/>
          <w:highlight w:val="none"/>
        </w:rPr>
        <w:t>采购项目编号</w:t>
      </w:r>
      <w:r>
        <w:rPr>
          <w:rFonts w:hint="eastAsia" w:ascii="宋体" w:hAnsi="宋体"/>
          <w:color w:val="auto"/>
          <w:sz w:val="24"/>
          <w:highlight w:val="none"/>
        </w:rPr>
        <w:t>：</w:t>
      </w:r>
      <w:r>
        <w:rPr>
          <w:rFonts w:ascii="宋体" w:hAnsi="宋体"/>
          <w:color w:val="auto"/>
          <w:sz w:val="24"/>
          <w:highlight w:val="none"/>
          <w:u w:val="single"/>
        </w:rPr>
        <w:t>(         )</w:t>
      </w:r>
      <w:r>
        <w:rPr>
          <w:rFonts w:hint="eastAsia" w:ascii="宋体" w:hAnsi="宋体"/>
          <w:color w:val="auto"/>
          <w:sz w:val="24"/>
          <w:highlight w:val="none"/>
        </w:rPr>
        <w:t>采</w:t>
      </w:r>
      <w:r>
        <w:rPr>
          <w:rFonts w:hint="eastAsia"/>
          <w:color w:val="auto"/>
          <w:sz w:val="24"/>
          <w:highlight w:val="none"/>
        </w:rPr>
        <w:t>购的有关活动，并对此项目进行磋商响应。为此：</w:t>
      </w:r>
    </w:p>
    <w:p w14:paraId="04C67228">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我方同意在磋商响应方编制和提交磋商响应文件须知规定的磋商日期起遵守本磋商响应文件中的承诺且在磋商有效期满之前均具有约束力。</w:t>
      </w:r>
    </w:p>
    <w:p w14:paraId="7D91BB19">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我方承诺已经具备《中华人民共和国政府采购法》中规定的参加政府采购活动的供应商应当具备的条件：</w:t>
      </w:r>
    </w:p>
    <w:p w14:paraId="6170C337">
      <w:pPr>
        <w:numPr>
          <w:ilvl w:val="0"/>
          <w:numId w:val="6"/>
        </w:numPr>
        <w:tabs>
          <w:tab w:val="clear" w:pos="1200"/>
        </w:tabs>
        <w:spacing w:line="440" w:lineRule="exact"/>
        <w:ind w:left="1800"/>
        <w:rPr>
          <w:color w:val="auto"/>
          <w:sz w:val="24"/>
          <w:highlight w:val="none"/>
        </w:rPr>
      </w:pPr>
      <w:r>
        <w:rPr>
          <w:rFonts w:hint="eastAsia"/>
          <w:color w:val="auto"/>
          <w:sz w:val="24"/>
          <w:highlight w:val="none"/>
        </w:rPr>
        <w:t>具有独立承担民事责任的能力；</w:t>
      </w:r>
    </w:p>
    <w:p w14:paraId="7D94C0F1">
      <w:pPr>
        <w:numPr>
          <w:ilvl w:val="0"/>
          <w:numId w:val="6"/>
        </w:numPr>
        <w:tabs>
          <w:tab w:val="clear" w:pos="1200"/>
        </w:tabs>
        <w:spacing w:line="440" w:lineRule="exact"/>
        <w:ind w:left="1800"/>
        <w:rPr>
          <w:color w:val="auto"/>
          <w:sz w:val="24"/>
          <w:highlight w:val="none"/>
        </w:rPr>
      </w:pPr>
      <w:r>
        <w:rPr>
          <w:rFonts w:hint="eastAsia"/>
          <w:color w:val="auto"/>
          <w:sz w:val="24"/>
          <w:highlight w:val="none"/>
        </w:rPr>
        <w:t>遵守国家法律、行政法规，具有良好的信誉和商业道德；</w:t>
      </w:r>
    </w:p>
    <w:p w14:paraId="04757D09">
      <w:pPr>
        <w:numPr>
          <w:ilvl w:val="0"/>
          <w:numId w:val="6"/>
        </w:numPr>
        <w:tabs>
          <w:tab w:val="clear" w:pos="1200"/>
        </w:tabs>
        <w:spacing w:line="440" w:lineRule="exact"/>
        <w:ind w:left="1800"/>
        <w:rPr>
          <w:color w:val="auto"/>
          <w:sz w:val="24"/>
          <w:highlight w:val="none"/>
        </w:rPr>
      </w:pPr>
      <w:r>
        <w:rPr>
          <w:rFonts w:hint="eastAsia"/>
          <w:color w:val="auto"/>
          <w:sz w:val="24"/>
          <w:highlight w:val="none"/>
        </w:rPr>
        <w:t>具有履行合同的能力和良好的履行合同记录；</w:t>
      </w:r>
    </w:p>
    <w:p w14:paraId="35AB6892">
      <w:pPr>
        <w:numPr>
          <w:ilvl w:val="0"/>
          <w:numId w:val="6"/>
        </w:numPr>
        <w:tabs>
          <w:tab w:val="clear" w:pos="1200"/>
        </w:tabs>
        <w:spacing w:line="440" w:lineRule="exact"/>
        <w:ind w:left="1800"/>
        <w:rPr>
          <w:color w:val="auto"/>
          <w:sz w:val="24"/>
          <w:highlight w:val="none"/>
        </w:rPr>
      </w:pPr>
      <w:r>
        <w:rPr>
          <w:rFonts w:hint="eastAsia"/>
          <w:color w:val="auto"/>
          <w:sz w:val="24"/>
          <w:highlight w:val="none"/>
        </w:rPr>
        <w:t>良好的资金、财务状况；</w:t>
      </w:r>
    </w:p>
    <w:p w14:paraId="2797BD73">
      <w:pPr>
        <w:numPr>
          <w:ilvl w:val="0"/>
          <w:numId w:val="6"/>
        </w:numPr>
        <w:tabs>
          <w:tab w:val="clear" w:pos="1200"/>
        </w:tabs>
        <w:spacing w:line="440" w:lineRule="exact"/>
        <w:ind w:left="1800"/>
        <w:rPr>
          <w:color w:val="auto"/>
          <w:sz w:val="24"/>
          <w:highlight w:val="none"/>
        </w:rPr>
      </w:pPr>
      <w:r>
        <w:rPr>
          <w:rFonts w:hint="eastAsia"/>
          <w:color w:val="auto"/>
          <w:sz w:val="24"/>
          <w:highlight w:val="none"/>
        </w:rPr>
        <w:t>提供的服务符合中国政府规定的相应技术标准；</w:t>
      </w:r>
    </w:p>
    <w:p w14:paraId="5FB60805">
      <w:pPr>
        <w:numPr>
          <w:ilvl w:val="0"/>
          <w:numId w:val="6"/>
        </w:numPr>
        <w:tabs>
          <w:tab w:val="clear" w:pos="1200"/>
        </w:tabs>
        <w:spacing w:line="440" w:lineRule="exact"/>
        <w:ind w:left="1800"/>
        <w:rPr>
          <w:color w:val="auto"/>
          <w:sz w:val="24"/>
          <w:highlight w:val="none"/>
        </w:rPr>
      </w:pPr>
      <w:r>
        <w:rPr>
          <w:rFonts w:hint="eastAsia"/>
          <w:color w:val="auto"/>
          <w:sz w:val="24"/>
          <w:highlight w:val="none"/>
        </w:rPr>
        <w:t>没有违反政府采购法规、政策的记录；</w:t>
      </w:r>
    </w:p>
    <w:p w14:paraId="6461C906">
      <w:pPr>
        <w:numPr>
          <w:ilvl w:val="0"/>
          <w:numId w:val="6"/>
        </w:numPr>
        <w:tabs>
          <w:tab w:val="clear" w:pos="1200"/>
        </w:tabs>
        <w:spacing w:line="440" w:lineRule="exact"/>
        <w:ind w:left="1800"/>
        <w:rPr>
          <w:color w:val="auto"/>
          <w:sz w:val="24"/>
          <w:highlight w:val="none"/>
        </w:rPr>
      </w:pPr>
      <w:r>
        <w:rPr>
          <w:rFonts w:hint="eastAsia"/>
          <w:color w:val="auto"/>
          <w:sz w:val="24"/>
          <w:highlight w:val="none"/>
        </w:rPr>
        <w:t>没有发生重大经济纠纷和走私犯罪记录；</w:t>
      </w:r>
    </w:p>
    <w:p w14:paraId="3915CEB9">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提供编制和提交磋商响应文件须知规定的全部磋商响应文件，具体内容为：</w:t>
      </w:r>
    </w:p>
    <w:p w14:paraId="09B4536F">
      <w:pPr>
        <w:numPr>
          <w:ilvl w:val="0"/>
          <w:numId w:val="7"/>
        </w:numPr>
        <w:tabs>
          <w:tab w:val="clear" w:pos="1200"/>
        </w:tabs>
        <w:spacing w:line="440" w:lineRule="exact"/>
        <w:ind w:left="1800"/>
        <w:rPr>
          <w:color w:val="auto"/>
          <w:sz w:val="24"/>
          <w:highlight w:val="none"/>
        </w:rPr>
      </w:pPr>
      <w:r>
        <w:rPr>
          <w:rFonts w:hint="eastAsia"/>
          <w:color w:val="auto"/>
          <w:sz w:val="24"/>
          <w:highlight w:val="none"/>
        </w:rPr>
        <w:t>初次报价一览表及报价明细清单；</w:t>
      </w:r>
    </w:p>
    <w:p w14:paraId="2B44D9EC">
      <w:pPr>
        <w:numPr>
          <w:ilvl w:val="0"/>
          <w:numId w:val="7"/>
        </w:numPr>
        <w:tabs>
          <w:tab w:val="clear" w:pos="1200"/>
        </w:tabs>
        <w:spacing w:line="440" w:lineRule="exact"/>
        <w:ind w:left="1800"/>
        <w:rPr>
          <w:color w:val="auto"/>
          <w:sz w:val="24"/>
          <w:highlight w:val="none"/>
        </w:rPr>
      </w:pPr>
      <w:r>
        <w:rPr>
          <w:rFonts w:hint="eastAsia"/>
          <w:color w:val="auto"/>
          <w:sz w:val="24"/>
          <w:highlight w:val="none"/>
        </w:rPr>
        <w:t>磋商响应</w:t>
      </w:r>
      <w:r>
        <w:rPr>
          <w:rFonts w:hint="eastAsia" w:ascii="宋体" w:hAnsi="宋体"/>
          <w:color w:val="auto"/>
          <w:sz w:val="24"/>
          <w:highlight w:val="none"/>
        </w:rPr>
        <w:t>商务技术文件和资格文件</w:t>
      </w:r>
      <w:r>
        <w:rPr>
          <w:rFonts w:hint="eastAsia"/>
          <w:color w:val="auto"/>
          <w:sz w:val="24"/>
          <w:highlight w:val="none"/>
        </w:rPr>
        <w:t>；</w:t>
      </w:r>
    </w:p>
    <w:p w14:paraId="48339AF2">
      <w:pPr>
        <w:numPr>
          <w:ilvl w:val="0"/>
          <w:numId w:val="7"/>
        </w:numPr>
        <w:tabs>
          <w:tab w:val="clear" w:pos="1200"/>
        </w:tabs>
        <w:spacing w:line="440" w:lineRule="exact"/>
        <w:ind w:left="1800"/>
        <w:rPr>
          <w:rFonts w:ascii="仿宋_GB2312" w:hAnsi="宋体" w:eastAsia="仿宋_GB2312"/>
          <w:color w:val="auto"/>
          <w:sz w:val="24"/>
          <w:highlight w:val="none"/>
        </w:rPr>
      </w:pPr>
      <w:r>
        <w:rPr>
          <w:rFonts w:hint="eastAsia"/>
          <w:color w:val="auto"/>
          <w:sz w:val="24"/>
          <w:highlight w:val="none"/>
        </w:rPr>
        <w:t>编制和提交磋商响应文件须知要求磋商响应方提交的全部文件</w:t>
      </w:r>
      <w:r>
        <w:rPr>
          <w:rFonts w:hint="eastAsia" w:ascii="仿宋_GB2312" w:hAnsi="宋体" w:eastAsia="仿宋_GB2312"/>
          <w:color w:val="auto"/>
          <w:sz w:val="24"/>
          <w:highlight w:val="none"/>
        </w:rPr>
        <w:t>。</w:t>
      </w:r>
    </w:p>
    <w:p w14:paraId="77D96B07">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按磋商采购文件要求提供服务的磋商报价详见初次报价一览表。</w:t>
      </w:r>
    </w:p>
    <w:p w14:paraId="39C25F65">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保证忠实地执行双方所签订的合同，并承担合同规定的责任和义务。</w:t>
      </w:r>
    </w:p>
    <w:p w14:paraId="4E373BA4">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保证遵守磋商采购文件中的其他有关规定。如果我单位成交，我方将按照《成交通知书》要求与贵方签订合同，严格履行合同义务。并向采购代理机构支付采购代理服务费。</w:t>
      </w:r>
    </w:p>
    <w:p w14:paraId="45A2E62C">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如果在磋商后规定的磋商有效期内撤回磋商，我方承担赔偿责任。</w:t>
      </w:r>
    </w:p>
    <w:p w14:paraId="5836389A">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我方愿意向贵方提供任何与该项磋商有关的数据、情况和技术资料。若贵方需要，我方愿意提供我方作出的一切承诺的证明材料。</w:t>
      </w:r>
    </w:p>
    <w:p w14:paraId="3048ED52">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我方已详细审阅和理解全部磋商采购文件，包括磋商采购文件修改书（如有的话）、参考资料及有关附件，确认无误。</w:t>
      </w:r>
    </w:p>
    <w:p w14:paraId="2941222F">
      <w:pPr>
        <w:numPr>
          <w:ilvl w:val="0"/>
          <w:numId w:val="5"/>
        </w:numPr>
        <w:tabs>
          <w:tab w:val="clear" w:pos="840"/>
        </w:tabs>
        <w:spacing w:line="440" w:lineRule="exact"/>
        <w:ind w:left="1080" w:hanging="600"/>
        <w:rPr>
          <w:color w:val="auto"/>
          <w:sz w:val="24"/>
          <w:highlight w:val="none"/>
        </w:rPr>
      </w:pPr>
      <w:r>
        <w:rPr>
          <w:rFonts w:hint="eastAsia"/>
          <w:color w:val="auto"/>
          <w:sz w:val="24"/>
          <w:highlight w:val="none"/>
        </w:rPr>
        <w:t>我方将严格遵守《中华人民共和国政府采购法》第七十七条规定，供应商有下列情形之一的，处以采购金额</w:t>
      </w:r>
      <w:r>
        <w:rPr>
          <w:color w:val="auto"/>
          <w:sz w:val="24"/>
          <w:highlight w:val="none"/>
        </w:rPr>
        <w:t>5</w:t>
      </w:r>
      <w:r>
        <w:rPr>
          <w:rFonts w:hint="eastAsia"/>
          <w:color w:val="auto"/>
          <w:sz w:val="24"/>
          <w:highlight w:val="none"/>
        </w:rPr>
        <w:t>‰以上</w:t>
      </w:r>
      <w:r>
        <w:rPr>
          <w:color w:val="auto"/>
          <w:sz w:val="24"/>
          <w:highlight w:val="none"/>
        </w:rPr>
        <w:t>10</w:t>
      </w:r>
      <w:r>
        <w:rPr>
          <w:rFonts w:hint="eastAsia"/>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D08C0E4">
      <w:pPr>
        <w:adjustRightInd w:val="0"/>
        <w:snapToGrid w:val="0"/>
        <w:spacing w:before="159" w:beforeLines="50" w:line="360" w:lineRule="auto"/>
        <w:ind w:firstLine="1260" w:firstLineChars="525"/>
        <w:rPr>
          <w:color w:val="auto"/>
          <w:sz w:val="24"/>
          <w:highlight w:val="none"/>
        </w:rPr>
      </w:pPr>
      <w:r>
        <w:rPr>
          <w:color w:val="auto"/>
          <w:sz w:val="24"/>
          <w:highlight w:val="none"/>
        </w:rPr>
        <w:t>a)</w:t>
      </w:r>
      <w:r>
        <w:rPr>
          <w:rFonts w:hint="eastAsia"/>
          <w:color w:val="auto"/>
          <w:sz w:val="24"/>
          <w:highlight w:val="none"/>
        </w:rPr>
        <w:t>提供虚假材料谋取中标、成交的；</w:t>
      </w:r>
    </w:p>
    <w:p w14:paraId="6D39882A">
      <w:pPr>
        <w:adjustRightInd w:val="0"/>
        <w:snapToGrid w:val="0"/>
        <w:spacing w:line="360" w:lineRule="auto"/>
        <w:ind w:firstLine="1260" w:firstLineChars="525"/>
        <w:rPr>
          <w:color w:val="auto"/>
          <w:sz w:val="24"/>
          <w:highlight w:val="none"/>
        </w:rPr>
      </w:pPr>
      <w:r>
        <w:rPr>
          <w:color w:val="auto"/>
          <w:sz w:val="24"/>
          <w:highlight w:val="none"/>
        </w:rPr>
        <w:t>b)</w:t>
      </w:r>
      <w:r>
        <w:rPr>
          <w:rFonts w:hint="eastAsia"/>
          <w:color w:val="auto"/>
          <w:sz w:val="24"/>
          <w:highlight w:val="none"/>
        </w:rPr>
        <w:t>采取不正当手段诋毁、排挤其他供应商的；</w:t>
      </w:r>
    </w:p>
    <w:p w14:paraId="482FB019">
      <w:pPr>
        <w:adjustRightInd w:val="0"/>
        <w:snapToGrid w:val="0"/>
        <w:spacing w:line="360" w:lineRule="auto"/>
        <w:ind w:firstLine="1260" w:firstLineChars="525"/>
        <w:rPr>
          <w:color w:val="auto"/>
          <w:sz w:val="24"/>
          <w:highlight w:val="none"/>
        </w:rPr>
      </w:pPr>
      <w:r>
        <w:rPr>
          <w:color w:val="auto"/>
          <w:sz w:val="24"/>
          <w:highlight w:val="none"/>
        </w:rPr>
        <w:t>c)</w:t>
      </w:r>
      <w:r>
        <w:rPr>
          <w:rFonts w:hint="eastAsia"/>
          <w:color w:val="auto"/>
          <w:sz w:val="24"/>
          <w:highlight w:val="none"/>
        </w:rPr>
        <w:t>与采购人、其它供应商或者采购代理机构恶意串通的；</w:t>
      </w:r>
    </w:p>
    <w:p w14:paraId="49157A85">
      <w:pPr>
        <w:adjustRightInd w:val="0"/>
        <w:snapToGrid w:val="0"/>
        <w:spacing w:line="360" w:lineRule="auto"/>
        <w:ind w:firstLine="1260" w:firstLineChars="525"/>
        <w:rPr>
          <w:color w:val="auto"/>
          <w:sz w:val="24"/>
          <w:highlight w:val="none"/>
        </w:rPr>
      </w:pPr>
      <w:r>
        <w:rPr>
          <w:color w:val="auto"/>
          <w:sz w:val="24"/>
          <w:highlight w:val="none"/>
        </w:rPr>
        <w:t>d)</w:t>
      </w:r>
      <w:r>
        <w:rPr>
          <w:rFonts w:hint="eastAsia"/>
          <w:color w:val="auto"/>
          <w:sz w:val="24"/>
          <w:highlight w:val="none"/>
        </w:rPr>
        <w:t>向采购人、采购代理机构行贿或者提供其他不正当利益的；</w:t>
      </w:r>
    </w:p>
    <w:p w14:paraId="799FCFC4">
      <w:pPr>
        <w:adjustRightInd w:val="0"/>
        <w:snapToGrid w:val="0"/>
        <w:spacing w:line="360" w:lineRule="auto"/>
        <w:ind w:firstLine="1260" w:firstLineChars="525"/>
        <w:rPr>
          <w:color w:val="auto"/>
          <w:sz w:val="24"/>
          <w:highlight w:val="none"/>
        </w:rPr>
      </w:pPr>
      <w:r>
        <w:rPr>
          <w:color w:val="auto"/>
          <w:sz w:val="24"/>
          <w:highlight w:val="none"/>
        </w:rPr>
        <w:t>e)</w:t>
      </w:r>
      <w:r>
        <w:rPr>
          <w:rFonts w:hint="eastAsia"/>
          <w:color w:val="auto"/>
          <w:sz w:val="24"/>
          <w:highlight w:val="none"/>
        </w:rPr>
        <w:t>在招标采购结束后与采购人进行协商磋商的；</w:t>
      </w:r>
    </w:p>
    <w:p w14:paraId="2B434B92">
      <w:pPr>
        <w:adjustRightInd w:val="0"/>
        <w:snapToGrid w:val="0"/>
        <w:spacing w:line="360" w:lineRule="auto"/>
        <w:ind w:firstLine="1260" w:firstLineChars="525"/>
        <w:rPr>
          <w:color w:val="auto"/>
          <w:sz w:val="24"/>
          <w:highlight w:val="none"/>
        </w:rPr>
      </w:pPr>
      <w:r>
        <w:rPr>
          <w:color w:val="auto"/>
          <w:sz w:val="24"/>
          <w:highlight w:val="none"/>
        </w:rPr>
        <w:t>f)</w:t>
      </w:r>
      <w:r>
        <w:rPr>
          <w:rFonts w:hint="eastAsia"/>
          <w:color w:val="auto"/>
          <w:sz w:val="24"/>
          <w:highlight w:val="none"/>
        </w:rPr>
        <w:t>拒绝有关部门监督检查或提供虚假情况的。</w:t>
      </w:r>
    </w:p>
    <w:p w14:paraId="2E1CA2A3">
      <w:pPr>
        <w:autoSpaceDE w:val="0"/>
        <w:autoSpaceDN w:val="0"/>
        <w:adjustRightInd w:val="0"/>
        <w:spacing w:line="360" w:lineRule="auto"/>
        <w:ind w:firstLine="1260" w:firstLineChars="525"/>
        <w:rPr>
          <w:color w:val="auto"/>
          <w:sz w:val="24"/>
          <w:highlight w:val="none"/>
        </w:rPr>
      </w:pPr>
      <w:r>
        <w:rPr>
          <w:rFonts w:hint="eastAsia"/>
          <w:color w:val="auto"/>
          <w:sz w:val="24"/>
          <w:highlight w:val="none"/>
        </w:rPr>
        <w:t>供应商有前款第</w:t>
      </w:r>
      <w:r>
        <w:rPr>
          <w:color w:val="auto"/>
          <w:sz w:val="24"/>
          <w:highlight w:val="none"/>
        </w:rPr>
        <w:t>a)</w:t>
      </w:r>
      <w:r>
        <w:rPr>
          <w:rFonts w:hint="eastAsia"/>
          <w:color w:val="auto"/>
          <w:sz w:val="24"/>
          <w:highlight w:val="none"/>
        </w:rPr>
        <w:t>至</w:t>
      </w:r>
      <w:r>
        <w:rPr>
          <w:color w:val="auto"/>
          <w:sz w:val="24"/>
          <w:highlight w:val="none"/>
        </w:rPr>
        <w:t>e)</w:t>
      </w:r>
      <w:r>
        <w:rPr>
          <w:rFonts w:hint="eastAsia"/>
          <w:color w:val="auto"/>
          <w:sz w:val="24"/>
          <w:highlight w:val="none"/>
        </w:rPr>
        <w:t>项情形之一的，中标、成交无效。</w:t>
      </w:r>
    </w:p>
    <w:p w14:paraId="643AB2B2">
      <w:pPr>
        <w:spacing w:line="360" w:lineRule="auto"/>
        <w:ind w:left="2" w:hanging="2"/>
        <w:rPr>
          <w:color w:val="auto"/>
          <w:sz w:val="24"/>
          <w:highlight w:val="none"/>
        </w:rPr>
      </w:pPr>
    </w:p>
    <w:p w14:paraId="05656068">
      <w:pPr>
        <w:spacing w:line="360" w:lineRule="auto"/>
        <w:ind w:left="840" w:leftChars="400" w:firstLine="2760" w:firstLineChars="1150"/>
        <w:rPr>
          <w:color w:val="auto"/>
          <w:sz w:val="24"/>
          <w:highlight w:val="none"/>
          <w:u w:val="single"/>
        </w:rPr>
      </w:pPr>
      <w:r>
        <w:rPr>
          <w:color w:val="auto"/>
          <w:sz w:val="24"/>
          <w:highlight w:val="none"/>
        </w:rPr>
        <w:t>法</w:t>
      </w:r>
      <w:r>
        <w:rPr>
          <w:rFonts w:hint="eastAsia"/>
          <w:color w:val="auto"/>
          <w:sz w:val="24"/>
          <w:highlight w:val="none"/>
        </w:rPr>
        <w:t>定代表人</w:t>
      </w:r>
      <w:r>
        <w:rPr>
          <w:color w:val="auto"/>
          <w:sz w:val="24"/>
          <w:highlight w:val="none"/>
        </w:rPr>
        <w:t>签字</w:t>
      </w:r>
      <w:r>
        <w:rPr>
          <w:rFonts w:hint="eastAsia"/>
          <w:color w:val="auto"/>
          <w:sz w:val="24"/>
          <w:highlight w:val="none"/>
        </w:rPr>
        <w:t>或盖章</w:t>
      </w:r>
      <w:r>
        <w:rPr>
          <w:color w:val="auto"/>
          <w:sz w:val="24"/>
          <w:highlight w:val="none"/>
        </w:rPr>
        <w:t>：</w:t>
      </w:r>
    </w:p>
    <w:p w14:paraId="7703E121">
      <w:pPr>
        <w:spacing w:line="360" w:lineRule="auto"/>
        <w:ind w:left="840" w:leftChars="400" w:firstLine="2760" w:firstLineChars="1150"/>
        <w:rPr>
          <w:color w:val="auto"/>
          <w:sz w:val="24"/>
          <w:highlight w:val="none"/>
          <w:u w:val="single"/>
        </w:rPr>
      </w:pPr>
      <w:r>
        <w:rPr>
          <w:rFonts w:hint="eastAsia" w:ascii="宋体" w:hAnsi="宋体"/>
          <w:color w:val="auto"/>
          <w:sz w:val="24"/>
          <w:highlight w:val="none"/>
        </w:rPr>
        <w:t>授权代表签字</w:t>
      </w:r>
      <w:r>
        <w:rPr>
          <w:color w:val="auto"/>
          <w:sz w:val="24"/>
          <w:highlight w:val="none"/>
        </w:rPr>
        <w:t>：</w:t>
      </w:r>
    </w:p>
    <w:p w14:paraId="0E2C98C9">
      <w:pPr>
        <w:spacing w:line="360" w:lineRule="auto"/>
        <w:ind w:left="840" w:leftChars="400" w:firstLine="2760" w:firstLineChars="1150"/>
        <w:rPr>
          <w:color w:val="auto"/>
          <w:sz w:val="24"/>
          <w:highlight w:val="none"/>
          <w:u w:val="single"/>
        </w:rPr>
      </w:pPr>
      <w:r>
        <w:rPr>
          <w:color w:val="auto"/>
          <w:sz w:val="24"/>
          <w:highlight w:val="none"/>
        </w:rPr>
        <w:t>公司盖章：</w:t>
      </w:r>
    </w:p>
    <w:p w14:paraId="2FE17F64">
      <w:pPr>
        <w:spacing w:line="360" w:lineRule="auto"/>
        <w:ind w:left="840"/>
        <w:rPr>
          <w:color w:val="auto"/>
          <w:sz w:val="24"/>
          <w:highlight w:val="none"/>
        </w:rPr>
      </w:pPr>
      <w:r>
        <w:rPr>
          <w:color w:val="auto"/>
          <w:sz w:val="24"/>
          <w:highlight w:val="none"/>
        </w:rPr>
        <w:t>联系人：联系电话：</w:t>
      </w:r>
    </w:p>
    <w:p w14:paraId="4AAFEDE2">
      <w:pPr>
        <w:spacing w:line="360" w:lineRule="auto"/>
        <w:ind w:left="840"/>
        <w:rPr>
          <w:color w:val="auto"/>
          <w:sz w:val="24"/>
          <w:highlight w:val="none"/>
        </w:rPr>
      </w:pPr>
      <w:r>
        <w:rPr>
          <w:color w:val="auto"/>
          <w:sz w:val="24"/>
          <w:highlight w:val="none"/>
        </w:rPr>
        <w:t>联系地址：</w:t>
      </w:r>
    </w:p>
    <w:p w14:paraId="66D28459">
      <w:pPr>
        <w:spacing w:line="360" w:lineRule="auto"/>
        <w:ind w:left="840"/>
        <w:rPr>
          <w:color w:val="auto"/>
          <w:sz w:val="24"/>
          <w:highlight w:val="none"/>
          <w:u w:val="single"/>
        </w:rPr>
      </w:pPr>
      <w:r>
        <w:rPr>
          <w:color w:val="auto"/>
          <w:sz w:val="24"/>
          <w:highlight w:val="none"/>
        </w:rPr>
        <w:t>邮政编码：传真号码：</w:t>
      </w:r>
    </w:p>
    <w:p w14:paraId="3BA2A0A6">
      <w:pPr>
        <w:spacing w:line="360" w:lineRule="auto"/>
        <w:ind w:left="840"/>
        <w:rPr>
          <w:color w:val="auto"/>
          <w:sz w:val="24"/>
          <w:highlight w:val="none"/>
        </w:rPr>
      </w:pPr>
      <w:r>
        <w:rPr>
          <w:color w:val="auto"/>
          <w:sz w:val="24"/>
          <w:highlight w:val="none"/>
        </w:rPr>
        <w:t>日期：年月日</w:t>
      </w:r>
    </w:p>
    <w:p w14:paraId="4928DCC1">
      <w:pPr>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注：未按照本磋商响应函要求填报的将被视为非实质性响应磋商，从而可能导致该磋商被拒绝。</w:t>
      </w:r>
    </w:p>
    <w:p w14:paraId="15932D83">
      <w:pPr>
        <w:widowControl/>
        <w:spacing w:line="360" w:lineRule="auto"/>
        <w:jc w:val="left"/>
        <w:rPr>
          <w:rFonts w:ascii="仿宋_GB2312" w:eastAsia="仿宋_GB2312"/>
          <w:b/>
          <w:color w:val="auto"/>
          <w:sz w:val="32"/>
          <w:szCs w:val="32"/>
          <w:highlight w:val="none"/>
        </w:rPr>
        <w:sectPr>
          <w:pgSz w:w="11906" w:h="16838"/>
          <w:pgMar w:top="1417" w:right="1474" w:bottom="1417" w:left="1474" w:header="851" w:footer="992" w:gutter="0"/>
          <w:pgNumType w:fmt="decimal"/>
          <w:cols w:space="0" w:num="1"/>
          <w:docGrid w:type="lines" w:linePitch="319" w:charSpace="0"/>
        </w:sectPr>
      </w:pPr>
    </w:p>
    <w:p w14:paraId="53DBACA2">
      <w:pPr>
        <w:widowControl/>
        <w:jc w:val="left"/>
        <w:rPr>
          <w:rFonts w:ascii="宋体" w:hAnsi="宋体"/>
          <w:b/>
          <w:bCs/>
          <w:color w:val="auto"/>
          <w:sz w:val="32"/>
          <w:szCs w:val="32"/>
          <w:highlight w:val="none"/>
        </w:rPr>
      </w:pPr>
      <w:r>
        <w:rPr>
          <w:rFonts w:ascii="宋体" w:hAnsi="宋体"/>
          <w:bCs/>
          <w:color w:val="auto"/>
          <w:sz w:val="32"/>
          <w:szCs w:val="32"/>
          <w:highlight w:val="none"/>
        </w:rPr>
        <w:br w:type="page"/>
      </w:r>
    </w:p>
    <w:p w14:paraId="76E75F28">
      <w:pPr>
        <w:pStyle w:val="63"/>
        <w:keepNext w:val="0"/>
        <w:pageBreakBefore w:val="0"/>
        <w:tabs>
          <w:tab w:val="left" w:pos="420"/>
        </w:tabs>
        <w:outlineLvl w:val="9"/>
        <w:rPr>
          <w:rFonts w:ascii="仿宋_GB2312" w:eastAsia="仿宋_GB2312"/>
          <w:color w:val="auto"/>
          <w:kern w:val="2"/>
          <w:sz w:val="32"/>
          <w:szCs w:val="32"/>
          <w:highlight w:val="none"/>
        </w:rPr>
      </w:pPr>
      <w:r>
        <w:rPr>
          <w:rFonts w:hint="eastAsia" w:ascii="宋体" w:hAnsi="宋体" w:eastAsia="宋体"/>
          <w:bCs/>
          <w:color w:val="auto"/>
          <w:kern w:val="2"/>
          <w:sz w:val="32"/>
          <w:szCs w:val="32"/>
          <w:highlight w:val="none"/>
        </w:rPr>
        <w:t>二、初次报价</w:t>
      </w:r>
    </w:p>
    <w:p w14:paraId="53A0B4F9">
      <w:pPr>
        <w:autoSpaceDE w:val="0"/>
        <w:autoSpaceDN w:val="0"/>
        <w:adjustRightInd w:val="0"/>
        <w:spacing w:line="360" w:lineRule="auto"/>
        <w:rPr>
          <w:color w:val="auto"/>
          <w:sz w:val="24"/>
          <w:highlight w:val="none"/>
        </w:rPr>
      </w:pPr>
      <w:r>
        <w:rPr>
          <w:rFonts w:hint="eastAsia"/>
          <w:color w:val="auto"/>
          <w:sz w:val="24"/>
          <w:highlight w:val="none"/>
        </w:rPr>
        <w:t>中共浙江省委老干部局、杭州意信招标代理有限公司：</w:t>
      </w:r>
    </w:p>
    <w:p w14:paraId="5E3A32DE">
      <w:pPr>
        <w:pStyle w:val="63"/>
        <w:keepNext w:val="0"/>
        <w:pageBreakBefore w:val="0"/>
        <w:tabs>
          <w:tab w:val="left" w:pos="420"/>
        </w:tabs>
        <w:ind w:firstLine="480" w:firstLineChars="200"/>
        <w:jc w:val="both"/>
        <w:outlineLvl w:val="9"/>
        <w:rPr>
          <w:rFonts w:eastAsia="宋体"/>
          <w:b w:val="0"/>
          <w:color w:val="auto"/>
          <w:kern w:val="2"/>
          <w:sz w:val="24"/>
          <w:szCs w:val="24"/>
          <w:highlight w:val="none"/>
        </w:rPr>
      </w:pPr>
      <w:r>
        <w:rPr>
          <w:rFonts w:hint="eastAsia" w:eastAsia="宋体"/>
          <w:b w:val="0"/>
          <w:color w:val="auto"/>
          <w:kern w:val="2"/>
          <w:sz w:val="24"/>
          <w:szCs w:val="24"/>
          <w:highlight w:val="none"/>
        </w:rPr>
        <w:t>按你方磋商采购文件要求，我们，本磋商响应文件签字方，谨此向你方发出要约如下：如你方接受本磋商，我方承诺按照如下初次报价一览表的价格完成编号为的磋商采购文件</w:t>
      </w:r>
      <w:r>
        <w:rPr>
          <w:rFonts w:hint="eastAsia" w:eastAsia="宋体"/>
          <w:b w:val="0"/>
          <w:color w:val="auto"/>
          <w:kern w:val="2"/>
          <w:sz w:val="24"/>
          <w:szCs w:val="24"/>
          <w:highlight w:val="none"/>
          <w:u w:val="single"/>
        </w:rPr>
        <w:t>（项目名称：          ）</w:t>
      </w:r>
      <w:r>
        <w:rPr>
          <w:rFonts w:hint="eastAsia" w:eastAsia="宋体"/>
          <w:b w:val="0"/>
          <w:color w:val="auto"/>
          <w:kern w:val="2"/>
          <w:sz w:val="24"/>
          <w:szCs w:val="24"/>
          <w:highlight w:val="none"/>
        </w:rPr>
        <w:t>的首次报价。</w:t>
      </w:r>
    </w:p>
    <w:tbl>
      <w:tblPr>
        <w:tblStyle w:val="24"/>
        <w:tblW w:w="9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1"/>
        <w:gridCol w:w="3268"/>
        <w:gridCol w:w="2765"/>
      </w:tblGrid>
      <w:tr w14:paraId="0B226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tblHeader/>
          <w:jc w:val="center"/>
        </w:trPr>
        <w:tc>
          <w:tcPr>
            <w:tcW w:w="3141" w:type="dxa"/>
            <w:vAlign w:val="center"/>
          </w:tcPr>
          <w:p w14:paraId="366AA58F">
            <w:pPr>
              <w:spacing w:line="460" w:lineRule="exact"/>
              <w:jc w:val="center"/>
              <w:rPr>
                <w:rFonts w:ascii="宋体" w:hAnsi="宋体"/>
                <w:b/>
                <w:color w:val="auto"/>
                <w:sz w:val="24"/>
                <w:highlight w:val="none"/>
                <w:lang w:val="en-GB"/>
              </w:rPr>
            </w:pPr>
            <w:r>
              <w:rPr>
                <w:rFonts w:hint="eastAsia" w:ascii="宋体" w:hAnsi="宋体"/>
                <w:b/>
                <w:color w:val="auto"/>
                <w:sz w:val="24"/>
                <w:highlight w:val="none"/>
                <w:lang w:val="en-GB"/>
              </w:rPr>
              <w:t>磋商响应方名称</w:t>
            </w:r>
          </w:p>
        </w:tc>
        <w:tc>
          <w:tcPr>
            <w:tcW w:w="3268" w:type="dxa"/>
            <w:vAlign w:val="center"/>
          </w:tcPr>
          <w:p w14:paraId="3460F1DB">
            <w:pPr>
              <w:spacing w:line="460" w:lineRule="exact"/>
              <w:ind w:firstLine="65"/>
              <w:jc w:val="center"/>
              <w:rPr>
                <w:rFonts w:ascii="宋体" w:hAnsi="宋体"/>
                <w:b/>
                <w:color w:val="auto"/>
                <w:sz w:val="24"/>
                <w:highlight w:val="none"/>
                <w:lang w:val="en-GB"/>
              </w:rPr>
            </w:pPr>
            <w:r>
              <w:rPr>
                <w:rFonts w:hint="eastAsia" w:ascii="宋体" w:hAnsi="宋体"/>
                <w:b/>
                <w:color w:val="auto"/>
                <w:sz w:val="24"/>
                <w:highlight w:val="none"/>
              </w:rPr>
              <w:t>投标报价（人民币/元）</w:t>
            </w:r>
          </w:p>
        </w:tc>
        <w:tc>
          <w:tcPr>
            <w:tcW w:w="2765" w:type="dxa"/>
            <w:vAlign w:val="center"/>
          </w:tcPr>
          <w:p w14:paraId="0351DF68">
            <w:pPr>
              <w:jc w:val="center"/>
              <w:rPr>
                <w:rFonts w:ascii="宋体" w:hAnsi="宋体"/>
                <w:b/>
                <w:color w:val="auto"/>
                <w:sz w:val="24"/>
                <w:highlight w:val="none"/>
                <w:lang w:val="en-GB"/>
              </w:rPr>
            </w:pPr>
            <w:r>
              <w:rPr>
                <w:rFonts w:hint="eastAsia" w:ascii="宋体" w:hAnsi="宋体"/>
                <w:b/>
                <w:color w:val="auto"/>
                <w:sz w:val="24"/>
                <w:highlight w:val="none"/>
                <w:lang w:val="en-GB"/>
              </w:rPr>
              <w:t>服务期限</w:t>
            </w:r>
          </w:p>
        </w:tc>
      </w:tr>
      <w:tr w14:paraId="215617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restart"/>
            <w:vAlign w:val="center"/>
          </w:tcPr>
          <w:p w14:paraId="260A18AD">
            <w:pPr>
              <w:spacing w:line="460" w:lineRule="exact"/>
              <w:rPr>
                <w:rFonts w:ascii="宋体" w:hAnsi="宋体"/>
                <w:b/>
                <w:color w:val="auto"/>
                <w:sz w:val="24"/>
                <w:highlight w:val="none"/>
                <w:lang w:val="en-GB"/>
              </w:rPr>
            </w:pPr>
          </w:p>
        </w:tc>
        <w:tc>
          <w:tcPr>
            <w:tcW w:w="3268" w:type="dxa"/>
            <w:vAlign w:val="center"/>
          </w:tcPr>
          <w:p w14:paraId="06476231">
            <w:pPr>
              <w:spacing w:line="460" w:lineRule="exact"/>
              <w:rPr>
                <w:rFonts w:ascii="宋体" w:hAnsi="宋体"/>
                <w:color w:val="auto"/>
                <w:sz w:val="24"/>
                <w:highlight w:val="none"/>
                <w:lang w:val="en-GB"/>
              </w:rPr>
            </w:pPr>
            <w:r>
              <w:rPr>
                <w:rFonts w:hint="eastAsia" w:ascii="宋体" w:hAnsi="宋体"/>
                <w:color w:val="auto"/>
                <w:sz w:val="24"/>
                <w:highlight w:val="none"/>
                <w:lang w:val="en-GB"/>
              </w:rPr>
              <w:t>小写：</w:t>
            </w:r>
          </w:p>
        </w:tc>
        <w:tc>
          <w:tcPr>
            <w:tcW w:w="2765" w:type="dxa"/>
            <w:vMerge w:val="restart"/>
            <w:vAlign w:val="center"/>
          </w:tcPr>
          <w:p w14:paraId="3C124134">
            <w:pPr>
              <w:jc w:val="center"/>
              <w:rPr>
                <w:rFonts w:ascii="宋体" w:hAnsi="宋体"/>
                <w:color w:val="auto"/>
                <w:sz w:val="24"/>
                <w:highlight w:val="none"/>
              </w:rPr>
            </w:pPr>
          </w:p>
        </w:tc>
      </w:tr>
      <w:tr w14:paraId="6DA31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continue"/>
            <w:vAlign w:val="center"/>
          </w:tcPr>
          <w:p w14:paraId="38BA0985">
            <w:pPr>
              <w:spacing w:line="460" w:lineRule="exact"/>
              <w:rPr>
                <w:rFonts w:ascii="宋体" w:hAnsi="宋体"/>
                <w:b/>
                <w:color w:val="auto"/>
                <w:sz w:val="24"/>
                <w:highlight w:val="none"/>
                <w:lang w:val="en-GB"/>
              </w:rPr>
            </w:pPr>
          </w:p>
        </w:tc>
        <w:tc>
          <w:tcPr>
            <w:tcW w:w="3268" w:type="dxa"/>
            <w:vAlign w:val="center"/>
          </w:tcPr>
          <w:p w14:paraId="4AC01BBD">
            <w:pPr>
              <w:spacing w:line="460" w:lineRule="exact"/>
              <w:rPr>
                <w:rFonts w:ascii="宋体" w:hAnsi="宋体"/>
                <w:color w:val="auto"/>
                <w:sz w:val="24"/>
                <w:highlight w:val="none"/>
                <w:lang w:val="en-GB"/>
              </w:rPr>
            </w:pPr>
            <w:r>
              <w:rPr>
                <w:rFonts w:hint="eastAsia" w:ascii="宋体" w:hAnsi="宋体"/>
                <w:color w:val="auto"/>
                <w:sz w:val="24"/>
                <w:highlight w:val="none"/>
                <w:lang w:val="en-GB"/>
              </w:rPr>
              <w:t>大写：</w:t>
            </w:r>
          </w:p>
        </w:tc>
        <w:tc>
          <w:tcPr>
            <w:tcW w:w="2765" w:type="dxa"/>
            <w:vMerge w:val="continue"/>
            <w:vAlign w:val="center"/>
          </w:tcPr>
          <w:p w14:paraId="5C5E1F0C">
            <w:pPr>
              <w:jc w:val="center"/>
              <w:rPr>
                <w:rFonts w:ascii="宋体" w:hAnsi="宋体"/>
                <w:color w:val="auto"/>
                <w:sz w:val="24"/>
                <w:highlight w:val="none"/>
              </w:rPr>
            </w:pPr>
          </w:p>
        </w:tc>
      </w:tr>
    </w:tbl>
    <w:p w14:paraId="10E365F4">
      <w:pPr>
        <w:spacing w:line="460" w:lineRule="exact"/>
        <w:rPr>
          <w:rFonts w:ascii="宋体" w:hAnsi="宋体"/>
          <w:b/>
          <w:bCs/>
          <w:color w:val="auto"/>
          <w:sz w:val="24"/>
          <w:highlight w:val="none"/>
        </w:rPr>
      </w:pPr>
    </w:p>
    <w:p w14:paraId="380FF183">
      <w:pPr>
        <w:spacing w:before="159" w:beforeLines="50" w:after="159" w:afterLines="50" w:line="320" w:lineRule="exact"/>
        <w:rPr>
          <w:rFonts w:ascii="宋体" w:hAnsi="宋体" w:cs="Arial"/>
          <w:b/>
          <w:bCs/>
          <w:color w:val="auto"/>
          <w:sz w:val="24"/>
          <w:highlight w:val="none"/>
        </w:rPr>
      </w:pPr>
      <w:r>
        <w:rPr>
          <w:rFonts w:hint="eastAsia" w:ascii="宋体" w:hAnsi="宋体"/>
          <w:color w:val="auto"/>
          <w:sz w:val="24"/>
          <w:highlight w:val="none"/>
        </w:rPr>
        <w:t>附：</w:t>
      </w:r>
    </w:p>
    <w:p w14:paraId="238FBABD">
      <w:pPr>
        <w:spacing w:line="360" w:lineRule="auto"/>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磋商时，本表中的内容与《报价明细清单》的内容不一致的，以本表为准；</w:t>
      </w:r>
    </w:p>
    <w:p w14:paraId="28885B3F">
      <w:pPr>
        <w:spacing w:line="360" w:lineRule="auto"/>
        <w:rPr>
          <w:rFonts w:hint="eastAsia"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磋商总价为采购范围所列全部项目的报价总和，并应与《报价明细清单》保持一致。</w:t>
      </w:r>
    </w:p>
    <w:p w14:paraId="7A4DFBF7">
      <w:pPr>
        <w:spacing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此表在不改变表式的情况下，可自行制作。</w:t>
      </w:r>
    </w:p>
    <w:p w14:paraId="4EB9845F">
      <w:pPr>
        <w:wordWrap w:val="0"/>
        <w:spacing w:line="360" w:lineRule="auto"/>
        <w:jc w:val="right"/>
        <w:rPr>
          <w:rFonts w:ascii="宋体" w:hAnsi="宋体"/>
          <w:color w:val="auto"/>
          <w:sz w:val="24"/>
          <w:highlight w:val="none"/>
        </w:rPr>
      </w:pPr>
    </w:p>
    <w:p w14:paraId="4388CBC7">
      <w:pPr>
        <w:wordWrap w:val="0"/>
        <w:spacing w:line="360" w:lineRule="auto"/>
        <w:jc w:val="right"/>
        <w:rPr>
          <w:rFonts w:ascii="宋体" w:hAnsi="宋体"/>
          <w:color w:val="auto"/>
          <w:sz w:val="24"/>
          <w:highlight w:val="none"/>
        </w:rPr>
      </w:pPr>
      <w:r>
        <w:rPr>
          <w:rFonts w:hint="eastAsia" w:ascii="宋体" w:hAnsi="宋体"/>
          <w:color w:val="auto"/>
          <w:sz w:val="24"/>
          <w:highlight w:val="none"/>
        </w:rPr>
        <w:t>磋商响应方名称（公章）：</w:t>
      </w:r>
    </w:p>
    <w:p w14:paraId="08D17E28">
      <w:pPr>
        <w:wordWrap w:val="0"/>
        <w:spacing w:line="360" w:lineRule="auto"/>
        <w:jc w:val="right"/>
        <w:rPr>
          <w:rFonts w:ascii="宋体" w:hAnsi="宋体"/>
          <w:color w:val="auto"/>
          <w:sz w:val="24"/>
          <w:highlight w:val="none"/>
        </w:rPr>
      </w:pPr>
      <w:r>
        <w:rPr>
          <w:rFonts w:hint="eastAsia" w:ascii="宋体" w:hAnsi="宋体"/>
          <w:color w:val="auto"/>
          <w:sz w:val="24"/>
          <w:highlight w:val="none"/>
        </w:rPr>
        <w:t>法定代表人（签字或盖章）：</w:t>
      </w:r>
    </w:p>
    <w:p w14:paraId="4FC2FEDB">
      <w:pPr>
        <w:wordWrap w:val="0"/>
        <w:spacing w:line="360" w:lineRule="auto"/>
        <w:jc w:val="right"/>
        <w:rPr>
          <w:rFonts w:ascii="宋体" w:hAnsi="宋体"/>
          <w:color w:val="auto"/>
          <w:sz w:val="24"/>
          <w:highlight w:val="none"/>
        </w:rPr>
      </w:pPr>
      <w:r>
        <w:rPr>
          <w:rFonts w:hint="eastAsia" w:ascii="宋体" w:hAnsi="宋体" w:cs="Cambria Math"/>
          <w:color w:val="auto"/>
          <w:sz w:val="24"/>
          <w:highlight w:val="none"/>
          <w:lang w:val="zh-CN"/>
        </w:rPr>
        <w:t>授权代表</w:t>
      </w:r>
      <w:r>
        <w:rPr>
          <w:rFonts w:hint="eastAsia" w:ascii="宋体" w:hAnsi="宋体"/>
          <w:color w:val="auto"/>
          <w:sz w:val="24"/>
          <w:highlight w:val="none"/>
        </w:rPr>
        <w:t>（签字）：</w:t>
      </w:r>
    </w:p>
    <w:p w14:paraId="5BA1D899">
      <w:pPr>
        <w:wordWrap w:val="0"/>
        <w:spacing w:line="360" w:lineRule="auto"/>
        <w:jc w:val="right"/>
        <w:rPr>
          <w:rFonts w:ascii="宋体" w:hAnsi="宋体"/>
          <w:color w:val="auto"/>
          <w:sz w:val="24"/>
          <w:highlight w:val="none"/>
        </w:rPr>
      </w:pPr>
      <w:r>
        <w:rPr>
          <w:rFonts w:hint="eastAsia" w:ascii="宋体" w:hAnsi="宋体"/>
          <w:color w:val="auto"/>
          <w:sz w:val="24"/>
          <w:highlight w:val="none"/>
        </w:rPr>
        <w:t>日期：年月日</w:t>
      </w:r>
    </w:p>
    <w:p w14:paraId="073CAC91">
      <w:pPr>
        <w:jc w:val="center"/>
        <w:rPr>
          <w:rFonts w:ascii="宋体" w:hAnsi="宋体"/>
          <w:b/>
          <w:color w:val="auto"/>
          <w:sz w:val="36"/>
          <w:szCs w:val="36"/>
          <w:highlight w:val="none"/>
        </w:rPr>
      </w:pPr>
      <w:r>
        <w:rPr>
          <w:rFonts w:hint="eastAsia" w:ascii="仿宋_GB2312" w:eastAsia="仿宋_GB2312"/>
          <w:b/>
          <w:color w:val="auto"/>
          <w:sz w:val="32"/>
          <w:szCs w:val="32"/>
          <w:highlight w:val="none"/>
        </w:rPr>
        <w:br w:type="page"/>
      </w:r>
      <w:r>
        <w:rPr>
          <w:rFonts w:hint="eastAsia" w:ascii="宋体" w:hAnsi="宋体"/>
          <w:b/>
          <w:color w:val="auto"/>
          <w:sz w:val="36"/>
          <w:szCs w:val="36"/>
          <w:highlight w:val="none"/>
        </w:rPr>
        <w:t>三、报价明细清单</w:t>
      </w:r>
    </w:p>
    <w:p w14:paraId="65CE0144">
      <w:pPr>
        <w:rPr>
          <w:rFonts w:ascii="宋体" w:hAnsi="宋体"/>
          <w:b/>
          <w:bCs/>
          <w:color w:val="auto"/>
          <w:sz w:val="24"/>
          <w:highlight w:val="none"/>
        </w:rPr>
      </w:pPr>
    </w:p>
    <w:tbl>
      <w:tblPr>
        <w:tblStyle w:val="24"/>
        <w:tblW w:w="957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2033"/>
        <w:gridCol w:w="1698"/>
        <w:gridCol w:w="1181"/>
        <w:gridCol w:w="1608"/>
        <w:gridCol w:w="1863"/>
      </w:tblGrid>
      <w:tr w14:paraId="35204F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0" w:hRule="atLeast"/>
        </w:trPr>
        <w:tc>
          <w:tcPr>
            <w:tcW w:w="1188" w:type="dxa"/>
            <w:vAlign w:val="center"/>
          </w:tcPr>
          <w:p w14:paraId="074A226A">
            <w:pPr>
              <w:jc w:val="center"/>
              <w:rPr>
                <w:color w:val="auto"/>
                <w:spacing w:val="20"/>
                <w:sz w:val="24"/>
                <w:highlight w:val="none"/>
              </w:rPr>
            </w:pPr>
            <w:r>
              <w:rPr>
                <w:color w:val="auto"/>
                <w:spacing w:val="20"/>
                <w:sz w:val="24"/>
                <w:highlight w:val="none"/>
              </w:rPr>
              <w:t>序号</w:t>
            </w:r>
          </w:p>
        </w:tc>
        <w:tc>
          <w:tcPr>
            <w:tcW w:w="2033" w:type="dxa"/>
            <w:vAlign w:val="center"/>
          </w:tcPr>
          <w:p w14:paraId="25BA1390">
            <w:pPr>
              <w:jc w:val="center"/>
              <w:rPr>
                <w:color w:val="auto"/>
                <w:spacing w:val="20"/>
                <w:sz w:val="24"/>
                <w:highlight w:val="none"/>
              </w:rPr>
            </w:pPr>
            <w:r>
              <w:rPr>
                <w:color w:val="auto"/>
                <w:spacing w:val="20"/>
                <w:sz w:val="24"/>
                <w:highlight w:val="none"/>
              </w:rPr>
              <w:t>名称</w:t>
            </w:r>
          </w:p>
        </w:tc>
        <w:tc>
          <w:tcPr>
            <w:tcW w:w="1698" w:type="dxa"/>
            <w:vAlign w:val="center"/>
          </w:tcPr>
          <w:p w14:paraId="7FAF5D45">
            <w:pPr>
              <w:jc w:val="center"/>
              <w:rPr>
                <w:color w:val="auto"/>
                <w:spacing w:val="20"/>
                <w:sz w:val="24"/>
                <w:highlight w:val="none"/>
              </w:rPr>
            </w:pPr>
            <w:r>
              <w:rPr>
                <w:color w:val="auto"/>
                <w:spacing w:val="20"/>
                <w:sz w:val="24"/>
                <w:highlight w:val="none"/>
              </w:rPr>
              <w:t>数量</w:t>
            </w:r>
          </w:p>
        </w:tc>
        <w:tc>
          <w:tcPr>
            <w:tcW w:w="1181" w:type="dxa"/>
            <w:vAlign w:val="center"/>
          </w:tcPr>
          <w:p w14:paraId="299BCBE4">
            <w:pPr>
              <w:jc w:val="center"/>
              <w:rPr>
                <w:color w:val="auto"/>
                <w:spacing w:val="20"/>
                <w:sz w:val="24"/>
                <w:highlight w:val="none"/>
              </w:rPr>
            </w:pPr>
            <w:r>
              <w:rPr>
                <w:color w:val="auto"/>
                <w:spacing w:val="20"/>
                <w:sz w:val="24"/>
                <w:highlight w:val="none"/>
              </w:rPr>
              <w:t>单价</w:t>
            </w:r>
          </w:p>
        </w:tc>
        <w:tc>
          <w:tcPr>
            <w:tcW w:w="1608" w:type="dxa"/>
            <w:vAlign w:val="center"/>
          </w:tcPr>
          <w:p w14:paraId="19244D9A">
            <w:pPr>
              <w:jc w:val="center"/>
              <w:rPr>
                <w:color w:val="auto"/>
                <w:spacing w:val="20"/>
                <w:sz w:val="24"/>
                <w:highlight w:val="none"/>
              </w:rPr>
            </w:pPr>
            <w:r>
              <w:rPr>
                <w:rFonts w:hint="eastAsia"/>
                <w:color w:val="auto"/>
                <w:spacing w:val="20"/>
                <w:sz w:val="24"/>
                <w:highlight w:val="none"/>
              </w:rPr>
              <w:t>合计</w:t>
            </w:r>
          </w:p>
        </w:tc>
        <w:tc>
          <w:tcPr>
            <w:tcW w:w="1863" w:type="dxa"/>
            <w:vAlign w:val="center"/>
          </w:tcPr>
          <w:p w14:paraId="20F24C64">
            <w:pPr>
              <w:jc w:val="center"/>
              <w:rPr>
                <w:color w:val="auto"/>
                <w:spacing w:val="20"/>
                <w:sz w:val="24"/>
                <w:highlight w:val="none"/>
              </w:rPr>
            </w:pPr>
            <w:r>
              <w:rPr>
                <w:color w:val="auto"/>
                <w:spacing w:val="20"/>
                <w:sz w:val="24"/>
                <w:highlight w:val="none"/>
              </w:rPr>
              <w:t>备注</w:t>
            </w:r>
          </w:p>
        </w:tc>
      </w:tr>
      <w:tr w14:paraId="089DC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522E84E1">
            <w:pPr>
              <w:jc w:val="center"/>
              <w:rPr>
                <w:rFonts w:hint="default" w:eastAsia="宋体"/>
                <w:color w:val="auto"/>
                <w:spacing w:val="20"/>
                <w:sz w:val="24"/>
                <w:highlight w:val="none"/>
                <w:lang w:val="en-US" w:eastAsia="zh-CN"/>
              </w:rPr>
            </w:pPr>
          </w:p>
        </w:tc>
        <w:tc>
          <w:tcPr>
            <w:tcW w:w="2033" w:type="dxa"/>
            <w:vAlign w:val="center"/>
          </w:tcPr>
          <w:p w14:paraId="5087967B">
            <w:pPr>
              <w:spacing w:line="360" w:lineRule="auto"/>
              <w:jc w:val="center"/>
              <w:rPr>
                <w:color w:val="auto"/>
                <w:spacing w:val="20"/>
                <w:sz w:val="24"/>
                <w:highlight w:val="none"/>
              </w:rPr>
            </w:pPr>
          </w:p>
        </w:tc>
        <w:tc>
          <w:tcPr>
            <w:tcW w:w="1698" w:type="dxa"/>
            <w:vAlign w:val="center"/>
          </w:tcPr>
          <w:p w14:paraId="15FE7C3F">
            <w:pPr>
              <w:jc w:val="center"/>
              <w:rPr>
                <w:color w:val="auto"/>
                <w:spacing w:val="20"/>
                <w:sz w:val="24"/>
                <w:highlight w:val="none"/>
              </w:rPr>
            </w:pPr>
          </w:p>
        </w:tc>
        <w:tc>
          <w:tcPr>
            <w:tcW w:w="1181" w:type="dxa"/>
            <w:vAlign w:val="center"/>
          </w:tcPr>
          <w:p w14:paraId="3F1B8741">
            <w:pPr>
              <w:jc w:val="center"/>
              <w:rPr>
                <w:color w:val="auto"/>
                <w:spacing w:val="20"/>
                <w:sz w:val="24"/>
                <w:highlight w:val="none"/>
              </w:rPr>
            </w:pPr>
          </w:p>
        </w:tc>
        <w:tc>
          <w:tcPr>
            <w:tcW w:w="1608" w:type="dxa"/>
            <w:vAlign w:val="center"/>
          </w:tcPr>
          <w:p w14:paraId="08BB08BD">
            <w:pPr>
              <w:jc w:val="center"/>
              <w:rPr>
                <w:color w:val="auto"/>
                <w:spacing w:val="20"/>
                <w:sz w:val="24"/>
                <w:highlight w:val="none"/>
              </w:rPr>
            </w:pPr>
          </w:p>
        </w:tc>
        <w:tc>
          <w:tcPr>
            <w:tcW w:w="1863" w:type="dxa"/>
            <w:vAlign w:val="center"/>
          </w:tcPr>
          <w:p w14:paraId="3A7FD962">
            <w:pPr>
              <w:jc w:val="center"/>
              <w:rPr>
                <w:color w:val="auto"/>
                <w:spacing w:val="20"/>
                <w:sz w:val="24"/>
                <w:highlight w:val="none"/>
              </w:rPr>
            </w:pPr>
          </w:p>
        </w:tc>
      </w:tr>
      <w:tr w14:paraId="6F7F14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12C8F68C">
            <w:pPr>
              <w:jc w:val="center"/>
              <w:rPr>
                <w:color w:val="auto"/>
                <w:spacing w:val="20"/>
                <w:sz w:val="24"/>
                <w:highlight w:val="none"/>
              </w:rPr>
            </w:pPr>
          </w:p>
        </w:tc>
        <w:tc>
          <w:tcPr>
            <w:tcW w:w="2033" w:type="dxa"/>
            <w:vAlign w:val="center"/>
          </w:tcPr>
          <w:p w14:paraId="17BD772F">
            <w:pPr>
              <w:spacing w:line="360" w:lineRule="auto"/>
              <w:jc w:val="center"/>
              <w:rPr>
                <w:rFonts w:hint="default" w:eastAsia="宋体"/>
                <w:color w:val="auto"/>
                <w:spacing w:val="20"/>
                <w:sz w:val="24"/>
                <w:highlight w:val="none"/>
                <w:lang w:val="en-US" w:eastAsia="zh-CN"/>
              </w:rPr>
            </w:pPr>
          </w:p>
        </w:tc>
        <w:tc>
          <w:tcPr>
            <w:tcW w:w="1698" w:type="dxa"/>
            <w:vAlign w:val="center"/>
          </w:tcPr>
          <w:p w14:paraId="4B4C6133">
            <w:pPr>
              <w:jc w:val="center"/>
              <w:rPr>
                <w:color w:val="auto"/>
                <w:spacing w:val="20"/>
                <w:sz w:val="24"/>
                <w:highlight w:val="none"/>
              </w:rPr>
            </w:pPr>
          </w:p>
        </w:tc>
        <w:tc>
          <w:tcPr>
            <w:tcW w:w="1181" w:type="dxa"/>
            <w:vAlign w:val="center"/>
          </w:tcPr>
          <w:p w14:paraId="0E8FA281">
            <w:pPr>
              <w:jc w:val="center"/>
              <w:rPr>
                <w:color w:val="auto"/>
                <w:spacing w:val="20"/>
                <w:sz w:val="24"/>
                <w:highlight w:val="none"/>
              </w:rPr>
            </w:pPr>
          </w:p>
        </w:tc>
        <w:tc>
          <w:tcPr>
            <w:tcW w:w="1608" w:type="dxa"/>
            <w:vAlign w:val="center"/>
          </w:tcPr>
          <w:p w14:paraId="112EBEC1">
            <w:pPr>
              <w:jc w:val="center"/>
              <w:rPr>
                <w:color w:val="auto"/>
                <w:spacing w:val="20"/>
                <w:sz w:val="24"/>
                <w:highlight w:val="none"/>
              </w:rPr>
            </w:pPr>
          </w:p>
        </w:tc>
        <w:tc>
          <w:tcPr>
            <w:tcW w:w="1863" w:type="dxa"/>
            <w:vAlign w:val="center"/>
          </w:tcPr>
          <w:p w14:paraId="175E1152">
            <w:pPr>
              <w:jc w:val="center"/>
              <w:rPr>
                <w:color w:val="auto"/>
                <w:spacing w:val="20"/>
                <w:sz w:val="24"/>
                <w:highlight w:val="none"/>
              </w:rPr>
            </w:pPr>
          </w:p>
        </w:tc>
      </w:tr>
      <w:tr w14:paraId="3DD6C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7B46F2E9">
            <w:pPr>
              <w:jc w:val="center"/>
              <w:rPr>
                <w:rFonts w:hint="eastAsia" w:eastAsia="宋体"/>
                <w:color w:val="auto"/>
                <w:spacing w:val="20"/>
                <w:sz w:val="24"/>
                <w:highlight w:val="none"/>
                <w:lang w:val="en-US" w:eastAsia="zh-CN"/>
              </w:rPr>
            </w:pPr>
          </w:p>
        </w:tc>
        <w:tc>
          <w:tcPr>
            <w:tcW w:w="2033" w:type="dxa"/>
            <w:vAlign w:val="center"/>
          </w:tcPr>
          <w:p w14:paraId="06EFF734">
            <w:pPr>
              <w:spacing w:line="360" w:lineRule="auto"/>
              <w:jc w:val="center"/>
              <w:rPr>
                <w:color w:val="auto"/>
                <w:spacing w:val="20"/>
                <w:sz w:val="24"/>
                <w:highlight w:val="none"/>
              </w:rPr>
            </w:pPr>
          </w:p>
        </w:tc>
        <w:tc>
          <w:tcPr>
            <w:tcW w:w="1698" w:type="dxa"/>
            <w:vAlign w:val="center"/>
          </w:tcPr>
          <w:p w14:paraId="4CE9E208">
            <w:pPr>
              <w:jc w:val="center"/>
              <w:rPr>
                <w:color w:val="auto"/>
                <w:spacing w:val="20"/>
                <w:sz w:val="24"/>
                <w:highlight w:val="none"/>
              </w:rPr>
            </w:pPr>
          </w:p>
        </w:tc>
        <w:tc>
          <w:tcPr>
            <w:tcW w:w="1181" w:type="dxa"/>
            <w:vAlign w:val="center"/>
          </w:tcPr>
          <w:p w14:paraId="795BD1DA">
            <w:pPr>
              <w:jc w:val="center"/>
              <w:rPr>
                <w:color w:val="auto"/>
                <w:spacing w:val="20"/>
                <w:sz w:val="24"/>
                <w:highlight w:val="none"/>
              </w:rPr>
            </w:pPr>
          </w:p>
        </w:tc>
        <w:tc>
          <w:tcPr>
            <w:tcW w:w="1608" w:type="dxa"/>
            <w:vAlign w:val="center"/>
          </w:tcPr>
          <w:p w14:paraId="0B3E4A33">
            <w:pPr>
              <w:jc w:val="center"/>
              <w:rPr>
                <w:color w:val="auto"/>
                <w:spacing w:val="20"/>
                <w:sz w:val="24"/>
                <w:highlight w:val="none"/>
              </w:rPr>
            </w:pPr>
          </w:p>
        </w:tc>
        <w:tc>
          <w:tcPr>
            <w:tcW w:w="1863" w:type="dxa"/>
            <w:vAlign w:val="center"/>
          </w:tcPr>
          <w:p w14:paraId="22B4311B">
            <w:pPr>
              <w:jc w:val="center"/>
              <w:rPr>
                <w:color w:val="auto"/>
                <w:spacing w:val="20"/>
                <w:sz w:val="24"/>
                <w:highlight w:val="none"/>
              </w:rPr>
            </w:pPr>
          </w:p>
        </w:tc>
      </w:tr>
      <w:tr w14:paraId="14F50A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32100C3F">
            <w:pPr>
              <w:jc w:val="center"/>
              <w:rPr>
                <w:color w:val="auto"/>
                <w:spacing w:val="20"/>
                <w:sz w:val="24"/>
                <w:highlight w:val="none"/>
              </w:rPr>
            </w:pPr>
          </w:p>
        </w:tc>
        <w:tc>
          <w:tcPr>
            <w:tcW w:w="2033" w:type="dxa"/>
            <w:vAlign w:val="center"/>
          </w:tcPr>
          <w:p w14:paraId="48653E59">
            <w:pPr>
              <w:spacing w:line="360" w:lineRule="auto"/>
              <w:jc w:val="center"/>
              <w:rPr>
                <w:rFonts w:hint="default" w:eastAsia="宋体"/>
                <w:color w:val="auto"/>
                <w:spacing w:val="20"/>
                <w:sz w:val="24"/>
                <w:highlight w:val="none"/>
                <w:lang w:val="en-US" w:eastAsia="zh-CN"/>
              </w:rPr>
            </w:pPr>
          </w:p>
        </w:tc>
        <w:tc>
          <w:tcPr>
            <w:tcW w:w="1698" w:type="dxa"/>
            <w:vAlign w:val="center"/>
          </w:tcPr>
          <w:p w14:paraId="463F7FDB">
            <w:pPr>
              <w:jc w:val="center"/>
              <w:rPr>
                <w:color w:val="auto"/>
                <w:spacing w:val="20"/>
                <w:sz w:val="24"/>
                <w:highlight w:val="none"/>
              </w:rPr>
            </w:pPr>
          </w:p>
        </w:tc>
        <w:tc>
          <w:tcPr>
            <w:tcW w:w="1181" w:type="dxa"/>
            <w:vAlign w:val="center"/>
          </w:tcPr>
          <w:p w14:paraId="11648E94">
            <w:pPr>
              <w:jc w:val="center"/>
              <w:rPr>
                <w:color w:val="auto"/>
                <w:spacing w:val="20"/>
                <w:sz w:val="24"/>
                <w:highlight w:val="none"/>
              </w:rPr>
            </w:pPr>
          </w:p>
        </w:tc>
        <w:tc>
          <w:tcPr>
            <w:tcW w:w="1608" w:type="dxa"/>
            <w:vAlign w:val="center"/>
          </w:tcPr>
          <w:p w14:paraId="19386576">
            <w:pPr>
              <w:jc w:val="center"/>
              <w:rPr>
                <w:color w:val="auto"/>
                <w:spacing w:val="20"/>
                <w:sz w:val="24"/>
                <w:highlight w:val="none"/>
              </w:rPr>
            </w:pPr>
          </w:p>
        </w:tc>
        <w:tc>
          <w:tcPr>
            <w:tcW w:w="1863" w:type="dxa"/>
            <w:vAlign w:val="center"/>
          </w:tcPr>
          <w:p w14:paraId="79E07922">
            <w:pPr>
              <w:jc w:val="center"/>
              <w:rPr>
                <w:color w:val="auto"/>
                <w:spacing w:val="20"/>
                <w:sz w:val="24"/>
                <w:highlight w:val="none"/>
              </w:rPr>
            </w:pPr>
          </w:p>
        </w:tc>
      </w:tr>
      <w:tr w14:paraId="31C92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46642FE2">
            <w:pPr>
              <w:jc w:val="center"/>
              <w:rPr>
                <w:rFonts w:hint="eastAsia" w:eastAsia="宋体"/>
                <w:color w:val="auto"/>
                <w:spacing w:val="20"/>
                <w:sz w:val="24"/>
                <w:highlight w:val="none"/>
                <w:lang w:val="en-US" w:eastAsia="zh-CN"/>
              </w:rPr>
            </w:pPr>
          </w:p>
        </w:tc>
        <w:tc>
          <w:tcPr>
            <w:tcW w:w="2033" w:type="dxa"/>
            <w:shd w:val="clear" w:color="auto" w:fill="auto"/>
            <w:vAlign w:val="center"/>
          </w:tcPr>
          <w:p w14:paraId="2CD42CA9">
            <w:pPr>
              <w:jc w:val="center"/>
              <w:rPr>
                <w:rFonts w:ascii="Times New Roman" w:hAnsi="Times New Roman" w:eastAsia="宋体" w:cs="Times New Roman"/>
                <w:color w:val="auto"/>
                <w:spacing w:val="20"/>
                <w:kern w:val="2"/>
                <w:sz w:val="24"/>
                <w:szCs w:val="24"/>
                <w:highlight w:val="none"/>
                <w:lang w:val="en-US" w:eastAsia="zh-CN" w:bidi="ar-SA"/>
              </w:rPr>
            </w:pPr>
          </w:p>
        </w:tc>
        <w:tc>
          <w:tcPr>
            <w:tcW w:w="1698" w:type="dxa"/>
            <w:vAlign w:val="center"/>
          </w:tcPr>
          <w:p w14:paraId="5A0D6DCF">
            <w:pPr>
              <w:jc w:val="center"/>
              <w:rPr>
                <w:color w:val="auto"/>
                <w:spacing w:val="20"/>
                <w:sz w:val="24"/>
                <w:highlight w:val="none"/>
              </w:rPr>
            </w:pPr>
          </w:p>
        </w:tc>
        <w:tc>
          <w:tcPr>
            <w:tcW w:w="1181" w:type="dxa"/>
            <w:vAlign w:val="center"/>
          </w:tcPr>
          <w:p w14:paraId="7077CF8F">
            <w:pPr>
              <w:jc w:val="center"/>
              <w:rPr>
                <w:color w:val="auto"/>
                <w:spacing w:val="20"/>
                <w:sz w:val="24"/>
                <w:highlight w:val="none"/>
              </w:rPr>
            </w:pPr>
          </w:p>
        </w:tc>
        <w:tc>
          <w:tcPr>
            <w:tcW w:w="1608" w:type="dxa"/>
            <w:vAlign w:val="center"/>
          </w:tcPr>
          <w:p w14:paraId="71C9C525">
            <w:pPr>
              <w:jc w:val="center"/>
              <w:rPr>
                <w:color w:val="auto"/>
                <w:spacing w:val="20"/>
                <w:sz w:val="24"/>
                <w:highlight w:val="none"/>
              </w:rPr>
            </w:pPr>
          </w:p>
        </w:tc>
        <w:tc>
          <w:tcPr>
            <w:tcW w:w="1863" w:type="dxa"/>
            <w:vAlign w:val="center"/>
          </w:tcPr>
          <w:p w14:paraId="6AFA6688">
            <w:pPr>
              <w:jc w:val="center"/>
              <w:rPr>
                <w:color w:val="auto"/>
                <w:spacing w:val="20"/>
                <w:sz w:val="24"/>
                <w:highlight w:val="none"/>
              </w:rPr>
            </w:pPr>
          </w:p>
        </w:tc>
      </w:tr>
      <w:tr w14:paraId="76AB2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188" w:type="dxa"/>
            <w:vAlign w:val="center"/>
          </w:tcPr>
          <w:p w14:paraId="0B0BDD1A">
            <w:pPr>
              <w:jc w:val="center"/>
              <w:rPr>
                <w:color w:val="auto"/>
                <w:spacing w:val="20"/>
                <w:sz w:val="24"/>
                <w:highlight w:val="none"/>
              </w:rPr>
            </w:pPr>
          </w:p>
        </w:tc>
        <w:tc>
          <w:tcPr>
            <w:tcW w:w="2033" w:type="dxa"/>
            <w:shd w:val="clear" w:color="auto" w:fill="auto"/>
            <w:vAlign w:val="center"/>
          </w:tcPr>
          <w:p w14:paraId="515ED117">
            <w:pPr>
              <w:jc w:val="center"/>
              <w:rPr>
                <w:rFonts w:hint="default" w:ascii="Times New Roman" w:hAnsi="Times New Roman" w:eastAsia="宋体" w:cs="Times New Roman"/>
                <w:color w:val="auto"/>
                <w:spacing w:val="20"/>
                <w:kern w:val="2"/>
                <w:sz w:val="24"/>
                <w:szCs w:val="24"/>
                <w:highlight w:val="none"/>
                <w:lang w:val="en-US" w:eastAsia="zh-CN" w:bidi="ar-SA"/>
              </w:rPr>
            </w:pPr>
          </w:p>
        </w:tc>
        <w:tc>
          <w:tcPr>
            <w:tcW w:w="1698" w:type="dxa"/>
            <w:vAlign w:val="center"/>
          </w:tcPr>
          <w:p w14:paraId="64E15CF5">
            <w:pPr>
              <w:jc w:val="center"/>
              <w:rPr>
                <w:color w:val="auto"/>
                <w:spacing w:val="20"/>
                <w:sz w:val="24"/>
                <w:highlight w:val="none"/>
              </w:rPr>
            </w:pPr>
          </w:p>
        </w:tc>
        <w:tc>
          <w:tcPr>
            <w:tcW w:w="1181" w:type="dxa"/>
            <w:vAlign w:val="center"/>
          </w:tcPr>
          <w:p w14:paraId="5E4AB73A">
            <w:pPr>
              <w:jc w:val="center"/>
              <w:rPr>
                <w:color w:val="auto"/>
                <w:spacing w:val="20"/>
                <w:sz w:val="24"/>
                <w:highlight w:val="none"/>
              </w:rPr>
            </w:pPr>
          </w:p>
        </w:tc>
        <w:tc>
          <w:tcPr>
            <w:tcW w:w="1608" w:type="dxa"/>
            <w:vAlign w:val="center"/>
          </w:tcPr>
          <w:p w14:paraId="4AE17C77">
            <w:pPr>
              <w:jc w:val="center"/>
              <w:rPr>
                <w:color w:val="auto"/>
                <w:spacing w:val="20"/>
                <w:sz w:val="24"/>
                <w:highlight w:val="none"/>
              </w:rPr>
            </w:pPr>
          </w:p>
        </w:tc>
        <w:tc>
          <w:tcPr>
            <w:tcW w:w="1863" w:type="dxa"/>
            <w:vAlign w:val="center"/>
          </w:tcPr>
          <w:p w14:paraId="74E87324">
            <w:pPr>
              <w:jc w:val="center"/>
              <w:rPr>
                <w:color w:val="auto"/>
                <w:spacing w:val="20"/>
                <w:sz w:val="24"/>
                <w:highlight w:val="none"/>
              </w:rPr>
            </w:pPr>
          </w:p>
        </w:tc>
      </w:tr>
      <w:tr w14:paraId="7D463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221" w:type="dxa"/>
            <w:gridSpan w:val="2"/>
            <w:vAlign w:val="center"/>
          </w:tcPr>
          <w:p w14:paraId="071D1268">
            <w:pPr>
              <w:jc w:val="center"/>
              <w:rPr>
                <w:color w:val="auto"/>
                <w:spacing w:val="20"/>
                <w:sz w:val="24"/>
                <w:highlight w:val="none"/>
              </w:rPr>
            </w:pPr>
            <w:r>
              <w:rPr>
                <w:color w:val="auto"/>
                <w:spacing w:val="20"/>
                <w:sz w:val="24"/>
                <w:highlight w:val="none"/>
              </w:rPr>
              <w:t>投标总价（小写）</w:t>
            </w:r>
          </w:p>
        </w:tc>
        <w:tc>
          <w:tcPr>
            <w:tcW w:w="6350" w:type="dxa"/>
            <w:gridSpan w:val="4"/>
            <w:vAlign w:val="center"/>
          </w:tcPr>
          <w:p w14:paraId="45CD2EF0">
            <w:pPr>
              <w:jc w:val="center"/>
              <w:rPr>
                <w:color w:val="auto"/>
                <w:spacing w:val="20"/>
                <w:sz w:val="24"/>
                <w:highlight w:val="none"/>
              </w:rPr>
            </w:pPr>
          </w:p>
        </w:tc>
      </w:tr>
      <w:tr w14:paraId="49E7D2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221" w:type="dxa"/>
            <w:gridSpan w:val="2"/>
            <w:vAlign w:val="center"/>
          </w:tcPr>
          <w:p w14:paraId="4C0E6729">
            <w:pPr>
              <w:jc w:val="center"/>
              <w:rPr>
                <w:rFonts w:hint="eastAsia"/>
                <w:color w:val="auto"/>
                <w:sz w:val="24"/>
                <w:szCs w:val="24"/>
                <w:highlight w:val="none"/>
              </w:rPr>
            </w:pPr>
            <w:r>
              <w:rPr>
                <w:color w:val="auto"/>
                <w:spacing w:val="20"/>
                <w:sz w:val="24"/>
                <w:highlight w:val="none"/>
              </w:rPr>
              <w:t>投标总价（大写）</w:t>
            </w:r>
          </w:p>
        </w:tc>
        <w:tc>
          <w:tcPr>
            <w:tcW w:w="6350" w:type="dxa"/>
            <w:gridSpan w:val="4"/>
            <w:vAlign w:val="center"/>
          </w:tcPr>
          <w:p w14:paraId="1C9C5FEB">
            <w:pPr>
              <w:jc w:val="center"/>
              <w:rPr>
                <w:color w:val="auto"/>
                <w:spacing w:val="20"/>
                <w:sz w:val="24"/>
                <w:highlight w:val="none"/>
              </w:rPr>
            </w:pPr>
          </w:p>
        </w:tc>
      </w:tr>
    </w:tbl>
    <w:p w14:paraId="69877039">
      <w:pPr>
        <w:spacing w:line="360" w:lineRule="auto"/>
        <w:rPr>
          <w:rFonts w:ascii="宋体" w:hAnsi="宋体"/>
          <w:i/>
          <w:color w:val="auto"/>
          <w:spacing w:val="20"/>
          <w:sz w:val="24"/>
          <w:highlight w:val="none"/>
        </w:rPr>
      </w:pPr>
    </w:p>
    <w:p w14:paraId="61799525">
      <w:pPr>
        <w:spacing w:line="360" w:lineRule="auto"/>
        <w:rPr>
          <w:rFonts w:ascii="宋体" w:hAnsi="宋体"/>
          <w:color w:val="auto"/>
          <w:spacing w:val="20"/>
          <w:sz w:val="24"/>
          <w:highlight w:val="none"/>
        </w:rPr>
      </w:pPr>
      <w:r>
        <w:rPr>
          <w:rFonts w:hint="eastAsia" w:ascii="宋体" w:hAnsi="宋体"/>
          <w:color w:val="auto"/>
          <w:spacing w:val="20"/>
          <w:sz w:val="24"/>
          <w:highlight w:val="none"/>
        </w:rPr>
        <w:t>注：</w:t>
      </w:r>
    </w:p>
    <w:p w14:paraId="06176D5A">
      <w:pPr>
        <w:spacing w:line="360" w:lineRule="auto"/>
        <w:ind w:firstLine="420" w:firstLineChars="150"/>
        <w:rPr>
          <w:rFonts w:ascii="宋体" w:hAnsi="宋体"/>
          <w:color w:val="auto"/>
          <w:spacing w:val="20"/>
          <w:sz w:val="24"/>
          <w:highlight w:val="none"/>
        </w:rPr>
      </w:pPr>
      <w:r>
        <w:rPr>
          <w:rFonts w:hint="eastAsia" w:ascii="宋体" w:hAnsi="宋体"/>
          <w:color w:val="auto"/>
          <w:spacing w:val="20"/>
          <w:sz w:val="24"/>
          <w:highlight w:val="none"/>
        </w:rPr>
        <w:t>1、</w:t>
      </w:r>
      <w:r>
        <w:rPr>
          <w:rFonts w:hint="eastAsia"/>
          <w:color w:val="auto"/>
          <w:sz w:val="24"/>
          <w:szCs w:val="24"/>
          <w:highlight w:val="none"/>
        </w:rPr>
        <w:t>投标总价应包括本项目整个服务期所需的一切费用（包含须由</w:t>
      </w:r>
      <w:r>
        <w:rPr>
          <w:rFonts w:hint="eastAsia"/>
          <w:color w:val="auto"/>
          <w:sz w:val="24"/>
          <w:szCs w:val="24"/>
          <w:highlight w:val="none"/>
          <w:lang w:val="en-US" w:eastAsia="zh-CN"/>
        </w:rPr>
        <w:t>供应商</w:t>
      </w:r>
      <w:r>
        <w:rPr>
          <w:rFonts w:hint="eastAsia"/>
          <w:color w:val="auto"/>
          <w:sz w:val="24"/>
          <w:szCs w:val="24"/>
          <w:highlight w:val="none"/>
        </w:rPr>
        <w:t>承担的各种税费）、其它需投标人承担的费用及潜在可能涉及的一切费用。</w:t>
      </w:r>
      <w:r>
        <w:rPr>
          <w:rFonts w:hint="eastAsia"/>
          <w:color w:val="auto"/>
          <w:sz w:val="24"/>
          <w:szCs w:val="24"/>
          <w:highlight w:val="none"/>
          <w:lang w:val="en-US" w:eastAsia="zh-CN"/>
        </w:rPr>
        <w:t>供应商</w:t>
      </w:r>
      <w:r>
        <w:rPr>
          <w:rFonts w:hint="eastAsia"/>
          <w:color w:val="auto"/>
          <w:sz w:val="24"/>
          <w:szCs w:val="24"/>
          <w:highlight w:val="none"/>
        </w:rPr>
        <w:t>应认真计算可能发生的各相关费用并计入投标报价内，在项目实施过程中不得藉此要求增加任何费用。如上述没有提及但该项目仍需要的内容，请</w:t>
      </w:r>
      <w:r>
        <w:rPr>
          <w:rFonts w:hint="eastAsia"/>
          <w:color w:val="auto"/>
          <w:sz w:val="24"/>
          <w:szCs w:val="24"/>
          <w:highlight w:val="none"/>
          <w:lang w:val="en-US" w:eastAsia="zh-CN"/>
        </w:rPr>
        <w:t>供应商</w:t>
      </w:r>
      <w:r>
        <w:rPr>
          <w:rFonts w:hint="eastAsia"/>
          <w:color w:val="auto"/>
          <w:sz w:val="24"/>
          <w:szCs w:val="24"/>
          <w:highlight w:val="none"/>
        </w:rPr>
        <w:t>自行考虑一并计入投标报价中（未计入的，视为</w:t>
      </w:r>
      <w:r>
        <w:rPr>
          <w:rFonts w:hint="eastAsia"/>
          <w:color w:val="auto"/>
          <w:sz w:val="24"/>
          <w:szCs w:val="24"/>
          <w:highlight w:val="none"/>
          <w:lang w:val="en-US" w:eastAsia="zh-CN"/>
        </w:rPr>
        <w:t>供应商</w:t>
      </w:r>
      <w:r>
        <w:rPr>
          <w:rFonts w:hint="eastAsia"/>
          <w:color w:val="auto"/>
          <w:sz w:val="24"/>
          <w:szCs w:val="24"/>
          <w:highlight w:val="none"/>
        </w:rPr>
        <w:t>的优惠）</w:t>
      </w:r>
      <w:r>
        <w:rPr>
          <w:rFonts w:hint="eastAsia" w:hAnsi="宋体"/>
          <w:color w:val="auto"/>
          <w:sz w:val="24"/>
          <w:highlight w:val="none"/>
        </w:rPr>
        <w:t>。</w:t>
      </w:r>
    </w:p>
    <w:p w14:paraId="27B84612">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   2、此表仅提供了表格形式，磋商响应方应根据需要来填写完整的报价明细清单。</w:t>
      </w:r>
    </w:p>
    <w:p w14:paraId="1B824B2A">
      <w:pPr>
        <w:spacing w:line="360" w:lineRule="auto"/>
        <w:rPr>
          <w:rFonts w:ascii="宋体" w:hAnsi="宋体"/>
          <w:color w:val="auto"/>
          <w:spacing w:val="20"/>
          <w:sz w:val="24"/>
          <w:highlight w:val="none"/>
        </w:rPr>
      </w:pPr>
    </w:p>
    <w:p w14:paraId="4B58CA9D">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759BBA62">
      <w:pPr>
        <w:jc w:val="right"/>
        <w:rPr>
          <w:rFonts w:ascii="宋体" w:hAnsi="宋体"/>
          <w:b/>
          <w:iCs/>
          <w:color w:val="auto"/>
          <w:spacing w:val="20"/>
          <w:sz w:val="24"/>
          <w:highlight w:val="none"/>
        </w:rPr>
      </w:pPr>
      <w:r>
        <w:rPr>
          <w:rFonts w:hint="eastAsia" w:ascii="宋体" w:hAnsi="宋体"/>
          <w:color w:val="auto"/>
          <w:spacing w:val="20"/>
          <w:sz w:val="24"/>
          <w:highlight w:val="none"/>
        </w:rPr>
        <w:t>日期：年月日</w:t>
      </w:r>
    </w:p>
    <w:p w14:paraId="0C1F67A8">
      <w:pPr>
        <w:spacing w:line="360" w:lineRule="auto"/>
        <w:rPr>
          <w:rFonts w:ascii="宋体" w:hAnsi="宋体"/>
          <w:b/>
          <w:color w:val="auto"/>
          <w:spacing w:val="20"/>
          <w:sz w:val="24"/>
          <w:highlight w:val="none"/>
        </w:rPr>
      </w:pPr>
    </w:p>
    <w:p w14:paraId="4EBB67E9">
      <w:pPr>
        <w:pStyle w:val="12"/>
        <w:spacing w:line="360" w:lineRule="auto"/>
        <w:rPr>
          <w:rFonts w:hAnsi="宋体"/>
          <w:b/>
          <w:color w:val="auto"/>
          <w:spacing w:val="20"/>
          <w:sz w:val="24"/>
          <w:highlight w:val="none"/>
        </w:rPr>
      </w:pPr>
    </w:p>
    <w:p w14:paraId="42B53F4A">
      <w:pPr>
        <w:rPr>
          <w:rFonts w:hint="eastAsia" w:hAnsi="宋体"/>
          <w:b/>
          <w:color w:val="auto"/>
          <w:sz w:val="36"/>
          <w:szCs w:val="36"/>
          <w:highlight w:val="none"/>
        </w:rPr>
      </w:pPr>
      <w:r>
        <w:rPr>
          <w:rFonts w:hint="eastAsia" w:hAnsi="宋体"/>
          <w:b/>
          <w:color w:val="auto"/>
          <w:sz w:val="36"/>
          <w:szCs w:val="36"/>
          <w:highlight w:val="none"/>
        </w:rPr>
        <w:br w:type="page"/>
      </w:r>
    </w:p>
    <w:p w14:paraId="6D262F12">
      <w:pPr>
        <w:jc w:val="center"/>
        <w:rPr>
          <w:rFonts w:hAnsi="宋体"/>
          <w:b/>
          <w:color w:val="auto"/>
          <w:sz w:val="36"/>
          <w:szCs w:val="36"/>
          <w:highlight w:val="none"/>
        </w:rPr>
      </w:pPr>
      <w:r>
        <w:rPr>
          <w:rFonts w:hint="eastAsia" w:hAnsi="宋体"/>
          <w:b/>
          <w:color w:val="auto"/>
          <w:sz w:val="36"/>
          <w:szCs w:val="36"/>
          <w:highlight w:val="none"/>
        </w:rPr>
        <w:t>四、代理服务费支付承诺书</w:t>
      </w:r>
    </w:p>
    <w:p w14:paraId="3DCA767D">
      <w:pPr>
        <w:snapToGrid w:val="0"/>
        <w:spacing w:before="50" w:after="50" w:line="360" w:lineRule="auto"/>
        <w:rPr>
          <w:rFonts w:ascii="宋体" w:hAnsi="宋体"/>
          <w:color w:val="auto"/>
          <w:spacing w:val="20"/>
          <w:sz w:val="24"/>
          <w:highlight w:val="none"/>
          <w:u w:val="single"/>
        </w:rPr>
      </w:pPr>
    </w:p>
    <w:p w14:paraId="366609D8">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致：</w:t>
      </w:r>
      <w:r>
        <w:rPr>
          <w:rFonts w:ascii="宋体" w:hAnsi="宋体"/>
          <w:color w:val="auto"/>
          <w:spacing w:val="20"/>
          <w:sz w:val="24"/>
          <w:highlight w:val="none"/>
        </w:rPr>
        <w:t>杭州意信招标代理有限公司</w:t>
      </w:r>
    </w:p>
    <w:p w14:paraId="346C8100">
      <w:pPr>
        <w:snapToGrid w:val="0"/>
        <w:spacing w:before="50" w:after="50" w:line="360" w:lineRule="auto"/>
        <w:rPr>
          <w:rFonts w:ascii="宋体" w:hAnsi="宋体"/>
          <w:color w:val="auto"/>
          <w:spacing w:val="20"/>
          <w:sz w:val="24"/>
          <w:highlight w:val="none"/>
        </w:rPr>
      </w:pPr>
    </w:p>
    <w:p w14:paraId="49085E79">
      <w:pPr>
        <w:snapToGrid w:val="0"/>
        <w:spacing w:before="50" w:after="50" w:line="360" w:lineRule="auto"/>
        <w:ind w:firstLine="630"/>
        <w:rPr>
          <w:rFonts w:ascii="宋体" w:hAnsi="宋体"/>
          <w:color w:val="auto"/>
          <w:spacing w:val="20"/>
          <w:sz w:val="24"/>
          <w:highlight w:val="none"/>
        </w:rPr>
      </w:pPr>
      <w:r>
        <w:rPr>
          <w:rFonts w:hint="eastAsia" w:ascii="宋体" w:hAnsi="宋体"/>
          <w:color w:val="auto"/>
          <w:spacing w:val="20"/>
          <w:sz w:val="24"/>
          <w:highlight w:val="none"/>
        </w:rPr>
        <w:t>我公司已认真阅读了竞争性磋商文件（采购项目</w:t>
      </w:r>
      <w:r>
        <w:rPr>
          <w:rFonts w:ascii="宋体" w:hAnsi="宋体"/>
          <w:color w:val="auto"/>
          <w:spacing w:val="20"/>
          <w:sz w:val="24"/>
          <w:highlight w:val="none"/>
        </w:rPr>
        <w:t>编号</w:t>
      </w:r>
      <w:r>
        <w:rPr>
          <w:rFonts w:hint="eastAsia" w:ascii="宋体" w:hAnsi="宋体"/>
          <w:color w:val="auto"/>
          <w:spacing w:val="20"/>
          <w:sz w:val="24"/>
          <w:highlight w:val="none"/>
        </w:rPr>
        <w:t>：）并在此承诺：</w:t>
      </w:r>
    </w:p>
    <w:p w14:paraId="69D3B85C">
      <w:pPr>
        <w:snapToGrid w:val="0"/>
        <w:spacing w:before="50" w:after="50" w:line="360" w:lineRule="auto"/>
        <w:ind w:firstLine="630"/>
        <w:rPr>
          <w:rFonts w:ascii="宋体" w:hAnsi="宋体"/>
          <w:color w:val="auto"/>
          <w:sz w:val="24"/>
          <w:highlight w:val="none"/>
        </w:rPr>
      </w:pPr>
      <w:r>
        <w:rPr>
          <w:rFonts w:hint="eastAsia" w:ascii="宋体" w:hAnsi="宋体"/>
          <w:color w:val="auto"/>
          <w:sz w:val="24"/>
          <w:highlight w:val="none"/>
        </w:rPr>
        <w:t>如成交，我公司将自成交公告发布之日起5个工作日内按</w:t>
      </w:r>
      <w:r>
        <w:rPr>
          <w:rFonts w:hint="eastAsia" w:ascii="宋体" w:hAnsi="宋体"/>
          <w:color w:val="auto"/>
          <w:spacing w:val="20"/>
          <w:sz w:val="24"/>
          <w:highlight w:val="none"/>
        </w:rPr>
        <w:t>竞争性磋商文件</w:t>
      </w:r>
      <w:r>
        <w:rPr>
          <w:rFonts w:hint="eastAsia" w:ascii="宋体" w:hAnsi="宋体"/>
          <w:color w:val="auto"/>
          <w:sz w:val="24"/>
          <w:highlight w:val="none"/>
        </w:rPr>
        <w:t>规定的标准（详见</w:t>
      </w:r>
      <w:r>
        <w:rPr>
          <w:rFonts w:ascii="宋体" w:hAnsi="宋体"/>
          <w:color w:val="auto"/>
          <w:sz w:val="24"/>
          <w:highlight w:val="none"/>
        </w:rPr>
        <w:t>第二章、</w:t>
      </w:r>
      <w:r>
        <w:rPr>
          <w:rFonts w:hint="eastAsia" w:ascii="宋体" w:hAnsi="宋体"/>
          <w:color w:val="auto"/>
          <w:sz w:val="24"/>
          <w:highlight w:val="none"/>
        </w:rPr>
        <w:t>磋商响应须知、第3.2条）一次性向采购代理机构支付代理服务费。</w:t>
      </w:r>
    </w:p>
    <w:p w14:paraId="6B869643">
      <w:pPr>
        <w:snapToGrid w:val="0"/>
        <w:spacing w:before="50" w:after="50" w:line="360" w:lineRule="auto"/>
        <w:ind w:firstLine="630"/>
        <w:rPr>
          <w:rFonts w:ascii="宋体" w:hAnsi="宋体"/>
          <w:color w:val="auto"/>
          <w:sz w:val="24"/>
          <w:highlight w:val="none"/>
        </w:rPr>
      </w:pPr>
    </w:p>
    <w:p w14:paraId="7C2FA56F">
      <w:pPr>
        <w:snapToGrid w:val="0"/>
        <w:spacing w:before="50" w:after="50" w:line="360" w:lineRule="auto"/>
        <w:ind w:firstLine="630"/>
        <w:rPr>
          <w:rFonts w:ascii="宋体" w:hAnsi="宋体"/>
          <w:color w:val="auto"/>
          <w:sz w:val="24"/>
          <w:highlight w:val="none"/>
        </w:rPr>
      </w:pPr>
    </w:p>
    <w:p w14:paraId="0835C649">
      <w:pPr>
        <w:snapToGrid w:val="0"/>
        <w:spacing w:before="50" w:after="50" w:line="360" w:lineRule="auto"/>
        <w:ind w:firstLine="630"/>
        <w:rPr>
          <w:rFonts w:ascii="宋体" w:hAnsi="宋体"/>
          <w:color w:val="auto"/>
          <w:sz w:val="24"/>
          <w:highlight w:val="none"/>
        </w:rPr>
      </w:pPr>
    </w:p>
    <w:p w14:paraId="5E0DFFFC">
      <w:pPr>
        <w:snapToGrid w:val="0"/>
        <w:spacing w:before="50" w:after="50" w:line="360" w:lineRule="auto"/>
        <w:ind w:firstLine="630"/>
        <w:rPr>
          <w:rFonts w:ascii="宋体" w:hAnsi="宋体"/>
          <w:color w:val="auto"/>
          <w:sz w:val="24"/>
          <w:highlight w:val="none"/>
        </w:rPr>
      </w:pPr>
    </w:p>
    <w:p w14:paraId="2C857D92">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承诺方（磋商响应方）名称</w:t>
      </w:r>
      <w:r>
        <w:rPr>
          <w:color w:val="auto"/>
          <w:spacing w:val="20"/>
          <w:sz w:val="24"/>
          <w:highlight w:val="none"/>
        </w:rPr>
        <w:t>（公章）</w:t>
      </w:r>
      <w:r>
        <w:rPr>
          <w:rFonts w:hint="eastAsia" w:ascii="宋体" w:hAnsi="宋体"/>
          <w:color w:val="auto"/>
          <w:sz w:val="24"/>
          <w:highlight w:val="none"/>
        </w:rPr>
        <w:t>：</w:t>
      </w:r>
      <w:r>
        <w:rPr>
          <w:rFonts w:ascii="宋体" w:hAnsi="宋体"/>
          <w:color w:val="auto"/>
          <w:sz w:val="24"/>
          <w:highlight w:val="none"/>
        </w:rPr>
        <w:t>___________________</w:t>
      </w:r>
    </w:p>
    <w:p w14:paraId="42D7EC83">
      <w:pPr>
        <w:snapToGrid w:val="0"/>
        <w:spacing w:line="360" w:lineRule="auto"/>
        <w:rPr>
          <w:rFonts w:ascii="宋体" w:hAnsi="宋体"/>
          <w:color w:val="auto"/>
          <w:sz w:val="24"/>
          <w:highlight w:val="none"/>
        </w:rPr>
      </w:pPr>
      <w:r>
        <w:rPr>
          <w:color w:val="auto"/>
          <w:spacing w:val="20"/>
          <w:sz w:val="24"/>
          <w:highlight w:val="none"/>
        </w:rPr>
        <w:t>法定代表人或</w:t>
      </w:r>
      <w:r>
        <w:rPr>
          <w:rFonts w:hint="eastAsia" w:ascii="宋体" w:hAnsi="宋体"/>
          <w:color w:val="auto"/>
          <w:sz w:val="24"/>
          <w:highlight w:val="none"/>
        </w:rPr>
        <w:t>授权代表</w:t>
      </w:r>
      <w:r>
        <w:rPr>
          <w:color w:val="auto"/>
          <w:spacing w:val="20"/>
          <w:sz w:val="24"/>
          <w:highlight w:val="none"/>
        </w:rPr>
        <w:t>（签字）</w:t>
      </w:r>
      <w:r>
        <w:rPr>
          <w:rFonts w:hint="eastAsia" w:ascii="宋体" w:hAnsi="宋体"/>
          <w:color w:val="auto"/>
          <w:sz w:val="24"/>
          <w:highlight w:val="none"/>
        </w:rPr>
        <w:t>：</w:t>
      </w:r>
      <w:r>
        <w:rPr>
          <w:rFonts w:ascii="宋体" w:hAnsi="宋体"/>
          <w:color w:val="auto"/>
          <w:sz w:val="24"/>
          <w:highlight w:val="none"/>
        </w:rPr>
        <w:t>___________</w:t>
      </w:r>
    </w:p>
    <w:p w14:paraId="02B9B9FD">
      <w:pPr>
        <w:snapToGrid w:val="0"/>
        <w:spacing w:line="360" w:lineRule="auto"/>
        <w:rPr>
          <w:rFonts w:ascii="宋体" w:hAnsi="宋体"/>
          <w:color w:val="auto"/>
          <w:sz w:val="24"/>
          <w:highlight w:val="none"/>
        </w:rPr>
      </w:pPr>
      <w:r>
        <w:rPr>
          <w:rFonts w:hint="eastAsia" w:ascii="宋体" w:hAnsi="宋体"/>
          <w:color w:val="auto"/>
          <w:sz w:val="24"/>
          <w:highlight w:val="none"/>
        </w:rPr>
        <w:t>承诺方（磋商响应方）地址：</w:t>
      </w:r>
      <w:r>
        <w:rPr>
          <w:rFonts w:ascii="宋体" w:hAnsi="宋体"/>
          <w:color w:val="auto"/>
          <w:sz w:val="24"/>
          <w:highlight w:val="none"/>
        </w:rPr>
        <w:t xml:space="preserve">_______________ </w:t>
      </w:r>
    </w:p>
    <w:p w14:paraId="63ABCB35">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联系传真：</w:t>
      </w:r>
      <w:r>
        <w:rPr>
          <w:rFonts w:hint="eastAsia" w:ascii="宋体" w:hAnsi="宋体"/>
          <w:color w:val="auto"/>
          <w:sz w:val="24"/>
          <w:highlight w:val="none"/>
          <w:u w:val="single"/>
        </w:rPr>
        <w:t xml:space="preserve">             </w:t>
      </w:r>
    </w:p>
    <w:p w14:paraId="7A1D559C">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承诺日期：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46BB1C19">
      <w:pPr>
        <w:rPr>
          <w:rFonts w:hint="eastAsia" w:ascii="宋体" w:hAnsi="宋体"/>
          <w:color w:val="auto"/>
          <w:sz w:val="24"/>
          <w:highlight w:val="none"/>
        </w:rPr>
      </w:pPr>
      <w:r>
        <w:rPr>
          <w:rFonts w:hint="eastAsia" w:ascii="宋体" w:hAnsi="宋体"/>
          <w:color w:val="auto"/>
          <w:sz w:val="24"/>
          <w:highlight w:val="none"/>
        </w:rPr>
        <w:br w:type="page"/>
      </w:r>
    </w:p>
    <w:p w14:paraId="433AD5CB">
      <w:pPr>
        <w:rPr>
          <w:rFonts w:ascii="宋体" w:hAnsi="宋体"/>
          <w:b/>
          <w:bCs/>
          <w:color w:val="auto"/>
          <w:highlight w:val="none"/>
        </w:rPr>
      </w:pPr>
      <w:r>
        <w:rPr>
          <w:rFonts w:hint="eastAsia" w:ascii="宋体" w:hAnsi="宋体"/>
          <w:b/>
          <w:bCs/>
          <w:color w:val="auto"/>
          <w:kern w:val="0"/>
          <w:sz w:val="24"/>
          <w:highlight w:val="none"/>
        </w:rPr>
        <w:t>（注：如</w:t>
      </w:r>
      <w:r>
        <w:rPr>
          <w:rFonts w:hint="eastAsia" w:ascii="宋体" w:hAnsi="宋体"/>
          <w:b/>
          <w:bCs/>
          <w:color w:val="auto"/>
          <w:kern w:val="0"/>
          <w:sz w:val="24"/>
          <w:highlight w:val="none"/>
          <w:lang w:val="en-US" w:eastAsia="zh-CN"/>
        </w:rPr>
        <w:t>磋商响应方</w:t>
      </w:r>
      <w:r>
        <w:rPr>
          <w:rFonts w:hint="eastAsia" w:ascii="宋体" w:hAnsi="宋体"/>
          <w:b/>
          <w:bCs/>
          <w:color w:val="auto"/>
          <w:kern w:val="0"/>
          <w:sz w:val="24"/>
          <w:highlight w:val="none"/>
        </w:rPr>
        <w:t>不是中小企业，</w:t>
      </w:r>
      <w:r>
        <w:rPr>
          <w:rFonts w:hint="eastAsia" w:ascii="宋体" w:hAnsi="宋体"/>
          <w:b/>
          <w:bCs/>
          <w:color w:val="auto"/>
          <w:sz w:val="24"/>
          <w:highlight w:val="none"/>
        </w:rPr>
        <w:t>残疾人福利性单位，</w:t>
      </w:r>
      <w:r>
        <w:rPr>
          <w:rFonts w:hint="eastAsia" w:ascii="宋体" w:hAnsi="宋体"/>
          <w:b/>
          <w:bCs/>
          <w:color w:val="auto"/>
          <w:kern w:val="0"/>
          <w:sz w:val="24"/>
          <w:highlight w:val="none"/>
        </w:rPr>
        <w:t>无需提供以下材料。）</w:t>
      </w:r>
    </w:p>
    <w:p w14:paraId="4392235B">
      <w:pPr>
        <w:spacing w:line="360" w:lineRule="auto"/>
        <w:ind w:firstLine="480" w:firstLineChars="200"/>
        <w:contextualSpacing/>
        <w:rPr>
          <w:rFonts w:hint="eastAsia" w:ascii="宋体" w:hAnsi="宋体"/>
          <w:color w:val="auto"/>
          <w:highlight w:val="none"/>
        </w:rPr>
      </w:pPr>
      <w:r>
        <w:rPr>
          <w:rFonts w:hint="eastAsia" w:ascii="宋体" w:hAnsi="宋体"/>
          <w:color w:val="auto"/>
          <w:sz w:val="24"/>
          <w:highlight w:val="none"/>
        </w:rPr>
        <w:t>根据《政府采购促进中小企业发展管理办法》的规定，</w:t>
      </w:r>
      <w:r>
        <w:rPr>
          <w:rFonts w:ascii="宋体" w:hAnsi="宋体"/>
          <w:color w:val="auto"/>
          <w:sz w:val="24"/>
          <w:highlight w:val="none"/>
        </w:rPr>
        <w:t>中标、成交服务商的《中小企业声明函》</w:t>
      </w:r>
      <w:r>
        <w:rPr>
          <w:rFonts w:hint="eastAsia" w:ascii="宋体" w:hAnsi="宋体"/>
          <w:color w:val="auto"/>
          <w:sz w:val="24"/>
          <w:highlight w:val="none"/>
        </w:rPr>
        <w:t>，随中标、成交结果公开。</w:t>
      </w:r>
      <w:r>
        <w:rPr>
          <w:rFonts w:ascii="宋体" w:hAnsi="宋体"/>
          <w:color w:val="auto"/>
          <w:sz w:val="24"/>
          <w:highlight w:val="none"/>
        </w:rPr>
        <w:t>服务商提供</w:t>
      </w:r>
      <w:r>
        <w:rPr>
          <w:rFonts w:hint="eastAsia" w:ascii="宋体" w:hAnsi="宋体"/>
          <w:color w:val="auto"/>
          <w:sz w:val="24"/>
          <w:highlight w:val="none"/>
        </w:rPr>
        <w:t>的</w:t>
      </w:r>
      <w:r>
        <w:rPr>
          <w:rFonts w:ascii="宋体" w:hAnsi="宋体"/>
          <w:color w:val="auto"/>
          <w:sz w:val="24"/>
          <w:highlight w:val="none"/>
        </w:rPr>
        <w:t>声明函内容不实的，属于提供虚假材料谋取中标、成交，依照《中华人民共和国政府采购法》等国家有关规定追究相应责任。</w:t>
      </w:r>
    </w:p>
    <w:p w14:paraId="692A4579">
      <w:pPr>
        <w:widowControl/>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附1：</w:t>
      </w:r>
    </w:p>
    <w:p w14:paraId="6FA999B2">
      <w:pPr>
        <w:jc w:val="center"/>
        <w:rPr>
          <w:b/>
          <w:color w:val="auto"/>
          <w:sz w:val="24"/>
          <w:highlight w:val="none"/>
        </w:rPr>
      </w:pPr>
      <w:r>
        <w:rPr>
          <w:rFonts w:hint="eastAsia" w:ascii="Calibri" w:hAnsi="Calibri" w:cs="宋体"/>
          <w:b/>
          <w:color w:val="auto"/>
          <w:sz w:val="24"/>
          <w:highlight w:val="none"/>
        </w:rPr>
        <w:t>中小企业声明函</w:t>
      </w:r>
    </w:p>
    <w:p w14:paraId="140C9F70">
      <w:pPr>
        <w:jc w:val="center"/>
        <w:rPr>
          <w:b/>
          <w:color w:val="auto"/>
          <w:sz w:val="24"/>
          <w:highlight w:val="none"/>
        </w:rPr>
      </w:pPr>
    </w:p>
    <w:p w14:paraId="4E4741A1">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w:t>
      </w:r>
      <w:r>
        <w:rPr>
          <w:rFonts w:hint="eastAsia" w:ascii="宋体" w:hAnsi="宋体" w:cs="宋体"/>
          <w:color w:val="auto"/>
          <w:kern w:val="0"/>
          <w:sz w:val="24"/>
          <w:highlight w:val="none"/>
          <w:u w:val="single"/>
        </w:rPr>
        <w:t xml:space="preserve"> 中共浙江省委老干部局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lang w:eastAsia="zh-CN"/>
        </w:rPr>
        <w:t>浙江省离休干部红色档案挖掘保护和宣传展示项目</w:t>
      </w:r>
      <w:r>
        <w:rPr>
          <w:rFonts w:hint="eastAsia" w:ascii="宋体" w:hAnsi="宋体" w:cs="宋体"/>
          <w:color w:val="auto"/>
          <w:kern w:val="0"/>
          <w:sz w:val="24"/>
          <w:highlight w:val="none"/>
        </w:rPr>
        <w:t>采购活动，服务全部由符合政策要求的中小企业承接。具体情况如下：</w:t>
      </w:r>
    </w:p>
    <w:p w14:paraId="46B897F4">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浙江省离休干部红色档案挖掘保护和宣传展示项目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（十六）其他未列明行业</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（此处填写企业名称）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 xml:space="preserve">         （中型企业、小型企业、微型企业</w:t>
      </w:r>
      <w:r>
        <w:rPr>
          <w:rFonts w:hint="eastAsia" w:ascii="宋体" w:hAnsi="宋体" w:cs="宋体"/>
          <w:b/>
          <w:bCs/>
          <w:i/>
          <w:iCs/>
          <w:color w:val="auto"/>
          <w:kern w:val="0"/>
          <w:sz w:val="24"/>
          <w:highlight w:val="none"/>
          <w:u w:val="single"/>
        </w:rPr>
        <w:t>其中一个</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w:t>
      </w:r>
    </w:p>
    <w:p w14:paraId="55C4A8A5">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4EF1408F">
      <w:pPr>
        <w:widowControl/>
        <w:spacing w:line="520" w:lineRule="exact"/>
        <w:ind w:firstLine="480" w:firstLineChars="200"/>
        <w:jc w:val="left"/>
        <w:rPr>
          <w:color w:val="auto"/>
          <w:highlight w:val="none"/>
        </w:rPr>
      </w:pPr>
      <w:r>
        <w:rPr>
          <w:rFonts w:hint="eastAsia" w:ascii="宋体" w:hAnsi="宋体" w:cs="宋体"/>
          <w:color w:val="auto"/>
          <w:sz w:val="24"/>
          <w:highlight w:val="none"/>
        </w:rPr>
        <w:t>本企业对上述声明内容的真实性负责。如有虚假，将依法承担相应责任。</w:t>
      </w:r>
    </w:p>
    <w:p w14:paraId="726FF565">
      <w:pPr>
        <w:widowControl/>
        <w:spacing w:line="520" w:lineRule="exact"/>
        <w:ind w:firstLine="480" w:firstLineChars="200"/>
        <w:jc w:val="left"/>
        <w:rPr>
          <w:rFonts w:ascii="宋体" w:hAnsi="宋体" w:cs="宋体"/>
          <w:color w:val="auto"/>
          <w:kern w:val="0"/>
          <w:sz w:val="24"/>
          <w:highlight w:val="none"/>
        </w:rPr>
      </w:pPr>
    </w:p>
    <w:p w14:paraId="2A07D698">
      <w:pPr>
        <w:widowControl/>
        <w:spacing w:line="520" w:lineRule="exact"/>
        <w:jc w:val="left"/>
        <w:rPr>
          <w:rFonts w:ascii="宋体" w:hAnsi="宋体" w:cs="宋体"/>
          <w:color w:val="auto"/>
          <w:kern w:val="0"/>
          <w:sz w:val="24"/>
          <w:highlight w:val="none"/>
        </w:rPr>
      </w:pPr>
    </w:p>
    <w:p w14:paraId="17F7C862">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企业名称（盖章）：</w:t>
      </w:r>
    </w:p>
    <w:p w14:paraId="5CAC2C93">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p w14:paraId="72EABAB3">
      <w:pPr>
        <w:widowControl/>
        <w:jc w:val="left"/>
        <w:rPr>
          <w:rFonts w:ascii="宋体" w:hAnsi="宋体" w:cs="宋体"/>
          <w:color w:val="auto"/>
          <w:kern w:val="0"/>
          <w:sz w:val="24"/>
          <w:highlight w:val="none"/>
        </w:rPr>
      </w:pPr>
    </w:p>
    <w:p w14:paraId="5249E813">
      <w:pPr>
        <w:widowControl/>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注：从业人员、营业收入、资产总额填报上一年度数据，无上一年度数据的新成立企业可不填报。</w:t>
      </w:r>
    </w:p>
    <w:p w14:paraId="5242EDD5">
      <w:pPr>
        <w:rPr>
          <w:rFonts w:ascii="宋体" w:hAnsi="宋体" w:cs="宋体"/>
          <w:b/>
          <w:bCs/>
          <w:color w:val="auto"/>
          <w:kern w:val="0"/>
          <w:sz w:val="24"/>
          <w:highlight w:val="none"/>
        </w:rPr>
      </w:pPr>
    </w:p>
    <w:p w14:paraId="7A558C8E">
      <w:pPr>
        <w:rPr>
          <w:rFonts w:ascii="宋体" w:hAnsi="宋体" w:cs="宋体"/>
          <w:b/>
          <w:bCs/>
          <w:color w:val="auto"/>
          <w:kern w:val="0"/>
          <w:sz w:val="24"/>
          <w:highlight w:val="none"/>
        </w:rPr>
      </w:pPr>
    </w:p>
    <w:p w14:paraId="79E1A30D">
      <w:pPr>
        <w:spacing w:line="360" w:lineRule="auto"/>
        <w:rPr>
          <w:rFonts w:ascii="宋体"/>
          <w:color w:val="auto"/>
          <w:sz w:val="24"/>
          <w:highlight w:val="none"/>
        </w:rPr>
      </w:pPr>
      <w:r>
        <w:rPr>
          <w:rFonts w:hint="eastAsia" w:ascii="宋体" w:hAnsi="宋体" w:cs="宋体"/>
          <w:b/>
          <w:bCs/>
          <w:color w:val="auto"/>
          <w:kern w:val="0"/>
          <w:sz w:val="24"/>
          <w:highlight w:val="none"/>
        </w:rPr>
        <w:t>（十六）其他未列明行业划型标准为：从业人员300人以下的为中小微型企业。其中，从业人员100人及以上的为中型企业；从业人员10人及以上的为小型企业；从业人员10人以下的为微型企业。</w:t>
      </w:r>
      <w:r>
        <w:rPr>
          <w:rFonts w:hint="eastAsia" w:ascii="宋体"/>
          <w:color w:val="auto"/>
          <w:sz w:val="24"/>
          <w:highlight w:val="none"/>
        </w:rPr>
        <w:br w:type="page"/>
      </w:r>
    </w:p>
    <w:p w14:paraId="5BEB45EE">
      <w:pPr>
        <w:spacing w:line="588" w:lineRule="exact"/>
        <w:jc w:val="left"/>
        <w:rPr>
          <w:rFonts w:ascii="宋体"/>
          <w:color w:val="auto"/>
          <w:sz w:val="24"/>
          <w:highlight w:val="none"/>
        </w:rPr>
      </w:pPr>
      <w:r>
        <w:rPr>
          <w:rFonts w:hint="eastAsia" w:ascii="宋体"/>
          <w:color w:val="auto"/>
          <w:sz w:val="24"/>
          <w:highlight w:val="none"/>
        </w:rPr>
        <w:t>注：1、中标供应商为残疾人福利性单位的，其《残疾人福利性单位声明函》随中标结果同时公告，接受社会监督。</w:t>
      </w:r>
    </w:p>
    <w:p w14:paraId="5EB632D4">
      <w:pPr>
        <w:spacing w:line="588" w:lineRule="exact"/>
        <w:ind w:firstLine="480" w:firstLineChars="200"/>
        <w:jc w:val="left"/>
        <w:rPr>
          <w:rFonts w:ascii="宋体" w:hAnsi="宋体"/>
          <w:b/>
          <w:color w:val="auto"/>
          <w:spacing w:val="6"/>
          <w:sz w:val="24"/>
          <w:highlight w:val="none"/>
        </w:rPr>
      </w:pPr>
      <w:r>
        <w:rPr>
          <w:rFonts w:hint="eastAsia" w:ascii="宋体"/>
          <w:color w:val="auto"/>
          <w:sz w:val="24"/>
          <w:highlight w:val="none"/>
        </w:rPr>
        <w:t>2、供应商提供的《残疾人福利性单位声明函》与事实不符的，依照《政府采购法》第七十七条第一款的规定追究法律责任。</w:t>
      </w:r>
    </w:p>
    <w:p w14:paraId="7BFE14A1">
      <w:pPr>
        <w:spacing w:line="588" w:lineRule="exact"/>
        <w:rPr>
          <w:rFonts w:ascii="宋体" w:hAnsi="宋体"/>
          <w:color w:val="auto"/>
          <w:spacing w:val="6"/>
          <w:sz w:val="24"/>
          <w:highlight w:val="none"/>
        </w:rPr>
      </w:pPr>
      <w:r>
        <w:rPr>
          <w:rFonts w:hint="eastAsia" w:ascii="宋体" w:hAnsi="宋体"/>
          <w:color w:val="auto"/>
          <w:spacing w:val="6"/>
          <w:sz w:val="24"/>
          <w:highlight w:val="none"/>
        </w:rPr>
        <w:t>附2</w:t>
      </w:r>
    </w:p>
    <w:p w14:paraId="48BC5C15">
      <w:pPr>
        <w:spacing w:line="588" w:lineRule="exact"/>
        <w:jc w:val="center"/>
        <w:rPr>
          <w:rFonts w:ascii="宋体" w:hAnsi="宋体"/>
          <w:b/>
          <w:color w:val="auto"/>
          <w:spacing w:val="6"/>
          <w:sz w:val="24"/>
          <w:highlight w:val="none"/>
        </w:rPr>
      </w:pPr>
      <w:r>
        <w:rPr>
          <w:rFonts w:hint="eastAsia" w:ascii="宋体" w:hAnsi="宋体"/>
          <w:b/>
          <w:color w:val="auto"/>
          <w:spacing w:val="6"/>
          <w:sz w:val="24"/>
          <w:highlight w:val="none"/>
        </w:rPr>
        <w:t>残疾人福利性单位声明函</w:t>
      </w:r>
    </w:p>
    <w:p w14:paraId="02CB835E">
      <w:pPr>
        <w:spacing w:line="588" w:lineRule="exact"/>
        <w:rPr>
          <w:rFonts w:ascii="宋体" w:hAnsi="宋体"/>
          <w:b/>
          <w:color w:val="auto"/>
          <w:spacing w:val="6"/>
          <w:sz w:val="24"/>
          <w:highlight w:val="none"/>
        </w:rPr>
      </w:pPr>
    </w:p>
    <w:p w14:paraId="0C2DD88E">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7C5725">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2FC82288">
      <w:pPr>
        <w:spacing w:line="588" w:lineRule="exact"/>
        <w:ind w:firstLine="504" w:firstLineChars="200"/>
        <w:rPr>
          <w:rFonts w:ascii="宋体" w:hAnsi="宋体"/>
          <w:color w:val="auto"/>
          <w:spacing w:val="6"/>
          <w:sz w:val="24"/>
          <w:highlight w:val="none"/>
        </w:rPr>
      </w:pPr>
    </w:p>
    <w:p w14:paraId="61FFFF4E">
      <w:pPr>
        <w:spacing w:line="588" w:lineRule="exact"/>
        <w:ind w:firstLine="504" w:firstLineChars="200"/>
        <w:rPr>
          <w:rFonts w:ascii="宋体" w:hAnsi="宋体"/>
          <w:color w:val="auto"/>
          <w:spacing w:val="6"/>
          <w:sz w:val="24"/>
          <w:highlight w:val="none"/>
        </w:rPr>
      </w:pPr>
    </w:p>
    <w:p w14:paraId="56E814DB">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单位名称（盖章）：</w:t>
      </w:r>
    </w:p>
    <w:p w14:paraId="75830EE9">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日期：</w:t>
      </w:r>
    </w:p>
    <w:p w14:paraId="1B23B9A2">
      <w:pPr>
        <w:spacing w:line="360" w:lineRule="auto"/>
        <w:rPr>
          <w:rFonts w:ascii="宋体" w:hAnsi="宋体"/>
          <w:color w:val="auto"/>
          <w:sz w:val="24"/>
          <w:highlight w:val="none"/>
        </w:rPr>
      </w:pPr>
      <w:r>
        <w:rPr>
          <w:rFonts w:ascii="宋体" w:hAnsi="宋体"/>
          <w:color w:val="auto"/>
          <w:sz w:val="32"/>
          <w:highlight w:val="none"/>
        </w:rPr>
        <w:br w:type="page"/>
      </w:r>
      <w:r>
        <w:rPr>
          <w:rFonts w:hint="eastAsia" w:ascii="宋体" w:hAnsi="宋体"/>
          <w:color w:val="auto"/>
          <w:sz w:val="24"/>
          <w:highlight w:val="none"/>
        </w:rPr>
        <w:t>附3</w:t>
      </w:r>
    </w:p>
    <w:p w14:paraId="1F7CDD40">
      <w:pPr>
        <w:spacing w:line="360" w:lineRule="auto"/>
        <w:jc w:val="center"/>
        <w:rPr>
          <w:rFonts w:ascii="宋体" w:hAnsi="宋体"/>
          <w:b/>
          <w:bCs/>
          <w:color w:val="auto"/>
          <w:sz w:val="24"/>
          <w:highlight w:val="none"/>
        </w:rPr>
      </w:pPr>
      <w:r>
        <w:rPr>
          <w:rFonts w:hint="eastAsia" w:ascii="宋体" w:hAnsi="宋体"/>
          <w:b/>
          <w:bCs/>
          <w:color w:val="auto"/>
          <w:sz w:val="24"/>
          <w:highlight w:val="none"/>
        </w:rPr>
        <w:t>监狱企业资格证明材料</w:t>
      </w:r>
    </w:p>
    <w:p w14:paraId="579D35E5">
      <w:pPr>
        <w:spacing w:line="360" w:lineRule="auto"/>
        <w:rPr>
          <w:rFonts w:ascii="宋体" w:hAnsi="宋体"/>
          <w:b/>
          <w:bCs/>
          <w:color w:val="auto"/>
          <w:sz w:val="24"/>
          <w:highlight w:val="none"/>
        </w:rPr>
      </w:pPr>
      <w:r>
        <w:rPr>
          <w:rFonts w:hint="eastAsia" w:ascii="宋体" w:hAnsi="宋体"/>
          <w:b/>
          <w:bCs/>
          <w:color w:val="auto"/>
          <w:sz w:val="24"/>
          <w:highlight w:val="none"/>
        </w:rPr>
        <w:t>（省级以上监狱管理局、戒毒管理局（含新疆生产建设兵团）出具的属于监狱企业的证明文件）</w:t>
      </w:r>
    </w:p>
    <w:p w14:paraId="71A2702D">
      <w:pPr>
        <w:spacing w:line="360" w:lineRule="auto"/>
        <w:rPr>
          <w:rFonts w:ascii="宋体" w:hAnsi="宋体"/>
          <w:b/>
          <w:bCs/>
          <w:color w:val="auto"/>
          <w:sz w:val="24"/>
          <w:highlight w:val="none"/>
        </w:rPr>
      </w:pPr>
    </w:p>
    <w:p w14:paraId="5C3A6CAD">
      <w:pPr>
        <w:rPr>
          <w:b/>
          <w:color w:val="auto"/>
          <w:spacing w:val="20"/>
          <w:sz w:val="32"/>
          <w:szCs w:val="32"/>
          <w:highlight w:val="none"/>
        </w:rPr>
      </w:pPr>
      <w:r>
        <w:rPr>
          <w:rFonts w:hint="eastAsia" w:ascii="宋体" w:hAnsi="宋体"/>
          <w:b/>
          <w:bCs/>
          <w:color w:val="auto"/>
          <w:sz w:val="24"/>
          <w:highlight w:val="none"/>
        </w:rPr>
        <w:t>说明</w:t>
      </w:r>
      <w:r>
        <w:rPr>
          <w:rFonts w:ascii="宋体" w:hAnsi="宋体"/>
          <w:b/>
          <w:bCs/>
          <w:color w:val="auto"/>
          <w:sz w:val="24"/>
          <w:highlight w:val="none"/>
        </w:rPr>
        <w:t>：监狱企业视同小型、微型企业。</w:t>
      </w:r>
    </w:p>
    <w:p w14:paraId="1564F099">
      <w:pPr>
        <w:rPr>
          <w:b/>
          <w:color w:val="auto"/>
          <w:spacing w:val="20"/>
          <w:sz w:val="32"/>
          <w:szCs w:val="32"/>
          <w:highlight w:val="none"/>
        </w:rPr>
      </w:pPr>
      <w:r>
        <w:rPr>
          <w:rFonts w:hint="eastAsia"/>
          <w:b/>
          <w:color w:val="auto"/>
          <w:spacing w:val="20"/>
          <w:sz w:val="32"/>
          <w:szCs w:val="32"/>
          <w:highlight w:val="none"/>
        </w:rPr>
        <w:br w:type="page"/>
      </w:r>
    </w:p>
    <w:p w14:paraId="2A9D30D8">
      <w:pPr>
        <w:pStyle w:val="12"/>
        <w:jc w:val="left"/>
        <w:rPr>
          <w:rFonts w:ascii="黑体" w:eastAsia="黑体"/>
          <w:color w:val="auto"/>
          <w:sz w:val="24"/>
          <w:szCs w:val="24"/>
          <w:highlight w:val="none"/>
        </w:rPr>
      </w:pPr>
      <w:r>
        <w:rPr>
          <w:rFonts w:hint="eastAsia" w:ascii="黑体" w:eastAsia="黑体"/>
          <w:color w:val="auto"/>
          <w:sz w:val="24"/>
          <w:szCs w:val="24"/>
          <w:highlight w:val="none"/>
        </w:rPr>
        <w:t>磋商响应文件封面</w:t>
      </w:r>
    </w:p>
    <w:p w14:paraId="294DE22E">
      <w:pPr>
        <w:pStyle w:val="12"/>
        <w:rPr>
          <w:rFonts w:ascii="黑体" w:eastAsia="黑体"/>
          <w:color w:val="auto"/>
          <w:sz w:val="24"/>
          <w:szCs w:val="24"/>
          <w:highlight w:val="none"/>
        </w:rPr>
      </w:pPr>
    </w:p>
    <w:p w14:paraId="6BBA1137">
      <w:pPr>
        <w:jc w:val="center"/>
        <w:rPr>
          <w:rFonts w:ascii="黑体" w:eastAsia="黑体"/>
          <w:color w:val="auto"/>
          <w:sz w:val="72"/>
          <w:szCs w:val="72"/>
          <w:highlight w:val="none"/>
        </w:rPr>
      </w:pPr>
    </w:p>
    <w:p w14:paraId="19C4F333">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1977CD25">
      <w:pPr>
        <w:jc w:val="center"/>
        <w:rPr>
          <w:rFonts w:ascii="宋体" w:hAnsi="宋体"/>
          <w:color w:val="auto"/>
          <w:sz w:val="44"/>
          <w:szCs w:val="44"/>
          <w:highlight w:val="none"/>
        </w:rPr>
      </w:pPr>
    </w:p>
    <w:p w14:paraId="0CBD00F0">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65983B94">
      <w:pPr>
        <w:jc w:val="center"/>
        <w:rPr>
          <w:rFonts w:ascii="宋体" w:hAnsi="宋体"/>
          <w:color w:val="auto"/>
          <w:sz w:val="32"/>
          <w:highlight w:val="none"/>
        </w:rPr>
      </w:pPr>
    </w:p>
    <w:p w14:paraId="2896484F">
      <w:pPr>
        <w:jc w:val="center"/>
        <w:rPr>
          <w:rFonts w:ascii="宋体" w:hAnsi="宋体"/>
          <w:color w:val="auto"/>
          <w:sz w:val="32"/>
          <w:highlight w:val="none"/>
        </w:rPr>
      </w:pPr>
      <w:r>
        <w:rPr>
          <w:rFonts w:hint="eastAsia" w:ascii="宋体" w:hAnsi="宋体"/>
          <w:color w:val="auto"/>
          <w:sz w:val="32"/>
          <w:highlight w:val="none"/>
        </w:rPr>
        <w:t>标项：（如有多个标项）</w:t>
      </w:r>
    </w:p>
    <w:p w14:paraId="3A526562">
      <w:pPr>
        <w:jc w:val="center"/>
        <w:rPr>
          <w:color w:val="auto"/>
          <w:sz w:val="72"/>
          <w:highlight w:val="none"/>
        </w:rPr>
      </w:pPr>
      <w:r>
        <w:rPr>
          <w:rFonts w:hint="eastAsia"/>
          <w:color w:val="auto"/>
          <w:sz w:val="72"/>
          <w:highlight w:val="none"/>
        </w:rPr>
        <w:t>商</w:t>
      </w:r>
    </w:p>
    <w:p w14:paraId="70F0E31C">
      <w:pPr>
        <w:jc w:val="center"/>
        <w:rPr>
          <w:color w:val="auto"/>
          <w:sz w:val="72"/>
          <w:highlight w:val="none"/>
        </w:rPr>
      </w:pPr>
      <w:r>
        <w:rPr>
          <w:rFonts w:hint="eastAsia"/>
          <w:color w:val="auto"/>
          <w:sz w:val="72"/>
          <w:highlight w:val="none"/>
        </w:rPr>
        <w:t>务</w:t>
      </w:r>
    </w:p>
    <w:p w14:paraId="3E57A371">
      <w:pPr>
        <w:jc w:val="center"/>
        <w:rPr>
          <w:color w:val="auto"/>
          <w:sz w:val="72"/>
          <w:highlight w:val="none"/>
        </w:rPr>
      </w:pPr>
      <w:r>
        <w:rPr>
          <w:rFonts w:hint="eastAsia"/>
          <w:color w:val="auto"/>
          <w:sz w:val="72"/>
          <w:highlight w:val="none"/>
        </w:rPr>
        <w:t>技</w:t>
      </w:r>
    </w:p>
    <w:p w14:paraId="5DE2D432">
      <w:pPr>
        <w:jc w:val="center"/>
        <w:rPr>
          <w:color w:val="auto"/>
          <w:sz w:val="72"/>
          <w:highlight w:val="none"/>
        </w:rPr>
      </w:pPr>
      <w:r>
        <w:rPr>
          <w:rFonts w:hint="eastAsia"/>
          <w:color w:val="auto"/>
          <w:sz w:val="72"/>
          <w:highlight w:val="none"/>
        </w:rPr>
        <w:t>术</w:t>
      </w:r>
    </w:p>
    <w:p w14:paraId="3ADB27E1">
      <w:pPr>
        <w:jc w:val="center"/>
        <w:rPr>
          <w:color w:val="auto"/>
          <w:sz w:val="72"/>
          <w:highlight w:val="none"/>
        </w:rPr>
      </w:pPr>
      <w:r>
        <w:rPr>
          <w:rFonts w:hint="eastAsia"/>
          <w:color w:val="auto"/>
          <w:sz w:val="72"/>
          <w:highlight w:val="none"/>
        </w:rPr>
        <w:t>文</w:t>
      </w:r>
    </w:p>
    <w:p w14:paraId="7FD1A7F1">
      <w:pPr>
        <w:jc w:val="center"/>
        <w:rPr>
          <w:color w:val="auto"/>
          <w:sz w:val="72"/>
          <w:highlight w:val="none"/>
        </w:rPr>
      </w:pPr>
      <w:r>
        <w:rPr>
          <w:rFonts w:hint="eastAsia"/>
          <w:color w:val="auto"/>
          <w:sz w:val="72"/>
          <w:highlight w:val="none"/>
        </w:rPr>
        <w:t>件</w:t>
      </w:r>
    </w:p>
    <w:p w14:paraId="5C15D123">
      <w:pPr>
        <w:jc w:val="center"/>
        <w:rPr>
          <w:color w:val="auto"/>
          <w:sz w:val="30"/>
          <w:szCs w:val="30"/>
          <w:highlight w:val="none"/>
        </w:rPr>
      </w:pPr>
    </w:p>
    <w:p w14:paraId="544018D9">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736726BF">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49655C07">
      <w:pPr>
        <w:spacing w:line="360" w:lineRule="auto"/>
        <w:jc w:val="center"/>
        <w:rPr>
          <w:rFonts w:ascii="宋体" w:hAnsi="宋体"/>
          <w:color w:val="auto"/>
          <w:sz w:val="32"/>
          <w:highlight w:val="none"/>
        </w:rPr>
      </w:pPr>
      <w:r>
        <w:rPr>
          <w:rFonts w:hint="eastAsia" w:ascii="宋体" w:hAnsi="宋体"/>
          <w:color w:val="auto"/>
          <w:sz w:val="32"/>
          <w:highlight w:val="none"/>
        </w:rPr>
        <w:t>年</w:t>
      </w:r>
      <w:r>
        <w:rPr>
          <w:rFonts w:hint="eastAsia" w:ascii="宋体" w:hAnsi="宋体"/>
          <w:color w:val="auto"/>
          <w:sz w:val="32"/>
          <w:highlight w:val="none"/>
          <w:lang w:val="en-US" w:eastAsia="zh-CN"/>
        </w:rPr>
        <w:t xml:space="preserve"> </w:t>
      </w:r>
      <w:r>
        <w:rPr>
          <w:rFonts w:hint="eastAsia" w:ascii="宋体" w:hAnsi="宋体"/>
          <w:color w:val="auto"/>
          <w:sz w:val="32"/>
          <w:highlight w:val="none"/>
        </w:rPr>
        <w:t>月</w:t>
      </w:r>
      <w:r>
        <w:rPr>
          <w:rFonts w:hint="eastAsia" w:ascii="宋体" w:hAnsi="宋体"/>
          <w:color w:val="auto"/>
          <w:sz w:val="32"/>
          <w:highlight w:val="none"/>
          <w:lang w:val="en-US" w:eastAsia="zh-CN"/>
        </w:rPr>
        <w:t xml:space="preserve"> </w:t>
      </w:r>
      <w:r>
        <w:rPr>
          <w:rFonts w:hint="eastAsia" w:ascii="宋体" w:hAnsi="宋体"/>
          <w:color w:val="auto"/>
          <w:sz w:val="32"/>
          <w:highlight w:val="none"/>
        </w:rPr>
        <w:t>日</w:t>
      </w:r>
    </w:p>
    <w:p w14:paraId="2F1A022E">
      <w:pPr>
        <w:spacing w:line="460" w:lineRule="exact"/>
        <w:ind w:firstLine="472" w:firstLineChars="196"/>
        <w:rPr>
          <w:rFonts w:ascii="宋体" w:hAnsi="宋体"/>
          <w:b/>
          <w:bCs/>
          <w:color w:val="auto"/>
          <w:sz w:val="24"/>
          <w:highlight w:val="none"/>
        </w:rPr>
      </w:pPr>
    </w:p>
    <w:p w14:paraId="0970D8CE">
      <w:pPr>
        <w:widowControl/>
        <w:jc w:val="left"/>
        <w:rPr>
          <w:b/>
          <w:color w:val="auto"/>
          <w:sz w:val="44"/>
          <w:szCs w:val="44"/>
          <w:highlight w:val="none"/>
        </w:rPr>
      </w:pPr>
      <w:r>
        <w:rPr>
          <w:b/>
          <w:color w:val="auto"/>
          <w:sz w:val="44"/>
          <w:szCs w:val="44"/>
          <w:highlight w:val="none"/>
        </w:rPr>
        <w:br w:type="page"/>
      </w:r>
    </w:p>
    <w:p w14:paraId="50CD65A7">
      <w:pPr>
        <w:spacing w:line="360" w:lineRule="auto"/>
        <w:jc w:val="center"/>
        <w:rPr>
          <w:b/>
          <w:color w:val="auto"/>
          <w:sz w:val="44"/>
          <w:szCs w:val="44"/>
          <w:highlight w:val="none"/>
        </w:rPr>
      </w:pPr>
      <w:r>
        <w:rPr>
          <w:rFonts w:hint="eastAsia"/>
          <w:b/>
          <w:color w:val="auto"/>
          <w:sz w:val="44"/>
          <w:szCs w:val="44"/>
          <w:highlight w:val="none"/>
        </w:rPr>
        <w:t>商务技术文件部分</w:t>
      </w:r>
    </w:p>
    <w:p w14:paraId="4E5C9BBE">
      <w:pPr>
        <w:autoSpaceDE w:val="0"/>
        <w:autoSpaceDN w:val="0"/>
        <w:spacing w:line="360" w:lineRule="auto"/>
        <w:jc w:val="center"/>
        <w:textAlignment w:val="bottom"/>
        <w:outlineLvl w:val="2"/>
        <w:rPr>
          <w:b/>
          <w:color w:val="auto"/>
          <w:sz w:val="36"/>
          <w:szCs w:val="36"/>
          <w:highlight w:val="none"/>
        </w:rPr>
      </w:pPr>
      <w:r>
        <w:rPr>
          <w:rFonts w:hint="eastAsia"/>
          <w:b/>
          <w:color w:val="auto"/>
          <w:sz w:val="36"/>
          <w:szCs w:val="36"/>
          <w:highlight w:val="none"/>
        </w:rPr>
        <w:t>目录</w:t>
      </w:r>
    </w:p>
    <w:p w14:paraId="1D9B3F28">
      <w:pPr>
        <w:pStyle w:val="12"/>
        <w:spacing w:line="360" w:lineRule="auto"/>
        <w:rPr>
          <w:rFonts w:hAnsi="宋体"/>
          <w:color w:val="auto"/>
          <w:sz w:val="24"/>
          <w:highlight w:val="none"/>
        </w:rPr>
      </w:pPr>
      <w:r>
        <w:rPr>
          <w:rFonts w:hint="eastAsia" w:hAnsi="宋体"/>
          <w:color w:val="auto"/>
          <w:sz w:val="24"/>
          <w:szCs w:val="24"/>
          <w:highlight w:val="none"/>
        </w:rPr>
        <w:t>（1）</w:t>
      </w:r>
      <w:r>
        <w:rPr>
          <w:rFonts w:hint="eastAsia" w:hAnsi="宋体"/>
          <w:color w:val="auto"/>
          <w:sz w:val="24"/>
          <w:highlight w:val="none"/>
        </w:rPr>
        <w:t>法人授权委托书</w:t>
      </w:r>
      <w:r>
        <w:rPr>
          <w:rFonts w:hAnsi="宋体"/>
          <w:color w:val="auto"/>
          <w:sz w:val="24"/>
          <w:highlight w:val="none"/>
        </w:rPr>
        <w:t>…………………………………………………………………</w:t>
      </w:r>
      <w:r>
        <w:rPr>
          <w:rFonts w:hint="eastAsia" w:hAnsi="宋体"/>
          <w:color w:val="auto"/>
          <w:sz w:val="24"/>
          <w:highlight w:val="none"/>
        </w:rPr>
        <w:t>页码</w:t>
      </w:r>
    </w:p>
    <w:p w14:paraId="608C7F18">
      <w:pPr>
        <w:pStyle w:val="12"/>
        <w:spacing w:line="360" w:lineRule="auto"/>
        <w:rPr>
          <w:rFonts w:hAnsi="宋体"/>
          <w:color w:val="auto"/>
          <w:sz w:val="24"/>
          <w:highlight w:val="none"/>
        </w:rPr>
      </w:pPr>
      <w:r>
        <w:rPr>
          <w:rFonts w:hint="eastAsia" w:hAnsi="宋体"/>
          <w:color w:val="auto"/>
          <w:sz w:val="24"/>
          <w:szCs w:val="24"/>
          <w:highlight w:val="none"/>
        </w:rPr>
        <w:t>（2）</w:t>
      </w:r>
      <w:r>
        <w:rPr>
          <w:rFonts w:hint="eastAsia" w:hAnsi="宋体"/>
          <w:color w:val="auto"/>
          <w:sz w:val="24"/>
          <w:highlight w:val="none"/>
        </w:rPr>
        <w:t>法定代表人及被授权人的身份证</w:t>
      </w:r>
      <w:r>
        <w:rPr>
          <w:rFonts w:hAnsi="宋体"/>
          <w:color w:val="auto"/>
          <w:sz w:val="24"/>
          <w:highlight w:val="none"/>
        </w:rPr>
        <w:t>………………………………………………</w:t>
      </w:r>
      <w:r>
        <w:rPr>
          <w:rFonts w:hint="eastAsia" w:hAnsi="宋体"/>
          <w:color w:val="auto"/>
          <w:sz w:val="24"/>
          <w:highlight w:val="none"/>
        </w:rPr>
        <w:t>页码</w:t>
      </w:r>
    </w:p>
    <w:p w14:paraId="30FEEFB9">
      <w:pPr>
        <w:pStyle w:val="12"/>
        <w:spacing w:line="360" w:lineRule="auto"/>
        <w:rPr>
          <w:rFonts w:hAnsi="宋体"/>
          <w:color w:val="auto"/>
          <w:sz w:val="24"/>
          <w:highlight w:val="none"/>
        </w:rPr>
      </w:pPr>
      <w:r>
        <w:rPr>
          <w:rFonts w:hint="eastAsia" w:hAnsi="宋体"/>
          <w:color w:val="auto"/>
          <w:sz w:val="24"/>
          <w:szCs w:val="24"/>
          <w:highlight w:val="none"/>
        </w:rPr>
        <w:t>（3）</w:t>
      </w:r>
      <w:r>
        <w:rPr>
          <w:rFonts w:hint="eastAsia" w:hAnsi="宋体"/>
          <w:color w:val="auto"/>
          <w:sz w:val="24"/>
          <w:highlight w:val="none"/>
        </w:rPr>
        <w:t>声明书</w:t>
      </w:r>
      <w:r>
        <w:rPr>
          <w:rFonts w:hAnsi="宋体"/>
          <w:color w:val="auto"/>
          <w:sz w:val="24"/>
          <w:highlight w:val="none"/>
        </w:rPr>
        <w:t>……………………………………………………………………………</w:t>
      </w:r>
      <w:r>
        <w:rPr>
          <w:rFonts w:hint="eastAsia" w:hAnsi="宋体"/>
          <w:color w:val="auto"/>
          <w:sz w:val="24"/>
          <w:highlight w:val="none"/>
        </w:rPr>
        <w:t>页码</w:t>
      </w:r>
    </w:p>
    <w:p w14:paraId="432F8394">
      <w:pPr>
        <w:pStyle w:val="12"/>
        <w:spacing w:line="360" w:lineRule="auto"/>
        <w:rPr>
          <w:rFonts w:hAnsi="宋体"/>
          <w:color w:val="auto"/>
          <w:sz w:val="24"/>
          <w:szCs w:val="24"/>
          <w:highlight w:val="none"/>
        </w:rPr>
      </w:pPr>
      <w:r>
        <w:rPr>
          <w:rFonts w:hint="eastAsia" w:hAnsi="宋体"/>
          <w:color w:val="auto"/>
          <w:sz w:val="24"/>
          <w:szCs w:val="24"/>
          <w:highlight w:val="none"/>
        </w:rPr>
        <w:t>（4）</w:t>
      </w:r>
      <w:r>
        <w:rPr>
          <w:rFonts w:hint="eastAsia" w:hAnsi="宋体"/>
          <w:color w:val="auto"/>
          <w:sz w:val="24"/>
          <w:highlight w:val="none"/>
        </w:rPr>
        <w:t>所有资信文件……………</w:t>
      </w:r>
      <w:r>
        <w:rPr>
          <w:rFonts w:hAnsi="宋体"/>
          <w:color w:val="auto"/>
          <w:sz w:val="24"/>
          <w:highlight w:val="none"/>
        </w:rPr>
        <w:t>…</w:t>
      </w:r>
      <w:r>
        <w:rPr>
          <w:rFonts w:hint="eastAsia" w:hAnsi="宋体"/>
          <w:color w:val="auto"/>
          <w:sz w:val="24"/>
          <w:highlight w:val="none"/>
        </w:rPr>
        <w:t>……………………………………………………页码</w:t>
      </w:r>
    </w:p>
    <w:p w14:paraId="38DD9BF0">
      <w:pPr>
        <w:pStyle w:val="12"/>
        <w:spacing w:line="360" w:lineRule="auto"/>
        <w:rPr>
          <w:rFonts w:hAnsi="宋体"/>
          <w:color w:val="auto"/>
          <w:sz w:val="24"/>
          <w:highlight w:val="none"/>
        </w:rPr>
      </w:pPr>
      <w:r>
        <w:rPr>
          <w:rFonts w:hint="eastAsia" w:hAnsi="宋体"/>
          <w:color w:val="auto"/>
          <w:sz w:val="24"/>
          <w:szCs w:val="24"/>
          <w:highlight w:val="none"/>
        </w:rPr>
        <w:t>（5）</w:t>
      </w:r>
      <w:r>
        <w:rPr>
          <w:rFonts w:hint="eastAsia" w:hAnsi="宋体"/>
          <w:color w:val="auto"/>
          <w:sz w:val="24"/>
          <w:highlight w:val="none"/>
        </w:rPr>
        <w:t>公司介绍</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页码</w:t>
      </w:r>
    </w:p>
    <w:p w14:paraId="2335AFC7">
      <w:pPr>
        <w:pStyle w:val="12"/>
        <w:spacing w:line="360" w:lineRule="auto"/>
        <w:rPr>
          <w:rFonts w:hAnsi="宋体"/>
          <w:color w:val="auto"/>
          <w:sz w:val="24"/>
          <w:highlight w:val="none"/>
        </w:rPr>
      </w:pPr>
      <w:r>
        <w:rPr>
          <w:rFonts w:hint="eastAsia" w:hAnsi="宋体"/>
          <w:color w:val="auto"/>
          <w:sz w:val="24"/>
          <w:szCs w:val="24"/>
          <w:highlight w:val="none"/>
        </w:rPr>
        <w:t>（6）</w:t>
      </w:r>
      <w:r>
        <w:rPr>
          <w:rFonts w:hint="eastAsia" w:hAnsi="宋体"/>
          <w:color w:val="auto"/>
          <w:sz w:val="24"/>
          <w:highlight w:val="none"/>
        </w:rPr>
        <w:t>主要业绩证明</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页码</w:t>
      </w:r>
    </w:p>
    <w:p w14:paraId="38BADD12">
      <w:pPr>
        <w:pStyle w:val="12"/>
        <w:spacing w:line="360" w:lineRule="auto"/>
        <w:rPr>
          <w:rFonts w:hAnsi="宋体"/>
          <w:color w:val="auto"/>
          <w:sz w:val="24"/>
          <w:szCs w:val="24"/>
          <w:highlight w:val="none"/>
        </w:rPr>
      </w:pPr>
      <w:r>
        <w:rPr>
          <w:rFonts w:hint="eastAsia" w:hAnsi="宋体"/>
          <w:color w:val="auto"/>
          <w:sz w:val="24"/>
          <w:szCs w:val="24"/>
          <w:highlight w:val="none"/>
        </w:rPr>
        <w:t>（7）商务偏离说明表</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…页码</w:t>
      </w:r>
    </w:p>
    <w:p w14:paraId="2CF7A229">
      <w:pPr>
        <w:widowControl/>
        <w:spacing w:line="360" w:lineRule="auto"/>
        <w:jc w:val="left"/>
        <w:rPr>
          <w:rFonts w:ascii="宋体" w:hAnsi="宋体"/>
          <w:color w:val="auto"/>
          <w:sz w:val="24"/>
          <w:highlight w:val="none"/>
        </w:rPr>
      </w:pPr>
      <w:r>
        <w:rPr>
          <w:rFonts w:hint="eastAsia" w:ascii="宋体" w:hAnsi="宋体"/>
          <w:color w:val="auto"/>
          <w:sz w:val="24"/>
          <w:highlight w:val="none"/>
        </w:rPr>
        <w:t>（8）技术偏离说明表…………………………………………………………………页码</w:t>
      </w:r>
    </w:p>
    <w:p w14:paraId="6D50774B">
      <w:pPr>
        <w:widowControl/>
        <w:spacing w:line="360" w:lineRule="auto"/>
        <w:jc w:val="left"/>
        <w:rPr>
          <w:rFonts w:ascii="宋体" w:hAnsi="宋体"/>
          <w:color w:val="auto"/>
          <w:sz w:val="24"/>
          <w:highlight w:val="none"/>
        </w:rPr>
      </w:pPr>
      <w:r>
        <w:rPr>
          <w:rFonts w:hAnsi="宋体"/>
          <w:color w:val="auto"/>
          <w:sz w:val="24"/>
          <w:highlight w:val="none"/>
        </w:rPr>
        <w:t>（</w:t>
      </w:r>
      <w:r>
        <w:rPr>
          <w:rFonts w:hint="eastAsia" w:hAnsi="宋体"/>
          <w:color w:val="auto"/>
          <w:sz w:val="24"/>
          <w:highlight w:val="none"/>
        </w:rPr>
        <w:t>9</w:t>
      </w:r>
      <w:r>
        <w:rPr>
          <w:rFonts w:hAnsi="宋体"/>
          <w:color w:val="auto"/>
          <w:sz w:val="24"/>
          <w:highlight w:val="none"/>
        </w:rPr>
        <w:t>）</w:t>
      </w:r>
      <w:r>
        <w:rPr>
          <w:rFonts w:hint="eastAsia" w:hAnsi="宋体"/>
          <w:color w:val="auto"/>
          <w:sz w:val="24"/>
          <w:highlight w:val="none"/>
        </w:rPr>
        <w:t>对本项目背景及现状分析</w:t>
      </w:r>
      <w:r>
        <w:rPr>
          <w:rFonts w:hint="eastAsia" w:ascii="宋体" w:hAnsi="宋体"/>
          <w:color w:val="auto"/>
          <w:sz w:val="24"/>
          <w:highlight w:val="none"/>
        </w:rPr>
        <w:t>………………………………………………………页码</w:t>
      </w:r>
    </w:p>
    <w:p w14:paraId="06E03E94">
      <w:pPr>
        <w:pStyle w:val="12"/>
        <w:spacing w:line="360" w:lineRule="auto"/>
        <w:rPr>
          <w:rFonts w:hAnsi="宋体"/>
          <w:color w:val="auto"/>
          <w:sz w:val="24"/>
          <w:szCs w:val="24"/>
          <w:highlight w:val="none"/>
        </w:rPr>
      </w:pPr>
      <w:r>
        <w:rPr>
          <w:rFonts w:hint="eastAsia" w:hAnsi="宋体"/>
          <w:color w:val="auto"/>
          <w:sz w:val="24"/>
          <w:szCs w:val="24"/>
          <w:highlight w:val="none"/>
        </w:rPr>
        <w:t>（10）针对本项目的完整技术解决方案………………………………………………页码</w:t>
      </w:r>
    </w:p>
    <w:p w14:paraId="372116EB">
      <w:pPr>
        <w:pStyle w:val="12"/>
        <w:spacing w:line="360" w:lineRule="auto"/>
        <w:rPr>
          <w:rFonts w:hAnsi="宋体"/>
          <w:color w:val="auto"/>
          <w:sz w:val="24"/>
          <w:szCs w:val="24"/>
          <w:highlight w:val="none"/>
        </w:rPr>
      </w:pPr>
      <w:r>
        <w:rPr>
          <w:rFonts w:hint="eastAsia" w:hAnsi="宋体"/>
          <w:color w:val="auto"/>
          <w:sz w:val="24"/>
          <w:szCs w:val="24"/>
          <w:highlight w:val="none"/>
        </w:rPr>
        <w:t>（11）组织实施方案</w:t>
      </w:r>
      <w:r>
        <w:rPr>
          <w:rFonts w:hint="eastAsia" w:hAnsi="宋体"/>
          <w:color w:val="auto"/>
          <w:sz w:val="24"/>
          <w:highlight w:val="none"/>
        </w:rPr>
        <w:t>…………………………………………………</w:t>
      </w:r>
      <w:r>
        <w:rPr>
          <w:rFonts w:hint="eastAsia" w:hAnsi="宋体"/>
          <w:color w:val="auto"/>
          <w:sz w:val="24"/>
          <w:szCs w:val="24"/>
          <w:highlight w:val="none"/>
        </w:rPr>
        <w:t>…</w:t>
      </w:r>
      <w:r>
        <w:rPr>
          <w:rFonts w:hint="eastAsia" w:hAnsi="宋体"/>
          <w:color w:val="auto"/>
          <w:sz w:val="24"/>
          <w:highlight w:val="none"/>
        </w:rPr>
        <w:t>………………页码</w:t>
      </w:r>
    </w:p>
    <w:p w14:paraId="696F68F6">
      <w:pPr>
        <w:pStyle w:val="12"/>
        <w:spacing w:line="360" w:lineRule="auto"/>
        <w:rPr>
          <w:rFonts w:hAnsi="宋体"/>
          <w:color w:val="auto"/>
          <w:sz w:val="24"/>
          <w:szCs w:val="24"/>
          <w:highlight w:val="none"/>
        </w:rPr>
      </w:pPr>
      <w:r>
        <w:rPr>
          <w:rFonts w:hint="eastAsia" w:hAnsi="宋体"/>
          <w:color w:val="auto"/>
          <w:sz w:val="24"/>
          <w:szCs w:val="24"/>
          <w:highlight w:val="none"/>
        </w:rPr>
        <w:t>（12）主要项目负责人履历表…………………………………………………………页码</w:t>
      </w:r>
    </w:p>
    <w:p w14:paraId="445DEE93">
      <w:pPr>
        <w:pStyle w:val="12"/>
        <w:spacing w:line="360" w:lineRule="auto"/>
        <w:rPr>
          <w:rFonts w:hAnsi="宋体"/>
          <w:color w:val="auto"/>
          <w:sz w:val="24"/>
          <w:szCs w:val="24"/>
          <w:highlight w:val="none"/>
        </w:rPr>
      </w:pPr>
      <w:r>
        <w:rPr>
          <w:rFonts w:hint="eastAsia" w:hAnsi="宋体"/>
          <w:color w:val="auto"/>
          <w:sz w:val="24"/>
          <w:szCs w:val="24"/>
          <w:highlight w:val="none"/>
        </w:rPr>
        <w:t>（13）</w:t>
      </w:r>
      <w:r>
        <w:rPr>
          <w:rFonts w:hint="eastAsia" w:hAnsi="宋体"/>
          <w:color w:val="auto"/>
          <w:sz w:val="24"/>
          <w:highlight w:val="none"/>
        </w:rPr>
        <w:t>项目小组名单</w:t>
      </w:r>
      <w:r>
        <w:rPr>
          <w:rFonts w:hint="eastAsia" w:hAnsi="宋体"/>
          <w:color w:val="auto"/>
          <w:sz w:val="24"/>
          <w:szCs w:val="24"/>
          <w:highlight w:val="none"/>
        </w:rPr>
        <w:t>……………………………………………………………………页码</w:t>
      </w:r>
    </w:p>
    <w:p w14:paraId="29716117">
      <w:pPr>
        <w:pStyle w:val="12"/>
        <w:spacing w:line="360" w:lineRule="auto"/>
        <w:rPr>
          <w:rFonts w:hAnsi="宋体"/>
          <w:color w:val="auto"/>
          <w:sz w:val="24"/>
          <w:szCs w:val="24"/>
          <w:highlight w:val="none"/>
        </w:rPr>
      </w:pPr>
      <w:r>
        <w:rPr>
          <w:rFonts w:hint="eastAsia" w:hAnsi="宋体"/>
          <w:color w:val="auto"/>
          <w:sz w:val="24"/>
          <w:szCs w:val="24"/>
          <w:highlight w:val="none"/>
        </w:rPr>
        <w:t>（14）</w:t>
      </w:r>
      <w:r>
        <w:rPr>
          <w:rFonts w:hint="eastAsia" w:hAnsi="宋体"/>
          <w:color w:val="auto"/>
          <w:sz w:val="24"/>
          <w:highlight w:val="none"/>
        </w:rPr>
        <w:t>服务承诺</w:t>
      </w:r>
      <w:r>
        <w:rPr>
          <w:rFonts w:hint="eastAsia" w:hAnsi="宋体"/>
          <w:color w:val="auto"/>
          <w:sz w:val="24"/>
          <w:szCs w:val="24"/>
          <w:highlight w:val="none"/>
        </w:rPr>
        <w:t>…………………………………………………………………………页码</w:t>
      </w:r>
    </w:p>
    <w:p w14:paraId="792729A0">
      <w:pPr>
        <w:pStyle w:val="12"/>
        <w:spacing w:line="360" w:lineRule="auto"/>
        <w:rPr>
          <w:rFonts w:hAnsi="宋体"/>
          <w:color w:val="auto"/>
          <w:sz w:val="24"/>
          <w:szCs w:val="24"/>
          <w:highlight w:val="none"/>
        </w:rPr>
      </w:pPr>
      <w:r>
        <w:rPr>
          <w:rFonts w:hint="eastAsia" w:hAnsi="宋体"/>
          <w:color w:val="auto"/>
          <w:sz w:val="24"/>
          <w:szCs w:val="24"/>
          <w:highlight w:val="none"/>
        </w:rPr>
        <w:t>（15）关于对采购文件中有关条款的拒绝声明………………………………………页码</w:t>
      </w:r>
    </w:p>
    <w:p w14:paraId="39179335">
      <w:pPr>
        <w:pStyle w:val="12"/>
        <w:spacing w:line="360" w:lineRule="auto"/>
        <w:rPr>
          <w:rFonts w:hAnsi="宋体"/>
          <w:color w:val="auto"/>
          <w:sz w:val="24"/>
          <w:szCs w:val="24"/>
          <w:highlight w:val="none"/>
        </w:rPr>
      </w:pPr>
      <w:r>
        <w:rPr>
          <w:rFonts w:hint="eastAsia" w:hAnsi="宋体"/>
          <w:color w:val="auto"/>
          <w:sz w:val="24"/>
          <w:szCs w:val="24"/>
          <w:highlight w:val="none"/>
        </w:rPr>
        <w:t>（16）投标人认为需要的其他文件或说明</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页码</w:t>
      </w:r>
    </w:p>
    <w:p w14:paraId="099E0F3A">
      <w:pPr>
        <w:pStyle w:val="12"/>
        <w:spacing w:line="360" w:lineRule="auto"/>
        <w:rPr>
          <w:rFonts w:hAnsi="宋体"/>
          <w:color w:val="auto"/>
          <w:sz w:val="24"/>
          <w:szCs w:val="24"/>
          <w:highlight w:val="none"/>
        </w:rPr>
      </w:pPr>
      <w:r>
        <w:rPr>
          <w:rFonts w:hint="eastAsia" w:hAnsi="宋体"/>
          <w:color w:val="auto"/>
          <w:sz w:val="24"/>
          <w:szCs w:val="24"/>
          <w:highlight w:val="none"/>
        </w:rPr>
        <w:t>（17）廉政承诺书………………………………………………………………………页码</w:t>
      </w:r>
    </w:p>
    <w:p w14:paraId="33A796C4">
      <w:pPr>
        <w:pStyle w:val="12"/>
        <w:spacing w:line="360" w:lineRule="auto"/>
        <w:rPr>
          <w:rFonts w:hAnsi="宋体"/>
          <w:color w:val="auto"/>
          <w:sz w:val="24"/>
          <w:szCs w:val="24"/>
          <w:highlight w:val="none"/>
        </w:rPr>
      </w:pPr>
      <w:r>
        <w:rPr>
          <w:rFonts w:hint="eastAsia" w:hAnsi="宋体"/>
          <w:color w:val="auto"/>
          <w:sz w:val="24"/>
          <w:szCs w:val="24"/>
          <w:highlight w:val="none"/>
        </w:rPr>
        <w:t>附4节能环保产品证明材料（如果有）……………………………………</w:t>
      </w:r>
      <w:r>
        <w:rPr>
          <w:rFonts w:hAnsi="宋体"/>
          <w:color w:val="auto"/>
          <w:sz w:val="24"/>
          <w:szCs w:val="24"/>
          <w:highlight w:val="none"/>
        </w:rPr>
        <w:t>……</w:t>
      </w:r>
      <w:r>
        <w:rPr>
          <w:rFonts w:hint="eastAsia" w:hAnsi="宋体"/>
          <w:color w:val="auto"/>
          <w:sz w:val="24"/>
          <w:szCs w:val="24"/>
          <w:highlight w:val="none"/>
        </w:rPr>
        <w:t>……页码</w:t>
      </w:r>
    </w:p>
    <w:p w14:paraId="6D7AE6BD">
      <w:pPr>
        <w:pStyle w:val="12"/>
        <w:spacing w:line="360" w:lineRule="auto"/>
        <w:rPr>
          <w:rFonts w:hAnsi="宋体"/>
          <w:color w:val="auto"/>
          <w:sz w:val="24"/>
          <w:highlight w:val="none"/>
        </w:rPr>
      </w:pPr>
    </w:p>
    <w:p w14:paraId="158B58D0">
      <w:pPr>
        <w:spacing w:line="360" w:lineRule="auto"/>
        <w:rPr>
          <w:b/>
          <w:color w:val="auto"/>
          <w:spacing w:val="20"/>
          <w:sz w:val="24"/>
          <w:highlight w:val="none"/>
        </w:rPr>
      </w:pPr>
      <w:r>
        <w:rPr>
          <w:rFonts w:hint="eastAsia"/>
          <w:b/>
          <w:color w:val="auto"/>
          <w:spacing w:val="20"/>
          <w:sz w:val="24"/>
          <w:highlight w:val="none"/>
        </w:rPr>
        <w:t>注：以上目录是编制磋商响应文件的基本格式要求，各磋商响应方可根据自身情况进一步细化。</w:t>
      </w:r>
    </w:p>
    <w:p w14:paraId="651807D2">
      <w:pPr>
        <w:spacing w:line="360" w:lineRule="auto"/>
        <w:rPr>
          <w:b/>
          <w:color w:val="auto"/>
          <w:spacing w:val="20"/>
          <w:sz w:val="24"/>
          <w:highlight w:val="none"/>
        </w:rPr>
      </w:pPr>
    </w:p>
    <w:p w14:paraId="4F9830DF">
      <w:pPr>
        <w:spacing w:line="360" w:lineRule="auto"/>
        <w:jc w:val="center"/>
        <w:rPr>
          <w:b/>
          <w:color w:val="auto"/>
          <w:spacing w:val="20"/>
          <w:sz w:val="32"/>
          <w:szCs w:val="32"/>
          <w:highlight w:val="none"/>
        </w:rPr>
      </w:pPr>
      <w:r>
        <w:rPr>
          <w:rFonts w:ascii="宋体" w:hAnsi="宋体"/>
          <w:b/>
          <w:iCs/>
          <w:color w:val="auto"/>
          <w:spacing w:val="20"/>
          <w:sz w:val="24"/>
          <w:highlight w:val="none"/>
        </w:rPr>
        <w:br w:type="page"/>
      </w:r>
      <w:r>
        <w:rPr>
          <w:rFonts w:hint="eastAsia"/>
          <w:b/>
          <w:color w:val="auto"/>
          <w:spacing w:val="20"/>
          <w:sz w:val="32"/>
          <w:szCs w:val="32"/>
          <w:highlight w:val="none"/>
        </w:rPr>
        <w:t>一、授权委托书</w:t>
      </w:r>
    </w:p>
    <w:p w14:paraId="359E1022">
      <w:pPr>
        <w:spacing w:line="360" w:lineRule="auto"/>
        <w:rPr>
          <w:color w:val="auto"/>
          <w:spacing w:val="20"/>
          <w:sz w:val="24"/>
          <w:highlight w:val="none"/>
        </w:rPr>
      </w:pPr>
    </w:p>
    <w:p w14:paraId="0956F29F">
      <w:pPr>
        <w:spacing w:line="360" w:lineRule="auto"/>
        <w:rPr>
          <w:color w:val="auto"/>
          <w:spacing w:val="20"/>
          <w:sz w:val="24"/>
          <w:highlight w:val="none"/>
        </w:rPr>
      </w:pPr>
      <w:r>
        <w:rPr>
          <w:rFonts w:hint="eastAsia"/>
          <w:color w:val="auto"/>
          <w:spacing w:val="20"/>
          <w:sz w:val="24"/>
          <w:highlight w:val="none"/>
        </w:rPr>
        <w:t>致：杭州意信招标代理有限公司</w:t>
      </w:r>
    </w:p>
    <w:p w14:paraId="6B3EE5ED">
      <w:pPr>
        <w:spacing w:line="360" w:lineRule="auto"/>
        <w:rPr>
          <w:color w:val="auto"/>
          <w:spacing w:val="20"/>
          <w:sz w:val="24"/>
          <w:highlight w:val="none"/>
        </w:rPr>
      </w:pPr>
    </w:p>
    <w:p w14:paraId="6BB55A80">
      <w:pPr>
        <w:spacing w:line="360" w:lineRule="auto"/>
        <w:ind w:firstLine="560" w:firstLineChars="200"/>
        <w:rPr>
          <w:color w:val="auto"/>
          <w:spacing w:val="20"/>
          <w:sz w:val="24"/>
          <w:highlight w:val="none"/>
        </w:rPr>
      </w:pPr>
      <w:r>
        <w:rPr>
          <w:rFonts w:hint="eastAsia" w:ascii="宋体" w:hAnsi="宋体"/>
          <w:color w:val="auto"/>
          <w:spacing w:val="20"/>
          <w:sz w:val="24"/>
          <w:highlight w:val="none"/>
        </w:rPr>
        <w:t>本授权书声明：注册于</w:t>
      </w:r>
      <w:r>
        <w:rPr>
          <w:rFonts w:hint="eastAsia" w:ascii="宋体" w:hAnsi="宋体"/>
          <w:i/>
          <w:color w:val="auto"/>
          <w:spacing w:val="20"/>
          <w:sz w:val="24"/>
          <w:highlight w:val="none"/>
          <w:u w:val="single"/>
        </w:rPr>
        <w:t>（国家或地区的名称）</w:t>
      </w:r>
      <w:r>
        <w:rPr>
          <w:rFonts w:hint="eastAsia" w:ascii="宋体" w:hAnsi="宋体"/>
          <w:color w:val="auto"/>
          <w:spacing w:val="20"/>
          <w:sz w:val="24"/>
          <w:highlight w:val="none"/>
        </w:rPr>
        <w:t>的</w:t>
      </w:r>
      <w:r>
        <w:rPr>
          <w:rFonts w:hint="eastAsia" w:ascii="宋体" w:hAnsi="宋体"/>
          <w:i/>
          <w:color w:val="auto"/>
          <w:spacing w:val="20"/>
          <w:sz w:val="24"/>
          <w:highlight w:val="none"/>
          <w:u w:val="single"/>
        </w:rPr>
        <w:t>（公司名称）</w:t>
      </w:r>
      <w:r>
        <w:rPr>
          <w:rFonts w:hint="eastAsia" w:ascii="宋体" w:hAnsi="宋体"/>
          <w:color w:val="auto"/>
          <w:spacing w:val="20"/>
          <w:sz w:val="24"/>
          <w:highlight w:val="none"/>
        </w:rPr>
        <w:t>的法定代表人（</w:t>
      </w:r>
      <w:r>
        <w:rPr>
          <w:rFonts w:hint="eastAsia"/>
          <w:i/>
          <w:color w:val="auto"/>
          <w:spacing w:val="20"/>
          <w:sz w:val="24"/>
          <w:highlight w:val="none"/>
          <w:u w:val="single"/>
        </w:rPr>
        <w:t>法人代表姓名、职务，身份证号码</w:t>
      </w:r>
      <w:r>
        <w:rPr>
          <w:rFonts w:hint="eastAsia" w:ascii="宋体" w:hAnsi="宋体"/>
          <w:color w:val="auto"/>
          <w:spacing w:val="20"/>
          <w:sz w:val="24"/>
          <w:highlight w:val="none"/>
          <w:u w:val="single"/>
        </w:rPr>
        <w:t>）</w:t>
      </w:r>
      <w:r>
        <w:rPr>
          <w:rFonts w:hint="eastAsia"/>
          <w:color w:val="auto"/>
          <w:spacing w:val="20"/>
          <w:sz w:val="24"/>
          <w:highlight w:val="none"/>
        </w:rPr>
        <w:t>代表本公司授权</w:t>
      </w:r>
      <w:r>
        <w:rPr>
          <w:rFonts w:hint="eastAsia"/>
          <w:color w:val="auto"/>
          <w:spacing w:val="20"/>
          <w:sz w:val="24"/>
          <w:highlight w:val="none"/>
          <w:u w:val="single"/>
        </w:rPr>
        <w:t>（</w:t>
      </w:r>
      <w:r>
        <w:rPr>
          <w:rFonts w:hint="eastAsia"/>
          <w:i/>
          <w:color w:val="auto"/>
          <w:spacing w:val="20"/>
          <w:sz w:val="24"/>
          <w:highlight w:val="none"/>
          <w:u w:val="single"/>
        </w:rPr>
        <w:t>单位名称</w:t>
      </w:r>
      <w:r>
        <w:rPr>
          <w:rFonts w:hint="eastAsia"/>
          <w:color w:val="auto"/>
          <w:spacing w:val="20"/>
          <w:sz w:val="24"/>
          <w:highlight w:val="none"/>
          <w:u w:val="single"/>
        </w:rPr>
        <w:t>）</w:t>
      </w:r>
      <w:r>
        <w:rPr>
          <w:rFonts w:hint="eastAsia"/>
          <w:color w:val="auto"/>
          <w:spacing w:val="20"/>
          <w:sz w:val="24"/>
          <w:highlight w:val="none"/>
        </w:rPr>
        <w:t>的在下面签字的</w:t>
      </w:r>
      <w:r>
        <w:rPr>
          <w:rFonts w:hint="eastAsia" w:ascii="宋体" w:hAnsi="宋体"/>
          <w:color w:val="auto"/>
          <w:spacing w:val="20"/>
          <w:sz w:val="24"/>
          <w:highlight w:val="none"/>
          <w:u w:val="single"/>
        </w:rPr>
        <w:t>（</w:t>
      </w:r>
      <w:r>
        <w:rPr>
          <w:rFonts w:hint="eastAsia"/>
          <w:i/>
          <w:color w:val="auto"/>
          <w:spacing w:val="20"/>
          <w:sz w:val="24"/>
          <w:highlight w:val="none"/>
          <w:u w:val="single"/>
        </w:rPr>
        <w:t>被授权人的姓名、职务，身份证号码</w:t>
      </w:r>
      <w:r>
        <w:rPr>
          <w:rFonts w:hint="eastAsia" w:ascii="宋体" w:hAnsi="宋体"/>
          <w:color w:val="auto"/>
          <w:spacing w:val="20"/>
          <w:sz w:val="24"/>
          <w:highlight w:val="none"/>
          <w:u w:val="single"/>
        </w:rPr>
        <w:t>）</w:t>
      </w:r>
      <w:r>
        <w:rPr>
          <w:rFonts w:hint="eastAsia" w:ascii="宋体" w:hAnsi="宋体"/>
          <w:color w:val="auto"/>
          <w:spacing w:val="20"/>
          <w:sz w:val="24"/>
          <w:highlight w:val="none"/>
        </w:rPr>
        <w:t>为本公司的合法代理人，就</w:t>
      </w:r>
      <w:r>
        <w:rPr>
          <w:rFonts w:hint="eastAsia" w:ascii="宋体" w:hAnsi="宋体"/>
          <w:color w:val="auto"/>
          <w:spacing w:val="20"/>
          <w:sz w:val="24"/>
          <w:highlight w:val="none"/>
          <w:u w:val="single"/>
        </w:rPr>
        <w:t>（</w:t>
      </w:r>
      <w:r>
        <w:rPr>
          <w:rFonts w:hint="eastAsia" w:ascii="宋体" w:hAnsi="宋体"/>
          <w:i/>
          <w:color w:val="auto"/>
          <w:spacing w:val="20"/>
          <w:sz w:val="24"/>
          <w:highlight w:val="none"/>
          <w:u w:val="single"/>
        </w:rPr>
        <w:t>项目名称、采购编号</w:t>
      </w:r>
      <w:r>
        <w:rPr>
          <w:rFonts w:hint="eastAsia" w:ascii="宋体" w:hAnsi="宋体"/>
          <w:color w:val="auto"/>
          <w:spacing w:val="20"/>
          <w:sz w:val="24"/>
          <w:highlight w:val="none"/>
          <w:u w:val="single"/>
        </w:rPr>
        <w:t>）</w:t>
      </w:r>
      <w:r>
        <w:rPr>
          <w:rFonts w:hint="eastAsia" w:ascii="宋体" w:hAnsi="宋体"/>
          <w:color w:val="auto"/>
          <w:spacing w:val="20"/>
          <w:sz w:val="24"/>
          <w:highlight w:val="none"/>
        </w:rPr>
        <w:t>的</w:t>
      </w:r>
      <w:r>
        <w:rPr>
          <w:rFonts w:hint="eastAsia"/>
          <w:color w:val="auto"/>
          <w:spacing w:val="20"/>
          <w:sz w:val="24"/>
          <w:highlight w:val="none"/>
        </w:rPr>
        <w:t>磋商响应</w:t>
      </w:r>
      <w:r>
        <w:rPr>
          <w:rFonts w:hint="eastAsia" w:ascii="宋体" w:hAnsi="宋体"/>
          <w:color w:val="auto"/>
          <w:spacing w:val="20"/>
          <w:sz w:val="24"/>
          <w:highlight w:val="none"/>
        </w:rPr>
        <w:t>，以本公司名义处理一切与之有关的</w:t>
      </w:r>
      <w:r>
        <w:rPr>
          <w:rFonts w:hint="eastAsia" w:ascii="宋体" w:hAnsi="宋体"/>
          <w:color w:val="auto"/>
          <w:spacing w:val="20"/>
          <w:sz w:val="24"/>
          <w:highlight w:val="none"/>
          <w:lang w:val="en-US" w:eastAsia="zh-CN"/>
        </w:rPr>
        <w:t>事务</w:t>
      </w:r>
      <w:r>
        <w:rPr>
          <w:rFonts w:hint="eastAsia" w:ascii="宋体" w:hAnsi="宋体"/>
          <w:color w:val="auto"/>
          <w:spacing w:val="20"/>
          <w:sz w:val="24"/>
          <w:highlight w:val="none"/>
        </w:rPr>
        <w:t>。</w:t>
      </w:r>
    </w:p>
    <w:p w14:paraId="0A060735">
      <w:pPr>
        <w:spacing w:line="360" w:lineRule="auto"/>
        <w:rPr>
          <w:color w:val="auto"/>
          <w:spacing w:val="20"/>
          <w:sz w:val="24"/>
          <w:highlight w:val="none"/>
        </w:rPr>
      </w:pPr>
    </w:p>
    <w:p w14:paraId="56C9302F">
      <w:pPr>
        <w:spacing w:line="360" w:lineRule="auto"/>
        <w:rPr>
          <w:color w:val="auto"/>
          <w:spacing w:val="20"/>
          <w:sz w:val="24"/>
          <w:highlight w:val="none"/>
        </w:rPr>
      </w:pPr>
    </w:p>
    <w:p w14:paraId="49BC7E69">
      <w:pPr>
        <w:spacing w:line="360" w:lineRule="auto"/>
        <w:rPr>
          <w:color w:val="auto"/>
          <w:spacing w:val="20"/>
          <w:sz w:val="24"/>
          <w:highlight w:val="none"/>
        </w:rPr>
      </w:pPr>
      <w:r>
        <w:rPr>
          <w:rFonts w:hint="eastAsia"/>
          <w:color w:val="auto"/>
          <w:spacing w:val="20"/>
          <w:sz w:val="24"/>
          <w:highlight w:val="none"/>
        </w:rPr>
        <w:t>本授权书于</w:t>
      </w:r>
      <w:r>
        <w:rPr>
          <w:rFonts w:hint="eastAsia"/>
          <w:color w:val="auto"/>
          <w:spacing w:val="20"/>
          <w:sz w:val="24"/>
          <w:highlight w:val="none"/>
          <w:u w:val="single"/>
        </w:rPr>
        <w:t xml:space="preserve">  </w:t>
      </w:r>
      <w:r>
        <w:rPr>
          <w:rFonts w:hint="eastAsia"/>
          <w:color w:val="auto"/>
          <w:spacing w:val="20"/>
          <w:sz w:val="24"/>
          <w:highlight w:val="none"/>
        </w:rPr>
        <w:t>年</w:t>
      </w:r>
      <w:r>
        <w:rPr>
          <w:rFonts w:hint="eastAsia"/>
          <w:color w:val="auto"/>
          <w:spacing w:val="20"/>
          <w:sz w:val="24"/>
          <w:highlight w:val="none"/>
          <w:u w:val="single"/>
        </w:rPr>
        <w:t xml:space="preserve">  </w:t>
      </w:r>
      <w:r>
        <w:rPr>
          <w:rFonts w:hint="eastAsia"/>
          <w:color w:val="auto"/>
          <w:spacing w:val="20"/>
          <w:sz w:val="24"/>
          <w:highlight w:val="none"/>
        </w:rPr>
        <w:t>月</w:t>
      </w:r>
      <w:r>
        <w:rPr>
          <w:rFonts w:hint="eastAsia"/>
          <w:color w:val="auto"/>
          <w:spacing w:val="20"/>
          <w:sz w:val="24"/>
          <w:highlight w:val="none"/>
          <w:u w:val="single"/>
        </w:rPr>
        <w:t xml:space="preserve">  </w:t>
      </w:r>
      <w:r>
        <w:rPr>
          <w:rFonts w:hint="eastAsia"/>
          <w:color w:val="auto"/>
          <w:spacing w:val="20"/>
          <w:sz w:val="24"/>
          <w:highlight w:val="none"/>
        </w:rPr>
        <w:t>日签字生效，特此声明。</w:t>
      </w:r>
    </w:p>
    <w:p w14:paraId="793C633C">
      <w:pPr>
        <w:spacing w:line="360" w:lineRule="auto"/>
        <w:rPr>
          <w:color w:val="auto"/>
          <w:spacing w:val="20"/>
          <w:sz w:val="24"/>
          <w:highlight w:val="none"/>
        </w:rPr>
      </w:pPr>
    </w:p>
    <w:p w14:paraId="597AD4F5">
      <w:pPr>
        <w:spacing w:line="360" w:lineRule="auto"/>
        <w:rPr>
          <w:color w:val="auto"/>
          <w:spacing w:val="20"/>
          <w:sz w:val="24"/>
          <w:highlight w:val="none"/>
        </w:rPr>
      </w:pPr>
    </w:p>
    <w:p w14:paraId="3B9BD5A6">
      <w:pPr>
        <w:wordWrap w:val="0"/>
        <w:spacing w:line="360" w:lineRule="auto"/>
        <w:ind w:right="720"/>
        <w:jc w:val="right"/>
        <w:rPr>
          <w:rFonts w:asci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7EB8FE22">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法定代表人（签字或盖章）：</w:t>
      </w:r>
    </w:p>
    <w:p w14:paraId="41F999DD">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被授权人（签字）：</w:t>
      </w:r>
    </w:p>
    <w:p w14:paraId="11020359">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签发日期：</w:t>
      </w:r>
    </w:p>
    <w:p w14:paraId="5C6488F9">
      <w:pPr>
        <w:spacing w:line="360" w:lineRule="auto"/>
        <w:rPr>
          <w:color w:val="auto"/>
          <w:spacing w:val="20"/>
          <w:sz w:val="24"/>
          <w:highlight w:val="none"/>
          <w:u w:val="single"/>
        </w:rPr>
      </w:pPr>
    </w:p>
    <w:p w14:paraId="0E22537C">
      <w:pPr>
        <w:jc w:val="center"/>
        <w:rPr>
          <w:b/>
          <w:color w:val="auto"/>
          <w:spacing w:val="20"/>
          <w:sz w:val="32"/>
          <w:szCs w:val="32"/>
          <w:highlight w:val="none"/>
        </w:rPr>
      </w:pPr>
      <w:r>
        <w:rPr>
          <w:rFonts w:hint="eastAsia"/>
          <w:b/>
          <w:color w:val="auto"/>
          <w:spacing w:val="20"/>
          <w:sz w:val="32"/>
          <w:szCs w:val="32"/>
          <w:highlight w:val="none"/>
        </w:rPr>
        <w:t>二、法定代表人及被授权人的身份证</w:t>
      </w:r>
    </w:p>
    <w:p w14:paraId="7747237A">
      <w:pPr>
        <w:widowControl/>
        <w:jc w:val="center"/>
        <w:rPr>
          <w:b/>
          <w:color w:val="auto"/>
          <w:spacing w:val="20"/>
          <w:sz w:val="32"/>
          <w:szCs w:val="32"/>
          <w:highlight w:val="none"/>
        </w:rPr>
      </w:pPr>
      <w:r>
        <w:rPr>
          <w:color w:val="auto"/>
          <w:spacing w:val="20"/>
          <w:sz w:val="24"/>
          <w:highlight w:val="none"/>
        </w:rPr>
        <w:br w:type="page"/>
      </w:r>
      <w:r>
        <w:rPr>
          <w:rFonts w:hint="eastAsia"/>
          <w:b/>
          <w:color w:val="auto"/>
          <w:spacing w:val="20"/>
          <w:sz w:val="32"/>
          <w:szCs w:val="32"/>
          <w:highlight w:val="none"/>
        </w:rPr>
        <w:t>三、声明书</w:t>
      </w:r>
    </w:p>
    <w:p w14:paraId="4DEF07C4">
      <w:pPr>
        <w:spacing w:line="360" w:lineRule="auto"/>
        <w:rPr>
          <w:color w:val="auto"/>
          <w:spacing w:val="20"/>
          <w:sz w:val="24"/>
          <w:highlight w:val="none"/>
        </w:rPr>
      </w:pPr>
      <w:r>
        <w:rPr>
          <w:rFonts w:hint="eastAsia"/>
          <w:color w:val="auto"/>
          <w:sz w:val="24"/>
          <w:highlight w:val="none"/>
        </w:rPr>
        <w:t>中共浙江省委老干部局、杭州意信招标代理有限公司</w:t>
      </w:r>
      <w:r>
        <w:rPr>
          <w:rFonts w:hint="eastAsia"/>
          <w:color w:val="auto"/>
          <w:spacing w:val="20"/>
          <w:sz w:val="24"/>
          <w:highlight w:val="none"/>
        </w:rPr>
        <w:t>：</w:t>
      </w:r>
    </w:p>
    <w:p w14:paraId="35285EFE">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本单位自愿参加</w:t>
      </w:r>
      <w:r>
        <w:rPr>
          <w:rFonts w:hint="eastAsia" w:ascii="宋体" w:hAnsi="宋体" w:cs="宋体"/>
          <w:color w:val="auto"/>
          <w:kern w:val="0"/>
          <w:sz w:val="24"/>
          <w:highlight w:val="none"/>
        </w:rPr>
        <w:t>项目</w:t>
      </w:r>
      <w:r>
        <w:rPr>
          <w:rFonts w:hint="eastAsia" w:ascii="宋体" w:hAnsi="宋体" w:cs="仿宋_GB2312"/>
          <w:color w:val="auto"/>
          <w:sz w:val="24"/>
          <w:highlight w:val="none"/>
          <w:lang w:val="zh-CN"/>
        </w:rPr>
        <w:t>（编号：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lang w:val="zh-CN"/>
        </w:rPr>
        <w:t>）的磋商，并保证磋商响应文件中所列举的相关资料和公司基本情况资料是真实的、合法的。</w:t>
      </w:r>
    </w:p>
    <w:p w14:paraId="2A1A789E">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同意此次采购文件中的各项内容。</w:t>
      </w:r>
    </w:p>
    <w:p w14:paraId="025C2C6E">
      <w:pPr>
        <w:autoSpaceDE w:val="0"/>
        <w:autoSpaceDN w:val="0"/>
        <w:spacing w:line="360" w:lineRule="auto"/>
        <w:ind w:firstLine="480"/>
        <w:rPr>
          <w:rFonts w:ascii="宋体"/>
          <w:color w:val="auto"/>
          <w:sz w:val="24"/>
          <w:highlight w:val="none"/>
        </w:rPr>
      </w:pPr>
      <w:r>
        <w:rPr>
          <w:rFonts w:hint="eastAsia" w:ascii="宋体" w:hAnsi="宋体" w:cs="仿宋_GB2312"/>
          <w:color w:val="auto"/>
          <w:sz w:val="24"/>
          <w:highlight w:val="none"/>
          <w:lang w:val="zh-CN"/>
        </w:rPr>
        <w:t>同意提供按照贵方可能要求的与应标有关的一切数据或资料等。</w:t>
      </w:r>
    </w:p>
    <w:p w14:paraId="5CEB2FD3">
      <w:pPr>
        <w:autoSpaceDE w:val="0"/>
        <w:autoSpaceDN w:val="0"/>
        <w:spacing w:line="360" w:lineRule="auto"/>
        <w:ind w:firstLine="480"/>
        <w:rPr>
          <w:rFonts w:ascii="宋体" w:cs="仿宋_GB2312"/>
          <w:color w:val="auto"/>
          <w:sz w:val="24"/>
          <w:highlight w:val="none"/>
          <w:lang w:val="zh-CN"/>
        </w:rPr>
      </w:pPr>
      <w:r>
        <w:rPr>
          <w:rFonts w:hint="eastAsia"/>
          <w:color w:val="auto"/>
          <w:spacing w:val="20"/>
          <w:sz w:val="24"/>
          <w:highlight w:val="none"/>
        </w:rPr>
        <w:t>本单位如成交</w:t>
      </w:r>
      <w:r>
        <w:rPr>
          <w:rFonts w:hint="eastAsia" w:ascii="宋体" w:hAnsi="宋体" w:cs="仿宋_GB2312"/>
          <w:color w:val="auto"/>
          <w:sz w:val="24"/>
          <w:highlight w:val="none"/>
          <w:lang w:val="zh-CN"/>
        </w:rPr>
        <w:t>，保证按照磋商响应文件的承诺与贵方签订合同，保证履行合同条款。</w:t>
      </w:r>
    </w:p>
    <w:p w14:paraId="1501297D">
      <w:pPr>
        <w:spacing w:line="360" w:lineRule="auto"/>
        <w:ind w:firstLine="645"/>
        <w:rPr>
          <w:color w:val="auto"/>
          <w:spacing w:val="20"/>
          <w:sz w:val="24"/>
          <w:highlight w:val="none"/>
        </w:rPr>
      </w:pPr>
    </w:p>
    <w:p w14:paraId="7D16E734">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515E53AB">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77748365">
      <w:pPr>
        <w:spacing w:line="360" w:lineRule="auto"/>
        <w:jc w:val="center"/>
        <w:outlineLvl w:val="2"/>
        <w:rPr>
          <w:rFonts w:ascii="宋体"/>
          <w:b/>
          <w:iCs/>
          <w:color w:val="auto"/>
          <w:spacing w:val="20"/>
          <w:sz w:val="28"/>
          <w:szCs w:val="28"/>
          <w:highlight w:val="none"/>
        </w:rPr>
      </w:pPr>
    </w:p>
    <w:p w14:paraId="00565E32">
      <w:pPr>
        <w:jc w:val="center"/>
        <w:rPr>
          <w:b/>
          <w:color w:val="auto"/>
          <w:spacing w:val="20"/>
          <w:sz w:val="32"/>
          <w:szCs w:val="32"/>
          <w:highlight w:val="none"/>
        </w:rPr>
      </w:pPr>
      <w:r>
        <w:rPr>
          <w:rFonts w:hint="eastAsia"/>
          <w:b/>
          <w:color w:val="auto"/>
          <w:spacing w:val="20"/>
          <w:sz w:val="32"/>
          <w:szCs w:val="32"/>
          <w:highlight w:val="none"/>
        </w:rPr>
        <w:t>四、所有资信文件（如果有）</w:t>
      </w:r>
    </w:p>
    <w:p w14:paraId="0886D21D">
      <w:pPr>
        <w:jc w:val="center"/>
        <w:rPr>
          <w:b/>
          <w:color w:val="auto"/>
          <w:spacing w:val="20"/>
          <w:sz w:val="24"/>
          <w:highlight w:val="none"/>
        </w:rPr>
      </w:pPr>
    </w:p>
    <w:p w14:paraId="4E7FA602">
      <w:pPr>
        <w:jc w:val="center"/>
        <w:rPr>
          <w:b/>
          <w:color w:val="auto"/>
          <w:spacing w:val="20"/>
          <w:sz w:val="24"/>
          <w:highlight w:val="none"/>
        </w:rPr>
      </w:pPr>
    </w:p>
    <w:p w14:paraId="221832B7">
      <w:pPr>
        <w:widowControl/>
        <w:jc w:val="left"/>
        <w:rPr>
          <w:color w:val="auto"/>
          <w:highlight w:val="none"/>
        </w:rPr>
      </w:pPr>
    </w:p>
    <w:p w14:paraId="31FF5547">
      <w:pPr>
        <w:widowControl/>
        <w:jc w:val="left"/>
        <w:rPr>
          <w:color w:val="auto"/>
          <w:highlight w:val="none"/>
        </w:rPr>
      </w:pPr>
    </w:p>
    <w:p w14:paraId="2D6016C4">
      <w:pPr>
        <w:widowControl/>
        <w:jc w:val="left"/>
        <w:rPr>
          <w:color w:val="auto"/>
          <w:highlight w:val="none"/>
        </w:rPr>
      </w:pPr>
    </w:p>
    <w:p w14:paraId="7CC12829">
      <w:pPr>
        <w:widowControl/>
        <w:jc w:val="left"/>
        <w:rPr>
          <w:color w:val="auto"/>
          <w:highlight w:val="none"/>
        </w:rPr>
      </w:pPr>
    </w:p>
    <w:p w14:paraId="3E611C80">
      <w:pPr>
        <w:jc w:val="center"/>
        <w:rPr>
          <w:b/>
          <w:color w:val="auto"/>
          <w:spacing w:val="20"/>
          <w:sz w:val="24"/>
          <w:highlight w:val="none"/>
        </w:rPr>
      </w:pPr>
    </w:p>
    <w:p w14:paraId="770DA7DF">
      <w:pPr>
        <w:spacing w:line="360" w:lineRule="auto"/>
        <w:jc w:val="right"/>
        <w:rPr>
          <w:rFonts w:ascii="宋体" w:hAnsi="宋体"/>
          <w:color w:val="auto"/>
          <w:spacing w:val="20"/>
          <w:sz w:val="24"/>
          <w:highlight w:val="none"/>
        </w:rPr>
      </w:pPr>
    </w:p>
    <w:p w14:paraId="1FDB5F2D">
      <w:pPr>
        <w:jc w:val="center"/>
        <w:rPr>
          <w:b/>
          <w:color w:val="auto"/>
          <w:spacing w:val="20"/>
          <w:sz w:val="32"/>
          <w:szCs w:val="32"/>
          <w:highlight w:val="none"/>
        </w:rPr>
      </w:pPr>
      <w:r>
        <w:rPr>
          <w:rFonts w:hint="eastAsia"/>
          <w:b/>
          <w:color w:val="auto"/>
          <w:spacing w:val="20"/>
          <w:sz w:val="32"/>
          <w:szCs w:val="32"/>
          <w:highlight w:val="none"/>
        </w:rPr>
        <w:t>五、</w:t>
      </w:r>
      <w:r>
        <w:rPr>
          <w:b/>
          <w:color w:val="auto"/>
          <w:spacing w:val="20"/>
          <w:sz w:val="32"/>
          <w:szCs w:val="32"/>
          <w:highlight w:val="none"/>
        </w:rPr>
        <w:t>公司介绍</w:t>
      </w:r>
    </w:p>
    <w:p w14:paraId="2E15F3B1">
      <w:pPr>
        <w:widowControl/>
        <w:jc w:val="center"/>
        <w:rPr>
          <w:color w:val="auto"/>
          <w:highlight w:val="none"/>
        </w:rPr>
      </w:pPr>
      <w:r>
        <w:rPr>
          <w:color w:val="auto"/>
          <w:spacing w:val="20"/>
          <w:sz w:val="24"/>
          <w:highlight w:val="none"/>
        </w:rPr>
        <w:t>（由磋商响应方自行编制）</w:t>
      </w:r>
    </w:p>
    <w:p w14:paraId="1EE67355">
      <w:pPr>
        <w:widowControl/>
        <w:jc w:val="left"/>
        <w:rPr>
          <w:color w:val="auto"/>
          <w:highlight w:val="none"/>
        </w:rPr>
      </w:pPr>
    </w:p>
    <w:p w14:paraId="7D20E37F">
      <w:pPr>
        <w:widowControl/>
        <w:jc w:val="left"/>
        <w:rPr>
          <w:color w:val="auto"/>
          <w:highlight w:val="none"/>
        </w:rPr>
      </w:pPr>
    </w:p>
    <w:p w14:paraId="7EF72910">
      <w:pPr>
        <w:widowControl/>
        <w:jc w:val="left"/>
        <w:rPr>
          <w:color w:val="auto"/>
          <w:highlight w:val="none"/>
        </w:rPr>
      </w:pPr>
    </w:p>
    <w:p w14:paraId="5504CE5D">
      <w:pPr>
        <w:widowControl/>
        <w:jc w:val="left"/>
        <w:rPr>
          <w:color w:val="auto"/>
          <w:highlight w:val="none"/>
        </w:rPr>
      </w:pPr>
    </w:p>
    <w:p w14:paraId="16AA49A6">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7C24DA28">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73A517AE">
      <w:pPr>
        <w:jc w:val="center"/>
        <w:rPr>
          <w:b/>
          <w:color w:val="auto"/>
          <w:spacing w:val="20"/>
          <w:sz w:val="32"/>
          <w:szCs w:val="32"/>
          <w:highlight w:val="none"/>
        </w:rPr>
      </w:pPr>
      <w:r>
        <w:rPr>
          <w:b/>
          <w:color w:val="auto"/>
          <w:spacing w:val="20"/>
          <w:sz w:val="32"/>
          <w:szCs w:val="32"/>
          <w:highlight w:val="none"/>
        </w:rPr>
        <w:br w:type="page"/>
      </w:r>
      <w:r>
        <w:rPr>
          <w:rFonts w:hint="eastAsia"/>
          <w:b/>
          <w:color w:val="auto"/>
          <w:spacing w:val="20"/>
          <w:sz w:val="32"/>
          <w:szCs w:val="32"/>
          <w:highlight w:val="none"/>
        </w:rPr>
        <w:t>六、主要业绩证明</w:t>
      </w:r>
    </w:p>
    <w:p w14:paraId="3D9E334C">
      <w:pPr>
        <w:jc w:val="center"/>
        <w:rPr>
          <w:b/>
          <w:color w:val="auto"/>
          <w:spacing w:val="20"/>
          <w:sz w:val="24"/>
          <w:highlight w:val="none"/>
        </w:rPr>
      </w:pPr>
    </w:p>
    <w:p w14:paraId="1CEA8C93">
      <w:pPr>
        <w:rPr>
          <w:b/>
          <w:color w:val="auto"/>
          <w:spacing w:val="20"/>
          <w:sz w:val="24"/>
          <w:highlight w:val="none"/>
        </w:rPr>
      </w:pPr>
      <w:r>
        <w:rPr>
          <w:rFonts w:hint="eastAsia"/>
          <w:b/>
          <w:color w:val="auto"/>
          <w:spacing w:val="20"/>
          <w:sz w:val="24"/>
          <w:highlight w:val="none"/>
        </w:rPr>
        <w:t>附表：相关项目业绩一览表</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5"/>
        <w:gridCol w:w="1595"/>
        <w:gridCol w:w="1595"/>
        <w:gridCol w:w="1597"/>
      </w:tblGrid>
      <w:tr w14:paraId="432A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35C17E1C">
            <w:pPr>
              <w:spacing w:line="360" w:lineRule="auto"/>
              <w:jc w:val="center"/>
              <w:rPr>
                <w:color w:val="auto"/>
                <w:spacing w:val="20"/>
                <w:sz w:val="24"/>
                <w:highlight w:val="none"/>
              </w:rPr>
            </w:pPr>
            <w:r>
              <w:rPr>
                <w:rFonts w:hint="eastAsia"/>
                <w:color w:val="auto"/>
                <w:spacing w:val="20"/>
                <w:sz w:val="24"/>
                <w:highlight w:val="none"/>
              </w:rPr>
              <w:t>项目名称</w:t>
            </w:r>
          </w:p>
        </w:tc>
        <w:tc>
          <w:tcPr>
            <w:tcW w:w="1595" w:type="dxa"/>
          </w:tcPr>
          <w:p w14:paraId="63CF5695">
            <w:pPr>
              <w:spacing w:line="360" w:lineRule="auto"/>
              <w:jc w:val="center"/>
              <w:rPr>
                <w:color w:val="auto"/>
                <w:spacing w:val="20"/>
                <w:sz w:val="24"/>
                <w:highlight w:val="none"/>
              </w:rPr>
            </w:pPr>
            <w:r>
              <w:rPr>
                <w:rFonts w:hint="eastAsia"/>
                <w:color w:val="auto"/>
                <w:spacing w:val="20"/>
                <w:sz w:val="24"/>
                <w:highlight w:val="none"/>
              </w:rPr>
              <w:t>项目类型</w:t>
            </w:r>
          </w:p>
        </w:tc>
        <w:tc>
          <w:tcPr>
            <w:tcW w:w="1595" w:type="dxa"/>
          </w:tcPr>
          <w:p w14:paraId="5C40483E">
            <w:pPr>
              <w:spacing w:line="360" w:lineRule="auto"/>
              <w:jc w:val="center"/>
              <w:rPr>
                <w:color w:val="auto"/>
                <w:spacing w:val="20"/>
                <w:sz w:val="24"/>
                <w:highlight w:val="none"/>
              </w:rPr>
            </w:pPr>
            <w:r>
              <w:rPr>
                <w:rFonts w:hint="eastAsia"/>
                <w:color w:val="auto"/>
                <w:spacing w:val="20"/>
                <w:sz w:val="24"/>
                <w:highlight w:val="none"/>
              </w:rPr>
              <w:t>简要描述</w:t>
            </w:r>
          </w:p>
        </w:tc>
        <w:tc>
          <w:tcPr>
            <w:tcW w:w="1595" w:type="dxa"/>
          </w:tcPr>
          <w:p w14:paraId="5A052D02">
            <w:pPr>
              <w:spacing w:line="360" w:lineRule="auto"/>
              <w:jc w:val="center"/>
              <w:rPr>
                <w:color w:val="auto"/>
                <w:spacing w:val="20"/>
                <w:sz w:val="24"/>
                <w:highlight w:val="none"/>
              </w:rPr>
            </w:pPr>
            <w:r>
              <w:rPr>
                <w:rFonts w:hint="eastAsia"/>
                <w:color w:val="auto"/>
                <w:spacing w:val="20"/>
                <w:sz w:val="24"/>
                <w:highlight w:val="none"/>
              </w:rPr>
              <w:t>项目投资（万元）</w:t>
            </w:r>
          </w:p>
        </w:tc>
        <w:tc>
          <w:tcPr>
            <w:tcW w:w="1595" w:type="dxa"/>
          </w:tcPr>
          <w:p w14:paraId="0CB4B20E">
            <w:pPr>
              <w:spacing w:line="360" w:lineRule="auto"/>
              <w:jc w:val="center"/>
              <w:rPr>
                <w:color w:val="auto"/>
                <w:spacing w:val="20"/>
                <w:sz w:val="24"/>
                <w:highlight w:val="none"/>
              </w:rPr>
            </w:pPr>
            <w:r>
              <w:rPr>
                <w:rFonts w:hint="eastAsia"/>
                <w:color w:val="auto"/>
                <w:spacing w:val="20"/>
                <w:sz w:val="24"/>
                <w:highlight w:val="none"/>
              </w:rPr>
              <w:t>用户单位联系人联系电话</w:t>
            </w:r>
          </w:p>
        </w:tc>
        <w:tc>
          <w:tcPr>
            <w:tcW w:w="1597" w:type="dxa"/>
          </w:tcPr>
          <w:p w14:paraId="2B3BE6B3">
            <w:pPr>
              <w:spacing w:line="360" w:lineRule="auto"/>
              <w:jc w:val="center"/>
              <w:rPr>
                <w:color w:val="auto"/>
                <w:spacing w:val="20"/>
                <w:sz w:val="24"/>
                <w:highlight w:val="none"/>
              </w:rPr>
            </w:pPr>
            <w:r>
              <w:rPr>
                <w:rFonts w:hint="eastAsia"/>
                <w:color w:val="auto"/>
                <w:spacing w:val="20"/>
                <w:sz w:val="24"/>
                <w:highlight w:val="none"/>
              </w:rPr>
              <w:t>所在页码</w:t>
            </w:r>
          </w:p>
        </w:tc>
      </w:tr>
      <w:tr w14:paraId="322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3976ED97">
            <w:pPr>
              <w:spacing w:line="360" w:lineRule="auto"/>
              <w:jc w:val="center"/>
              <w:rPr>
                <w:color w:val="auto"/>
                <w:spacing w:val="20"/>
                <w:sz w:val="24"/>
                <w:highlight w:val="none"/>
              </w:rPr>
            </w:pPr>
          </w:p>
        </w:tc>
        <w:tc>
          <w:tcPr>
            <w:tcW w:w="1595" w:type="dxa"/>
          </w:tcPr>
          <w:p w14:paraId="1C28D5DE">
            <w:pPr>
              <w:spacing w:line="360" w:lineRule="auto"/>
              <w:jc w:val="center"/>
              <w:rPr>
                <w:color w:val="auto"/>
                <w:spacing w:val="20"/>
                <w:sz w:val="24"/>
                <w:highlight w:val="none"/>
              </w:rPr>
            </w:pPr>
          </w:p>
        </w:tc>
        <w:tc>
          <w:tcPr>
            <w:tcW w:w="1595" w:type="dxa"/>
          </w:tcPr>
          <w:p w14:paraId="5C772602">
            <w:pPr>
              <w:spacing w:line="360" w:lineRule="auto"/>
              <w:jc w:val="center"/>
              <w:rPr>
                <w:color w:val="auto"/>
                <w:spacing w:val="20"/>
                <w:sz w:val="24"/>
                <w:highlight w:val="none"/>
              </w:rPr>
            </w:pPr>
          </w:p>
        </w:tc>
        <w:tc>
          <w:tcPr>
            <w:tcW w:w="1595" w:type="dxa"/>
          </w:tcPr>
          <w:p w14:paraId="6472439A">
            <w:pPr>
              <w:spacing w:line="360" w:lineRule="auto"/>
              <w:jc w:val="center"/>
              <w:rPr>
                <w:color w:val="auto"/>
                <w:spacing w:val="20"/>
                <w:sz w:val="24"/>
                <w:highlight w:val="none"/>
              </w:rPr>
            </w:pPr>
          </w:p>
        </w:tc>
        <w:tc>
          <w:tcPr>
            <w:tcW w:w="1595" w:type="dxa"/>
          </w:tcPr>
          <w:p w14:paraId="13FDDCEB">
            <w:pPr>
              <w:spacing w:line="360" w:lineRule="auto"/>
              <w:jc w:val="center"/>
              <w:rPr>
                <w:color w:val="auto"/>
                <w:spacing w:val="20"/>
                <w:sz w:val="24"/>
                <w:highlight w:val="none"/>
              </w:rPr>
            </w:pPr>
          </w:p>
        </w:tc>
        <w:tc>
          <w:tcPr>
            <w:tcW w:w="1597" w:type="dxa"/>
          </w:tcPr>
          <w:p w14:paraId="1201D29A">
            <w:pPr>
              <w:spacing w:line="360" w:lineRule="auto"/>
              <w:jc w:val="center"/>
              <w:rPr>
                <w:color w:val="auto"/>
                <w:spacing w:val="20"/>
                <w:sz w:val="24"/>
                <w:highlight w:val="none"/>
              </w:rPr>
            </w:pPr>
          </w:p>
        </w:tc>
      </w:tr>
      <w:tr w14:paraId="33F7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21EF5B1C">
            <w:pPr>
              <w:spacing w:line="360" w:lineRule="auto"/>
              <w:jc w:val="center"/>
              <w:rPr>
                <w:color w:val="auto"/>
                <w:spacing w:val="20"/>
                <w:sz w:val="24"/>
                <w:highlight w:val="none"/>
              </w:rPr>
            </w:pPr>
          </w:p>
        </w:tc>
        <w:tc>
          <w:tcPr>
            <w:tcW w:w="1595" w:type="dxa"/>
          </w:tcPr>
          <w:p w14:paraId="7C7E90B4">
            <w:pPr>
              <w:spacing w:line="360" w:lineRule="auto"/>
              <w:jc w:val="center"/>
              <w:rPr>
                <w:color w:val="auto"/>
                <w:spacing w:val="20"/>
                <w:sz w:val="24"/>
                <w:highlight w:val="none"/>
              </w:rPr>
            </w:pPr>
          </w:p>
        </w:tc>
        <w:tc>
          <w:tcPr>
            <w:tcW w:w="1595" w:type="dxa"/>
          </w:tcPr>
          <w:p w14:paraId="02A9CF2B">
            <w:pPr>
              <w:spacing w:line="360" w:lineRule="auto"/>
              <w:jc w:val="center"/>
              <w:rPr>
                <w:color w:val="auto"/>
                <w:spacing w:val="20"/>
                <w:sz w:val="24"/>
                <w:highlight w:val="none"/>
              </w:rPr>
            </w:pPr>
          </w:p>
        </w:tc>
        <w:tc>
          <w:tcPr>
            <w:tcW w:w="1595" w:type="dxa"/>
          </w:tcPr>
          <w:p w14:paraId="1536ABA7">
            <w:pPr>
              <w:spacing w:line="360" w:lineRule="auto"/>
              <w:jc w:val="center"/>
              <w:rPr>
                <w:color w:val="auto"/>
                <w:spacing w:val="20"/>
                <w:sz w:val="24"/>
                <w:highlight w:val="none"/>
              </w:rPr>
            </w:pPr>
          </w:p>
        </w:tc>
        <w:tc>
          <w:tcPr>
            <w:tcW w:w="1595" w:type="dxa"/>
          </w:tcPr>
          <w:p w14:paraId="07051343">
            <w:pPr>
              <w:spacing w:line="360" w:lineRule="auto"/>
              <w:jc w:val="center"/>
              <w:rPr>
                <w:color w:val="auto"/>
                <w:spacing w:val="20"/>
                <w:sz w:val="24"/>
                <w:highlight w:val="none"/>
              </w:rPr>
            </w:pPr>
          </w:p>
        </w:tc>
        <w:tc>
          <w:tcPr>
            <w:tcW w:w="1597" w:type="dxa"/>
          </w:tcPr>
          <w:p w14:paraId="4D34E59B">
            <w:pPr>
              <w:spacing w:line="360" w:lineRule="auto"/>
              <w:jc w:val="center"/>
              <w:rPr>
                <w:color w:val="auto"/>
                <w:spacing w:val="20"/>
                <w:sz w:val="24"/>
                <w:highlight w:val="none"/>
              </w:rPr>
            </w:pPr>
          </w:p>
        </w:tc>
      </w:tr>
      <w:tr w14:paraId="7C8E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Pr>
          <w:p w14:paraId="03C08850">
            <w:pPr>
              <w:spacing w:line="360" w:lineRule="auto"/>
              <w:jc w:val="center"/>
              <w:rPr>
                <w:color w:val="auto"/>
                <w:spacing w:val="20"/>
                <w:sz w:val="24"/>
                <w:highlight w:val="none"/>
              </w:rPr>
            </w:pPr>
          </w:p>
        </w:tc>
        <w:tc>
          <w:tcPr>
            <w:tcW w:w="1595" w:type="dxa"/>
          </w:tcPr>
          <w:p w14:paraId="2D2EEAA8">
            <w:pPr>
              <w:spacing w:line="360" w:lineRule="auto"/>
              <w:jc w:val="center"/>
              <w:rPr>
                <w:color w:val="auto"/>
                <w:spacing w:val="20"/>
                <w:sz w:val="24"/>
                <w:highlight w:val="none"/>
              </w:rPr>
            </w:pPr>
          </w:p>
        </w:tc>
        <w:tc>
          <w:tcPr>
            <w:tcW w:w="1595" w:type="dxa"/>
          </w:tcPr>
          <w:p w14:paraId="7B70CF3E">
            <w:pPr>
              <w:spacing w:line="360" w:lineRule="auto"/>
              <w:jc w:val="center"/>
              <w:rPr>
                <w:color w:val="auto"/>
                <w:spacing w:val="20"/>
                <w:sz w:val="24"/>
                <w:highlight w:val="none"/>
              </w:rPr>
            </w:pPr>
          </w:p>
        </w:tc>
        <w:tc>
          <w:tcPr>
            <w:tcW w:w="1595" w:type="dxa"/>
          </w:tcPr>
          <w:p w14:paraId="4E466D2A">
            <w:pPr>
              <w:spacing w:line="360" w:lineRule="auto"/>
              <w:jc w:val="center"/>
              <w:rPr>
                <w:color w:val="auto"/>
                <w:spacing w:val="20"/>
                <w:sz w:val="24"/>
                <w:highlight w:val="none"/>
              </w:rPr>
            </w:pPr>
          </w:p>
        </w:tc>
        <w:tc>
          <w:tcPr>
            <w:tcW w:w="1595" w:type="dxa"/>
          </w:tcPr>
          <w:p w14:paraId="5484C9D2">
            <w:pPr>
              <w:spacing w:line="360" w:lineRule="auto"/>
              <w:jc w:val="center"/>
              <w:rPr>
                <w:color w:val="auto"/>
                <w:spacing w:val="20"/>
                <w:sz w:val="24"/>
                <w:highlight w:val="none"/>
              </w:rPr>
            </w:pPr>
          </w:p>
        </w:tc>
        <w:tc>
          <w:tcPr>
            <w:tcW w:w="1597" w:type="dxa"/>
          </w:tcPr>
          <w:p w14:paraId="524D984A">
            <w:pPr>
              <w:spacing w:line="360" w:lineRule="auto"/>
              <w:jc w:val="center"/>
              <w:rPr>
                <w:color w:val="auto"/>
                <w:spacing w:val="20"/>
                <w:sz w:val="24"/>
                <w:highlight w:val="none"/>
              </w:rPr>
            </w:pPr>
          </w:p>
        </w:tc>
      </w:tr>
    </w:tbl>
    <w:p w14:paraId="12C7160F">
      <w:pPr>
        <w:rPr>
          <w:color w:val="auto"/>
          <w:spacing w:val="20"/>
          <w:sz w:val="24"/>
          <w:highlight w:val="none"/>
        </w:rPr>
      </w:pPr>
    </w:p>
    <w:p w14:paraId="29CE91B2">
      <w:pPr>
        <w:rPr>
          <w:b/>
          <w:color w:val="auto"/>
          <w:spacing w:val="20"/>
          <w:sz w:val="24"/>
          <w:highlight w:val="none"/>
        </w:rPr>
      </w:pPr>
      <w:r>
        <w:rPr>
          <w:rFonts w:hint="eastAsia"/>
          <w:color w:val="auto"/>
          <w:spacing w:val="20"/>
          <w:sz w:val="24"/>
          <w:highlight w:val="none"/>
        </w:rPr>
        <w:t>注：磋商响应方可按上述格式自行编制，须随表提交相应的合同扫描件并注明所在磋商响应文件页码</w:t>
      </w:r>
      <w:r>
        <w:rPr>
          <w:rFonts w:hint="eastAsia"/>
          <w:b/>
          <w:color w:val="auto"/>
          <w:spacing w:val="20"/>
          <w:sz w:val="24"/>
          <w:highlight w:val="none"/>
        </w:rPr>
        <w:t>。</w:t>
      </w:r>
    </w:p>
    <w:p w14:paraId="657CFDEE">
      <w:pPr>
        <w:rPr>
          <w:b/>
          <w:color w:val="auto"/>
          <w:spacing w:val="20"/>
          <w:sz w:val="24"/>
          <w:highlight w:val="none"/>
        </w:rPr>
      </w:pPr>
    </w:p>
    <w:p w14:paraId="27F60ED6">
      <w:pPr>
        <w:rPr>
          <w:b/>
          <w:color w:val="auto"/>
          <w:spacing w:val="20"/>
          <w:sz w:val="24"/>
          <w:highlight w:val="none"/>
        </w:rPr>
      </w:pPr>
    </w:p>
    <w:p w14:paraId="2CC1E6D2">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0A425314">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1E1BE5B8">
      <w:pPr>
        <w:spacing w:line="360" w:lineRule="auto"/>
        <w:jc w:val="center"/>
        <w:rPr>
          <w:b/>
          <w:color w:val="auto"/>
          <w:spacing w:val="20"/>
          <w:sz w:val="32"/>
          <w:szCs w:val="32"/>
          <w:highlight w:val="none"/>
        </w:rPr>
      </w:pPr>
    </w:p>
    <w:p w14:paraId="5D432BC3">
      <w:pPr>
        <w:jc w:val="center"/>
        <w:rPr>
          <w:b/>
          <w:color w:val="auto"/>
          <w:spacing w:val="20"/>
          <w:sz w:val="32"/>
          <w:szCs w:val="32"/>
          <w:highlight w:val="none"/>
        </w:rPr>
      </w:pPr>
      <w:r>
        <w:rPr>
          <w:rFonts w:hint="eastAsia"/>
          <w:b/>
          <w:color w:val="auto"/>
          <w:spacing w:val="20"/>
          <w:sz w:val="32"/>
          <w:szCs w:val="32"/>
          <w:highlight w:val="none"/>
        </w:rPr>
        <w:t>七、</w:t>
      </w:r>
      <w:r>
        <w:rPr>
          <w:b/>
          <w:color w:val="auto"/>
          <w:spacing w:val="20"/>
          <w:sz w:val="32"/>
          <w:szCs w:val="32"/>
          <w:highlight w:val="none"/>
        </w:rPr>
        <w:t>商务偏离说明</w:t>
      </w:r>
      <w:r>
        <w:rPr>
          <w:b/>
          <w:color w:val="auto"/>
          <w:spacing w:val="20"/>
          <w:sz w:val="30"/>
          <w:szCs w:val="30"/>
          <w:highlight w:val="none"/>
        </w:rPr>
        <w:t>表</w:t>
      </w:r>
    </w:p>
    <w:p w14:paraId="53128B7A">
      <w:pPr>
        <w:jc w:val="center"/>
        <w:rPr>
          <w:b/>
          <w:color w:val="auto"/>
          <w:spacing w:val="20"/>
          <w:sz w:val="24"/>
          <w:highlight w:val="none"/>
        </w:rPr>
      </w:pPr>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10"/>
        <w:gridCol w:w="2576"/>
        <w:gridCol w:w="1687"/>
      </w:tblGrid>
      <w:tr w14:paraId="0617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B813250">
            <w:pPr>
              <w:spacing w:line="360" w:lineRule="auto"/>
              <w:jc w:val="center"/>
              <w:rPr>
                <w:color w:val="auto"/>
                <w:spacing w:val="20"/>
                <w:sz w:val="24"/>
                <w:highlight w:val="none"/>
              </w:rPr>
            </w:pPr>
            <w:r>
              <w:rPr>
                <w:rFonts w:hint="eastAsia"/>
                <w:color w:val="auto"/>
                <w:spacing w:val="20"/>
                <w:sz w:val="24"/>
                <w:highlight w:val="none"/>
              </w:rPr>
              <w:t>磋商采购文件条目号</w:t>
            </w:r>
          </w:p>
        </w:tc>
        <w:tc>
          <w:tcPr>
            <w:tcW w:w="2610" w:type="dxa"/>
          </w:tcPr>
          <w:p w14:paraId="39D8A94B">
            <w:pPr>
              <w:spacing w:line="360" w:lineRule="auto"/>
              <w:jc w:val="center"/>
              <w:rPr>
                <w:color w:val="auto"/>
                <w:spacing w:val="20"/>
                <w:sz w:val="24"/>
                <w:highlight w:val="none"/>
              </w:rPr>
            </w:pPr>
            <w:r>
              <w:rPr>
                <w:rFonts w:hint="eastAsia"/>
                <w:color w:val="auto"/>
                <w:spacing w:val="20"/>
                <w:sz w:val="24"/>
                <w:highlight w:val="none"/>
              </w:rPr>
              <w:t>磋商采购文件商务条款</w:t>
            </w:r>
          </w:p>
        </w:tc>
        <w:tc>
          <w:tcPr>
            <w:tcW w:w="2576" w:type="dxa"/>
          </w:tcPr>
          <w:p w14:paraId="4706BD75">
            <w:pPr>
              <w:spacing w:line="360" w:lineRule="auto"/>
              <w:jc w:val="center"/>
              <w:rPr>
                <w:color w:val="auto"/>
                <w:spacing w:val="20"/>
                <w:sz w:val="24"/>
                <w:highlight w:val="none"/>
              </w:rPr>
            </w:pPr>
            <w:r>
              <w:rPr>
                <w:rFonts w:hint="eastAsia"/>
                <w:color w:val="auto"/>
                <w:spacing w:val="20"/>
                <w:sz w:val="24"/>
                <w:highlight w:val="none"/>
              </w:rPr>
              <w:t>磋商响应文件商务条款</w:t>
            </w:r>
          </w:p>
        </w:tc>
        <w:tc>
          <w:tcPr>
            <w:tcW w:w="1687" w:type="dxa"/>
          </w:tcPr>
          <w:p w14:paraId="79408703">
            <w:pPr>
              <w:spacing w:line="360" w:lineRule="auto"/>
              <w:jc w:val="center"/>
              <w:rPr>
                <w:color w:val="auto"/>
                <w:spacing w:val="20"/>
                <w:sz w:val="24"/>
                <w:highlight w:val="none"/>
              </w:rPr>
            </w:pPr>
            <w:r>
              <w:rPr>
                <w:rFonts w:hint="eastAsia"/>
                <w:color w:val="auto"/>
                <w:spacing w:val="20"/>
                <w:sz w:val="24"/>
                <w:highlight w:val="none"/>
              </w:rPr>
              <w:t>说明</w:t>
            </w:r>
          </w:p>
        </w:tc>
      </w:tr>
      <w:tr w14:paraId="0071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2E0CCE0">
            <w:pPr>
              <w:jc w:val="center"/>
              <w:rPr>
                <w:color w:val="auto"/>
                <w:spacing w:val="20"/>
                <w:sz w:val="24"/>
                <w:highlight w:val="none"/>
              </w:rPr>
            </w:pPr>
          </w:p>
        </w:tc>
        <w:tc>
          <w:tcPr>
            <w:tcW w:w="2610" w:type="dxa"/>
          </w:tcPr>
          <w:p w14:paraId="799957A7">
            <w:pPr>
              <w:spacing w:line="360" w:lineRule="auto"/>
              <w:jc w:val="center"/>
              <w:rPr>
                <w:color w:val="auto"/>
                <w:spacing w:val="20"/>
                <w:sz w:val="24"/>
                <w:highlight w:val="none"/>
              </w:rPr>
            </w:pPr>
          </w:p>
        </w:tc>
        <w:tc>
          <w:tcPr>
            <w:tcW w:w="2576" w:type="dxa"/>
          </w:tcPr>
          <w:p w14:paraId="496DCDCD">
            <w:pPr>
              <w:spacing w:line="360" w:lineRule="auto"/>
              <w:jc w:val="center"/>
              <w:rPr>
                <w:color w:val="auto"/>
                <w:spacing w:val="20"/>
                <w:sz w:val="24"/>
                <w:highlight w:val="none"/>
              </w:rPr>
            </w:pPr>
          </w:p>
        </w:tc>
        <w:tc>
          <w:tcPr>
            <w:tcW w:w="1687" w:type="dxa"/>
          </w:tcPr>
          <w:p w14:paraId="5DD3AF96">
            <w:pPr>
              <w:spacing w:line="360" w:lineRule="auto"/>
              <w:jc w:val="center"/>
              <w:rPr>
                <w:color w:val="auto"/>
                <w:spacing w:val="20"/>
                <w:sz w:val="24"/>
                <w:highlight w:val="none"/>
              </w:rPr>
            </w:pPr>
          </w:p>
        </w:tc>
      </w:tr>
      <w:tr w14:paraId="4209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772A2FF">
            <w:pPr>
              <w:jc w:val="center"/>
              <w:rPr>
                <w:color w:val="auto"/>
                <w:spacing w:val="20"/>
                <w:sz w:val="24"/>
                <w:highlight w:val="none"/>
              </w:rPr>
            </w:pPr>
          </w:p>
        </w:tc>
        <w:tc>
          <w:tcPr>
            <w:tcW w:w="2610" w:type="dxa"/>
          </w:tcPr>
          <w:p w14:paraId="30BB0E2F">
            <w:pPr>
              <w:spacing w:line="360" w:lineRule="auto"/>
              <w:jc w:val="center"/>
              <w:rPr>
                <w:color w:val="auto"/>
                <w:spacing w:val="20"/>
                <w:sz w:val="24"/>
                <w:highlight w:val="none"/>
              </w:rPr>
            </w:pPr>
          </w:p>
        </w:tc>
        <w:tc>
          <w:tcPr>
            <w:tcW w:w="2576" w:type="dxa"/>
          </w:tcPr>
          <w:p w14:paraId="0F8BC35F">
            <w:pPr>
              <w:spacing w:line="360" w:lineRule="auto"/>
              <w:jc w:val="center"/>
              <w:rPr>
                <w:color w:val="auto"/>
                <w:spacing w:val="20"/>
                <w:sz w:val="24"/>
                <w:highlight w:val="none"/>
              </w:rPr>
            </w:pPr>
          </w:p>
        </w:tc>
        <w:tc>
          <w:tcPr>
            <w:tcW w:w="1687" w:type="dxa"/>
          </w:tcPr>
          <w:p w14:paraId="215724C3">
            <w:pPr>
              <w:spacing w:line="360" w:lineRule="auto"/>
              <w:jc w:val="center"/>
              <w:rPr>
                <w:color w:val="auto"/>
                <w:spacing w:val="20"/>
                <w:sz w:val="24"/>
                <w:highlight w:val="none"/>
              </w:rPr>
            </w:pPr>
          </w:p>
        </w:tc>
      </w:tr>
      <w:tr w14:paraId="7E2D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E98C3BA">
            <w:pPr>
              <w:spacing w:line="360" w:lineRule="auto"/>
              <w:ind w:firstLine="560"/>
              <w:jc w:val="center"/>
              <w:rPr>
                <w:color w:val="auto"/>
                <w:spacing w:val="20"/>
                <w:sz w:val="24"/>
                <w:highlight w:val="none"/>
              </w:rPr>
            </w:pPr>
          </w:p>
        </w:tc>
        <w:tc>
          <w:tcPr>
            <w:tcW w:w="2610" w:type="dxa"/>
          </w:tcPr>
          <w:p w14:paraId="261D5C8E">
            <w:pPr>
              <w:spacing w:line="360" w:lineRule="auto"/>
              <w:jc w:val="center"/>
              <w:rPr>
                <w:color w:val="auto"/>
                <w:spacing w:val="20"/>
                <w:sz w:val="24"/>
                <w:highlight w:val="none"/>
              </w:rPr>
            </w:pPr>
          </w:p>
        </w:tc>
        <w:tc>
          <w:tcPr>
            <w:tcW w:w="2576" w:type="dxa"/>
          </w:tcPr>
          <w:p w14:paraId="33D3D05F">
            <w:pPr>
              <w:spacing w:line="360" w:lineRule="auto"/>
              <w:jc w:val="center"/>
              <w:rPr>
                <w:color w:val="auto"/>
                <w:spacing w:val="20"/>
                <w:sz w:val="24"/>
                <w:highlight w:val="none"/>
              </w:rPr>
            </w:pPr>
          </w:p>
        </w:tc>
        <w:tc>
          <w:tcPr>
            <w:tcW w:w="1687" w:type="dxa"/>
          </w:tcPr>
          <w:p w14:paraId="023AE0C0">
            <w:pPr>
              <w:spacing w:line="360" w:lineRule="auto"/>
              <w:jc w:val="center"/>
              <w:rPr>
                <w:color w:val="auto"/>
                <w:spacing w:val="20"/>
                <w:sz w:val="24"/>
                <w:highlight w:val="none"/>
              </w:rPr>
            </w:pPr>
          </w:p>
        </w:tc>
      </w:tr>
    </w:tbl>
    <w:p w14:paraId="752A77E1">
      <w:pPr>
        <w:jc w:val="center"/>
        <w:rPr>
          <w:b/>
          <w:color w:val="auto"/>
          <w:spacing w:val="20"/>
          <w:sz w:val="24"/>
          <w:highlight w:val="none"/>
        </w:rPr>
      </w:pPr>
    </w:p>
    <w:p w14:paraId="2C7938B3">
      <w:pPr>
        <w:rPr>
          <w:i/>
          <w:color w:val="auto"/>
          <w:spacing w:val="20"/>
          <w:sz w:val="24"/>
          <w:highlight w:val="none"/>
        </w:rPr>
      </w:pPr>
      <w:r>
        <w:rPr>
          <w:i/>
          <w:color w:val="auto"/>
          <w:spacing w:val="20"/>
          <w:sz w:val="24"/>
          <w:highlight w:val="none"/>
        </w:rPr>
        <w:t>注：与第四章、采购合同的一般和特殊条款中的合同基本条款对应。</w:t>
      </w:r>
      <w:r>
        <w:rPr>
          <w:rFonts w:hint="eastAsia"/>
          <w:i/>
          <w:color w:val="auto"/>
          <w:spacing w:val="20"/>
          <w:sz w:val="24"/>
          <w:highlight w:val="none"/>
        </w:rPr>
        <w:t>除</w:t>
      </w:r>
      <w:r>
        <w:rPr>
          <w:rFonts w:hint="eastAsia"/>
          <w:i/>
          <w:color w:val="auto"/>
          <w:spacing w:val="20"/>
          <w:sz w:val="24"/>
          <w:highlight w:val="none"/>
          <w:lang w:val="en-US" w:eastAsia="zh-CN"/>
        </w:rPr>
        <w:t>商务</w:t>
      </w:r>
      <w:r>
        <w:rPr>
          <w:rFonts w:hint="eastAsia"/>
          <w:i/>
          <w:color w:val="auto"/>
          <w:spacing w:val="20"/>
          <w:sz w:val="24"/>
          <w:highlight w:val="none"/>
        </w:rPr>
        <w:t>偏离表列出的偏离外，</w:t>
      </w:r>
      <w:r>
        <w:rPr>
          <w:rFonts w:hint="eastAsia"/>
          <w:i/>
          <w:color w:val="auto"/>
          <w:spacing w:val="20"/>
          <w:sz w:val="24"/>
          <w:highlight w:val="none"/>
          <w:lang w:val="en-US" w:eastAsia="zh-CN"/>
        </w:rPr>
        <w:t>供应商</w:t>
      </w:r>
      <w:r>
        <w:rPr>
          <w:rFonts w:hint="eastAsia"/>
          <w:i/>
          <w:color w:val="auto"/>
          <w:spacing w:val="20"/>
          <w:sz w:val="24"/>
          <w:highlight w:val="none"/>
        </w:rPr>
        <w:t>响应</w:t>
      </w:r>
      <w:r>
        <w:rPr>
          <w:rFonts w:hint="eastAsia"/>
          <w:i/>
          <w:color w:val="auto"/>
          <w:spacing w:val="20"/>
          <w:sz w:val="24"/>
          <w:highlight w:val="none"/>
          <w:lang w:val="en-US" w:eastAsia="zh-CN"/>
        </w:rPr>
        <w:t>采购</w:t>
      </w:r>
      <w:r>
        <w:rPr>
          <w:rFonts w:hint="eastAsia"/>
          <w:i/>
          <w:color w:val="auto"/>
          <w:spacing w:val="20"/>
          <w:sz w:val="24"/>
          <w:highlight w:val="none"/>
        </w:rPr>
        <w:t>文件的全部要求。</w:t>
      </w:r>
    </w:p>
    <w:p w14:paraId="6BBC5520">
      <w:pPr>
        <w:rPr>
          <w:b/>
          <w:color w:val="auto"/>
          <w:spacing w:val="20"/>
          <w:sz w:val="24"/>
          <w:highlight w:val="none"/>
        </w:rPr>
      </w:pPr>
    </w:p>
    <w:p w14:paraId="6A27CCF5">
      <w:pPr>
        <w:rPr>
          <w:b/>
          <w:color w:val="auto"/>
          <w:spacing w:val="20"/>
          <w:sz w:val="24"/>
          <w:highlight w:val="none"/>
        </w:rPr>
      </w:pPr>
    </w:p>
    <w:p w14:paraId="048ED8B4">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2C1680BD">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0EA7D5A3">
      <w:pPr>
        <w:spacing w:line="360" w:lineRule="auto"/>
        <w:jc w:val="center"/>
        <w:rPr>
          <w:b/>
          <w:color w:val="auto"/>
          <w:spacing w:val="20"/>
          <w:sz w:val="30"/>
          <w:szCs w:val="30"/>
          <w:highlight w:val="none"/>
        </w:rPr>
      </w:pPr>
      <w:r>
        <w:rPr>
          <w:b/>
          <w:color w:val="auto"/>
          <w:spacing w:val="20"/>
          <w:sz w:val="32"/>
          <w:szCs w:val="32"/>
          <w:highlight w:val="none"/>
        </w:rPr>
        <w:br w:type="page"/>
      </w:r>
      <w:r>
        <w:rPr>
          <w:rFonts w:hint="eastAsia"/>
          <w:b/>
          <w:color w:val="auto"/>
          <w:spacing w:val="20"/>
          <w:sz w:val="32"/>
          <w:szCs w:val="32"/>
          <w:highlight w:val="none"/>
        </w:rPr>
        <w:t>八、</w:t>
      </w:r>
      <w:r>
        <w:rPr>
          <w:b/>
          <w:color w:val="auto"/>
          <w:spacing w:val="20"/>
          <w:sz w:val="32"/>
          <w:szCs w:val="32"/>
          <w:highlight w:val="none"/>
        </w:rPr>
        <w:t>技术偏离说明表</w:t>
      </w:r>
    </w:p>
    <w:tbl>
      <w:tblPr>
        <w:tblStyle w:val="2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54"/>
        <w:gridCol w:w="1789"/>
        <w:gridCol w:w="1789"/>
        <w:gridCol w:w="1789"/>
      </w:tblGrid>
      <w:tr w14:paraId="2764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C59E137">
            <w:pPr>
              <w:spacing w:line="360" w:lineRule="auto"/>
              <w:jc w:val="center"/>
              <w:rPr>
                <w:rFonts w:ascii="宋体"/>
                <w:color w:val="auto"/>
                <w:spacing w:val="20"/>
                <w:sz w:val="24"/>
                <w:highlight w:val="none"/>
              </w:rPr>
            </w:pPr>
            <w:r>
              <w:rPr>
                <w:rFonts w:hint="eastAsia" w:ascii="宋体" w:hAnsi="宋体"/>
                <w:color w:val="auto"/>
                <w:spacing w:val="20"/>
                <w:sz w:val="24"/>
                <w:highlight w:val="none"/>
              </w:rPr>
              <w:t>序号</w:t>
            </w:r>
          </w:p>
        </w:tc>
        <w:tc>
          <w:tcPr>
            <w:tcW w:w="2054" w:type="dxa"/>
          </w:tcPr>
          <w:p w14:paraId="2CC7F0AA">
            <w:pPr>
              <w:spacing w:line="360" w:lineRule="auto"/>
              <w:jc w:val="center"/>
              <w:rPr>
                <w:rFonts w:ascii="宋体"/>
                <w:color w:val="auto"/>
                <w:spacing w:val="20"/>
                <w:sz w:val="24"/>
                <w:highlight w:val="none"/>
              </w:rPr>
            </w:pPr>
            <w:r>
              <w:rPr>
                <w:rFonts w:hint="eastAsia" w:ascii="宋体" w:hAnsi="宋体"/>
                <w:color w:val="auto"/>
                <w:spacing w:val="20"/>
                <w:sz w:val="24"/>
                <w:highlight w:val="none"/>
              </w:rPr>
              <w:t>采购要求</w:t>
            </w:r>
          </w:p>
        </w:tc>
        <w:tc>
          <w:tcPr>
            <w:tcW w:w="1789" w:type="dxa"/>
          </w:tcPr>
          <w:p w14:paraId="58FEC9A5">
            <w:pPr>
              <w:spacing w:line="360" w:lineRule="auto"/>
              <w:jc w:val="center"/>
              <w:rPr>
                <w:rFonts w:ascii="宋体"/>
                <w:color w:val="auto"/>
                <w:spacing w:val="20"/>
                <w:sz w:val="24"/>
                <w:highlight w:val="none"/>
              </w:rPr>
            </w:pPr>
            <w:r>
              <w:rPr>
                <w:rFonts w:hint="eastAsia" w:ascii="宋体" w:hAnsi="宋体"/>
                <w:color w:val="auto"/>
                <w:spacing w:val="20"/>
                <w:sz w:val="24"/>
                <w:highlight w:val="none"/>
              </w:rPr>
              <w:t>磋商响应</w:t>
            </w:r>
          </w:p>
        </w:tc>
        <w:tc>
          <w:tcPr>
            <w:tcW w:w="1789" w:type="dxa"/>
          </w:tcPr>
          <w:p w14:paraId="367F9FFA">
            <w:pPr>
              <w:spacing w:line="360" w:lineRule="auto"/>
              <w:jc w:val="center"/>
              <w:rPr>
                <w:rFonts w:ascii="宋体"/>
                <w:color w:val="auto"/>
                <w:spacing w:val="20"/>
                <w:sz w:val="24"/>
                <w:highlight w:val="none"/>
              </w:rPr>
            </w:pPr>
            <w:r>
              <w:rPr>
                <w:rFonts w:hint="eastAsia" w:ascii="宋体" w:hAnsi="宋体"/>
                <w:color w:val="auto"/>
                <w:spacing w:val="20"/>
                <w:sz w:val="24"/>
                <w:highlight w:val="none"/>
              </w:rPr>
              <w:t>偏离</w:t>
            </w:r>
          </w:p>
        </w:tc>
        <w:tc>
          <w:tcPr>
            <w:tcW w:w="1789" w:type="dxa"/>
          </w:tcPr>
          <w:p w14:paraId="2F1115F9">
            <w:pPr>
              <w:spacing w:line="360" w:lineRule="auto"/>
              <w:jc w:val="center"/>
              <w:rPr>
                <w:rFonts w:ascii="宋体"/>
                <w:color w:val="auto"/>
                <w:spacing w:val="20"/>
                <w:sz w:val="24"/>
                <w:highlight w:val="none"/>
              </w:rPr>
            </w:pPr>
            <w:r>
              <w:rPr>
                <w:rFonts w:hint="eastAsia" w:ascii="宋体" w:hAnsi="宋体"/>
                <w:color w:val="auto"/>
                <w:spacing w:val="20"/>
                <w:sz w:val="24"/>
                <w:highlight w:val="none"/>
              </w:rPr>
              <w:t>说明</w:t>
            </w:r>
          </w:p>
        </w:tc>
      </w:tr>
      <w:tr w14:paraId="71C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317063B">
            <w:pPr>
              <w:spacing w:line="360" w:lineRule="auto"/>
              <w:jc w:val="center"/>
              <w:rPr>
                <w:color w:val="auto"/>
                <w:spacing w:val="20"/>
                <w:sz w:val="24"/>
                <w:highlight w:val="none"/>
              </w:rPr>
            </w:pPr>
          </w:p>
        </w:tc>
        <w:tc>
          <w:tcPr>
            <w:tcW w:w="2054" w:type="dxa"/>
          </w:tcPr>
          <w:p w14:paraId="19500A9D">
            <w:pPr>
              <w:spacing w:line="360" w:lineRule="auto"/>
              <w:jc w:val="center"/>
              <w:rPr>
                <w:color w:val="auto"/>
                <w:spacing w:val="20"/>
                <w:sz w:val="24"/>
                <w:highlight w:val="none"/>
              </w:rPr>
            </w:pPr>
          </w:p>
        </w:tc>
        <w:tc>
          <w:tcPr>
            <w:tcW w:w="1789" w:type="dxa"/>
          </w:tcPr>
          <w:p w14:paraId="420A42AA">
            <w:pPr>
              <w:spacing w:line="360" w:lineRule="auto"/>
              <w:jc w:val="center"/>
              <w:rPr>
                <w:color w:val="auto"/>
                <w:spacing w:val="20"/>
                <w:sz w:val="24"/>
                <w:highlight w:val="none"/>
              </w:rPr>
            </w:pPr>
          </w:p>
        </w:tc>
        <w:tc>
          <w:tcPr>
            <w:tcW w:w="1789" w:type="dxa"/>
          </w:tcPr>
          <w:p w14:paraId="24636277">
            <w:pPr>
              <w:spacing w:line="360" w:lineRule="auto"/>
              <w:jc w:val="center"/>
              <w:rPr>
                <w:color w:val="auto"/>
                <w:spacing w:val="20"/>
                <w:sz w:val="24"/>
                <w:highlight w:val="none"/>
              </w:rPr>
            </w:pPr>
          </w:p>
        </w:tc>
        <w:tc>
          <w:tcPr>
            <w:tcW w:w="1789" w:type="dxa"/>
          </w:tcPr>
          <w:p w14:paraId="515F6548">
            <w:pPr>
              <w:spacing w:line="360" w:lineRule="auto"/>
              <w:jc w:val="center"/>
              <w:rPr>
                <w:color w:val="auto"/>
                <w:spacing w:val="20"/>
                <w:sz w:val="24"/>
                <w:highlight w:val="none"/>
              </w:rPr>
            </w:pPr>
          </w:p>
        </w:tc>
      </w:tr>
      <w:tr w14:paraId="2B3E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FEB3685">
            <w:pPr>
              <w:spacing w:line="360" w:lineRule="auto"/>
              <w:jc w:val="center"/>
              <w:rPr>
                <w:color w:val="auto"/>
                <w:spacing w:val="20"/>
                <w:sz w:val="24"/>
                <w:highlight w:val="none"/>
              </w:rPr>
            </w:pPr>
          </w:p>
        </w:tc>
        <w:tc>
          <w:tcPr>
            <w:tcW w:w="2054" w:type="dxa"/>
          </w:tcPr>
          <w:p w14:paraId="4E33B809">
            <w:pPr>
              <w:spacing w:line="360" w:lineRule="auto"/>
              <w:jc w:val="center"/>
              <w:rPr>
                <w:color w:val="auto"/>
                <w:spacing w:val="20"/>
                <w:sz w:val="24"/>
                <w:highlight w:val="none"/>
              </w:rPr>
            </w:pPr>
          </w:p>
        </w:tc>
        <w:tc>
          <w:tcPr>
            <w:tcW w:w="1789" w:type="dxa"/>
          </w:tcPr>
          <w:p w14:paraId="55558404">
            <w:pPr>
              <w:spacing w:line="360" w:lineRule="auto"/>
              <w:jc w:val="center"/>
              <w:rPr>
                <w:color w:val="auto"/>
                <w:spacing w:val="20"/>
                <w:sz w:val="24"/>
                <w:highlight w:val="none"/>
              </w:rPr>
            </w:pPr>
          </w:p>
        </w:tc>
        <w:tc>
          <w:tcPr>
            <w:tcW w:w="1789" w:type="dxa"/>
          </w:tcPr>
          <w:p w14:paraId="26348FB1">
            <w:pPr>
              <w:spacing w:line="360" w:lineRule="auto"/>
              <w:jc w:val="center"/>
              <w:rPr>
                <w:color w:val="auto"/>
                <w:spacing w:val="20"/>
                <w:sz w:val="24"/>
                <w:highlight w:val="none"/>
              </w:rPr>
            </w:pPr>
          </w:p>
        </w:tc>
        <w:tc>
          <w:tcPr>
            <w:tcW w:w="1789" w:type="dxa"/>
          </w:tcPr>
          <w:p w14:paraId="52DA5BF1">
            <w:pPr>
              <w:spacing w:line="360" w:lineRule="auto"/>
              <w:jc w:val="center"/>
              <w:rPr>
                <w:color w:val="auto"/>
                <w:spacing w:val="20"/>
                <w:sz w:val="24"/>
                <w:highlight w:val="none"/>
              </w:rPr>
            </w:pPr>
          </w:p>
        </w:tc>
      </w:tr>
      <w:tr w14:paraId="5E0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4101CD5">
            <w:pPr>
              <w:spacing w:line="360" w:lineRule="auto"/>
              <w:jc w:val="center"/>
              <w:rPr>
                <w:color w:val="auto"/>
                <w:spacing w:val="20"/>
                <w:sz w:val="24"/>
                <w:highlight w:val="none"/>
              </w:rPr>
            </w:pPr>
          </w:p>
        </w:tc>
        <w:tc>
          <w:tcPr>
            <w:tcW w:w="2054" w:type="dxa"/>
          </w:tcPr>
          <w:p w14:paraId="5188D83F">
            <w:pPr>
              <w:spacing w:line="360" w:lineRule="auto"/>
              <w:jc w:val="center"/>
              <w:rPr>
                <w:color w:val="auto"/>
                <w:spacing w:val="20"/>
                <w:sz w:val="24"/>
                <w:highlight w:val="none"/>
              </w:rPr>
            </w:pPr>
          </w:p>
        </w:tc>
        <w:tc>
          <w:tcPr>
            <w:tcW w:w="1789" w:type="dxa"/>
          </w:tcPr>
          <w:p w14:paraId="7ACFFC79">
            <w:pPr>
              <w:spacing w:line="360" w:lineRule="auto"/>
              <w:jc w:val="center"/>
              <w:rPr>
                <w:color w:val="auto"/>
                <w:spacing w:val="20"/>
                <w:sz w:val="24"/>
                <w:highlight w:val="none"/>
              </w:rPr>
            </w:pPr>
          </w:p>
        </w:tc>
        <w:tc>
          <w:tcPr>
            <w:tcW w:w="1789" w:type="dxa"/>
          </w:tcPr>
          <w:p w14:paraId="0CA1958F">
            <w:pPr>
              <w:spacing w:line="360" w:lineRule="auto"/>
              <w:jc w:val="center"/>
              <w:rPr>
                <w:color w:val="auto"/>
                <w:spacing w:val="20"/>
                <w:sz w:val="24"/>
                <w:highlight w:val="none"/>
              </w:rPr>
            </w:pPr>
          </w:p>
        </w:tc>
        <w:tc>
          <w:tcPr>
            <w:tcW w:w="1789" w:type="dxa"/>
          </w:tcPr>
          <w:p w14:paraId="707A5F13">
            <w:pPr>
              <w:spacing w:line="360" w:lineRule="auto"/>
              <w:jc w:val="center"/>
              <w:rPr>
                <w:color w:val="auto"/>
                <w:spacing w:val="20"/>
                <w:sz w:val="24"/>
                <w:highlight w:val="none"/>
              </w:rPr>
            </w:pPr>
          </w:p>
        </w:tc>
      </w:tr>
      <w:tr w14:paraId="5E81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CBCBC0B">
            <w:pPr>
              <w:spacing w:line="360" w:lineRule="auto"/>
              <w:jc w:val="center"/>
              <w:rPr>
                <w:color w:val="auto"/>
                <w:spacing w:val="20"/>
                <w:sz w:val="24"/>
                <w:highlight w:val="none"/>
              </w:rPr>
            </w:pPr>
          </w:p>
        </w:tc>
        <w:tc>
          <w:tcPr>
            <w:tcW w:w="2054" w:type="dxa"/>
          </w:tcPr>
          <w:p w14:paraId="5522FEA6">
            <w:pPr>
              <w:spacing w:line="360" w:lineRule="auto"/>
              <w:jc w:val="center"/>
              <w:rPr>
                <w:color w:val="auto"/>
                <w:spacing w:val="20"/>
                <w:sz w:val="24"/>
                <w:highlight w:val="none"/>
              </w:rPr>
            </w:pPr>
          </w:p>
        </w:tc>
        <w:tc>
          <w:tcPr>
            <w:tcW w:w="1789" w:type="dxa"/>
          </w:tcPr>
          <w:p w14:paraId="58FBE9F0">
            <w:pPr>
              <w:spacing w:line="360" w:lineRule="auto"/>
              <w:jc w:val="center"/>
              <w:rPr>
                <w:color w:val="auto"/>
                <w:spacing w:val="20"/>
                <w:sz w:val="24"/>
                <w:highlight w:val="none"/>
              </w:rPr>
            </w:pPr>
          </w:p>
        </w:tc>
        <w:tc>
          <w:tcPr>
            <w:tcW w:w="1789" w:type="dxa"/>
          </w:tcPr>
          <w:p w14:paraId="084009AD">
            <w:pPr>
              <w:spacing w:line="360" w:lineRule="auto"/>
              <w:jc w:val="center"/>
              <w:rPr>
                <w:color w:val="auto"/>
                <w:spacing w:val="20"/>
                <w:sz w:val="24"/>
                <w:highlight w:val="none"/>
              </w:rPr>
            </w:pPr>
          </w:p>
        </w:tc>
        <w:tc>
          <w:tcPr>
            <w:tcW w:w="1789" w:type="dxa"/>
          </w:tcPr>
          <w:p w14:paraId="5098616F">
            <w:pPr>
              <w:spacing w:line="360" w:lineRule="auto"/>
              <w:jc w:val="center"/>
              <w:rPr>
                <w:color w:val="auto"/>
                <w:spacing w:val="20"/>
                <w:sz w:val="24"/>
                <w:highlight w:val="none"/>
              </w:rPr>
            </w:pPr>
          </w:p>
        </w:tc>
      </w:tr>
    </w:tbl>
    <w:p w14:paraId="104D303D">
      <w:pPr>
        <w:spacing w:line="360" w:lineRule="auto"/>
        <w:jc w:val="both"/>
        <w:rPr>
          <w:rFonts w:hint="eastAsia" w:eastAsia="宋体"/>
          <w:color w:val="auto"/>
          <w:spacing w:val="20"/>
          <w:sz w:val="24"/>
          <w:highlight w:val="none"/>
          <w:lang w:eastAsia="zh-CN"/>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rPr>
        <w:t>除技术偏离表列出的偏离外，供应商响应采购文件的全部要求</w:t>
      </w:r>
      <w:r>
        <w:rPr>
          <w:rFonts w:hint="eastAsia" w:ascii="宋体" w:hAnsi="宋体" w:cs="宋体"/>
          <w:color w:val="auto"/>
          <w:kern w:val="0"/>
          <w:sz w:val="24"/>
          <w:highlight w:val="none"/>
          <w:lang w:eastAsia="zh-CN"/>
        </w:rPr>
        <w:t>。</w:t>
      </w:r>
    </w:p>
    <w:p w14:paraId="55A2018E">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2999A058">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BD676AA">
      <w:pPr>
        <w:jc w:val="center"/>
        <w:outlineLvl w:val="2"/>
        <w:rPr>
          <w:b/>
          <w:color w:val="auto"/>
          <w:spacing w:val="20"/>
          <w:sz w:val="32"/>
          <w:szCs w:val="32"/>
          <w:highlight w:val="none"/>
        </w:rPr>
      </w:pPr>
    </w:p>
    <w:p w14:paraId="2978278D">
      <w:pPr>
        <w:jc w:val="center"/>
        <w:outlineLvl w:val="2"/>
        <w:rPr>
          <w:b/>
          <w:color w:val="auto"/>
          <w:spacing w:val="20"/>
          <w:sz w:val="32"/>
          <w:szCs w:val="32"/>
          <w:highlight w:val="none"/>
        </w:rPr>
      </w:pPr>
    </w:p>
    <w:p w14:paraId="339DF4C4">
      <w:pPr>
        <w:jc w:val="center"/>
        <w:outlineLvl w:val="2"/>
        <w:rPr>
          <w:b/>
          <w:color w:val="auto"/>
          <w:spacing w:val="20"/>
          <w:sz w:val="32"/>
          <w:szCs w:val="32"/>
          <w:highlight w:val="none"/>
        </w:rPr>
      </w:pPr>
      <w:r>
        <w:rPr>
          <w:rFonts w:hint="eastAsia"/>
          <w:b/>
          <w:color w:val="auto"/>
          <w:spacing w:val="20"/>
          <w:sz w:val="32"/>
          <w:szCs w:val="32"/>
          <w:highlight w:val="none"/>
        </w:rPr>
        <w:t>九、对本项目背景及现状分析</w:t>
      </w:r>
    </w:p>
    <w:p w14:paraId="50711C13">
      <w:pPr>
        <w:jc w:val="center"/>
        <w:rPr>
          <w:rFonts w:ascii="宋体" w:hAnsi="宋体"/>
          <w:color w:val="auto"/>
          <w:sz w:val="24"/>
          <w:highlight w:val="none"/>
        </w:rPr>
      </w:pPr>
      <w:r>
        <w:rPr>
          <w:rFonts w:hint="eastAsia" w:ascii="宋体" w:hAnsi="宋体"/>
          <w:color w:val="auto"/>
          <w:sz w:val="24"/>
          <w:highlight w:val="none"/>
        </w:rPr>
        <w:t>（</w:t>
      </w:r>
      <w:r>
        <w:rPr>
          <w:rFonts w:hint="eastAsia"/>
          <w:color w:val="auto"/>
          <w:spacing w:val="20"/>
          <w:sz w:val="24"/>
          <w:highlight w:val="none"/>
        </w:rPr>
        <w:t>由磋商响应方根据采购需求及采购文件要求编写</w:t>
      </w:r>
      <w:r>
        <w:rPr>
          <w:rFonts w:hint="eastAsia" w:ascii="宋体" w:hAnsi="宋体"/>
          <w:color w:val="auto"/>
          <w:sz w:val="24"/>
          <w:highlight w:val="none"/>
        </w:rPr>
        <w:t>）</w:t>
      </w:r>
    </w:p>
    <w:p w14:paraId="719EA366">
      <w:pPr>
        <w:widowControl/>
        <w:jc w:val="left"/>
        <w:rPr>
          <w:color w:val="auto"/>
          <w:highlight w:val="none"/>
        </w:rPr>
      </w:pPr>
    </w:p>
    <w:p w14:paraId="25952852">
      <w:pPr>
        <w:widowControl/>
        <w:jc w:val="left"/>
        <w:rPr>
          <w:color w:val="auto"/>
          <w:highlight w:val="none"/>
        </w:rPr>
      </w:pPr>
    </w:p>
    <w:p w14:paraId="6ECF31A9">
      <w:pPr>
        <w:widowControl/>
        <w:jc w:val="left"/>
        <w:rPr>
          <w:color w:val="auto"/>
          <w:highlight w:val="none"/>
        </w:rPr>
      </w:pPr>
    </w:p>
    <w:p w14:paraId="03CE3B18">
      <w:pPr>
        <w:widowControl/>
        <w:jc w:val="left"/>
        <w:rPr>
          <w:color w:val="auto"/>
          <w:highlight w:val="none"/>
        </w:rPr>
      </w:pPr>
    </w:p>
    <w:p w14:paraId="32CA1554">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1FA39B36">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D5C57F9">
      <w:pPr>
        <w:jc w:val="center"/>
        <w:outlineLvl w:val="2"/>
        <w:rPr>
          <w:b/>
          <w:color w:val="auto"/>
          <w:spacing w:val="20"/>
          <w:sz w:val="32"/>
          <w:szCs w:val="32"/>
          <w:highlight w:val="none"/>
        </w:rPr>
      </w:pPr>
    </w:p>
    <w:p w14:paraId="24068445">
      <w:pPr>
        <w:jc w:val="center"/>
        <w:outlineLvl w:val="2"/>
        <w:rPr>
          <w:b/>
          <w:color w:val="auto"/>
          <w:spacing w:val="20"/>
          <w:sz w:val="32"/>
          <w:szCs w:val="32"/>
          <w:highlight w:val="none"/>
        </w:rPr>
      </w:pPr>
    </w:p>
    <w:p w14:paraId="7F603E8F">
      <w:pPr>
        <w:jc w:val="center"/>
        <w:outlineLvl w:val="2"/>
        <w:rPr>
          <w:b/>
          <w:color w:val="auto"/>
          <w:spacing w:val="20"/>
          <w:sz w:val="32"/>
          <w:szCs w:val="32"/>
          <w:highlight w:val="none"/>
        </w:rPr>
      </w:pPr>
      <w:r>
        <w:rPr>
          <w:rFonts w:hint="eastAsia"/>
          <w:b/>
          <w:color w:val="auto"/>
          <w:spacing w:val="20"/>
          <w:sz w:val="32"/>
          <w:szCs w:val="32"/>
          <w:highlight w:val="none"/>
        </w:rPr>
        <w:t>十、投标人针对本项目的完整技术解决方案</w:t>
      </w:r>
    </w:p>
    <w:p w14:paraId="31DE0C1C">
      <w:pPr>
        <w:jc w:val="center"/>
        <w:rPr>
          <w:rFonts w:ascii="宋体" w:hAnsi="宋体"/>
          <w:color w:val="auto"/>
          <w:sz w:val="24"/>
          <w:highlight w:val="none"/>
        </w:rPr>
      </w:pPr>
      <w:r>
        <w:rPr>
          <w:rFonts w:hint="eastAsia" w:ascii="宋体" w:hAnsi="宋体"/>
          <w:color w:val="auto"/>
          <w:sz w:val="24"/>
          <w:highlight w:val="none"/>
        </w:rPr>
        <w:t>（</w:t>
      </w:r>
      <w:r>
        <w:rPr>
          <w:rFonts w:hint="eastAsia"/>
          <w:color w:val="auto"/>
          <w:spacing w:val="20"/>
          <w:sz w:val="24"/>
          <w:highlight w:val="none"/>
        </w:rPr>
        <w:t>由磋商响应方根据采购需求及采购文件要求编写</w:t>
      </w:r>
      <w:r>
        <w:rPr>
          <w:rFonts w:hint="eastAsia" w:ascii="宋体" w:hAnsi="宋体"/>
          <w:color w:val="auto"/>
          <w:sz w:val="24"/>
          <w:highlight w:val="none"/>
        </w:rPr>
        <w:t>）</w:t>
      </w:r>
    </w:p>
    <w:p w14:paraId="3DB65A82">
      <w:pPr>
        <w:widowControl/>
        <w:jc w:val="left"/>
        <w:rPr>
          <w:color w:val="auto"/>
          <w:highlight w:val="none"/>
        </w:rPr>
      </w:pPr>
    </w:p>
    <w:p w14:paraId="3487B159">
      <w:pPr>
        <w:widowControl/>
        <w:jc w:val="left"/>
        <w:rPr>
          <w:color w:val="auto"/>
          <w:highlight w:val="none"/>
        </w:rPr>
      </w:pPr>
    </w:p>
    <w:p w14:paraId="65216356">
      <w:pPr>
        <w:widowControl/>
        <w:jc w:val="left"/>
        <w:rPr>
          <w:color w:val="auto"/>
          <w:highlight w:val="none"/>
        </w:rPr>
      </w:pPr>
    </w:p>
    <w:p w14:paraId="02A6FC32">
      <w:pPr>
        <w:widowControl/>
        <w:jc w:val="left"/>
        <w:rPr>
          <w:color w:val="auto"/>
          <w:highlight w:val="none"/>
        </w:rPr>
      </w:pPr>
    </w:p>
    <w:p w14:paraId="6DF25A75">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69163E8F">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78CC712E">
      <w:pPr>
        <w:pStyle w:val="12"/>
        <w:spacing w:line="360" w:lineRule="auto"/>
        <w:outlineLvl w:val="1"/>
        <w:rPr>
          <w:rFonts w:hAnsi="宋体"/>
          <w:b/>
          <w:color w:val="auto"/>
          <w:sz w:val="24"/>
          <w:szCs w:val="24"/>
          <w:highlight w:val="none"/>
        </w:rPr>
      </w:pPr>
    </w:p>
    <w:p w14:paraId="6FF3342E">
      <w:pPr>
        <w:widowControl/>
        <w:jc w:val="left"/>
        <w:rPr>
          <w:b/>
          <w:color w:val="auto"/>
          <w:spacing w:val="20"/>
          <w:sz w:val="32"/>
          <w:szCs w:val="32"/>
          <w:highlight w:val="none"/>
        </w:rPr>
      </w:pPr>
      <w:r>
        <w:rPr>
          <w:b/>
          <w:color w:val="auto"/>
          <w:spacing w:val="20"/>
          <w:sz w:val="32"/>
          <w:szCs w:val="32"/>
          <w:highlight w:val="none"/>
        </w:rPr>
        <w:br w:type="page"/>
      </w:r>
    </w:p>
    <w:p w14:paraId="02D3E702">
      <w:pPr>
        <w:jc w:val="center"/>
        <w:outlineLvl w:val="2"/>
        <w:rPr>
          <w:b/>
          <w:color w:val="auto"/>
          <w:spacing w:val="20"/>
          <w:sz w:val="32"/>
          <w:szCs w:val="32"/>
          <w:highlight w:val="none"/>
        </w:rPr>
      </w:pPr>
      <w:r>
        <w:rPr>
          <w:rFonts w:hint="eastAsia"/>
          <w:b/>
          <w:color w:val="auto"/>
          <w:spacing w:val="20"/>
          <w:sz w:val="32"/>
          <w:szCs w:val="32"/>
          <w:highlight w:val="none"/>
        </w:rPr>
        <w:t>十一、组织实施方案</w:t>
      </w:r>
    </w:p>
    <w:p w14:paraId="3454DE7E">
      <w:pPr>
        <w:pStyle w:val="12"/>
        <w:spacing w:line="360" w:lineRule="auto"/>
        <w:jc w:val="center"/>
        <w:outlineLvl w:val="1"/>
        <w:rPr>
          <w:rFonts w:hAnsi="宋体"/>
          <w:b/>
          <w:color w:val="auto"/>
          <w:sz w:val="24"/>
          <w:szCs w:val="24"/>
          <w:highlight w:val="none"/>
        </w:rPr>
      </w:pPr>
      <w:r>
        <w:rPr>
          <w:rFonts w:hint="eastAsia" w:hAnsi="宋体"/>
          <w:color w:val="auto"/>
          <w:sz w:val="24"/>
          <w:highlight w:val="none"/>
        </w:rPr>
        <w:t>（</w:t>
      </w:r>
      <w:r>
        <w:rPr>
          <w:rFonts w:hint="eastAsia"/>
          <w:color w:val="auto"/>
          <w:spacing w:val="20"/>
          <w:sz w:val="24"/>
          <w:highlight w:val="none"/>
        </w:rPr>
        <w:t>由磋商响应方根据采购需求及采购文件要求编写</w:t>
      </w:r>
      <w:r>
        <w:rPr>
          <w:rFonts w:hint="eastAsia" w:hAnsi="宋体"/>
          <w:color w:val="auto"/>
          <w:sz w:val="24"/>
          <w:highlight w:val="none"/>
        </w:rPr>
        <w:t>）</w:t>
      </w:r>
    </w:p>
    <w:p w14:paraId="023F4E37">
      <w:pPr>
        <w:widowControl/>
        <w:jc w:val="left"/>
        <w:rPr>
          <w:color w:val="auto"/>
          <w:highlight w:val="none"/>
        </w:rPr>
      </w:pPr>
    </w:p>
    <w:p w14:paraId="67898AC5">
      <w:pPr>
        <w:widowControl/>
        <w:jc w:val="left"/>
        <w:rPr>
          <w:color w:val="auto"/>
          <w:highlight w:val="none"/>
        </w:rPr>
      </w:pPr>
    </w:p>
    <w:p w14:paraId="4E82E304">
      <w:pPr>
        <w:widowControl/>
        <w:jc w:val="left"/>
        <w:rPr>
          <w:color w:val="auto"/>
          <w:highlight w:val="none"/>
        </w:rPr>
      </w:pPr>
    </w:p>
    <w:p w14:paraId="7CFA0CC3">
      <w:pPr>
        <w:widowControl/>
        <w:jc w:val="left"/>
        <w:rPr>
          <w:color w:val="auto"/>
          <w:highlight w:val="none"/>
        </w:rPr>
      </w:pPr>
    </w:p>
    <w:p w14:paraId="2A36263F">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50CA4C0E">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06342C4A">
      <w:pPr>
        <w:pStyle w:val="10"/>
        <w:rPr>
          <w:color w:val="auto"/>
          <w:highlight w:val="none"/>
        </w:rPr>
      </w:pPr>
    </w:p>
    <w:p w14:paraId="68391AB8">
      <w:pPr>
        <w:widowControl/>
        <w:jc w:val="center"/>
        <w:rPr>
          <w:b/>
          <w:color w:val="auto"/>
          <w:sz w:val="36"/>
          <w:szCs w:val="36"/>
          <w:highlight w:val="none"/>
        </w:rPr>
      </w:pPr>
      <w:r>
        <w:rPr>
          <w:rFonts w:hint="eastAsia"/>
          <w:b/>
          <w:color w:val="auto"/>
          <w:spacing w:val="20"/>
          <w:sz w:val="32"/>
          <w:szCs w:val="32"/>
          <w:highlight w:val="none"/>
        </w:rPr>
        <w:t>十二、主要项目负责人履历表</w:t>
      </w:r>
    </w:p>
    <w:p w14:paraId="09C0811A">
      <w:pPr>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7E50E33A">
      <w:pPr>
        <w:spacing w:line="360" w:lineRule="auto"/>
        <w:rPr>
          <w:rFonts w:ascii="Arial" w:hAnsi="Arial" w:cs="Arial"/>
          <w:color w:val="auto"/>
          <w:spacing w:val="20"/>
          <w:sz w:val="24"/>
          <w:highlight w:val="none"/>
        </w:rPr>
      </w:pPr>
    </w:p>
    <w:p w14:paraId="120A3D3F">
      <w:pPr>
        <w:spacing w:line="360" w:lineRule="auto"/>
        <w:rPr>
          <w:rFonts w:ascii="宋体" w:hAnsi="宋体"/>
          <w:b/>
          <w:color w:val="auto"/>
          <w:spacing w:val="20"/>
          <w:sz w:val="30"/>
          <w:szCs w:val="30"/>
          <w:highlight w:val="non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4"/>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57"/>
        <w:gridCol w:w="1571"/>
        <w:gridCol w:w="4711"/>
      </w:tblGrid>
      <w:tr w14:paraId="62EB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1777E6F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957" w:type="dxa"/>
            <w:vAlign w:val="center"/>
          </w:tcPr>
          <w:p w14:paraId="496921C0">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571" w:type="dxa"/>
            <w:vAlign w:val="center"/>
          </w:tcPr>
          <w:p w14:paraId="35FE3AA9">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页码</w:t>
            </w:r>
          </w:p>
        </w:tc>
        <w:tc>
          <w:tcPr>
            <w:tcW w:w="4711" w:type="dxa"/>
          </w:tcPr>
          <w:p w14:paraId="57315E11">
            <w:pPr>
              <w:spacing w:line="360" w:lineRule="auto"/>
              <w:rPr>
                <w:rFonts w:ascii="宋体" w:hAnsi="宋体"/>
                <w:color w:val="auto"/>
                <w:spacing w:val="20"/>
                <w:sz w:val="24"/>
                <w:highlight w:val="none"/>
              </w:rPr>
            </w:pPr>
            <w:r>
              <w:rPr>
                <w:rFonts w:hint="eastAsia" w:ascii="宋体" w:hAnsi="宋体"/>
                <w:color w:val="auto"/>
                <w:spacing w:val="20"/>
                <w:sz w:val="24"/>
                <w:highlight w:val="none"/>
                <w:lang w:val="en-US" w:eastAsia="zh-CN"/>
              </w:rPr>
              <w:t>近3年</w:t>
            </w:r>
            <w:r>
              <w:rPr>
                <w:rFonts w:hint="eastAsia" w:ascii="宋体" w:hAnsi="宋体"/>
                <w:color w:val="auto"/>
                <w:spacing w:val="20"/>
                <w:sz w:val="24"/>
                <w:highlight w:val="none"/>
              </w:rPr>
              <w:t>业绩及承担的主要工作情况，曾担任项目经理的项目应列明细</w:t>
            </w:r>
          </w:p>
        </w:tc>
      </w:tr>
      <w:tr w14:paraId="7146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51E9872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957" w:type="dxa"/>
          </w:tcPr>
          <w:p w14:paraId="1F22DDC4">
            <w:pPr>
              <w:spacing w:line="360" w:lineRule="auto"/>
              <w:jc w:val="center"/>
              <w:rPr>
                <w:rFonts w:ascii="宋体" w:hAnsi="宋体"/>
                <w:color w:val="auto"/>
                <w:spacing w:val="20"/>
                <w:sz w:val="24"/>
                <w:highlight w:val="none"/>
              </w:rPr>
            </w:pPr>
          </w:p>
        </w:tc>
        <w:tc>
          <w:tcPr>
            <w:tcW w:w="1571" w:type="dxa"/>
          </w:tcPr>
          <w:p w14:paraId="1CEF51E1">
            <w:pPr>
              <w:spacing w:line="360" w:lineRule="auto"/>
              <w:jc w:val="center"/>
              <w:rPr>
                <w:rFonts w:ascii="宋体" w:hAnsi="宋体"/>
                <w:color w:val="auto"/>
                <w:spacing w:val="20"/>
                <w:sz w:val="24"/>
                <w:highlight w:val="none"/>
              </w:rPr>
            </w:pPr>
          </w:p>
        </w:tc>
        <w:tc>
          <w:tcPr>
            <w:tcW w:w="4711" w:type="dxa"/>
            <w:vMerge w:val="restart"/>
          </w:tcPr>
          <w:p w14:paraId="7E4B9421">
            <w:pPr>
              <w:spacing w:line="360" w:lineRule="auto"/>
              <w:jc w:val="center"/>
              <w:rPr>
                <w:rFonts w:ascii="宋体" w:hAnsi="宋体"/>
                <w:color w:val="auto"/>
                <w:spacing w:val="20"/>
                <w:sz w:val="24"/>
                <w:highlight w:val="none"/>
              </w:rPr>
            </w:pPr>
          </w:p>
        </w:tc>
      </w:tr>
      <w:tr w14:paraId="332F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7AA204F">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957" w:type="dxa"/>
          </w:tcPr>
          <w:p w14:paraId="2F4443F2">
            <w:pPr>
              <w:spacing w:line="360" w:lineRule="auto"/>
              <w:jc w:val="center"/>
              <w:rPr>
                <w:rFonts w:ascii="宋体" w:hAnsi="宋体"/>
                <w:color w:val="auto"/>
                <w:spacing w:val="20"/>
                <w:sz w:val="24"/>
                <w:highlight w:val="none"/>
              </w:rPr>
            </w:pPr>
          </w:p>
        </w:tc>
        <w:tc>
          <w:tcPr>
            <w:tcW w:w="1571" w:type="dxa"/>
          </w:tcPr>
          <w:p w14:paraId="1A397AD6">
            <w:pPr>
              <w:spacing w:line="360" w:lineRule="auto"/>
              <w:jc w:val="center"/>
              <w:rPr>
                <w:rFonts w:ascii="宋体" w:hAnsi="宋体"/>
                <w:color w:val="auto"/>
                <w:spacing w:val="20"/>
                <w:sz w:val="24"/>
                <w:highlight w:val="none"/>
              </w:rPr>
            </w:pPr>
          </w:p>
        </w:tc>
        <w:tc>
          <w:tcPr>
            <w:tcW w:w="4711" w:type="dxa"/>
            <w:vMerge w:val="continue"/>
          </w:tcPr>
          <w:p w14:paraId="11CA9BBE">
            <w:pPr>
              <w:spacing w:line="360" w:lineRule="auto"/>
              <w:jc w:val="center"/>
              <w:rPr>
                <w:rFonts w:ascii="宋体" w:hAnsi="宋体"/>
                <w:color w:val="auto"/>
                <w:spacing w:val="20"/>
                <w:sz w:val="24"/>
                <w:highlight w:val="none"/>
              </w:rPr>
            </w:pPr>
          </w:p>
        </w:tc>
      </w:tr>
      <w:tr w14:paraId="7FFE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283C1877">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职称</w:t>
            </w:r>
          </w:p>
        </w:tc>
        <w:tc>
          <w:tcPr>
            <w:tcW w:w="957" w:type="dxa"/>
          </w:tcPr>
          <w:p w14:paraId="29DE97A0">
            <w:pPr>
              <w:spacing w:line="360" w:lineRule="auto"/>
              <w:jc w:val="center"/>
              <w:rPr>
                <w:rFonts w:ascii="宋体" w:hAnsi="宋体"/>
                <w:color w:val="auto"/>
                <w:spacing w:val="20"/>
                <w:sz w:val="24"/>
                <w:highlight w:val="none"/>
              </w:rPr>
            </w:pPr>
          </w:p>
        </w:tc>
        <w:tc>
          <w:tcPr>
            <w:tcW w:w="1571" w:type="dxa"/>
          </w:tcPr>
          <w:p w14:paraId="6736E085">
            <w:pPr>
              <w:spacing w:line="360" w:lineRule="auto"/>
              <w:jc w:val="center"/>
              <w:rPr>
                <w:rFonts w:ascii="宋体" w:hAnsi="宋体"/>
                <w:color w:val="auto"/>
                <w:spacing w:val="20"/>
                <w:sz w:val="24"/>
                <w:highlight w:val="none"/>
              </w:rPr>
            </w:pPr>
          </w:p>
        </w:tc>
        <w:tc>
          <w:tcPr>
            <w:tcW w:w="4711" w:type="dxa"/>
            <w:vMerge w:val="continue"/>
          </w:tcPr>
          <w:p w14:paraId="4B4530ED">
            <w:pPr>
              <w:spacing w:line="360" w:lineRule="auto"/>
              <w:jc w:val="center"/>
              <w:rPr>
                <w:rFonts w:ascii="宋体" w:hAnsi="宋体"/>
                <w:color w:val="auto"/>
                <w:spacing w:val="20"/>
                <w:sz w:val="24"/>
                <w:highlight w:val="none"/>
              </w:rPr>
            </w:pPr>
          </w:p>
        </w:tc>
      </w:tr>
      <w:tr w14:paraId="2655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DE3B83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毕业时间</w:t>
            </w:r>
          </w:p>
        </w:tc>
        <w:tc>
          <w:tcPr>
            <w:tcW w:w="957" w:type="dxa"/>
          </w:tcPr>
          <w:p w14:paraId="28E538DE">
            <w:pPr>
              <w:spacing w:line="360" w:lineRule="auto"/>
              <w:jc w:val="center"/>
              <w:rPr>
                <w:rFonts w:ascii="宋体" w:hAnsi="宋体"/>
                <w:color w:val="auto"/>
                <w:spacing w:val="20"/>
                <w:sz w:val="24"/>
                <w:highlight w:val="none"/>
              </w:rPr>
            </w:pPr>
          </w:p>
        </w:tc>
        <w:tc>
          <w:tcPr>
            <w:tcW w:w="1571" w:type="dxa"/>
          </w:tcPr>
          <w:p w14:paraId="048A0BDE">
            <w:pPr>
              <w:spacing w:line="360" w:lineRule="auto"/>
              <w:jc w:val="center"/>
              <w:rPr>
                <w:rFonts w:ascii="宋体" w:hAnsi="宋体"/>
                <w:color w:val="auto"/>
                <w:spacing w:val="20"/>
                <w:sz w:val="24"/>
                <w:highlight w:val="none"/>
              </w:rPr>
            </w:pPr>
          </w:p>
        </w:tc>
        <w:tc>
          <w:tcPr>
            <w:tcW w:w="4711" w:type="dxa"/>
            <w:vMerge w:val="continue"/>
          </w:tcPr>
          <w:p w14:paraId="5287ADD4">
            <w:pPr>
              <w:spacing w:line="360" w:lineRule="auto"/>
              <w:jc w:val="center"/>
              <w:rPr>
                <w:rFonts w:ascii="宋体" w:hAnsi="宋体"/>
                <w:color w:val="auto"/>
                <w:spacing w:val="20"/>
                <w:sz w:val="24"/>
                <w:highlight w:val="none"/>
              </w:rPr>
            </w:pPr>
          </w:p>
        </w:tc>
      </w:tr>
      <w:tr w14:paraId="1D2B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12416B9A">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所学专业</w:t>
            </w:r>
          </w:p>
        </w:tc>
        <w:tc>
          <w:tcPr>
            <w:tcW w:w="957" w:type="dxa"/>
          </w:tcPr>
          <w:p w14:paraId="5D406D73">
            <w:pPr>
              <w:spacing w:line="360" w:lineRule="auto"/>
              <w:jc w:val="center"/>
              <w:rPr>
                <w:rFonts w:ascii="宋体" w:hAnsi="宋体"/>
                <w:color w:val="auto"/>
                <w:spacing w:val="20"/>
                <w:sz w:val="24"/>
                <w:highlight w:val="none"/>
              </w:rPr>
            </w:pPr>
          </w:p>
        </w:tc>
        <w:tc>
          <w:tcPr>
            <w:tcW w:w="1571" w:type="dxa"/>
          </w:tcPr>
          <w:p w14:paraId="06E804B0">
            <w:pPr>
              <w:spacing w:line="360" w:lineRule="auto"/>
              <w:jc w:val="center"/>
              <w:rPr>
                <w:rFonts w:ascii="宋体" w:hAnsi="宋体"/>
                <w:color w:val="auto"/>
                <w:spacing w:val="20"/>
                <w:sz w:val="24"/>
                <w:highlight w:val="none"/>
              </w:rPr>
            </w:pPr>
          </w:p>
        </w:tc>
        <w:tc>
          <w:tcPr>
            <w:tcW w:w="4711" w:type="dxa"/>
            <w:vMerge w:val="continue"/>
          </w:tcPr>
          <w:p w14:paraId="2B60B40F">
            <w:pPr>
              <w:spacing w:line="360" w:lineRule="auto"/>
              <w:jc w:val="center"/>
              <w:rPr>
                <w:rFonts w:ascii="宋体" w:hAnsi="宋体"/>
                <w:color w:val="auto"/>
                <w:spacing w:val="20"/>
                <w:sz w:val="24"/>
                <w:highlight w:val="none"/>
              </w:rPr>
            </w:pPr>
          </w:p>
        </w:tc>
      </w:tr>
      <w:tr w14:paraId="7818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4A417AB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学历</w:t>
            </w:r>
          </w:p>
        </w:tc>
        <w:tc>
          <w:tcPr>
            <w:tcW w:w="957" w:type="dxa"/>
          </w:tcPr>
          <w:p w14:paraId="56404BD5">
            <w:pPr>
              <w:spacing w:line="360" w:lineRule="auto"/>
              <w:jc w:val="center"/>
              <w:rPr>
                <w:rFonts w:ascii="宋体" w:hAnsi="宋体"/>
                <w:color w:val="auto"/>
                <w:spacing w:val="20"/>
                <w:sz w:val="24"/>
                <w:highlight w:val="none"/>
              </w:rPr>
            </w:pPr>
          </w:p>
        </w:tc>
        <w:tc>
          <w:tcPr>
            <w:tcW w:w="1571" w:type="dxa"/>
          </w:tcPr>
          <w:p w14:paraId="634B31AF">
            <w:pPr>
              <w:spacing w:line="360" w:lineRule="auto"/>
              <w:jc w:val="center"/>
              <w:rPr>
                <w:rFonts w:ascii="宋体" w:hAnsi="宋体"/>
                <w:color w:val="auto"/>
                <w:spacing w:val="20"/>
                <w:sz w:val="24"/>
                <w:highlight w:val="none"/>
              </w:rPr>
            </w:pPr>
          </w:p>
        </w:tc>
        <w:tc>
          <w:tcPr>
            <w:tcW w:w="4711" w:type="dxa"/>
            <w:vMerge w:val="continue"/>
          </w:tcPr>
          <w:p w14:paraId="061B7CC6">
            <w:pPr>
              <w:spacing w:line="360" w:lineRule="auto"/>
              <w:jc w:val="center"/>
              <w:rPr>
                <w:rFonts w:ascii="宋体" w:hAnsi="宋体"/>
                <w:color w:val="auto"/>
                <w:spacing w:val="20"/>
                <w:sz w:val="24"/>
                <w:highlight w:val="none"/>
              </w:rPr>
            </w:pPr>
          </w:p>
        </w:tc>
      </w:tr>
      <w:tr w14:paraId="74C1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095C48CC">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纸质证书编号</w:t>
            </w:r>
          </w:p>
        </w:tc>
        <w:tc>
          <w:tcPr>
            <w:tcW w:w="957" w:type="dxa"/>
          </w:tcPr>
          <w:p w14:paraId="3EF0A579">
            <w:pPr>
              <w:spacing w:line="360" w:lineRule="auto"/>
              <w:jc w:val="center"/>
              <w:rPr>
                <w:rFonts w:ascii="宋体" w:hAnsi="宋体"/>
                <w:color w:val="auto"/>
                <w:spacing w:val="20"/>
                <w:sz w:val="24"/>
                <w:highlight w:val="none"/>
              </w:rPr>
            </w:pPr>
          </w:p>
        </w:tc>
        <w:tc>
          <w:tcPr>
            <w:tcW w:w="1571" w:type="dxa"/>
          </w:tcPr>
          <w:p w14:paraId="0CE641AA">
            <w:pPr>
              <w:spacing w:line="360" w:lineRule="auto"/>
              <w:jc w:val="center"/>
              <w:rPr>
                <w:rFonts w:ascii="宋体" w:hAnsi="宋体"/>
                <w:color w:val="auto"/>
                <w:spacing w:val="20"/>
                <w:sz w:val="24"/>
                <w:highlight w:val="none"/>
              </w:rPr>
            </w:pPr>
          </w:p>
        </w:tc>
        <w:tc>
          <w:tcPr>
            <w:tcW w:w="4711" w:type="dxa"/>
            <w:vMerge w:val="continue"/>
          </w:tcPr>
          <w:p w14:paraId="63C88780">
            <w:pPr>
              <w:spacing w:line="360" w:lineRule="auto"/>
              <w:jc w:val="center"/>
              <w:rPr>
                <w:rFonts w:ascii="宋体" w:hAnsi="宋体"/>
                <w:color w:val="auto"/>
                <w:spacing w:val="20"/>
                <w:sz w:val="24"/>
                <w:highlight w:val="none"/>
              </w:rPr>
            </w:pPr>
          </w:p>
        </w:tc>
      </w:tr>
      <w:tr w14:paraId="7185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BB04144">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其他资质情况</w:t>
            </w:r>
          </w:p>
        </w:tc>
        <w:tc>
          <w:tcPr>
            <w:tcW w:w="957" w:type="dxa"/>
          </w:tcPr>
          <w:p w14:paraId="121C5F22">
            <w:pPr>
              <w:spacing w:line="360" w:lineRule="auto"/>
              <w:jc w:val="center"/>
              <w:rPr>
                <w:rFonts w:ascii="宋体" w:hAnsi="宋体"/>
                <w:color w:val="auto"/>
                <w:spacing w:val="20"/>
                <w:sz w:val="24"/>
                <w:highlight w:val="none"/>
              </w:rPr>
            </w:pPr>
          </w:p>
        </w:tc>
        <w:tc>
          <w:tcPr>
            <w:tcW w:w="1571" w:type="dxa"/>
          </w:tcPr>
          <w:p w14:paraId="73771C8C">
            <w:pPr>
              <w:spacing w:line="360" w:lineRule="auto"/>
              <w:jc w:val="center"/>
              <w:rPr>
                <w:rFonts w:ascii="宋体" w:hAnsi="宋体"/>
                <w:color w:val="auto"/>
                <w:spacing w:val="20"/>
                <w:sz w:val="24"/>
                <w:highlight w:val="none"/>
              </w:rPr>
            </w:pPr>
          </w:p>
        </w:tc>
        <w:tc>
          <w:tcPr>
            <w:tcW w:w="4711" w:type="dxa"/>
            <w:vMerge w:val="continue"/>
          </w:tcPr>
          <w:p w14:paraId="2F46B2B9">
            <w:pPr>
              <w:spacing w:line="360" w:lineRule="auto"/>
              <w:jc w:val="center"/>
              <w:rPr>
                <w:rFonts w:ascii="宋体" w:hAnsi="宋体"/>
                <w:color w:val="auto"/>
                <w:spacing w:val="20"/>
                <w:sz w:val="24"/>
                <w:highlight w:val="none"/>
              </w:rPr>
            </w:pPr>
          </w:p>
        </w:tc>
      </w:tr>
      <w:tr w14:paraId="3496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14:paraId="3D9A810A">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联系电话</w:t>
            </w:r>
          </w:p>
        </w:tc>
        <w:tc>
          <w:tcPr>
            <w:tcW w:w="957" w:type="dxa"/>
          </w:tcPr>
          <w:p w14:paraId="2CDDAF37">
            <w:pPr>
              <w:spacing w:line="360" w:lineRule="auto"/>
              <w:jc w:val="center"/>
              <w:rPr>
                <w:rFonts w:ascii="宋体" w:hAnsi="宋体"/>
                <w:color w:val="auto"/>
                <w:spacing w:val="20"/>
                <w:sz w:val="24"/>
                <w:highlight w:val="none"/>
              </w:rPr>
            </w:pPr>
          </w:p>
        </w:tc>
        <w:tc>
          <w:tcPr>
            <w:tcW w:w="1571" w:type="dxa"/>
          </w:tcPr>
          <w:p w14:paraId="280894E1">
            <w:pPr>
              <w:spacing w:line="360" w:lineRule="auto"/>
              <w:jc w:val="center"/>
              <w:rPr>
                <w:rFonts w:ascii="宋体" w:hAnsi="宋体"/>
                <w:color w:val="auto"/>
                <w:spacing w:val="20"/>
                <w:sz w:val="24"/>
                <w:highlight w:val="none"/>
              </w:rPr>
            </w:pPr>
          </w:p>
        </w:tc>
        <w:tc>
          <w:tcPr>
            <w:tcW w:w="4711" w:type="dxa"/>
            <w:vMerge w:val="continue"/>
          </w:tcPr>
          <w:p w14:paraId="351DA317">
            <w:pPr>
              <w:spacing w:line="360" w:lineRule="auto"/>
              <w:jc w:val="center"/>
              <w:rPr>
                <w:rFonts w:ascii="宋体" w:hAnsi="宋体"/>
                <w:color w:val="auto"/>
                <w:spacing w:val="20"/>
                <w:sz w:val="24"/>
                <w:highlight w:val="none"/>
              </w:rPr>
            </w:pPr>
          </w:p>
        </w:tc>
      </w:tr>
    </w:tbl>
    <w:p w14:paraId="73DFA122">
      <w:pPr>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注：磋商响应方可按上述的格式自行编制，须随表提交相应的证书复印件并注明所在投标技术文件页码。</w:t>
      </w:r>
    </w:p>
    <w:p w14:paraId="06CF08A3">
      <w:pPr>
        <w:spacing w:line="360" w:lineRule="auto"/>
        <w:ind w:right="560" w:firstLine="1200" w:firstLineChars="500"/>
        <w:jc w:val="right"/>
        <w:rPr>
          <w:rFonts w:hAnsi="宋体"/>
          <w:color w:val="auto"/>
          <w:sz w:val="24"/>
          <w:highlight w:val="none"/>
        </w:rPr>
      </w:pPr>
    </w:p>
    <w:p w14:paraId="3250B404">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7A9CF622">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17FA5A4B">
      <w:pPr>
        <w:widowControl/>
        <w:jc w:val="left"/>
        <w:rPr>
          <w:b/>
          <w:color w:val="auto"/>
          <w:spacing w:val="20"/>
          <w:sz w:val="32"/>
          <w:szCs w:val="32"/>
          <w:highlight w:val="none"/>
        </w:rPr>
      </w:pPr>
      <w:r>
        <w:rPr>
          <w:b/>
          <w:color w:val="auto"/>
          <w:spacing w:val="20"/>
          <w:sz w:val="32"/>
          <w:szCs w:val="32"/>
          <w:highlight w:val="none"/>
        </w:rPr>
        <w:br w:type="page"/>
      </w:r>
    </w:p>
    <w:p w14:paraId="3090D7E4">
      <w:pPr>
        <w:jc w:val="center"/>
        <w:outlineLvl w:val="2"/>
        <w:rPr>
          <w:b/>
          <w:color w:val="auto"/>
          <w:sz w:val="36"/>
          <w:szCs w:val="36"/>
          <w:highlight w:val="none"/>
        </w:rPr>
      </w:pPr>
      <w:r>
        <w:rPr>
          <w:rFonts w:hint="eastAsia"/>
          <w:b/>
          <w:color w:val="auto"/>
          <w:spacing w:val="20"/>
          <w:sz w:val="32"/>
          <w:szCs w:val="32"/>
          <w:highlight w:val="none"/>
        </w:rPr>
        <w:t>十三、项目小组名单</w:t>
      </w:r>
    </w:p>
    <w:p w14:paraId="14A77B68">
      <w:pPr>
        <w:jc w:val="center"/>
        <w:rPr>
          <w:rFonts w:ascii="宋体" w:hAnsi="宋体"/>
          <w:color w:val="auto"/>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14B2426C">
      <w:pPr>
        <w:spacing w:line="360" w:lineRule="auto"/>
        <w:rPr>
          <w:rFonts w:ascii="Arial" w:hAnsi="Arial" w:cs="Arial"/>
          <w:color w:val="auto"/>
          <w:spacing w:val="20"/>
          <w:sz w:val="24"/>
          <w:highlight w:val="none"/>
        </w:rPr>
      </w:pPr>
    </w:p>
    <w:p w14:paraId="782717FB">
      <w:pPr>
        <w:spacing w:line="360" w:lineRule="auto"/>
        <w:rPr>
          <w:rFonts w:ascii="宋体" w:hAnsi="宋体"/>
          <w:color w:val="auto"/>
          <w:spacing w:val="20"/>
          <w:sz w:val="24"/>
          <w:highlight w:val="non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84"/>
        <w:gridCol w:w="782"/>
        <w:gridCol w:w="784"/>
        <w:gridCol w:w="784"/>
        <w:gridCol w:w="784"/>
        <w:gridCol w:w="784"/>
        <w:gridCol w:w="784"/>
        <w:gridCol w:w="784"/>
        <w:gridCol w:w="784"/>
        <w:gridCol w:w="1109"/>
      </w:tblGrid>
      <w:tr w14:paraId="08DE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72A34EC">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序号</w:t>
            </w:r>
          </w:p>
        </w:tc>
        <w:tc>
          <w:tcPr>
            <w:tcW w:w="784" w:type="dxa"/>
          </w:tcPr>
          <w:p w14:paraId="6D921C69">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类别</w:t>
            </w:r>
          </w:p>
        </w:tc>
        <w:tc>
          <w:tcPr>
            <w:tcW w:w="782" w:type="dxa"/>
          </w:tcPr>
          <w:p w14:paraId="6C26E3DB">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784" w:type="dxa"/>
          </w:tcPr>
          <w:p w14:paraId="0159247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784" w:type="dxa"/>
          </w:tcPr>
          <w:p w14:paraId="2F8965E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784" w:type="dxa"/>
          </w:tcPr>
          <w:p w14:paraId="7169BD7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学历（页码）</w:t>
            </w:r>
          </w:p>
        </w:tc>
        <w:tc>
          <w:tcPr>
            <w:tcW w:w="784" w:type="dxa"/>
          </w:tcPr>
          <w:p w14:paraId="147E8C6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专业（页码）</w:t>
            </w:r>
          </w:p>
        </w:tc>
        <w:tc>
          <w:tcPr>
            <w:tcW w:w="784" w:type="dxa"/>
          </w:tcPr>
          <w:p w14:paraId="63CC9B0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职称（页码）</w:t>
            </w:r>
          </w:p>
        </w:tc>
        <w:tc>
          <w:tcPr>
            <w:tcW w:w="784" w:type="dxa"/>
          </w:tcPr>
          <w:p w14:paraId="48BA880C">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本项目中的职责</w:t>
            </w:r>
          </w:p>
        </w:tc>
        <w:tc>
          <w:tcPr>
            <w:tcW w:w="784" w:type="dxa"/>
          </w:tcPr>
          <w:p w14:paraId="2278B7F6">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项目经历</w:t>
            </w:r>
          </w:p>
        </w:tc>
        <w:tc>
          <w:tcPr>
            <w:tcW w:w="1109" w:type="dxa"/>
          </w:tcPr>
          <w:p w14:paraId="600268CE">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参与本项目的到位情况</w:t>
            </w:r>
          </w:p>
        </w:tc>
      </w:tr>
      <w:tr w14:paraId="5F4C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C74C2E1">
            <w:pPr>
              <w:spacing w:line="360" w:lineRule="auto"/>
              <w:jc w:val="center"/>
              <w:rPr>
                <w:rFonts w:ascii="宋体" w:hAnsi="宋体"/>
                <w:color w:val="auto"/>
                <w:spacing w:val="20"/>
                <w:sz w:val="24"/>
                <w:highlight w:val="none"/>
              </w:rPr>
            </w:pPr>
          </w:p>
        </w:tc>
        <w:tc>
          <w:tcPr>
            <w:tcW w:w="784" w:type="dxa"/>
          </w:tcPr>
          <w:p w14:paraId="5C6F8FEB">
            <w:pPr>
              <w:spacing w:line="360" w:lineRule="auto"/>
              <w:jc w:val="center"/>
              <w:rPr>
                <w:rFonts w:ascii="宋体" w:hAnsi="宋体"/>
                <w:color w:val="auto"/>
                <w:spacing w:val="20"/>
                <w:sz w:val="24"/>
                <w:highlight w:val="none"/>
              </w:rPr>
            </w:pPr>
          </w:p>
        </w:tc>
        <w:tc>
          <w:tcPr>
            <w:tcW w:w="782" w:type="dxa"/>
          </w:tcPr>
          <w:p w14:paraId="42769478">
            <w:pPr>
              <w:spacing w:line="360" w:lineRule="auto"/>
              <w:jc w:val="center"/>
              <w:rPr>
                <w:rFonts w:ascii="宋体" w:hAnsi="宋体"/>
                <w:color w:val="auto"/>
                <w:spacing w:val="20"/>
                <w:sz w:val="24"/>
                <w:highlight w:val="none"/>
              </w:rPr>
            </w:pPr>
          </w:p>
        </w:tc>
        <w:tc>
          <w:tcPr>
            <w:tcW w:w="784" w:type="dxa"/>
          </w:tcPr>
          <w:p w14:paraId="3322DAC8">
            <w:pPr>
              <w:spacing w:line="360" w:lineRule="auto"/>
              <w:jc w:val="center"/>
              <w:rPr>
                <w:rFonts w:ascii="宋体" w:hAnsi="宋体"/>
                <w:color w:val="auto"/>
                <w:spacing w:val="20"/>
                <w:sz w:val="24"/>
                <w:highlight w:val="none"/>
              </w:rPr>
            </w:pPr>
          </w:p>
        </w:tc>
        <w:tc>
          <w:tcPr>
            <w:tcW w:w="784" w:type="dxa"/>
          </w:tcPr>
          <w:p w14:paraId="6A7E8FD9">
            <w:pPr>
              <w:spacing w:line="360" w:lineRule="auto"/>
              <w:jc w:val="center"/>
              <w:rPr>
                <w:rFonts w:ascii="宋体" w:hAnsi="宋体"/>
                <w:color w:val="auto"/>
                <w:spacing w:val="20"/>
                <w:sz w:val="24"/>
                <w:highlight w:val="none"/>
              </w:rPr>
            </w:pPr>
          </w:p>
        </w:tc>
        <w:tc>
          <w:tcPr>
            <w:tcW w:w="784" w:type="dxa"/>
          </w:tcPr>
          <w:p w14:paraId="4B22B187">
            <w:pPr>
              <w:spacing w:line="360" w:lineRule="auto"/>
              <w:jc w:val="center"/>
              <w:rPr>
                <w:rFonts w:ascii="宋体" w:hAnsi="宋体"/>
                <w:color w:val="auto"/>
                <w:spacing w:val="20"/>
                <w:sz w:val="24"/>
                <w:highlight w:val="none"/>
              </w:rPr>
            </w:pPr>
          </w:p>
        </w:tc>
        <w:tc>
          <w:tcPr>
            <w:tcW w:w="784" w:type="dxa"/>
          </w:tcPr>
          <w:p w14:paraId="417CD9AF">
            <w:pPr>
              <w:spacing w:line="360" w:lineRule="auto"/>
              <w:jc w:val="center"/>
              <w:rPr>
                <w:rFonts w:ascii="宋体" w:hAnsi="宋体"/>
                <w:color w:val="auto"/>
                <w:spacing w:val="20"/>
                <w:sz w:val="24"/>
                <w:highlight w:val="none"/>
              </w:rPr>
            </w:pPr>
          </w:p>
        </w:tc>
        <w:tc>
          <w:tcPr>
            <w:tcW w:w="784" w:type="dxa"/>
          </w:tcPr>
          <w:p w14:paraId="5D2FA7B7">
            <w:pPr>
              <w:spacing w:line="360" w:lineRule="auto"/>
              <w:jc w:val="center"/>
              <w:rPr>
                <w:rFonts w:ascii="宋体" w:hAnsi="宋体"/>
                <w:color w:val="auto"/>
                <w:spacing w:val="20"/>
                <w:sz w:val="24"/>
                <w:highlight w:val="none"/>
              </w:rPr>
            </w:pPr>
          </w:p>
        </w:tc>
        <w:tc>
          <w:tcPr>
            <w:tcW w:w="784" w:type="dxa"/>
          </w:tcPr>
          <w:p w14:paraId="68631181">
            <w:pPr>
              <w:spacing w:line="360" w:lineRule="auto"/>
              <w:jc w:val="center"/>
              <w:rPr>
                <w:rFonts w:ascii="宋体" w:hAnsi="宋体"/>
                <w:color w:val="auto"/>
                <w:spacing w:val="20"/>
                <w:sz w:val="24"/>
                <w:highlight w:val="none"/>
              </w:rPr>
            </w:pPr>
          </w:p>
        </w:tc>
        <w:tc>
          <w:tcPr>
            <w:tcW w:w="784" w:type="dxa"/>
          </w:tcPr>
          <w:p w14:paraId="501BF3CD">
            <w:pPr>
              <w:spacing w:line="360" w:lineRule="auto"/>
              <w:jc w:val="center"/>
              <w:rPr>
                <w:rFonts w:ascii="宋体" w:hAnsi="宋体"/>
                <w:color w:val="auto"/>
                <w:spacing w:val="20"/>
                <w:sz w:val="24"/>
                <w:highlight w:val="none"/>
              </w:rPr>
            </w:pPr>
          </w:p>
        </w:tc>
        <w:tc>
          <w:tcPr>
            <w:tcW w:w="1109" w:type="dxa"/>
          </w:tcPr>
          <w:p w14:paraId="50858812">
            <w:pPr>
              <w:spacing w:line="360" w:lineRule="auto"/>
              <w:jc w:val="center"/>
              <w:rPr>
                <w:rFonts w:ascii="宋体" w:hAnsi="宋体"/>
                <w:color w:val="auto"/>
                <w:spacing w:val="20"/>
                <w:sz w:val="24"/>
                <w:highlight w:val="none"/>
              </w:rPr>
            </w:pPr>
          </w:p>
        </w:tc>
      </w:tr>
      <w:tr w14:paraId="7941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D81035C">
            <w:pPr>
              <w:spacing w:line="360" w:lineRule="auto"/>
              <w:jc w:val="center"/>
              <w:rPr>
                <w:rFonts w:ascii="宋体" w:hAnsi="宋体"/>
                <w:color w:val="auto"/>
                <w:spacing w:val="20"/>
                <w:sz w:val="24"/>
                <w:highlight w:val="none"/>
              </w:rPr>
            </w:pPr>
          </w:p>
        </w:tc>
        <w:tc>
          <w:tcPr>
            <w:tcW w:w="784" w:type="dxa"/>
          </w:tcPr>
          <w:p w14:paraId="1351846E">
            <w:pPr>
              <w:spacing w:line="360" w:lineRule="auto"/>
              <w:jc w:val="center"/>
              <w:rPr>
                <w:rFonts w:ascii="宋体" w:hAnsi="宋体"/>
                <w:color w:val="auto"/>
                <w:spacing w:val="20"/>
                <w:sz w:val="24"/>
                <w:highlight w:val="none"/>
              </w:rPr>
            </w:pPr>
          </w:p>
        </w:tc>
        <w:tc>
          <w:tcPr>
            <w:tcW w:w="782" w:type="dxa"/>
          </w:tcPr>
          <w:p w14:paraId="54ADF255">
            <w:pPr>
              <w:spacing w:line="360" w:lineRule="auto"/>
              <w:jc w:val="center"/>
              <w:rPr>
                <w:rFonts w:ascii="宋体" w:hAnsi="宋体"/>
                <w:color w:val="auto"/>
                <w:spacing w:val="20"/>
                <w:sz w:val="24"/>
                <w:highlight w:val="none"/>
              </w:rPr>
            </w:pPr>
          </w:p>
        </w:tc>
        <w:tc>
          <w:tcPr>
            <w:tcW w:w="784" w:type="dxa"/>
          </w:tcPr>
          <w:p w14:paraId="751D4C50">
            <w:pPr>
              <w:spacing w:line="360" w:lineRule="auto"/>
              <w:jc w:val="center"/>
              <w:rPr>
                <w:rFonts w:ascii="宋体" w:hAnsi="宋体"/>
                <w:color w:val="auto"/>
                <w:spacing w:val="20"/>
                <w:sz w:val="24"/>
                <w:highlight w:val="none"/>
              </w:rPr>
            </w:pPr>
          </w:p>
        </w:tc>
        <w:tc>
          <w:tcPr>
            <w:tcW w:w="784" w:type="dxa"/>
          </w:tcPr>
          <w:p w14:paraId="13A5739C">
            <w:pPr>
              <w:spacing w:line="360" w:lineRule="auto"/>
              <w:jc w:val="center"/>
              <w:rPr>
                <w:rFonts w:ascii="宋体" w:hAnsi="宋体"/>
                <w:color w:val="auto"/>
                <w:spacing w:val="20"/>
                <w:sz w:val="24"/>
                <w:highlight w:val="none"/>
              </w:rPr>
            </w:pPr>
          </w:p>
        </w:tc>
        <w:tc>
          <w:tcPr>
            <w:tcW w:w="784" w:type="dxa"/>
          </w:tcPr>
          <w:p w14:paraId="1FC5736C">
            <w:pPr>
              <w:spacing w:line="360" w:lineRule="auto"/>
              <w:jc w:val="center"/>
              <w:rPr>
                <w:rFonts w:ascii="宋体" w:hAnsi="宋体"/>
                <w:color w:val="auto"/>
                <w:spacing w:val="20"/>
                <w:sz w:val="24"/>
                <w:highlight w:val="none"/>
              </w:rPr>
            </w:pPr>
          </w:p>
        </w:tc>
        <w:tc>
          <w:tcPr>
            <w:tcW w:w="784" w:type="dxa"/>
          </w:tcPr>
          <w:p w14:paraId="752B8F0D">
            <w:pPr>
              <w:spacing w:line="360" w:lineRule="auto"/>
              <w:jc w:val="center"/>
              <w:rPr>
                <w:rFonts w:ascii="宋体" w:hAnsi="宋体"/>
                <w:color w:val="auto"/>
                <w:spacing w:val="20"/>
                <w:sz w:val="24"/>
                <w:highlight w:val="none"/>
              </w:rPr>
            </w:pPr>
          </w:p>
        </w:tc>
        <w:tc>
          <w:tcPr>
            <w:tcW w:w="784" w:type="dxa"/>
          </w:tcPr>
          <w:p w14:paraId="56A2358E">
            <w:pPr>
              <w:spacing w:line="360" w:lineRule="auto"/>
              <w:jc w:val="center"/>
              <w:rPr>
                <w:rFonts w:ascii="宋体" w:hAnsi="宋体"/>
                <w:color w:val="auto"/>
                <w:spacing w:val="20"/>
                <w:sz w:val="24"/>
                <w:highlight w:val="none"/>
              </w:rPr>
            </w:pPr>
          </w:p>
        </w:tc>
        <w:tc>
          <w:tcPr>
            <w:tcW w:w="784" w:type="dxa"/>
          </w:tcPr>
          <w:p w14:paraId="5D5E5B26">
            <w:pPr>
              <w:spacing w:line="360" w:lineRule="auto"/>
              <w:jc w:val="center"/>
              <w:rPr>
                <w:rFonts w:ascii="宋体" w:hAnsi="宋体"/>
                <w:color w:val="auto"/>
                <w:spacing w:val="20"/>
                <w:sz w:val="24"/>
                <w:highlight w:val="none"/>
              </w:rPr>
            </w:pPr>
          </w:p>
        </w:tc>
        <w:tc>
          <w:tcPr>
            <w:tcW w:w="784" w:type="dxa"/>
          </w:tcPr>
          <w:p w14:paraId="4B30A6CA">
            <w:pPr>
              <w:spacing w:line="360" w:lineRule="auto"/>
              <w:jc w:val="center"/>
              <w:rPr>
                <w:rFonts w:ascii="宋体" w:hAnsi="宋体"/>
                <w:color w:val="auto"/>
                <w:spacing w:val="20"/>
                <w:sz w:val="24"/>
                <w:highlight w:val="none"/>
              </w:rPr>
            </w:pPr>
          </w:p>
        </w:tc>
        <w:tc>
          <w:tcPr>
            <w:tcW w:w="1109" w:type="dxa"/>
          </w:tcPr>
          <w:p w14:paraId="565E7C2A">
            <w:pPr>
              <w:spacing w:line="360" w:lineRule="auto"/>
              <w:jc w:val="center"/>
              <w:rPr>
                <w:rFonts w:ascii="宋体" w:hAnsi="宋体"/>
                <w:color w:val="auto"/>
                <w:spacing w:val="20"/>
                <w:sz w:val="24"/>
                <w:highlight w:val="none"/>
              </w:rPr>
            </w:pPr>
          </w:p>
        </w:tc>
      </w:tr>
      <w:tr w14:paraId="29B9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E382EAA">
            <w:pPr>
              <w:spacing w:line="360" w:lineRule="auto"/>
              <w:jc w:val="center"/>
              <w:rPr>
                <w:rFonts w:ascii="宋体" w:hAnsi="宋体"/>
                <w:color w:val="auto"/>
                <w:spacing w:val="20"/>
                <w:sz w:val="24"/>
                <w:highlight w:val="none"/>
              </w:rPr>
            </w:pPr>
          </w:p>
        </w:tc>
        <w:tc>
          <w:tcPr>
            <w:tcW w:w="784" w:type="dxa"/>
          </w:tcPr>
          <w:p w14:paraId="1E7363FC">
            <w:pPr>
              <w:spacing w:line="360" w:lineRule="auto"/>
              <w:jc w:val="center"/>
              <w:rPr>
                <w:rFonts w:ascii="宋体" w:hAnsi="宋体"/>
                <w:color w:val="auto"/>
                <w:spacing w:val="20"/>
                <w:sz w:val="24"/>
                <w:highlight w:val="none"/>
              </w:rPr>
            </w:pPr>
          </w:p>
        </w:tc>
        <w:tc>
          <w:tcPr>
            <w:tcW w:w="782" w:type="dxa"/>
          </w:tcPr>
          <w:p w14:paraId="08D25C27">
            <w:pPr>
              <w:spacing w:line="360" w:lineRule="auto"/>
              <w:jc w:val="center"/>
              <w:rPr>
                <w:rFonts w:ascii="宋体" w:hAnsi="宋体"/>
                <w:color w:val="auto"/>
                <w:spacing w:val="20"/>
                <w:sz w:val="24"/>
                <w:highlight w:val="none"/>
              </w:rPr>
            </w:pPr>
          </w:p>
        </w:tc>
        <w:tc>
          <w:tcPr>
            <w:tcW w:w="784" w:type="dxa"/>
          </w:tcPr>
          <w:p w14:paraId="749FFBBF">
            <w:pPr>
              <w:spacing w:line="360" w:lineRule="auto"/>
              <w:jc w:val="center"/>
              <w:rPr>
                <w:rFonts w:ascii="宋体" w:hAnsi="宋体"/>
                <w:color w:val="auto"/>
                <w:spacing w:val="20"/>
                <w:sz w:val="24"/>
                <w:highlight w:val="none"/>
              </w:rPr>
            </w:pPr>
          </w:p>
        </w:tc>
        <w:tc>
          <w:tcPr>
            <w:tcW w:w="784" w:type="dxa"/>
          </w:tcPr>
          <w:p w14:paraId="7EA149B7">
            <w:pPr>
              <w:spacing w:line="360" w:lineRule="auto"/>
              <w:jc w:val="center"/>
              <w:rPr>
                <w:rFonts w:ascii="宋体" w:hAnsi="宋体"/>
                <w:color w:val="auto"/>
                <w:spacing w:val="20"/>
                <w:sz w:val="24"/>
                <w:highlight w:val="none"/>
              </w:rPr>
            </w:pPr>
          </w:p>
        </w:tc>
        <w:tc>
          <w:tcPr>
            <w:tcW w:w="784" w:type="dxa"/>
          </w:tcPr>
          <w:p w14:paraId="436D0009">
            <w:pPr>
              <w:spacing w:line="360" w:lineRule="auto"/>
              <w:jc w:val="center"/>
              <w:rPr>
                <w:rFonts w:ascii="宋体" w:hAnsi="宋体"/>
                <w:color w:val="auto"/>
                <w:spacing w:val="20"/>
                <w:sz w:val="24"/>
                <w:highlight w:val="none"/>
              </w:rPr>
            </w:pPr>
          </w:p>
        </w:tc>
        <w:tc>
          <w:tcPr>
            <w:tcW w:w="784" w:type="dxa"/>
          </w:tcPr>
          <w:p w14:paraId="2879F79A">
            <w:pPr>
              <w:spacing w:line="360" w:lineRule="auto"/>
              <w:jc w:val="center"/>
              <w:rPr>
                <w:rFonts w:ascii="宋体" w:hAnsi="宋体"/>
                <w:color w:val="auto"/>
                <w:spacing w:val="20"/>
                <w:sz w:val="24"/>
                <w:highlight w:val="none"/>
              </w:rPr>
            </w:pPr>
          </w:p>
        </w:tc>
        <w:tc>
          <w:tcPr>
            <w:tcW w:w="784" w:type="dxa"/>
          </w:tcPr>
          <w:p w14:paraId="3EB88750">
            <w:pPr>
              <w:spacing w:line="360" w:lineRule="auto"/>
              <w:jc w:val="center"/>
              <w:rPr>
                <w:rFonts w:ascii="宋体" w:hAnsi="宋体"/>
                <w:color w:val="auto"/>
                <w:spacing w:val="20"/>
                <w:sz w:val="24"/>
                <w:highlight w:val="none"/>
              </w:rPr>
            </w:pPr>
          </w:p>
        </w:tc>
        <w:tc>
          <w:tcPr>
            <w:tcW w:w="784" w:type="dxa"/>
          </w:tcPr>
          <w:p w14:paraId="44D690A3">
            <w:pPr>
              <w:spacing w:line="360" w:lineRule="auto"/>
              <w:jc w:val="center"/>
              <w:rPr>
                <w:rFonts w:ascii="宋体" w:hAnsi="宋体"/>
                <w:color w:val="auto"/>
                <w:spacing w:val="20"/>
                <w:sz w:val="24"/>
                <w:highlight w:val="none"/>
              </w:rPr>
            </w:pPr>
          </w:p>
        </w:tc>
        <w:tc>
          <w:tcPr>
            <w:tcW w:w="784" w:type="dxa"/>
          </w:tcPr>
          <w:p w14:paraId="6848ACDF">
            <w:pPr>
              <w:spacing w:line="360" w:lineRule="auto"/>
              <w:jc w:val="center"/>
              <w:rPr>
                <w:rFonts w:ascii="宋体" w:hAnsi="宋体"/>
                <w:color w:val="auto"/>
                <w:spacing w:val="20"/>
                <w:sz w:val="24"/>
                <w:highlight w:val="none"/>
              </w:rPr>
            </w:pPr>
          </w:p>
        </w:tc>
        <w:tc>
          <w:tcPr>
            <w:tcW w:w="1109" w:type="dxa"/>
          </w:tcPr>
          <w:p w14:paraId="58C5A9B4">
            <w:pPr>
              <w:spacing w:line="360" w:lineRule="auto"/>
              <w:jc w:val="center"/>
              <w:rPr>
                <w:rFonts w:ascii="宋体" w:hAnsi="宋体"/>
                <w:color w:val="auto"/>
                <w:spacing w:val="20"/>
                <w:sz w:val="24"/>
                <w:highlight w:val="none"/>
              </w:rPr>
            </w:pPr>
          </w:p>
        </w:tc>
      </w:tr>
      <w:tr w14:paraId="78AB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1908882">
            <w:pPr>
              <w:spacing w:line="360" w:lineRule="auto"/>
              <w:jc w:val="center"/>
              <w:rPr>
                <w:rFonts w:ascii="宋体" w:hAnsi="宋体"/>
                <w:color w:val="auto"/>
                <w:spacing w:val="20"/>
                <w:sz w:val="24"/>
                <w:highlight w:val="none"/>
              </w:rPr>
            </w:pPr>
          </w:p>
        </w:tc>
        <w:tc>
          <w:tcPr>
            <w:tcW w:w="784" w:type="dxa"/>
          </w:tcPr>
          <w:p w14:paraId="08452F7D">
            <w:pPr>
              <w:spacing w:line="360" w:lineRule="auto"/>
              <w:jc w:val="center"/>
              <w:rPr>
                <w:rFonts w:ascii="宋体" w:hAnsi="宋体"/>
                <w:color w:val="auto"/>
                <w:spacing w:val="20"/>
                <w:sz w:val="24"/>
                <w:highlight w:val="none"/>
              </w:rPr>
            </w:pPr>
          </w:p>
        </w:tc>
        <w:tc>
          <w:tcPr>
            <w:tcW w:w="782" w:type="dxa"/>
          </w:tcPr>
          <w:p w14:paraId="7613F940">
            <w:pPr>
              <w:spacing w:line="360" w:lineRule="auto"/>
              <w:jc w:val="center"/>
              <w:rPr>
                <w:rFonts w:ascii="宋体" w:hAnsi="宋体"/>
                <w:color w:val="auto"/>
                <w:spacing w:val="20"/>
                <w:sz w:val="24"/>
                <w:highlight w:val="none"/>
              </w:rPr>
            </w:pPr>
          </w:p>
        </w:tc>
        <w:tc>
          <w:tcPr>
            <w:tcW w:w="784" w:type="dxa"/>
          </w:tcPr>
          <w:p w14:paraId="6ACA43BA">
            <w:pPr>
              <w:spacing w:line="360" w:lineRule="auto"/>
              <w:jc w:val="center"/>
              <w:rPr>
                <w:rFonts w:ascii="宋体" w:hAnsi="宋体"/>
                <w:color w:val="auto"/>
                <w:spacing w:val="20"/>
                <w:sz w:val="24"/>
                <w:highlight w:val="none"/>
              </w:rPr>
            </w:pPr>
          </w:p>
        </w:tc>
        <w:tc>
          <w:tcPr>
            <w:tcW w:w="784" w:type="dxa"/>
          </w:tcPr>
          <w:p w14:paraId="4EA806B1">
            <w:pPr>
              <w:spacing w:line="360" w:lineRule="auto"/>
              <w:jc w:val="center"/>
              <w:rPr>
                <w:rFonts w:ascii="宋体" w:hAnsi="宋体"/>
                <w:color w:val="auto"/>
                <w:spacing w:val="20"/>
                <w:sz w:val="24"/>
                <w:highlight w:val="none"/>
              </w:rPr>
            </w:pPr>
          </w:p>
        </w:tc>
        <w:tc>
          <w:tcPr>
            <w:tcW w:w="784" w:type="dxa"/>
          </w:tcPr>
          <w:p w14:paraId="7006F456">
            <w:pPr>
              <w:spacing w:line="360" w:lineRule="auto"/>
              <w:jc w:val="center"/>
              <w:rPr>
                <w:rFonts w:ascii="宋体" w:hAnsi="宋体"/>
                <w:color w:val="auto"/>
                <w:spacing w:val="20"/>
                <w:sz w:val="24"/>
                <w:highlight w:val="none"/>
              </w:rPr>
            </w:pPr>
          </w:p>
        </w:tc>
        <w:tc>
          <w:tcPr>
            <w:tcW w:w="784" w:type="dxa"/>
          </w:tcPr>
          <w:p w14:paraId="78425876">
            <w:pPr>
              <w:spacing w:line="360" w:lineRule="auto"/>
              <w:jc w:val="center"/>
              <w:rPr>
                <w:rFonts w:ascii="宋体" w:hAnsi="宋体"/>
                <w:color w:val="auto"/>
                <w:spacing w:val="20"/>
                <w:sz w:val="24"/>
                <w:highlight w:val="none"/>
              </w:rPr>
            </w:pPr>
          </w:p>
        </w:tc>
        <w:tc>
          <w:tcPr>
            <w:tcW w:w="784" w:type="dxa"/>
          </w:tcPr>
          <w:p w14:paraId="385E47DC">
            <w:pPr>
              <w:spacing w:line="360" w:lineRule="auto"/>
              <w:jc w:val="center"/>
              <w:rPr>
                <w:rFonts w:ascii="宋体" w:hAnsi="宋体"/>
                <w:color w:val="auto"/>
                <w:spacing w:val="20"/>
                <w:sz w:val="24"/>
                <w:highlight w:val="none"/>
              </w:rPr>
            </w:pPr>
          </w:p>
        </w:tc>
        <w:tc>
          <w:tcPr>
            <w:tcW w:w="784" w:type="dxa"/>
          </w:tcPr>
          <w:p w14:paraId="0087E5E1">
            <w:pPr>
              <w:spacing w:line="360" w:lineRule="auto"/>
              <w:jc w:val="center"/>
              <w:rPr>
                <w:rFonts w:ascii="宋体" w:hAnsi="宋体"/>
                <w:color w:val="auto"/>
                <w:spacing w:val="20"/>
                <w:sz w:val="24"/>
                <w:highlight w:val="none"/>
              </w:rPr>
            </w:pPr>
          </w:p>
        </w:tc>
        <w:tc>
          <w:tcPr>
            <w:tcW w:w="784" w:type="dxa"/>
          </w:tcPr>
          <w:p w14:paraId="71C8F1E2">
            <w:pPr>
              <w:spacing w:line="360" w:lineRule="auto"/>
              <w:jc w:val="center"/>
              <w:rPr>
                <w:rFonts w:ascii="宋体" w:hAnsi="宋体"/>
                <w:color w:val="auto"/>
                <w:spacing w:val="20"/>
                <w:sz w:val="24"/>
                <w:highlight w:val="none"/>
              </w:rPr>
            </w:pPr>
          </w:p>
        </w:tc>
        <w:tc>
          <w:tcPr>
            <w:tcW w:w="1109" w:type="dxa"/>
          </w:tcPr>
          <w:p w14:paraId="695A4F74">
            <w:pPr>
              <w:spacing w:line="360" w:lineRule="auto"/>
              <w:jc w:val="center"/>
              <w:rPr>
                <w:rFonts w:ascii="宋体" w:hAnsi="宋体"/>
                <w:color w:val="auto"/>
                <w:spacing w:val="20"/>
                <w:sz w:val="24"/>
                <w:highlight w:val="none"/>
              </w:rPr>
            </w:pPr>
          </w:p>
        </w:tc>
      </w:tr>
    </w:tbl>
    <w:p w14:paraId="5B843582">
      <w:pPr>
        <w:spacing w:line="360" w:lineRule="auto"/>
        <w:rPr>
          <w:rFonts w:ascii="宋体" w:hAnsi="宋体"/>
          <w:color w:val="auto"/>
          <w:spacing w:val="20"/>
          <w:sz w:val="24"/>
          <w:highlight w:val="none"/>
        </w:rPr>
      </w:pPr>
      <w:r>
        <w:rPr>
          <w:rFonts w:hint="eastAsia" w:ascii="宋体" w:hAnsi="宋体"/>
          <w:color w:val="auto"/>
          <w:spacing w:val="20"/>
          <w:sz w:val="24"/>
          <w:highlight w:val="none"/>
        </w:rPr>
        <w:t>注：磋商响应方可按上述的格式自行编制，须随表提交相应的证书复印件并注明所在投标技术文件页码。</w:t>
      </w:r>
    </w:p>
    <w:p w14:paraId="2AEF19DD">
      <w:pPr>
        <w:spacing w:line="360" w:lineRule="auto"/>
        <w:rPr>
          <w:rFonts w:ascii="宋体" w:hAnsi="宋体"/>
          <w:color w:val="auto"/>
          <w:sz w:val="24"/>
          <w:highlight w:val="none"/>
        </w:rPr>
      </w:pPr>
    </w:p>
    <w:p w14:paraId="69D6580D">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2982BABC">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566D9337">
      <w:pPr>
        <w:spacing w:line="360" w:lineRule="auto"/>
        <w:rPr>
          <w:rFonts w:ascii="宋体" w:hAnsi="宋体"/>
          <w:color w:val="auto"/>
          <w:spacing w:val="20"/>
          <w:sz w:val="24"/>
          <w:highlight w:val="none"/>
        </w:rPr>
      </w:pPr>
    </w:p>
    <w:p w14:paraId="1104B263">
      <w:pPr>
        <w:widowControl/>
        <w:jc w:val="left"/>
        <w:rPr>
          <w:color w:val="auto"/>
          <w:highlight w:val="none"/>
        </w:rPr>
      </w:pPr>
    </w:p>
    <w:p w14:paraId="1DD7D4E6">
      <w:pPr>
        <w:jc w:val="center"/>
        <w:outlineLvl w:val="2"/>
        <w:rPr>
          <w:rFonts w:ascii="宋体" w:hAnsi="宋体"/>
          <w:color w:val="auto"/>
          <w:spacing w:val="20"/>
          <w:sz w:val="24"/>
          <w:highlight w:val="none"/>
        </w:rPr>
      </w:pPr>
    </w:p>
    <w:p w14:paraId="001B7CE0">
      <w:pPr>
        <w:widowControl/>
        <w:jc w:val="center"/>
        <w:rPr>
          <w:rFonts w:ascii="宋体" w:hAnsi="宋体"/>
          <w:b/>
          <w:bCs/>
          <w:color w:val="auto"/>
          <w:sz w:val="32"/>
          <w:szCs w:val="32"/>
          <w:highlight w:val="none"/>
        </w:rPr>
      </w:pPr>
      <w:r>
        <w:rPr>
          <w:rFonts w:hint="eastAsia" w:ascii="宋体" w:hAnsi="宋体"/>
          <w:b/>
          <w:bCs/>
          <w:color w:val="auto"/>
          <w:sz w:val="32"/>
          <w:szCs w:val="32"/>
          <w:highlight w:val="none"/>
        </w:rPr>
        <w:t>十四、服务承诺</w:t>
      </w:r>
    </w:p>
    <w:p w14:paraId="5F0C2972">
      <w:pPr>
        <w:spacing w:line="360" w:lineRule="auto"/>
        <w:jc w:val="center"/>
        <w:rPr>
          <w:color w:val="auto"/>
          <w:spacing w:val="20"/>
          <w:sz w:val="24"/>
          <w:highlight w:val="none"/>
        </w:rPr>
      </w:pPr>
      <w:r>
        <w:rPr>
          <w:color w:val="auto"/>
          <w:spacing w:val="20"/>
          <w:sz w:val="24"/>
          <w:highlight w:val="none"/>
        </w:rPr>
        <w:t>（由</w:t>
      </w:r>
      <w:r>
        <w:rPr>
          <w:rFonts w:hint="eastAsia"/>
          <w:color w:val="auto"/>
          <w:spacing w:val="20"/>
          <w:sz w:val="24"/>
          <w:highlight w:val="none"/>
        </w:rPr>
        <w:t>磋商响应方</w:t>
      </w:r>
      <w:r>
        <w:rPr>
          <w:color w:val="auto"/>
          <w:spacing w:val="20"/>
          <w:sz w:val="24"/>
          <w:highlight w:val="none"/>
        </w:rPr>
        <w:t>根据采购需求自行编制）</w:t>
      </w:r>
    </w:p>
    <w:p w14:paraId="3B03077B">
      <w:pPr>
        <w:widowControl/>
        <w:jc w:val="left"/>
        <w:rPr>
          <w:color w:val="auto"/>
          <w:highlight w:val="none"/>
        </w:rPr>
      </w:pPr>
    </w:p>
    <w:p w14:paraId="005C66F1">
      <w:pPr>
        <w:widowControl/>
        <w:jc w:val="left"/>
        <w:rPr>
          <w:color w:val="auto"/>
          <w:highlight w:val="none"/>
        </w:rPr>
      </w:pPr>
    </w:p>
    <w:p w14:paraId="5B264B0C">
      <w:pPr>
        <w:widowControl/>
        <w:jc w:val="left"/>
        <w:rPr>
          <w:color w:val="auto"/>
          <w:highlight w:val="none"/>
        </w:rPr>
      </w:pPr>
    </w:p>
    <w:p w14:paraId="566E957C">
      <w:pPr>
        <w:widowControl/>
        <w:jc w:val="left"/>
        <w:rPr>
          <w:color w:val="auto"/>
          <w:highlight w:val="none"/>
        </w:rPr>
      </w:pPr>
    </w:p>
    <w:p w14:paraId="0AD8E486">
      <w:pPr>
        <w:widowControl/>
        <w:jc w:val="left"/>
        <w:rPr>
          <w:color w:val="auto"/>
          <w:highlight w:val="none"/>
        </w:rPr>
      </w:pPr>
    </w:p>
    <w:p w14:paraId="461896B5">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30D07460">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470B78C5">
      <w:pPr>
        <w:widowControl/>
        <w:jc w:val="center"/>
        <w:rPr>
          <w:rFonts w:ascii="宋体" w:hAnsi="宋体"/>
          <w:b/>
          <w:bCs/>
          <w:color w:val="auto"/>
          <w:sz w:val="32"/>
          <w:szCs w:val="32"/>
          <w:highlight w:val="none"/>
        </w:rPr>
      </w:pPr>
    </w:p>
    <w:p w14:paraId="727770BC">
      <w:pPr>
        <w:widowControl/>
        <w:jc w:val="left"/>
        <w:rPr>
          <w:b/>
          <w:color w:val="auto"/>
          <w:spacing w:val="20"/>
          <w:sz w:val="32"/>
          <w:szCs w:val="32"/>
          <w:highlight w:val="none"/>
        </w:rPr>
      </w:pPr>
      <w:r>
        <w:rPr>
          <w:b/>
          <w:color w:val="auto"/>
          <w:spacing w:val="20"/>
          <w:sz w:val="32"/>
          <w:szCs w:val="32"/>
          <w:highlight w:val="none"/>
        </w:rPr>
        <w:br w:type="page"/>
      </w:r>
    </w:p>
    <w:p w14:paraId="2C2CB5CF">
      <w:pPr>
        <w:spacing w:line="480" w:lineRule="auto"/>
        <w:jc w:val="center"/>
        <w:rPr>
          <w:b/>
          <w:color w:val="auto"/>
          <w:spacing w:val="20"/>
          <w:sz w:val="32"/>
          <w:szCs w:val="32"/>
          <w:highlight w:val="none"/>
        </w:rPr>
      </w:pPr>
      <w:r>
        <w:rPr>
          <w:rFonts w:hint="eastAsia"/>
          <w:b/>
          <w:color w:val="auto"/>
          <w:spacing w:val="20"/>
          <w:sz w:val="32"/>
          <w:szCs w:val="32"/>
          <w:highlight w:val="none"/>
        </w:rPr>
        <w:t>十五、对采购文件中有关条款的拒绝声明</w:t>
      </w:r>
    </w:p>
    <w:p w14:paraId="1BF80FD8">
      <w:pPr>
        <w:spacing w:line="480" w:lineRule="auto"/>
        <w:jc w:val="center"/>
        <w:rPr>
          <w:color w:val="auto"/>
          <w:spacing w:val="20"/>
          <w:sz w:val="24"/>
          <w:highlight w:val="none"/>
        </w:rPr>
      </w:pPr>
      <w:r>
        <w:rPr>
          <w:rFonts w:hint="eastAsia"/>
          <w:color w:val="auto"/>
          <w:spacing w:val="20"/>
          <w:sz w:val="24"/>
          <w:highlight w:val="none"/>
        </w:rPr>
        <w:t>（由磋商响应方根据采购需求自行编制）</w:t>
      </w:r>
    </w:p>
    <w:p w14:paraId="50B913DB">
      <w:pPr>
        <w:jc w:val="center"/>
        <w:rPr>
          <w:b/>
          <w:color w:val="auto"/>
          <w:spacing w:val="20"/>
          <w:sz w:val="24"/>
          <w:highlight w:val="none"/>
        </w:rPr>
      </w:pPr>
    </w:p>
    <w:p w14:paraId="43003447">
      <w:pPr>
        <w:jc w:val="center"/>
        <w:rPr>
          <w:b/>
          <w:color w:val="auto"/>
          <w:spacing w:val="20"/>
          <w:sz w:val="24"/>
          <w:highlight w:val="none"/>
        </w:rPr>
      </w:pPr>
    </w:p>
    <w:p w14:paraId="0B2B305F">
      <w:pPr>
        <w:jc w:val="center"/>
        <w:rPr>
          <w:b/>
          <w:color w:val="auto"/>
          <w:spacing w:val="20"/>
          <w:sz w:val="24"/>
          <w:highlight w:val="none"/>
        </w:rPr>
      </w:pPr>
    </w:p>
    <w:p w14:paraId="4466E70C">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0FD948C1">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381EA5EC">
      <w:pPr>
        <w:spacing w:line="480" w:lineRule="auto"/>
        <w:jc w:val="center"/>
        <w:rPr>
          <w:b/>
          <w:color w:val="auto"/>
          <w:spacing w:val="20"/>
          <w:sz w:val="32"/>
          <w:szCs w:val="32"/>
          <w:highlight w:val="none"/>
        </w:rPr>
      </w:pPr>
    </w:p>
    <w:p w14:paraId="7660D00D">
      <w:pPr>
        <w:spacing w:line="480" w:lineRule="auto"/>
        <w:jc w:val="center"/>
        <w:rPr>
          <w:b/>
          <w:color w:val="auto"/>
          <w:spacing w:val="20"/>
          <w:sz w:val="32"/>
          <w:szCs w:val="32"/>
          <w:highlight w:val="none"/>
        </w:rPr>
      </w:pPr>
      <w:r>
        <w:rPr>
          <w:rFonts w:hint="eastAsia"/>
          <w:b/>
          <w:color w:val="auto"/>
          <w:spacing w:val="20"/>
          <w:sz w:val="32"/>
          <w:szCs w:val="32"/>
          <w:highlight w:val="none"/>
        </w:rPr>
        <w:t>十六、其它文件或说明</w:t>
      </w:r>
    </w:p>
    <w:p w14:paraId="2445D036">
      <w:pPr>
        <w:spacing w:line="360" w:lineRule="auto"/>
        <w:jc w:val="right"/>
        <w:rPr>
          <w:rFonts w:hAnsi="宋体"/>
          <w:color w:val="auto"/>
          <w:sz w:val="24"/>
          <w:highlight w:val="none"/>
        </w:rPr>
      </w:pPr>
    </w:p>
    <w:p w14:paraId="000F165A">
      <w:pPr>
        <w:spacing w:line="360" w:lineRule="auto"/>
        <w:jc w:val="right"/>
        <w:rPr>
          <w:rFonts w:hAnsi="宋体"/>
          <w:color w:val="auto"/>
          <w:sz w:val="24"/>
          <w:highlight w:val="none"/>
        </w:rPr>
      </w:pPr>
    </w:p>
    <w:p w14:paraId="22162372">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6F26C7A8">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710E271F">
      <w:pPr>
        <w:jc w:val="center"/>
        <w:outlineLvl w:val="2"/>
        <w:rPr>
          <w:rFonts w:ascii="宋体" w:hAnsi="宋体"/>
          <w:b/>
          <w:bCs/>
          <w:color w:val="auto"/>
          <w:sz w:val="32"/>
          <w:szCs w:val="32"/>
          <w:highlight w:val="none"/>
        </w:rPr>
      </w:pPr>
    </w:p>
    <w:p w14:paraId="44F70F7E">
      <w:pPr>
        <w:widowControl/>
        <w:jc w:val="left"/>
        <w:rPr>
          <w:rFonts w:ascii="宋体" w:hAnsi="宋体"/>
          <w:b/>
          <w:bCs/>
          <w:color w:val="auto"/>
          <w:sz w:val="32"/>
          <w:szCs w:val="32"/>
          <w:highlight w:val="none"/>
        </w:rPr>
      </w:pPr>
      <w:r>
        <w:rPr>
          <w:rFonts w:ascii="宋体" w:hAnsi="宋体"/>
          <w:b/>
          <w:bCs/>
          <w:color w:val="auto"/>
          <w:sz w:val="32"/>
          <w:szCs w:val="32"/>
          <w:highlight w:val="none"/>
        </w:rPr>
        <w:br w:type="page"/>
      </w:r>
    </w:p>
    <w:p w14:paraId="0009E765">
      <w:pPr>
        <w:widowControl/>
        <w:jc w:val="center"/>
        <w:rPr>
          <w:b/>
          <w:color w:val="auto"/>
          <w:sz w:val="32"/>
          <w:szCs w:val="32"/>
          <w:highlight w:val="none"/>
        </w:rPr>
      </w:pPr>
      <w:r>
        <w:rPr>
          <w:rFonts w:hint="eastAsia" w:ascii="宋体" w:hAnsi="宋体"/>
          <w:b/>
          <w:bCs/>
          <w:color w:val="auto"/>
          <w:sz w:val="32"/>
          <w:szCs w:val="32"/>
          <w:highlight w:val="none"/>
        </w:rPr>
        <w:t>十七、</w:t>
      </w:r>
      <w:r>
        <w:rPr>
          <w:rFonts w:hint="eastAsia"/>
          <w:b/>
          <w:color w:val="auto"/>
          <w:sz w:val="32"/>
          <w:szCs w:val="32"/>
          <w:highlight w:val="none"/>
        </w:rPr>
        <w:t>廉政承诺书</w:t>
      </w:r>
    </w:p>
    <w:p w14:paraId="77B7FA33">
      <w:pPr>
        <w:rPr>
          <w:color w:val="auto"/>
          <w:highlight w:val="none"/>
        </w:rPr>
      </w:pPr>
    </w:p>
    <w:p w14:paraId="7403CF1F">
      <w:pPr>
        <w:spacing w:line="360" w:lineRule="auto"/>
        <w:contextualSpacing/>
        <w:rPr>
          <w:b/>
          <w:color w:val="auto"/>
          <w:sz w:val="28"/>
          <w:szCs w:val="28"/>
          <w:highlight w:val="none"/>
        </w:rPr>
      </w:pPr>
      <w:r>
        <w:rPr>
          <w:rFonts w:hint="eastAsia"/>
          <w:b/>
          <w:color w:val="auto"/>
          <w:sz w:val="28"/>
          <w:szCs w:val="28"/>
          <w:highlight w:val="none"/>
        </w:rPr>
        <w:t>中共浙江省委老干部局：</w:t>
      </w:r>
    </w:p>
    <w:p w14:paraId="73B5A06A">
      <w:pPr>
        <w:spacing w:line="360" w:lineRule="auto"/>
        <w:ind w:firstLine="480" w:firstLineChars="200"/>
        <w:contextualSpacing/>
        <w:rPr>
          <w:color w:val="auto"/>
          <w:sz w:val="24"/>
          <w:highlight w:val="none"/>
        </w:rPr>
      </w:pPr>
      <w:r>
        <w:rPr>
          <w:rFonts w:hint="eastAsia"/>
          <w:color w:val="auto"/>
          <w:sz w:val="24"/>
          <w:highlight w:val="none"/>
        </w:rPr>
        <w:t>我单位响应你单位项目招标要求参加投标。在这次投标过程中和中标后，我们将严格遵守国家法律法规要求，并郑重承诺：</w:t>
      </w:r>
    </w:p>
    <w:p w14:paraId="431DC3E8">
      <w:pPr>
        <w:spacing w:line="360" w:lineRule="auto"/>
        <w:ind w:firstLine="480" w:firstLineChars="200"/>
        <w:contextualSpacing/>
        <w:rPr>
          <w:color w:val="auto"/>
          <w:sz w:val="24"/>
          <w:highlight w:val="none"/>
        </w:rPr>
      </w:pPr>
      <w:r>
        <w:rPr>
          <w:rFonts w:hint="eastAsia"/>
          <w:color w:val="auto"/>
          <w:sz w:val="24"/>
          <w:highlight w:val="none"/>
        </w:rPr>
        <w:t>一、不向项目有关人员及部门赠送礼金礼物、有价证券、回扣以及中介费、介绍费、咨询费等好处费；</w:t>
      </w:r>
    </w:p>
    <w:p w14:paraId="50C11B55">
      <w:pPr>
        <w:spacing w:line="360" w:lineRule="auto"/>
        <w:ind w:firstLine="480" w:firstLineChars="200"/>
        <w:contextualSpacing/>
        <w:rPr>
          <w:color w:val="auto"/>
          <w:sz w:val="24"/>
          <w:highlight w:val="none"/>
        </w:rPr>
      </w:pPr>
      <w:r>
        <w:rPr>
          <w:rFonts w:hint="eastAsia"/>
          <w:color w:val="auto"/>
          <w:sz w:val="24"/>
          <w:highlight w:val="none"/>
        </w:rPr>
        <w:t>二、不为项目有关人员及部门报销应由你方单位或个人支付的费用；</w:t>
      </w:r>
    </w:p>
    <w:p w14:paraId="11EB4272">
      <w:pPr>
        <w:spacing w:line="360" w:lineRule="auto"/>
        <w:ind w:firstLine="480" w:firstLineChars="200"/>
        <w:contextualSpacing/>
        <w:rPr>
          <w:color w:val="auto"/>
          <w:sz w:val="24"/>
          <w:highlight w:val="none"/>
        </w:rPr>
      </w:pPr>
      <w:r>
        <w:rPr>
          <w:rFonts w:hint="eastAsia"/>
          <w:color w:val="auto"/>
          <w:sz w:val="24"/>
          <w:highlight w:val="none"/>
        </w:rPr>
        <w:t>三、不向项目有关人员及部门提供有可能影响公正的宴请和健身娱乐等活动；</w:t>
      </w:r>
    </w:p>
    <w:p w14:paraId="51B1D9CF">
      <w:pPr>
        <w:spacing w:line="360" w:lineRule="auto"/>
        <w:ind w:firstLine="480" w:firstLineChars="200"/>
        <w:contextualSpacing/>
        <w:rPr>
          <w:color w:val="auto"/>
          <w:sz w:val="24"/>
          <w:highlight w:val="none"/>
        </w:rPr>
      </w:pPr>
      <w:r>
        <w:rPr>
          <w:rFonts w:hint="eastAsia"/>
          <w:color w:val="auto"/>
          <w:sz w:val="24"/>
          <w:highlight w:val="none"/>
        </w:rPr>
        <w:t>四、不为项目有关人员及部门出国（境）、旅游等提供方便；</w:t>
      </w:r>
    </w:p>
    <w:p w14:paraId="35A19A40">
      <w:pPr>
        <w:spacing w:line="360" w:lineRule="auto"/>
        <w:ind w:firstLine="480" w:firstLineChars="200"/>
        <w:contextualSpacing/>
        <w:rPr>
          <w:color w:val="auto"/>
          <w:sz w:val="24"/>
          <w:highlight w:val="none"/>
        </w:rPr>
      </w:pPr>
      <w:r>
        <w:rPr>
          <w:rFonts w:hint="eastAsia"/>
          <w:color w:val="auto"/>
          <w:sz w:val="24"/>
          <w:highlight w:val="none"/>
        </w:rPr>
        <w:t>五、不为项目有关人员个人装修住房、婚丧嫁娶、配偶子女工作安排等提供好处；</w:t>
      </w:r>
    </w:p>
    <w:p w14:paraId="71631F79">
      <w:pPr>
        <w:spacing w:line="360" w:lineRule="auto"/>
        <w:ind w:firstLine="480" w:firstLineChars="200"/>
        <w:contextualSpacing/>
        <w:rPr>
          <w:color w:val="auto"/>
          <w:sz w:val="24"/>
          <w:highlight w:val="none"/>
        </w:rPr>
      </w:pPr>
      <w:r>
        <w:rPr>
          <w:rFonts w:hint="eastAsia"/>
          <w:color w:val="auto"/>
          <w:sz w:val="24"/>
          <w:highlight w:val="none"/>
        </w:rPr>
        <w:t>六、严格遵守政府采购法、招标投标法、合同法等法律，诚实守信，合法经营，坚决抵制各种违法违纪行为。</w:t>
      </w:r>
    </w:p>
    <w:p w14:paraId="49016AE6">
      <w:pPr>
        <w:spacing w:line="360" w:lineRule="auto"/>
        <w:ind w:firstLine="480" w:firstLineChars="200"/>
        <w:contextualSpacing/>
        <w:rPr>
          <w:color w:val="auto"/>
          <w:sz w:val="24"/>
          <w:highlight w:val="none"/>
        </w:rPr>
      </w:pPr>
      <w:r>
        <w:rPr>
          <w:rFonts w:hint="eastAsia"/>
          <w:color w:val="auto"/>
          <w:sz w:val="24"/>
          <w:highlight w:val="none"/>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14:paraId="506C346E">
      <w:pPr>
        <w:spacing w:line="360" w:lineRule="auto"/>
        <w:rPr>
          <w:color w:val="auto"/>
          <w:sz w:val="24"/>
          <w:highlight w:val="none"/>
        </w:rPr>
      </w:pPr>
    </w:p>
    <w:p w14:paraId="5E55A176">
      <w:pPr>
        <w:spacing w:line="360" w:lineRule="auto"/>
        <w:rPr>
          <w:color w:val="auto"/>
          <w:sz w:val="24"/>
          <w:highlight w:val="none"/>
        </w:rPr>
      </w:pPr>
    </w:p>
    <w:p w14:paraId="5E0DF93E">
      <w:pPr>
        <w:spacing w:line="360" w:lineRule="auto"/>
        <w:rPr>
          <w:color w:val="auto"/>
          <w:sz w:val="24"/>
          <w:highlight w:val="none"/>
        </w:rPr>
      </w:pPr>
    </w:p>
    <w:p w14:paraId="315302D5">
      <w:pPr>
        <w:spacing w:line="360" w:lineRule="auto"/>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3A0829AE">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00CDF0B2">
      <w:pPr>
        <w:spacing w:line="360" w:lineRule="auto"/>
        <w:jc w:val="center"/>
        <w:rPr>
          <w:b/>
          <w:color w:val="auto"/>
          <w:spacing w:val="20"/>
          <w:sz w:val="32"/>
          <w:szCs w:val="32"/>
          <w:highlight w:val="none"/>
        </w:rPr>
      </w:pPr>
    </w:p>
    <w:p w14:paraId="68AE7747">
      <w:pPr>
        <w:widowControl/>
        <w:spacing w:line="360" w:lineRule="auto"/>
        <w:contextualSpacing/>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color w:val="auto"/>
          <w:sz w:val="24"/>
          <w:highlight w:val="none"/>
        </w:rPr>
        <w:t>附4</w:t>
      </w:r>
    </w:p>
    <w:p w14:paraId="35238529">
      <w:pPr>
        <w:jc w:val="center"/>
        <w:rPr>
          <w:rFonts w:ascii="宋体" w:hAnsi="宋体"/>
          <w:b/>
          <w:color w:val="auto"/>
          <w:sz w:val="24"/>
          <w:highlight w:val="none"/>
        </w:rPr>
      </w:pPr>
      <w:r>
        <w:rPr>
          <w:rFonts w:hint="eastAsia" w:ascii="宋体" w:hAnsi="宋体"/>
          <w:b/>
          <w:color w:val="auto"/>
          <w:spacing w:val="6"/>
          <w:sz w:val="24"/>
          <w:highlight w:val="none"/>
        </w:rPr>
        <w:t>节能环保产品证明材料</w:t>
      </w:r>
    </w:p>
    <w:p w14:paraId="29E2165A">
      <w:pPr>
        <w:rPr>
          <w:rFonts w:ascii="宋体" w:hAnsi="宋体"/>
          <w:bCs/>
          <w:color w:val="auto"/>
          <w:sz w:val="24"/>
          <w:highlight w:val="none"/>
        </w:rPr>
      </w:pPr>
    </w:p>
    <w:p w14:paraId="75DAC82D">
      <w:pPr>
        <w:rPr>
          <w:rFonts w:ascii="宋体" w:hAnsi="宋体"/>
          <w:b/>
          <w:color w:val="auto"/>
          <w:sz w:val="24"/>
          <w:highlight w:val="none"/>
        </w:rPr>
      </w:pPr>
      <w:r>
        <w:rPr>
          <w:rFonts w:hint="eastAsia" w:ascii="宋体" w:hAnsi="宋体"/>
          <w:b/>
          <w:color w:val="auto"/>
          <w:sz w:val="24"/>
          <w:highlight w:val="none"/>
        </w:rPr>
        <w:t>说明：</w:t>
      </w:r>
    </w:p>
    <w:p w14:paraId="3DDE96FB">
      <w:pPr>
        <w:autoSpaceDE w:val="0"/>
        <w:autoSpaceDN w:val="0"/>
        <w:ind w:firstLine="482" w:firstLineChars="200"/>
        <w:jc w:val="left"/>
        <w:textAlignment w:val="bottom"/>
        <w:outlineLvl w:val="1"/>
        <w:rPr>
          <w:rFonts w:ascii="宋体" w:hAnsi="宋体"/>
          <w:color w:val="auto"/>
          <w:spacing w:val="20"/>
          <w:sz w:val="24"/>
          <w:highlight w:val="none"/>
        </w:rPr>
      </w:pPr>
      <w:r>
        <w:rPr>
          <w:rFonts w:hint="eastAsia" w:ascii="宋体" w:hAnsi="宋体"/>
          <w:b/>
          <w:color w:val="auto"/>
          <w:sz w:val="24"/>
          <w:highlight w:val="none"/>
        </w:rPr>
        <w:t>所投的产品属于《关于印发节能产品政府采购品目清单的通知》（财库〔2019〕19号文）、《关于印发环境标志产品政府采购品目清单的通知》（财库〔2019〕18号文），规定的节能产品与环境标志产品政府采购品目清单范围的，磋商响应方须在磋商响应文件中提供国家确定的认证机构出具的、处于有效期之内的节能产品、环境标志产品认证证书。对获得证书的产品实施政府优先采购或强制采购。</w:t>
      </w:r>
    </w:p>
    <w:p w14:paraId="70D8B181">
      <w:pPr>
        <w:pStyle w:val="12"/>
        <w:jc w:val="left"/>
        <w:rPr>
          <w:rFonts w:ascii="黑体" w:eastAsia="黑体"/>
          <w:color w:val="auto"/>
          <w:sz w:val="24"/>
          <w:szCs w:val="24"/>
          <w:highlight w:val="none"/>
        </w:rPr>
      </w:pPr>
      <w:r>
        <w:rPr>
          <w:b/>
          <w:color w:val="auto"/>
          <w:sz w:val="44"/>
          <w:szCs w:val="44"/>
          <w:highlight w:val="none"/>
        </w:rPr>
        <w:br w:type="page"/>
      </w:r>
      <w:r>
        <w:rPr>
          <w:rFonts w:hint="eastAsia" w:ascii="黑体" w:eastAsia="黑体"/>
          <w:color w:val="auto"/>
          <w:sz w:val="24"/>
          <w:szCs w:val="24"/>
          <w:highlight w:val="none"/>
        </w:rPr>
        <w:t>磋商响应文件封面</w:t>
      </w:r>
    </w:p>
    <w:p w14:paraId="3891936C">
      <w:pPr>
        <w:pStyle w:val="12"/>
        <w:rPr>
          <w:rFonts w:ascii="黑体" w:eastAsia="黑体"/>
          <w:color w:val="auto"/>
          <w:sz w:val="24"/>
          <w:szCs w:val="24"/>
          <w:highlight w:val="none"/>
        </w:rPr>
      </w:pPr>
    </w:p>
    <w:p w14:paraId="66AA1770">
      <w:pPr>
        <w:jc w:val="center"/>
        <w:rPr>
          <w:rFonts w:ascii="黑体" w:eastAsia="黑体"/>
          <w:color w:val="auto"/>
          <w:sz w:val="72"/>
          <w:szCs w:val="72"/>
          <w:highlight w:val="none"/>
        </w:rPr>
      </w:pPr>
    </w:p>
    <w:p w14:paraId="4067A41E">
      <w:pPr>
        <w:jc w:val="center"/>
        <w:rPr>
          <w:rFonts w:ascii="黑体" w:eastAsia="黑体"/>
          <w:color w:val="auto"/>
          <w:sz w:val="72"/>
          <w:szCs w:val="72"/>
          <w:highlight w:val="none"/>
        </w:rPr>
      </w:pPr>
    </w:p>
    <w:p w14:paraId="2B309331">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79646268">
      <w:pPr>
        <w:jc w:val="center"/>
        <w:rPr>
          <w:rFonts w:ascii="宋体" w:hAnsi="宋体"/>
          <w:color w:val="auto"/>
          <w:sz w:val="44"/>
          <w:szCs w:val="44"/>
          <w:highlight w:val="none"/>
        </w:rPr>
      </w:pPr>
    </w:p>
    <w:p w14:paraId="126302CE">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168D68D6">
      <w:pPr>
        <w:jc w:val="center"/>
        <w:rPr>
          <w:rFonts w:ascii="宋体" w:hAnsi="宋体"/>
          <w:color w:val="auto"/>
          <w:sz w:val="32"/>
          <w:highlight w:val="none"/>
        </w:rPr>
      </w:pPr>
    </w:p>
    <w:p w14:paraId="521EE316">
      <w:pPr>
        <w:jc w:val="center"/>
        <w:rPr>
          <w:rFonts w:ascii="宋体" w:hAnsi="宋体"/>
          <w:color w:val="auto"/>
          <w:sz w:val="32"/>
          <w:highlight w:val="none"/>
        </w:rPr>
      </w:pPr>
      <w:r>
        <w:rPr>
          <w:rFonts w:hint="eastAsia" w:ascii="宋体" w:hAnsi="宋体"/>
          <w:color w:val="auto"/>
          <w:sz w:val="32"/>
          <w:highlight w:val="none"/>
        </w:rPr>
        <w:t>标项：（如有多个标项）</w:t>
      </w:r>
    </w:p>
    <w:p w14:paraId="1E1A75A1">
      <w:pPr>
        <w:jc w:val="center"/>
        <w:rPr>
          <w:rFonts w:ascii="宋体" w:hAnsi="宋体"/>
          <w:color w:val="auto"/>
          <w:sz w:val="32"/>
          <w:highlight w:val="none"/>
        </w:rPr>
      </w:pPr>
    </w:p>
    <w:p w14:paraId="131A8B28">
      <w:pPr>
        <w:jc w:val="center"/>
        <w:rPr>
          <w:color w:val="auto"/>
          <w:sz w:val="72"/>
          <w:highlight w:val="none"/>
        </w:rPr>
      </w:pPr>
      <w:r>
        <w:rPr>
          <w:rFonts w:hint="eastAsia"/>
          <w:color w:val="auto"/>
          <w:sz w:val="72"/>
          <w:highlight w:val="none"/>
        </w:rPr>
        <w:t>资</w:t>
      </w:r>
    </w:p>
    <w:p w14:paraId="00061144">
      <w:pPr>
        <w:jc w:val="center"/>
        <w:rPr>
          <w:color w:val="auto"/>
          <w:sz w:val="72"/>
          <w:highlight w:val="none"/>
        </w:rPr>
      </w:pPr>
      <w:r>
        <w:rPr>
          <w:rFonts w:hint="eastAsia"/>
          <w:color w:val="auto"/>
          <w:sz w:val="72"/>
          <w:highlight w:val="none"/>
        </w:rPr>
        <w:t>格</w:t>
      </w:r>
    </w:p>
    <w:p w14:paraId="3DB5C6EF">
      <w:pPr>
        <w:jc w:val="center"/>
        <w:rPr>
          <w:color w:val="auto"/>
          <w:sz w:val="72"/>
          <w:highlight w:val="none"/>
        </w:rPr>
      </w:pPr>
      <w:r>
        <w:rPr>
          <w:rFonts w:hint="eastAsia"/>
          <w:color w:val="auto"/>
          <w:sz w:val="72"/>
          <w:highlight w:val="none"/>
        </w:rPr>
        <w:t>文</w:t>
      </w:r>
    </w:p>
    <w:p w14:paraId="6C40DEEC">
      <w:pPr>
        <w:jc w:val="center"/>
        <w:rPr>
          <w:color w:val="auto"/>
          <w:sz w:val="72"/>
          <w:highlight w:val="none"/>
        </w:rPr>
      </w:pPr>
      <w:r>
        <w:rPr>
          <w:rFonts w:hint="eastAsia"/>
          <w:color w:val="auto"/>
          <w:sz w:val="72"/>
          <w:highlight w:val="none"/>
        </w:rPr>
        <w:t>件</w:t>
      </w:r>
    </w:p>
    <w:p w14:paraId="383AA0E9">
      <w:pPr>
        <w:jc w:val="center"/>
        <w:rPr>
          <w:color w:val="auto"/>
          <w:sz w:val="30"/>
          <w:szCs w:val="30"/>
          <w:highlight w:val="none"/>
        </w:rPr>
      </w:pPr>
    </w:p>
    <w:p w14:paraId="30DFB2DF">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618DEADA">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4FD5AD32">
      <w:pPr>
        <w:spacing w:line="360" w:lineRule="auto"/>
        <w:jc w:val="center"/>
        <w:rPr>
          <w:rFonts w:ascii="宋体" w:hAnsi="宋体"/>
          <w:color w:val="auto"/>
          <w:sz w:val="32"/>
          <w:highlight w:val="none"/>
        </w:rPr>
      </w:pPr>
      <w:r>
        <w:rPr>
          <w:rFonts w:hint="eastAsia" w:ascii="宋体" w:hAnsi="宋体"/>
          <w:color w:val="auto"/>
          <w:sz w:val="32"/>
          <w:highlight w:val="none"/>
        </w:rPr>
        <w:t>年 月 日</w:t>
      </w:r>
    </w:p>
    <w:p w14:paraId="4890D9E9">
      <w:pPr>
        <w:pStyle w:val="12"/>
        <w:spacing w:line="360" w:lineRule="auto"/>
        <w:jc w:val="right"/>
        <w:outlineLvl w:val="1"/>
        <w:rPr>
          <w:rFonts w:hAnsi="宋体"/>
          <w:color w:val="auto"/>
          <w:spacing w:val="20"/>
          <w:sz w:val="24"/>
          <w:highlight w:val="none"/>
        </w:rPr>
      </w:pPr>
    </w:p>
    <w:p w14:paraId="49E0F01C">
      <w:pPr>
        <w:pStyle w:val="12"/>
        <w:spacing w:line="480" w:lineRule="auto"/>
        <w:jc w:val="center"/>
        <w:outlineLvl w:val="1"/>
        <w:rPr>
          <w:rFonts w:ascii="Times New Roman" w:hAnsi="Times New Roman"/>
          <w:b/>
          <w:color w:val="auto"/>
          <w:sz w:val="36"/>
          <w:szCs w:val="36"/>
          <w:highlight w:val="none"/>
        </w:rPr>
      </w:pPr>
      <w:r>
        <w:rPr>
          <w:rFonts w:ascii="Times New Roman" w:hAnsi="Times New Roman"/>
          <w:b/>
          <w:color w:val="auto"/>
          <w:sz w:val="36"/>
          <w:szCs w:val="36"/>
          <w:highlight w:val="none"/>
        </w:rPr>
        <w:br w:type="page"/>
      </w:r>
      <w:r>
        <w:rPr>
          <w:rFonts w:hint="eastAsia" w:ascii="Times New Roman" w:hAnsi="Times New Roman"/>
          <w:b/>
          <w:color w:val="auto"/>
          <w:sz w:val="36"/>
          <w:szCs w:val="36"/>
          <w:highlight w:val="none"/>
        </w:rPr>
        <w:t>资格文件</w:t>
      </w:r>
    </w:p>
    <w:p w14:paraId="39A4B721">
      <w:pPr>
        <w:autoSpaceDE w:val="0"/>
        <w:autoSpaceDN w:val="0"/>
        <w:spacing w:line="480" w:lineRule="auto"/>
        <w:jc w:val="center"/>
        <w:textAlignment w:val="bottom"/>
        <w:outlineLvl w:val="2"/>
        <w:rPr>
          <w:rFonts w:ascii="宋体" w:hAnsi="宋体"/>
          <w:b/>
          <w:color w:val="auto"/>
          <w:sz w:val="24"/>
          <w:highlight w:val="none"/>
        </w:rPr>
      </w:pPr>
      <w:r>
        <w:rPr>
          <w:rFonts w:hint="eastAsia" w:ascii="宋体" w:hAnsi="宋体"/>
          <w:b/>
          <w:color w:val="auto"/>
          <w:sz w:val="24"/>
          <w:highlight w:val="none"/>
        </w:rPr>
        <w:t>目录</w:t>
      </w:r>
    </w:p>
    <w:p w14:paraId="0DB1A941">
      <w:pPr>
        <w:pStyle w:val="12"/>
        <w:spacing w:line="360" w:lineRule="auto"/>
        <w:contextualSpacing/>
        <w:rPr>
          <w:rFonts w:hint="eastAsia" w:hAnsi="宋体"/>
          <w:color w:val="auto"/>
          <w:kern w:val="2"/>
          <w:sz w:val="24"/>
          <w:szCs w:val="24"/>
          <w:highlight w:val="none"/>
        </w:rPr>
      </w:pPr>
      <w:r>
        <w:rPr>
          <w:rFonts w:hint="eastAsia" w:hAnsi="宋体" w:cs="宋体"/>
          <w:color w:val="auto"/>
          <w:sz w:val="24"/>
          <w:szCs w:val="24"/>
          <w:highlight w:val="none"/>
        </w:rPr>
        <w:t>（1）有效的营业执照副本(或其他工商等登记证明材料)…………</w:t>
      </w:r>
      <w:r>
        <w:rPr>
          <w:rFonts w:hAnsi="宋体"/>
          <w:color w:val="auto"/>
          <w:sz w:val="24"/>
          <w:szCs w:val="24"/>
          <w:highlight w:val="none"/>
        </w:rPr>
        <w:t>……</w:t>
      </w:r>
      <w:r>
        <w:rPr>
          <w:rFonts w:hint="eastAsia" w:hAnsi="宋体" w:cs="宋体"/>
          <w:color w:val="auto"/>
          <w:sz w:val="24"/>
          <w:szCs w:val="24"/>
          <w:highlight w:val="none"/>
        </w:rPr>
        <w:t>……………页</w:t>
      </w:r>
      <w:r>
        <w:rPr>
          <w:rFonts w:hint="eastAsia" w:hAnsi="宋体"/>
          <w:color w:val="auto"/>
          <w:sz w:val="24"/>
          <w:szCs w:val="24"/>
          <w:highlight w:val="none"/>
        </w:rPr>
        <w:t>码</w:t>
      </w:r>
    </w:p>
    <w:p w14:paraId="7CAB1D30">
      <w:pPr>
        <w:pStyle w:val="12"/>
        <w:numPr>
          <w:ilvl w:val="0"/>
          <w:numId w:val="0"/>
        </w:numPr>
        <w:spacing w:line="360" w:lineRule="auto"/>
        <w:contextualSpacing/>
        <w:rPr>
          <w:rFonts w:hAnsi="宋体" w:cs="宋体"/>
          <w:color w:val="auto"/>
          <w:sz w:val="24"/>
          <w:szCs w:val="24"/>
          <w:highlight w:val="none"/>
        </w:rPr>
      </w:pPr>
      <w:r>
        <w:rPr>
          <w:rFonts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w:t>
      </w:r>
      <w:r>
        <w:rPr>
          <w:rFonts w:hint="eastAsia" w:hAnsi="宋体" w:cs="宋体"/>
          <w:color w:val="auto"/>
          <w:sz w:val="24"/>
          <w:szCs w:val="24"/>
          <w:highlight w:val="none"/>
        </w:rPr>
        <w:t>符合参加政府采购活动应当具备的一般条件的承诺函………………………页码</w:t>
      </w:r>
    </w:p>
    <w:p w14:paraId="3AE6A060">
      <w:pPr>
        <w:pStyle w:val="12"/>
        <w:spacing w:line="360" w:lineRule="auto"/>
        <w:contextualSpacing/>
        <w:rPr>
          <w:b/>
          <w:color w:val="auto"/>
          <w:spacing w:val="20"/>
          <w:sz w:val="24"/>
          <w:highlight w:val="none"/>
        </w:rPr>
      </w:pPr>
    </w:p>
    <w:p w14:paraId="723C8FFE">
      <w:pPr>
        <w:pStyle w:val="12"/>
        <w:spacing w:line="360" w:lineRule="auto"/>
        <w:contextualSpacing/>
        <w:rPr>
          <w:b/>
          <w:color w:val="auto"/>
          <w:spacing w:val="20"/>
          <w:sz w:val="24"/>
          <w:highlight w:val="none"/>
        </w:rPr>
      </w:pPr>
      <w:r>
        <w:rPr>
          <w:rFonts w:hint="eastAsia"/>
          <w:b/>
          <w:color w:val="auto"/>
          <w:spacing w:val="20"/>
          <w:sz w:val="24"/>
          <w:highlight w:val="none"/>
        </w:rPr>
        <w:t>注：以上目录是编制</w:t>
      </w:r>
      <w:r>
        <w:rPr>
          <w:rFonts w:hint="eastAsia"/>
          <w:b/>
          <w:color w:val="auto"/>
          <w:spacing w:val="20"/>
          <w:sz w:val="24"/>
          <w:highlight w:val="none"/>
          <w:lang w:eastAsia="zh-CN"/>
        </w:rPr>
        <w:t>应标文件</w:t>
      </w:r>
      <w:r>
        <w:rPr>
          <w:rFonts w:hint="eastAsia"/>
          <w:b/>
          <w:color w:val="auto"/>
          <w:spacing w:val="20"/>
          <w:sz w:val="24"/>
          <w:highlight w:val="none"/>
        </w:rPr>
        <w:t>的基本格式要求，各投标人可根据自身情况进一步细化。</w:t>
      </w:r>
    </w:p>
    <w:p w14:paraId="280114D9">
      <w:pPr>
        <w:spacing w:line="480" w:lineRule="auto"/>
        <w:rPr>
          <w:color w:val="auto"/>
          <w:spacing w:val="20"/>
          <w:sz w:val="24"/>
          <w:highlight w:val="none"/>
        </w:rPr>
        <w:sectPr>
          <w:type w:val="continuous"/>
          <w:pgSz w:w="11906" w:h="16838"/>
          <w:pgMar w:top="1417" w:right="1474" w:bottom="1417" w:left="1474" w:header="851" w:footer="992" w:gutter="0"/>
          <w:pgNumType w:fmt="decimal"/>
          <w:cols w:space="0" w:num="1"/>
          <w:docGrid w:type="lines" w:linePitch="319" w:charSpace="0"/>
        </w:sectPr>
      </w:pPr>
    </w:p>
    <w:p w14:paraId="7E20B8BC">
      <w:pPr>
        <w:widowControl/>
        <w:jc w:val="left"/>
        <w:rPr>
          <w:b/>
          <w:color w:val="auto"/>
          <w:spacing w:val="20"/>
          <w:sz w:val="32"/>
          <w:szCs w:val="32"/>
          <w:highlight w:val="none"/>
        </w:rPr>
      </w:pPr>
      <w:r>
        <w:rPr>
          <w:b/>
          <w:color w:val="auto"/>
          <w:spacing w:val="20"/>
          <w:sz w:val="32"/>
          <w:szCs w:val="32"/>
          <w:highlight w:val="none"/>
        </w:rPr>
        <w:br w:type="page"/>
      </w:r>
    </w:p>
    <w:p w14:paraId="2B41D3FD">
      <w:pPr>
        <w:jc w:val="center"/>
        <w:rPr>
          <w:rFonts w:hint="eastAsia"/>
          <w:b/>
          <w:color w:val="auto"/>
          <w:spacing w:val="20"/>
          <w:sz w:val="32"/>
          <w:szCs w:val="32"/>
          <w:highlight w:val="none"/>
        </w:rPr>
      </w:pPr>
      <w:r>
        <w:rPr>
          <w:rFonts w:hint="eastAsia"/>
          <w:b/>
          <w:color w:val="auto"/>
          <w:spacing w:val="20"/>
          <w:sz w:val="32"/>
          <w:szCs w:val="32"/>
          <w:highlight w:val="none"/>
        </w:rPr>
        <w:t>一、有效的营业执照</w:t>
      </w:r>
      <w:r>
        <w:rPr>
          <w:b/>
          <w:color w:val="auto"/>
          <w:spacing w:val="20"/>
          <w:sz w:val="32"/>
          <w:szCs w:val="32"/>
          <w:highlight w:val="none"/>
        </w:rPr>
        <w:t>副本</w:t>
      </w:r>
      <w:r>
        <w:rPr>
          <w:rFonts w:hint="eastAsia"/>
          <w:b/>
          <w:color w:val="auto"/>
          <w:spacing w:val="20"/>
          <w:sz w:val="32"/>
          <w:szCs w:val="32"/>
          <w:highlight w:val="none"/>
        </w:rPr>
        <w:t>(或其他工商等登记证明材料)</w:t>
      </w:r>
      <w:r>
        <w:rPr>
          <w:b/>
          <w:color w:val="auto"/>
          <w:spacing w:val="20"/>
          <w:sz w:val="32"/>
          <w:szCs w:val="32"/>
          <w:highlight w:val="none"/>
        </w:rPr>
        <w:t xml:space="preserve"> </w:t>
      </w:r>
    </w:p>
    <w:p w14:paraId="2B1BF4C2">
      <w:pPr>
        <w:pageBreakBefore w:val="0"/>
        <w:widowControl w:val="0"/>
        <w:kinsoku/>
        <w:wordWrap/>
        <w:overflowPunct/>
        <w:topLinePunct w:val="0"/>
        <w:autoSpaceDE/>
        <w:autoSpaceDN/>
        <w:bidi w:val="0"/>
        <w:adjustRightInd/>
        <w:snapToGrid/>
        <w:ind w:left="0"/>
        <w:jc w:val="center"/>
        <w:textAlignment w:val="auto"/>
        <w:rPr>
          <w:rFonts w:hint="eastAsia"/>
          <w:b/>
          <w:color w:val="auto"/>
          <w:spacing w:val="20"/>
          <w:sz w:val="28"/>
          <w:szCs w:val="28"/>
          <w:highlight w:val="none"/>
        </w:rPr>
      </w:pPr>
    </w:p>
    <w:p w14:paraId="525420F8">
      <w:pPr>
        <w:pStyle w:val="3"/>
        <w:pageBreakBefore w:val="0"/>
        <w:widowControl w:val="0"/>
        <w:kinsoku/>
        <w:wordWrap/>
        <w:overflowPunct/>
        <w:topLinePunct w:val="0"/>
        <w:autoSpaceDE/>
        <w:autoSpaceDN/>
        <w:bidi w:val="0"/>
        <w:adjustRightInd/>
        <w:snapToGrid/>
        <w:spacing w:before="0" w:after="0"/>
        <w:ind w:left="0"/>
        <w:textAlignment w:val="auto"/>
        <w:rPr>
          <w:rFonts w:hint="eastAsia"/>
          <w:color w:val="auto"/>
          <w:sz w:val="28"/>
          <w:szCs w:val="28"/>
          <w:highlight w:val="none"/>
        </w:rPr>
      </w:pPr>
    </w:p>
    <w:p w14:paraId="59BFA7F6">
      <w:pPr>
        <w:jc w:val="center"/>
        <w:rPr>
          <w:b/>
          <w:color w:val="auto"/>
          <w:spacing w:val="20"/>
          <w:sz w:val="32"/>
          <w:szCs w:val="32"/>
          <w:highlight w:val="none"/>
        </w:rPr>
      </w:pPr>
      <w:r>
        <w:rPr>
          <w:rFonts w:hint="eastAsia"/>
          <w:b/>
          <w:color w:val="auto"/>
          <w:spacing w:val="20"/>
          <w:sz w:val="32"/>
          <w:szCs w:val="32"/>
          <w:highlight w:val="none"/>
          <w:lang w:val="en-US" w:eastAsia="zh-CN"/>
        </w:rPr>
        <w:t>二</w:t>
      </w:r>
      <w:r>
        <w:rPr>
          <w:rFonts w:hint="eastAsia"/>
          <w:b/>
          <w:color w:val="auto"/>
          <w:spacing w:val="20"/>
          <w:sz w:val="32"/>
          <w:szCs w:val="32"/>
          <w:highlight w:val="none"/>
        </w:rPr>
        <w:t>、符合参加政府采购活动应当具备的一般条件的承诺函</w:t>
      </w:r>
    </w:p>
    <w:p w14:paraId="3E0DEE61">
      <w:pPr>
        <w:jc w:val="center"/>
        <w:rPr>
          <w:b/>
          <w:color w:val="auto"/>
          <w:spacing w:val="20"/>
          <w:sz w:val="32"/>
          <w:szCs w:val="32"/>
          <w:highlight w:val="none"/>
        </w:rPr>
      </w:pPr>
    </w:p>
    <w:p w14:paraId="0F37A7E9">
      <w:pPr>
        <w:widowControl/>
        <w:spacing w:line="360" w:lineRule="auto"/>
        <w:jc w:val="left"/>
        <w:rPr>
          <w:rFonts w:ascii="宋体" w:hAnsi="宋体"/>
          <w:color w:val="auto"/>
          <w:kern w:val="0"/>
          <w:sz w:val="24"/>
          <w:highlight w:val="none"/>
        </w:rPr>
      </w:pPr>
      <w:r>
        <w:rPr>
          <w:rFonts w:hint="eastAsia"/>
          <w:b/>
          <w:color w:val="auto"/>
          <w:sz w:val="24"/>
          <w:highlight w:val="none"/>
        </w:rPr>
        <w:t>中共浙江省委老干部局、杭州意信招标代理有限公司：</w:t>
      </w:r>
    </w:p>
    <w:p w14:paraId="04ABEB4C">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我方参与</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rPr>
        <w:t>【招标编号：</w:t>
      </w:r>
      <w:r>
        <w:rPr>
          <w:rFonts w:hint="eastAsia" w:ascii="宋体" w:hAnsi="宋体"/>
          <w:color w:val="auto"/>
          <w:sz w:val="24"/>
          <w:highlight w:val="none"/>
          <w:u w:val="single"/>
        </w:rPr>
        <w:t>（采购编号）</w:t>
      </w:r>
      <w:r>
        <w:rPr>
          <w:rFonts w:hint="eastAsia" w:ascii="宋体" w:hAnsi="宋体" w:cs="仿宋_GB2312"/>
          <w:color w:val="auto"/>
          <w:sz w:val="24"/>
          <w:highlight w:val="none"/>
        </w:rPr>
        <w:t>】政府采购活动，郑重承诺：</w:t>
      </w:r>
    </w:p>
    <w:p w14:paraId="3DF460FA">
      <w:pPr>
        <w:snapToGrid w:val="0"/>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rPr>
        <w:t>（一）具备《中华人民共和国政府采购法》第二十二条第一款规定的条件：</w:t>
      </w:r>
    </w:p>
    <w:p w14:paraId="3D7FBEFA">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具有独立承担民事责任的能力；</w:t>
      </w:r>
    </w:p>
    <w:p w14:paraId="6F2AEDD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具有良好的商业信誉和健全的财务会计制度； </w:t>
      </w:r>
    </w:p>
    <w:p w14:paraId="5C2CBAA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具有履行合同所必需的设备和专业技术能力；</w:t>
      </w:r>
    </w:p>
    <w:p w14:paraId="1213B41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有依法缴纳税收和社会保障资金的良好记录；</w:t>
      </w:r>
    </w:p>
    <w:p w14:paraId="508809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参加政府采购活动前三年内，在经营活动中没有重大违法记录；</w:t>
      </w:r>
    </w:p>
    <w:p w14:paraId="0BE5B03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具有法律、行政法规规定的其他条件。</w:t>
      </w:r>
    </w:p>
    <w:p w14:paraId="032E9B3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（二）未被信用中国（</w:t>
      </w:r>
      <w:r>
        <w:rPr>
          <w:rFonts w:ascii="宋体" w:hAnsi="宋体"/>
          <w:color w:val="auto"/>
          <w:sz w:val="24"/>
          <w:highlight w:val="none"/>
        </w:rPr>
        <w:t>www.creditchina.gov.cn)、中国政府采购网（www.ccgp.gov.cn）列入失信被执行人、重大税收违法案件当事人名单、政府采购严重违法失信行为记录名单。</w:t>
      </w:r>
    </w:p>
    <w:p w14:paraId="6C133AC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（三）不存在以下情况：</w:t>
      </w:r>
    </w:p>
    <w:p w14:paraId="29D06B61">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单位负责人为同一人或者存在直接控股、管理关系的不同供应商参加同一合同项下的政府采购活动的；</w:t>
      </w:r>
    </w:p>
    <w:p w14:paraId="40485418">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为采购项目提供整体设计、规范编制或者项目管理、监理、检测等服务后再参加该采购项目的其他采购活动的。</w:t>
      </w:r>
    </w:p>
    <w:p w14:paraId="70233029">
      <w:pPr>
        <w:widowControl/>
        <w:spacing w:line="360" w:lineRule="auto"/>
        <w:ind w:firstLine="480" w:firstLineChars="200"/>
        <w:jc w:val="left"/>
        <w:rPr>
          <w:rFonts w:ascii="宋体" w:hAnsi="宋体"/>
          <w:color w:val="auto"/>
          <w:kern w:val="0"/>
          <w:sz w:val="24"/>
          <w:highlight w:val="none"/>
        </w:rPr>
      </w:pPr>
    </w:p>
    <w:p w14:paraId="2FF6152D">
      <w:pPr>
        <w:jc w:val="center"/>
        <w:rPr>
          <w:color w:val="auto"/>
          <w:highlight w:val="none"/>
        </w:rPr>
      </w:pPr>
    </w:p>
    <w:p w14:paraId="15110B9D">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磋商响应方名称（公章）：</w:t>
      </w:r>
    </w:p>
    <w:p w14:paraId="6EFFB3C4">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日期：年月日</w:t>
      </w:r>
    </w:p>
    <w:p w14:paraId="31BCC3E8">
      <w:pPr>
        <w:rPr>
          <w:b/>
          <w:color w:val="auto"/>
          <w:spacing w:val="20"/>
          <w:sz w:val="32"/>
          <w:szCs w:val="32"/>
          <w:highlight w:val="none"/>
        </w:rPr>
      </w:pPr>
      <w:r>
        <w:rPr>
          <w:rFonts w:hint="eastAsia"/>
          <w:b/>
          <w:color w:val="auto"/>
          <w:spacing w:val="20"/>
          <w:sz w:val="32"/>
          <w:szCs w:val="32"/>
          <w:highlight w:val="none"/>
        </w:rPr>
        <w:br w:type="page"/>
      </w:r>
      <w:r>
        <w:rPr>
          <w:rFonts w:hint="eastAsia"/>
          <w:b/>
          <w:color w:val="auto"/>
          <w:spacing w:val="20"/>
          <w:sz w:val="32"/>
          <w:szCs w:val="32"/>
          <w:highlight w:val="none"/>
        </w:rPr>
        <w:t>附件5：联合协议</w:t>
      </w:r>
    </w:p>
    <w:p w14:paraId="3A34034D">
      <w:pPr>
        <w:autoSpaceDE w:val="0"/>
        <w:autoSpaceDN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w:t>
      </w:r>
    </w:p>
    <w:p w14:paraId="3560DD8C">
      <w:pPr>
        <w:widowControl/>
        <w:adjustRightIn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F38EBF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C287AD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072A45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3275B6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B5D7F8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1BE19FB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40297E9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A76B0A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54191CB">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w:t>
      </w:r>
      <w:r>
        <w:rPr>
          <w:rFonts w:hint="eastAsia" w:cs="仿宋_GB2312" w:asciiTheme="minorEastAsia" w:hAnsiTheme="minorEastAsia" w:eastAsiaTheme="minorEastAsia"/>
          <w:b/>
          <w:color w:val="auto"/>
          <w:kern w:val="0"/>
          <w:sz w:val="24"/>
          <w:highlight w:val="none"/>
          <w:lang w:val="zh-CN"/>
        </w:rPr>
        <w:t>报价给予</w:t>
      </w:r>
      <w:r>
        <w:rPr>
          <w:rFonts w:hint="eastAsia" w:cs="仿宋_GB2312" w:asciiTheme="minorEastAsia" w:hAnsiTheme="minorEastAsia" w:eastAsiaTheme="minorEastAsia"/>
          <w:b/>
          <w:color w:val="auto"/>
          <w:kern w:val="0"/>
          <w:sz w:val="24"/>
          <w:highlight w:val="none"/>
        </w:rPr>
        <w:t>4</w:t>
      </w:r>
      <w:r>
        <w:rPr>
          <w:rFonts w:cs="仿宋_GB2312" w:asciiTheme="minorEastAsia" w:hAnsiTheme="minorEastAsia" w:eastAsiaTheme="minorEastAsia"/>
          <w:b/>
          <w:color w:val="auto"/>
          <w:kern w:val="0"/>
          <w:sz w:val="24"/>
          <w:highlight w:val="none"/>
          <w:lang w:val="zh-CN"/>
        </w:rPr>
        <w:t>%的扣除</w:t>
      </w:r>
      <w:r>
        <w:rPr>
          <w:rFonts w:hint="eastAsia" w:ascii="宋体" w:hAnsi="宋体" w:cs="宋体"/>
          <w:b/>
          <w:color w:val="auto"/>
          <w:kern w:val="0"/>
          <w:sz w:val="24"/>
          <w:highlight w:val="none"/>
          <w:lang w:val="zh-CN"/>
        </w:rPr>
        <w:t>。供应商</w:t>
      </w:r>
      <w:r>
        <w:rPr>
          <w:rFonts w:hint="eastAsia" w:ascii="宋体" w:hAnsi="宋体" w:cs="宋体"/>
          <w:b/>
          <w:color w:val="auto"/>
          <w:sz w:val="24"/>
          <w:highlight w:val="none"/>
        </w:rPr>
        <w:t>拟享受以上价格扣除政策的，填写有关内容。</w:t>
      </w:r>
      <w:bookmarkEnd w:id="18"/>
      <w:r>
        <w:rPr>
          <w:rFonts w:hint="eastAsia" w:ascii="宋体" w:hAnsi="宋体" w:cs="宋体"/>
          <w:b/>
          <w:color w:val="auto"/>
          <w:kern w:val="0"/>
          <w:sz w:val="24"/>
          <w:highlight w:val="none"/>
          <w:lang w:val="zh-CN"/>
        </w:rPr>
        <w:t>）</w:t>
      </w:r>
    </w:p>
    <w:p w14:paraId="0FB1AEF0">
      <w:pPr>
        <w:adjustRightInd w:val="0"/>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i/>
          <w:i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9"/>
    </w:p>
    <w:p w14:paraId="01DDA23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F10B5B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AF3D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FC3A7D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EFC76C">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D5F9D30">
      <w:pPr>
        <w:snapToGrid w:val="0"/>
        <w:spacing w:line="360" w:lineRule="auto"/>
        <w:jc w:val="right"/>
        <w:rPr>
          <w:rFonts w:cs="仿宋_GB2312" w:asciiTheme="minorEastAsia" w:hAnsiTheme="minorEastAsia" w:eastAsiaTheme="minorEastAsia"/>
          <w:color w:val="auto"/>
          <w:kern w:val="0"/>
          <w:sz w:val="24"/>
          <w:highlight w:val="none"/>
          <w:lang w:val="zh-CN"/>
        </w:rPr>
      </w:pPr>
    </w:p>
    <w:p w14:paraId="2F52BA7C">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28D893">
      <w:pPr>
        <w:snapToGrid w:val="0"/>
        <w:spacing w:line="360" w:lineRule="auto"/>
        <w:jc w:val="righ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w:t>
      </w:r>
      <w:r>
        <w:rPr>
          <w:rFonts w:cs="仿宋_GB2312" w:asciiTheme="minorEastAsia" w:hAnsiTheme="minorEastAsia" w:eastAsiaTheme="minorEastAsia"/>
          <w:color w:val="auto"/>
          <w:kern w:val="0"/>
          <w:sz w:val="24"/>
          <w:highlight w:val="none"/>
          <w:lang w:val="zh-CN"/>
        </w:rPr>
        <w:t>(电子签名/公章)：</w:t>
      </w:r>
    </w:p>
    <w:p w14:paraId="4F1CC16B">
      <w:pPr>
        <w:snapToGrid w:val="0"/>
        <w:spacing w:line="360" w:lineRule="auto"/>
        <w:ind w:firstLine="5760" w:firstLineChars="24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w:t>
      </w:r>
    </w:p>
    <w:p w14:paraId="3A6EDA37">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日期：  年  月   日</w:t>
      </w:r>
    </w:p>
    <w:p w14:paraId="544371AD">
      <w:pPr>
        <w:snapToGrid w:val="0"/>
        <w:spacing w:line="360" w:lineRule="auto"/>
        <w:ind w:right="480"/>
        <w:rPr>
          <w:rFonts w:cs="仿宋_GB2312" w:asciiTheme="minorEastAsia" w:hAnsiTheme="minorEastAsia" w:eastAsiaTheme="minorEastAsia"/>
          <w:b/>
          <w:color w:val="auto"/>
          <w:kern w:val="0"/>
          <w:sz w:val="24"/>
          <w:highlight w:val="none"/>
          <w:lang w:val="zh-CN"/>
        </w:rPr>
        <w:sectPr>
          <w:headerReference r:id="rId10" w:type="first"/>
          <w:footerReference r:id="rId12" w:type="first"/>
          <w:headerReference r:id="rId9" w:type="default"/>
          <w:footerReference r:id="rId11" w:type="default"/>
          <w:type w:val="continuous"/>
          <w:pgSz w:w="11906" w:h="16838"/>
          <w:pgMar w:top="1417" w:right="1474" w:bottom="1417" w:left="1474" w:header="851" w:footer="992" w:gutter="0"/>
          <w:pgNumType w:fmt="decimal"/>
          <w:cols w:space="0" w:num="1"/>
          <w:docGrid w:type="lines" w:linePitch="319" w:charSpace="0"/>
        </w:sectPr>
      </w:pPr>
    </w:p>
    <w:p w14:paraId="756B52C1">
      <w:pPr>
        <w:widowControl/>
        <w:jc w:val="left"/>
        <w:rPr>
          <w:rFonts w:cs="仿宋_GB2312" w:asciiTheme="minorEastAsia" w:hAnsiTheme="minorEastAsia" w:eastAsiaTheme="minorEastAsia"/>
          <w:b/>
          <w:color w:val="auto"/>
          <w:kern w:val="0"/>
          <w:sz w:val="24"/>
          <w:highlight w:val="none"/>
        </w:rPr>
      </w:pPr>
      <w:r>
        <w:rPr>
          <w:rFonts w:cs="仿宋_GB2312" w:asciiTheme="minorEastAsia" w:hAnsiTheme="minorEastAsia" w:eastAsiaTheme="minorEastAsia"/>
          <w:b/>
          <w:color w:val="auto"/>
          <w:kern w:val="0"/>
          <w:sz w:val="24"/>
          <w:highlight w:val="none"/>
        </w:rPr>
        <w:br w:type="page"/>
      </w:r>
    </w:p>
    <w:p w14:paraId="18DCC39B">
      <w:pPr>
        <w:snapToGrid w:val="0"/>
        <w:spacing w:line="360" w:lineRule="auto"/>
        <w:rPr>
          <w:b/>
          <w:color w:val="auto"/>
          <w:spacing w:val="20"/>
          <w:sz w:val="32"/>
          <w:szCs w:val="32"/>
          <w:highlight w:val="none"/>
        </w:rPr>
      </w:pPr>
      <w:r>
        <w:rPr>
          <w:rFonts w:hint="eastAsia"/>
          <w:b/>
          <w:color w:val="auto"/>
          <w:spacing w:val="20"/>
          <w:sz w:val="32"/>
          <w:szCs w:val="32"/>
          <w:highlight w:val="none"/>
        </w:rPr>
        <w:t>附件6：分包意向协议</w:t>
      </w:r>
    </w:p>
    <w:p w14:paraId="4C9B2920">
      <w:pPr>
        <w:snapToGrid w:val="0"/>
        <w:spacing w:line="360" w:lineRule="auto"/>
        <w:jc w:val="center"/>
        <w:rPr>
          <w:b/>
          <w:color w:val="auto"/>
          <w:spacing w:val="20"/>
          <w:sz w:val="30"/>
          <w:szCs w:val="30"/>
          <w:highlight w:val="none"/>
        </w:rPr>
      </w:pPr>
      <w:r>
        <w:rPr>
          <w:rFonts w:hint="eastAsia"/>
          <w:b/>
          <w:color w:val="auto"/>
          <w:spacing w:val="20"/>
          <w:sz w:val="30"/>
          <w:szCs w:val="30"/>
          <w:highlight w:val="none"/>
        </w:rPr>
        <w:t>分包意向协议</w:t>
      </w:r>
    </w:p>
    <w:p w14:paraId="5FA31A7B">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7C848B8E">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w:t>
      </w:r>
    </w:p>
    <w:p w14:paraId="5B26C63F">
      <w:pPr>
        <w:spacing w:line="360" w:lineRule="auto"/>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64BEFD5E">
      <w:pPr>
        <w:spacing w:line="360" w:lineRule="auto"/>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asciiTheme="minorEastAsia" w:hAnsiTheme="minorEastAsia" w:eastAsiaTheme="minorEastAsia"/>
          <w:color w:val="auto"/>
          <w:sz w:val="24"/>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6B4ECB4F">
      <w:pPr>
        <w:pStyle w:val="4"/>
        <w:spacing w:before="0" w:after="0" w:line="360" w:lineRule="auto"/>
        <w:ind w:left="664" w:leftChars="316" w:firstLine="229" w:firstLineChars="95"/>
        <w:contextualSpacing/>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kern w:val="0"/>
          <w:sz w:val="24"/>
          <w:szCs w:val="24"/>
          <w:highlight w:val="none"/>
        </w:rPr>
        <w:t>……</w:t>
      </w:r>
    </w:p>
    <w:p w14:paraId="4B9F177C">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7930EAB4">
      <w:pPr>
        <w:ind w:firstLine="576"/>
        <w:contextualSpacing/>
        <w:rPr>
          <w:rFonts w:cs="仿宋_GB2312" w:asciiTheme="minorEastAsia" w:hAnsiTheme="minorEastAsia" w:eastAsiaTheme="minorEastAsia"/>
          <w:color w:val="auto"/>
          <w:kern w:val="0"/>
          <w:sz w:val="24"/>
          <w:highlight w:val="none"/>
          <w:lang w:val="zh-CN"/>
        </w:rPr>
      </w:pPr>
    </w:p>
    <w:p w14:paraId="11B3B84F">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1BAFCD14">
      <w:pPr>
        <w:ind w:firstLine="576"/>
        <w:contextualSpacing/>
        <w:rPr>
          <w:rFonts w:cs="仿宋_GB2312" w:asciiTheme="minorEastAsia" w:hAnsiTheme="minorEastAsia" w:eastAsiaTheme="minorEastAsia"/>
          <w:color w:val="auto"/>
          <w:kern w:val="0"/>
          <w:sz w:val="24"/>
          <w:highlight w:val="none"/>
          <w:lang w:val="zh-CN"/>
        </w:rPr>
      </w:pPr>
    </w:p>
    <w:p w14:paraId="1871997A">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01B5F65A">
      <w:pPr>
        <w:ind w:left="573" w:leftChars="273"/>
        <w:contextualSpacing/>
        <w:rPr>
          <w:rFonts w:cs="仿宋_GB2312" w:asciiTheme="minorEastAsia" w:hAnsiTheme="minorEastAsia" w:eastAsiaTheme="minorEastAsia"/>
          <w:color w:val="auto"/>
          <w:kern w:val="0"/>
          <w:sz w:val="24"/>
          <w:highlight w:val="none"/>
          <w:lang w:val="zh-CN"/>
        </w:rPr>
      </w:pPr>
    </w:p>
    <w:p w14:paraId="2DE39C02">
      <w:pPr>
        <w:ind w:left="573" w:leftChars="273"/>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2A88C259">
      <w:pPr>
        <w:ind w:firstLine="576"/>
        <w:contextualSpacing/>
        <w:rPr>
          <w:rFonts w:cs="仿宋_GB2312" w:asciiTheme="minorEastAsia" w:hAnsiTheme="minorEastAsia" w:eastAsiaTheme="minorEastAsia"/>
          <w:color w:val="auto"/>
          <w:kern w:val="0"/>
          <w:sz w:val="24"/>
          <w:highlight w:val="none"/>
          <w:lang w:val="zh-CN"/>
        </w:rPr>
      </w:pPr>
    </w:p>
    <w:p w14:paraId="1D5198D1">
      <w:pPr>
        <w:ind w:firstLine="576"/>
        <w:contextualSpacing/>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4D6B0BBD">
      <w:pPr>
        <w:snapToGrid w:val="0"/>
        <w:ind w:firstLine="576"/>
        <w:rPr>
          <w:rFonts w:cs="仿宋_GB2312" w:asciiTheme="minorEastAsia" w:hAnsiTheme="minorEastAsia" w:eastAsiaTheme="minorEastAsia"/>
          <w:color w:val="auto"/>
          <w:kern w:val="0"/>
          <w:sz w:val="24"/>
          <w:highlight w:val="none"/>
          <w:lang w:val="zh-CN"/>
        </w:rPr>
      </w:pPr>
    </w:p>
    <w:p w14:paraId="5AF56A35">
      <w:pPr>
        <w:snapToGrid w:val="0"/>
        <w:spacing w:line="360" w:lineRule="auto"/>
        <w:ind w:firstLine="578"/>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72937B88">
      <w:pPr>
        <w:snapToGrid w:val="0"/>
        <w:spacing w:line="360" w:lineRule="auto"/>
        <w:ind w:firstLine="578"/>
        <w:rPr>
          <w:rFonts w:cs="仿宋_GB2312" w:asciiTheme="minorEastAsia" w:hAnsiTheme="minorEastAsia" w:eastAsiaTheme="minorEastAsia"/>
          <w:b/>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color w:val="auto"/>
          <w:kern w:val="0"/>
          <w:sz w:val="24"/>
          <w:highlight w:val="none"/>
          <w:lang w:val="zh-CN"/>
        </w:rPr>
        <w:t xml:space="preserve"> 30%以上</w:t>
      </w:r>
      <w:r>
        <w:rPr>
          <w:rFonts w:hint="eastAsia" w:cs="仿宋_GB2312" w:asciiTheme="minorEastAsia" w:hAnsiTheme="minorEastAsia" w:eastAsiaTheme="minorEastAsia"/>
          <w:b/>
          <w:color w:val="auto"/>
          <w:kern w:val="0"/>
          <w:sz w:val="24"/>
          <w:highlight w:val="none"/>
          <w:lang w:val="zh-CN"/>
        </w:rPr>
        <w:t>的，对大中型企业的报价给予</w:t>
      </w:r>
      <w:r>
        <w:rPr>
          <w:rFonts w:hint="eastAsia" w:cs="仿宋_GB2312" w:asciiTheme="minorEastAsia" w:hAnsiTheme="minorEastAsia" w:eastAsiaTheme="minorEastAsia"/>
          <w:b/>
          <w:color w:val="auto"/>
          <w:kern w:val="0"/>
          <w:sz w:val="24"/>
          <w:highlight w:val="none"/>
        </w:rPr>
        <w:t>4</w:t>
      </w:r>
      <w:r>
        <w:rPr>
          <w:rFonts w:cs="仿宋_GB2312" w:asciiTheme="minorEastAsia" w:hAnsiTheme="minorEastAsia" w:eastAsiaTheme="minorEastAsia"/>
          <w:b/>
          <w:color w:val="auto"/>
          <w:kern w:val="0"/>
          <w:sz w:val="24"/>
          <w:highlight w:val="none"/>
          <w:lang w:val="zh-CN"/>
        </w:rPr>
        <w:t>%的扣除</w:t>
      </w:r>
      <w:r>
        <w:rPr>
          <w:rFonts w:hint="eastAsia" w:cs="仿宋_GB2312" w:asciiTheme="minorEastAsia" w:hAnsiTheme="minorEastAsia" w:eastAsiaTheme="minorEastAsia"/>
          <w:b/>
          <w:color w:val="auto"/>
          <w:kern w:val="0"/>
          <w:sz w:val="24"/>
          <w:highlight w:val="none"/>
          <w:lang w:val="zh-CN"/>
        </w:rPr>
        <w:t>）</w:t>
      </w:r>
    </w:p>
    <w:p w14:paraId="21B79F5C">
      <w:pPr>
        <w:snapToGrid w:val="0"/>
        <w:spacing w:line="360" w:lineRule="auto"/>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lang w:val="zh-CN"/>
        </w:rPr>
        <w:t xml:space="preserve">                                               磋商响应方名称(电子签名)：</w:t>
      </w:r>
    </w:p>
    <w:p w14:paraId="64287A2F">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1559D9AD">
      <w:pPr>
        <w:snapToGrid w:val="0"/>
        <w:spacing w:line="360" w:lineRule="auto"/>
        <w:ind w:firstLine="5760" w:firstLineChars="24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w:t>
      </w:r>
    </w:p>
    <w:p w14:paraId="1EA38C54">
      <w:pPr>
        <w:widowControl/>
        <w:autoSpaceDE w:val="0"/>
        <w:autoSpaceDN w:val="0"/>
        <w:spacing w:line="360" w:lineRule="auto"/>
        <w:jc w:val="center"/>
        <w:textAlignment w:val="bottom"/>
        <w:rPr>
          <w:rFonts w:asciiTheme="minorEastAsia" w:hAnsiTheme="minorEastAsia" w:eastAsiaTheme="minorEastAsia"/>
          <w:b/>
          <w:bCs/>
          <w:color w:val="auto"/>
          <w:sz w:val="24"/>
          <w:highlight w:val="none"/>
        </w:rPr>
      </w:pPr>
      <w:r>
        <w:rPr>
          <w:rFonts w:cs="仿宋_GB2312" w:asciiTheme="minorEastAsia" w:hAnsiTheme="minorEastAsia" w:eastAsiaTheme="minorEastAsia"/>
          <w:color w:val="auto"/>
          <w:kern w:val="0"/>
          <w:sz w:val="24"/>
          <w:highlight w:val="none"/>
          <w:lang w:val="zh-CN"/>
        </w:rPr>
        <w:t xml:space="preserve">                                               日期：  年  月   日</w:t>
      </w:r>
    </w:p>
    <w:sectPr>
      <w:headerReference r:id="rId15" w:type="first"/>
      <w:headerReference r:id="rId13" w:type="default"/>
      <w:footerReference r:id="rId16" w:type="default"/>
      <w:headerReference r:id="rId14" w:type="even"/>
      <w:footerReference r:id="rId17" w:type="even"/>
      <w:type w:val="continuous"/>
      <w:pgSz w:w="11906" w:h="16838"/>
      <w:pgMar w:top="1417" w:right="1474" w:bottom="1417" w:left="1474"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6E74">
    <w:pPr>
      <w:pStyle w:val="1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A592">
                          <w:pPr>
                            <w:pStyle w:val="15"/>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F9A592">
                    <w:pPr>
                      <w:pStyle w:val="15"/>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AFBB">
    <w:pPr>
      <w:pStyle w:val="15"/>
      <w:framePr w:wrap="around" w:vAnchor="text" w:hAnchor="margin" w:xAlign="center" w:y="1"/>
      <w:rPr>
        <w:rStyle w:val="28"/>
      </w:rPr>
    </w:pPr>
    <w:r>
      <w:fldChar w:fldCharType="begin"/>
    </w:r>
    <w:r>
      <w:rPr>
        <w:rStyle w:val="28"/>
      </w:rPr>
      <w:instrText xml:space="preserve">PAGE  </w:instrText>
    </w:r>
    <w:r>
      <w:fldChar w:fldCharType="end"/>
    </w:r>
  </w:p>
  <w:p w14:paraId="5538D67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07D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5709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A5709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A5BB">
    <w:pPr>
      <w:pStyle w:val="1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63AF9">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363AF9">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D91D27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2CC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599929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E4DA">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3C3F">
                          <w:pPr>
                            <w:pStyle w:val="1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58</w:t>
                          </w:r>
                          <w:r>
                            <w:rPr>
                              <w:kern w:val="0"/>
                              <w:szCs w:val="21"/>
                            </w:rPr>
                            <w:fldChar w:fldCharType="end"/>
                          </w:r>
                          <w:r>
                            <w:rPr>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293C3F">
                    <w:pPr>
                      <w:pStyle w:val="1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58</w:t>
                    </w:r>
                    <w:r>
                      <w:rPr>
                        <w:kern w:val="0"/>
                        <w:szCs w:val="21"/>
                      </w:rPr>
                      <w:fldChar w:fldCharType="end"/>
                    </w:r>
                    <w:r>
                      <w:rPr>
                        <w:kern w:val="0"/>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085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7BDB">
    <w:pPr>
      <w:pStyle w:val="16"/>
      <w:jc w:val="both"/>
      <w:rPr>
        <w:sz w:val="21"/>
      </w:rPr>
    </w:pPr>
    <w:r>
      <w:rPr>
        <w:rFonts w:hint="eastAsia"/>
        <w:sz w:val="21"/>
      </w:rPr>
      <w:t>中共浙江省委老干部局竞争性磋商采购文件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BE86">
    <w:pPr>
      <w:pStyle w:val="16"/>
      <w:tabs>
        <w:tab w:val="clear" w:pos="4153"/>
      </w:tabs>
      <w:jc w:val="left"/>
      <w:rPr>
        <w:rFonts w:hAnsi="宋体"/>
      </w:rPr>
    </w:pPr>
    <w:r>
      <w:rPr>
        <w:rFonts w:hint="eastAsia"/>
        <w:sz w:val="21"/>
      </w:rPr>
      <w:t>浙江省农业农村大数据发展中心竞争性磋商</w:t>
    </w:r>
    <w:r>
      <w:rPr>
        <w:rFonts w:hint="eastAsia" w:hAnsi="宋体"/>
        <w:sz w:val="21"/>
      </w:rPr>
      <w:t>采购文件</w:t>
    </w:r>
    <w:r>
      <w:rPr>
        <w:rFonts w:hAnsi="宋体"/>
        <w:sz w:val="21"/>
      </w:rPr>
      <w:tab/>
    </w:r>
    <w:r>
      <w:rPr>
        <w:rFonts w:hAnsi="宋体"/>
        <w:sz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D2DB">
    <w:pPr>
      <w:pStyle w:val="16"/>
      <w:jc w:val="both"/>
      <w:rPr>
        <w:sz w:val="21"/>
      </w:rPr>
    </w:pPr>
    <w:r>
      <w:rPr>
        <w:rFonts w:hint="eastAsia"/>
        <w:sz w:val="21"/>
      </w:rPr>
      <w:t>中共浙江省委老干部局竞争性磋商采购文件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1366">
    <w:pPr>
      <w:pStyle w:val="16"/>
      <w:jc w:val="left"/>
      <w:rPr>
        <w:sz w:val="21"/>
      </w:rPr>
    </w:pPr>
    <w:r>
      <w:rPr>
        <w:rFonts w:hint="eastAsia"/>
        <w:sz w:val="21"/>
      </w:rPr>
      <w:t>中共浙江省委老干部局竞争性磋商采购</w:t>
    </w:r>
    <w:r>
      <w:rPr>
        <w:sz w:val="21"/>
      </w:rPr>
      <w:t>文件</w:t>
    </w:r>
  </w:p>
  <w:p w14:paraId="2C28649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6F1E">
    <w:pPr>
      <w:pStyle w:val="16"/>
      <w:jc w:val="right"/>
    </w:pPr>
    <w:r>
      <w:rPr>
        <w:rFonts w:hint="eastAsia"/>
      </w:rPr>
      <w:t>杭州市环境卫生和生活固废处置保障中心</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2671">
    <w:pPr>
      <w:pStyle w:val="16"/>
      <w:jc w:val="both"/>
      <w:rPr>
        <w:sz w:val="21"/>
      </w:rPr>
    </w:pPr>
    <w:r>
      <w:rPr>
        <w:rFonts w:hint="eastAsia"/>
        <w:sz w:val="21"/>
      </w:rPr>
      <w:t>中共浙江省委老干部局竞争性磋商采购文件</w:t>
    </w:r>
  </w:p>
  <w:p w14:paraId="31173959">
    <w:pPr>
      <w:pStyle w:val="16"/>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DA0F">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7E6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2"/>
    <w:multiLevelType w:val="multilevel"/>
    <w:tmpl w:val="00000002"/>
    <w:lvl w:ilvl="0" w:tentative="0">
      <w:start w:val="1"/>
      <w:numFmt w:val="decimal"/>
      <w:lvlText w:val="（%1）"/>
      <w:lvlJc w:val="left"/>
      <w:pPr>
        <w:tabs>
          <w:tab w:val="left" w:pos="720"/>
        </w:tabs>
        <w:ind w:left="720" w:hanging="720"/>
      </w:pPr>
      <w:rPr>
        <w:rFonts w:hint="default" w:ascii="宋体" w:hAnsi="宋体" w:eastAsia="宋体"/>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singleLevel"/>
    <w:tmpl w:val="00000003"/>
    <w:lvl w:ilvl="0" w:tentative="0">
      <w:start w:val="1"/>
      <w:numFmt w:val="decimal"/>
      <w:lvlText w:val="%1、"/>
      <w:lvlJc w:val="left"/>
      <w:pPr>
        <w:tabs>
          <w:tab w:val="left" w:pos="840"/>
        </w:tabs>
        <w:ind w:left="840" w:hanging="360"/>
      </w:pPr>
    </w:lvl>
  </w:abstractNum>
  <w:abstractNum w:abstractNumId="3">
    <w:nsid w:val="00000004"/>
    <w:multiLevelType w:val="multilevel"/>
    <w:tmpl w:val="0000000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lvl>
    <w:lvl w:ilvl="2" w:tentative="0">
      <w:start w:val="2"/>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3E6104"/>
    <w:multiLevelType w:val="multilevel"/>
    <w:tmpl w:val="1E3E6104"/>
    <w:lvl w:ilvl="0" w:tentative="0">
      <w:start w:val="1"/>
      <w:numFmt w:val="decimal"/>
      <w:pStyle w:val="86"/>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84319BD"/>
    <w:multiLevelType w:val="multilevel"/>
    <w:tmpl w:val="684319B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5"/>
  </w:num>
  <w:num w:numId="2">
    <w:abstractNumId w:val="0"/>
  </w:num>
  <w:num w:numId="3">
    <w:abstractNumId w:val="6"/>
  </w:num>
  <w:num w:numId="4">
    <w:abstractNumId w:val="1"/>
  </w:num>
  <w:num w:numId="5">
    <w:abstractNumId w:val="2"/>
    <w:lvlOverride w:ilvl="0">
      <w:startOverride w:val="1"/>
    </w:lvlOverride>
  </w:num>
  <w:num w:numId="6">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NjdmY2MzYjBjOGRkYTI0MzRmOTRhMTM4MDNkN2QifQ=="/>
  </w:docVars>
  <w:rsids>
    <w:rsidRoot w:val="00BF0B58"/>
    <w:rsid w:val="000018BA"/>
    <w:rsid w:val="00011215"/>
    <w:rsid w:val="00012E53"/>
    <w:rsid w:val="00033C53"/>
    <w:rsid w:val="0003510A"/>
    <w:rsid w:val="0004351E"/>
    <w:rsid w:val="00061EC1"/>
    <w:rsid w:val="00072619"/>
    <w:rsid w:val="0009132F"/>
    <w:rsid w:val="000918CD"/>
    <w:rsid w:val="0009461E"/>
    <w:rsid w:val="000952C5"/>
    <w:rsid w:val="000E3874"/>
    <w:rsid w:val="000E7952"/>
    <w:rsid w:val="000F0BFF"/>
    <w:rsid w:val="001034B8"/>
    <w:rsid w:val="00110C6C"/>
    <w:rsid w:val="0011508F"/>
    <w:rsid w:val="00131CD6"/>
    <w:rsid w:val="00131D3E"/>
    <w:rsid w:val="001474EF"/>
    <w:rsid w:val="001523BC"/>
    <w:rsid w:val="001724E8"/>
    <w:rsid w:val="001A0FD6"/>
    <w:rsid w:val="001A6914"/>
    <w:rsid w:val="001D7C93"/>
    <w:rsid w:val="00203957"/>
    <w:rsid w:val="00217301"/>
    <w:rsid w:val="00250E26"/>
    <w:rsid w:val="00262CF1"/>
    <w:rsid w:val="0029052D"/>
    <w:rsid w:val="002A2517"/>
    <w:rsid w:val="002A276B"/>
    <w:rsid w:val="002B3D32"/>
    <w:rsid w:val="002C3B8E"/>
    <w:rsid w:val="002E22FE"/>
    <w:rsid w:val="00304B18"/>
    <w:rsid w:val="00311832"/>
    <w:rsid w:val="00315E20"/>
    <w:rsid w:val="00317BE6"/>
    <w:rsid w:val="003322A8"/>
    <w:rsid w:val="00350F01"/>
    <w:rsid w:val="00357EF0"/>
    <w:rsid w:val="00361D91"/>
    <w:rsid w:val="00374BCB"/>
    <w:rsid w:val="003856B2"/>
    <w:rsid w:val="00385B3B"/>
    <w:rsid w:val="003865EC"/>
    <w:rsid w:val="003C468C"/>
    <w:rsid w:val="003C658B"/>
    <w:rsid w:val="003D17D1"/>
    <w:rsid w:val="003D4900"/>
    <w:rsid w:val="004019D6"/>
    <w:rsid w:val="00402D52"/>
    <w:rsid w:val="00410F14"/>
    <w:rsid w:val="00412631"/>
    <w:rsid w:val="004164EE"/>
    <w:rsid w:val="00436725"/>
    <w:rsid w:val="00436E51"/>
    <w:rsid w:val="004375F9"/>
    <w:rsid w:val="00462CB7"/>
    <w:rsid w:val="0047016F"/>
    <w:rsid w:val="0048275B"/>
    <w:rsid w:val="00482E54"/>
    <w:rsid w:val="00493A72"/>
    <w:rsid w:val="004D601E"/>
    <w:rsid w:val="004D6E87"/>
    <w:rsid w:val="004E58C4"/>
    <w:rsid w:val="004F4331"/>
    <w:rsid w:val="00503329"/>
    <w:rsid w:val="00507688"/>
    <w:rsid w:val="005250C0"/>
    <w:rsid w:val="00552535"/>
    <w:rsid w:val="00557E69"/>
    <w:rsid w:val="005622E4"/>
    <w:rsid w:val="005716B6"/>
    <w:rsid w:val="00571DFD"/>
    <w:rsid w:val="0057683E"/>
    <w:rsid w:val="00582593"/>
    <w:rsid w:val="005843C6"/>
    <w:rsid w:val="00585F5B"/>
    <w:rsid w:val="0059312B"/>
    <w:rsid w:val="005A2444"/>
    <w:rsid w:val="005A34A3"/>
    <w:rsid w:val="005B4C8E"/>
    <w:rsid w:val="005B6AEC"/>
    <w:rsid w:val="005C1397"/>
    <w:rsid w:val="005C1A38"/>
    <w:rsid w:val="005D1036"/>
    <w:rsid w:val="005D1727"/>
    <w:rsid w:val="005D51B0"/>
    <w:rsid w:val="005F0D47"/>
    <w:rsid w:val="005F3B0A"/>
    <w:rsid w:val="00607334"/>
    <w:rsid w:val="00612D09"/>
    <w:rsid w:val="00612DF7"/>
    <w:rsid w:val="00626AA8"/>
    <w:rsid w:val="00641449"/>
    <w:rsid w:val="00663861"/>
    <w:rsid w:val="00670236"/>
    <w:rsid w:val="00695CA0"/>
    <w:rsid w:val="00696B10"/>
    <w:rsid w:val="006A3DDF"/>
    <w:rsid w:val="006C466F"/>
    <w:rsid w:val="006D1D39"/>
    <w:rsid w:val="006F72EB"/>
    <w:rsid w:val="00710D7E"/>
    <w:rsid w:val="007171A6"/>
    <w:rsid w:val="007428D0"/>
    <w:rsid w:val="007464F6"/>
    <w:rsid w:val="00756330"/>
    <w:rsid w:val="00765A40"/>
    <w:rsid w:val="0077036E"/>
    <w:rsid w:val="0077556B"/>
    <w:rsid w:val="007918D5"/>
    <w:rsid w:val="007939F3"/>
    <w:rsid w:val="007A1ABB"/>
    <w:rsid w:val="007A7DED"/>
    <w:rsid w:val="007B43FF"/>
    <w:rsid w:val="007B58CC"/>
    <w:rsid w:val="007B6EA4"/>
    <w:rsid w:val="007B7322"/>
    <w:rsid w:val="007C2C40"/>
    <w:rsid w:val="007D6E3E"/>
    <w:rsid w:val="007F1B64"/>
    <w:rsid w:val="007F7611"/>
    <w:rsid w:val="008136A6"/>
    <w:rsid w:val="00830426"/>
    <w:rsid w:val="00851B73"/>
    <w:rsid w:val="00870754"/>
    <w:rsid w:val="008B197B"/>
    <w:rsid w:val="008E47C1"/>
    <w:rsid w:val="008E66C5"/>
    <w:rsid w:val="00900371"/>
    <w:rsid w:val="009121CB"/>
    <w:rsid w:val="009126A6"/>
    <w:rsid w:val="0092124B"/>
    <w:rsid w:val="00923159"/>
    <w:rsid w:val="0092649F"/>
    <w:rsid w:val="009366F3"/>
    <w:rsid w:val="009463BD"/>
    <w:rsid w:val="0099419B"/>
    <w:rsid w:val="00996158"/>
    <w:rsid w:val="009A5F0C"/>
    <w:rsid w:val="009B32E4"/>
    <w:rsid w:val="009C52F4"/>
    <w:rsid w:val="009C6208"/>
    <w:rsid w:val="009C7598"/>
    <w:rsid w:val="009C7E0A"/>
    <w:rsid w:val="009D515A"/>
    <w:rsid w:val="009E5186"/>
    <w:rsid w:val="009E5A78"/>
    <w:rsid w:val="009F1E45"/>
    <w:rsid w:val="00A0407C"/>
    <w:rsid w:val="00A0645C"/>
    <w:rsid w:val="00A0738A"/>
    <w:rsid w:val="00A2408D"/>
    <w:rsid w:val="00A24C16"/>
    <w:rsid w:val="00A32709"/>
    <w:rsid w:val="00A36E8B"/>
    <w:rsid w:val="00A475B8"/>
    <w:rsid w:val="00A47F7F"/>
    <w:rsid w:val="00A75C36"/>
    <w:rsid w:val="00A76CCB"/>
    <w:rsid w:val="00AA27EE"/>
    <w:rsid w:val="00AB0C8D"/>
    <w:rsid w:val="00AB4DC4"/>
    <w:rsid w:val="00AD1596"/>
    <w:rsid w:val="00AD2848"/>
    <w:rsid w:val="00AD7CD5"/>
    <w:rsid w:val="00B0277E"/>
    <w:rsid w:val="00B31257"/>
    <w:rsid w:val="00B47875"/>
    <w:rsid w:val="00B63E9F"/>
    <w:rsid w:val="00B73A1A"/>
    <w:rsid w:val="00B74C75"/>
    <w:rsid w:val="00B80DF6"/>
    <w:rsid w:val="00BA118E"/>
    <w:rsid w:val="00BC2332"/>
    <w:rsid w:val="00BC38CE"/>
    <w:rsid w:val="00BC64DB"/>
    <w:rsid w:val="00BD53D9"/>
    <w:rsid w:val="00BD62C8"/>
    <w:rsid w:val="00BF0B58"/>
    <w:rsid w:val="00BF5035"/>
    <w:rsid w:val="00BF6A27"/>
    <w:rsid w:val="00C12E06"/>
    <w:rsid w:val="00C133F2"/>
    <w:rsid w:val="00C25CE5"/>
    <w:rsid w:val="00C3175E"/>
    <w:rsid w:val="00C359A0"/>
    <w:rsid w:val="00C37087"/>
    <w:rsid w:val="00C4088D"/>
    <w:rsid w:val="00C5440A"/>
    <w:rsid w:val="00C7414C"/>
    <w:rsid w:val="00C8601D"/>
    <w:rsid w:val="00C9204E"/>
    <w:rsid w:val="00C95E37"/>
    <w:rsid w:val="00C96BB7"/>
    <w:rsid w:val="00CA6EB5"/>
    <w:rsid w:val="00CB0726"/>
    <w:rsid w:val="00CB78E2"/>
    <w:rsid w:val="00CC39B7"/>
    <w:rsid w:val="00CD7E60"/>
    <w:rsid w:val="00CE39A3"/>
    <w:rsid w:val="00CE5F6E"/>
    <w:rsid w:val="00CE7AEF"/>
    <w:rsid w:val="00D06178"/>
    <w:rsid w:val="00D07947"/>
    <w:rsid w:val="00D10FC6"/>
    <w:rsid w:val="00D1675A"/>
    <w:rsid w:val="00D22BB9"/>
    <w:rsid w:val="00D3378E"/>
    <w:rsid w:val="00D72318"/>
    <w:rsid w:val="00D86F32"/>
    <w:rsid w:val="00D9131C"/>
    <w:rsid w:val="00D9577D"/>
    <w:rsid w:val="00DA47D3"/>
    <w:rsid w:val="00DB2B65"/>
    <w:rsid w:val="00DB640C"/>
    <w:rsid w:val="00DC0764"/>
    <w:rsid w:val="00DC0831"/>
    <w:rsid w:val="00DD24E9"/>
    <w:rsid w:val="00DE09A1"/>
    <w:rsid w:val="00DE12D7"/>
    <w:rsid w:val="00DF3B56"/>
    <w:rsid w:val="00E02D61"/>
    <w:rsid w:val="00E041C6"/>
    <w:rsid w:val="00E107B7"/>
    <w:rsid w:val="00E34F0A"/>
    <w:rsid w:val="00E43541"/>
    <w:rsid w:val="00E7500E"/>
    <w:rsid w:val="00E9558E"/>
    <w:rsid w:val="00E9734D"/>
    <w:rsid w:val="00EA5B2D"/>
    <w:rsid w:val="00EB5388"/>
    <w:rsid w:val="00EB7D64"/>
    <w:rsid w:val="00EC0012"/>
    <w:rsid w:val="00ED05C8"/>
    <w:rsid w:val="00ED0827"/>
    <w:rsid w:val="00EE5727"/>
    <w:rsid w:val="00EF46BA"/>
    <w:rsid w:val="00EF6A48"/>
    <w:rsid w:val="00F033DF"/>
    <w:rsid w:val="00F120B8"/>
    <w:rsid w:val="00F13DD0"/>
    <w:rsid w:val="00F13DDC"/>
    <w:rsid w:val="00F1621D"/>
    <w:rsid w:val="00F175B3"/>
    <w:rsid w:val="00F33AF6"/>
    <w:rsid w:val="00F40CC7"/>
    <w:rsid w:val="00F50087"/>
    <w:rsid w:val="00F50309"/>
    <w:rsid w:val="00F54C97"/>
    <w:rsid w:val="00F54D1F"/>
    <w:rsid w:val="00F6221B"/>
    <w:rsid w:val="00F62B4C"/>
    <w:rsid w:val="00F641E3"/>
    <w:rsid w:val="00F723C0"/>
    <w:rsid w:val="00F855B4"/>
    <w:rsid w:val="00F85A59"/>
    <w:rsid w:val="00F8695A"/>
    <w:rsid w:val="00FA1C57"/>
    <w:rsid w:val="00FB32AA"/>
    <w:rsid w:val="00FB5E1A"/>
    <w:rsid w:val="00FC6C56"/>
    <w:rsid w:val="00FD2EF4"/>
    <w:rsid w:val="00FD6395"/>
    <w:rsid w:val="00FE50B8"/>
    <w:rsid w:val="00FF69C8"/>
    <w:rsid w:val="01233A9E"/>
    <w:rsid w:val="01327819"/>
    <w:rsid w:val="013A7189"/>
    <w:rsid w:val="016D1BFF"/>
    <w:rsid w:val="01B36217"/>
    <w:rsid w:val="01BB79AC"/>
    <w:rsid w:val="026449B4"/>
    <w:rsid w:val="028E2A4E"/>
    <w:rsid w:val="029F0F02"/>
    <w:rsid w:val="03BB2406"/>
    <w:rsid w:val="03CF6F0E"/>
    <w:rsid w:val="04017DAC"/>
    <w:rsid w:val="041D04C6"/>
    <w:rsid w:val="04684391"/>
    <w:rsid w:val="047119EB"/>
    <w:rsid w:val="04C00AB2"/>
    <w:rsid w:val="050A1963"/>
    <w:rsid w:val="050B4564"/>
    <w:rsid w:val="054942DF"/>
    <w:rsid w:val="05824743"/>
    <w:rsid w:val="05AE0756"/>
    <w:rsid w:val="05E47BE6"/>
    <w:rsid w:val="05EA1AA1"/>
    <w:rsid w:val="05EC445F"/>
    <w:rsid w:val="060F43B7"/>
    <w:rsid w:val="0610019A"/>
    <w:rsid w:val="06995521"/>
    <w:rsid w:val="069C687F"/>
    <w:rsid w:val="06D80E87"/>
    <w:rsid w:val="06E14DA3"/>
    <w:rsid w:val="06F21F49"/>
    <w:rsid w:val="070F5A78"/>
    <w:rsid w:val="07300ED0"/>
    <w:rsid w:val="07707311"/>
    <w:rsid w:val="077C5CB6"/>
    <w:rsid w:val="07AC3D93"/>
    <w:rsid w:val="07AF5E32"/>
    <w:rsid w:val="07B61B72"/>
    <w:rsid w:val="08387DB2"/>
    <w:rsid w:val="083A2C5B"/>
    <w:rsid w:val="08B915CA"/>
    <w:rsid w:val="08D250AF"/>
    <w:rsid w:val="091E5277"/>
    <w:rsid w:val="09616764"/>
    <w:rsid w:val="09673BB8"/>
    <w:rsid w:val="09695610"/>
    <w:rsid w:val="09811362"/>
    <w:rsid w:val="09BA7F4D"/>
    <w:rsid w:val="09E02593"/>
    <w:rsid w:val="09F15B24"/>
    <w:rsid w:val="0A415753"/>
    <w:rsid w:val="0A895661"/>
    <w:rsid w:val="0AB522C9"/>
    <w:rsid w:val="0B044987"/>
    <w:rsid w:val="0B1C7EC5"/>
    <w:rsid w:val="0B5302ED"/>
    <w:rsid w:val="0B5331D2"/>
    <w:rsid w:val="0B574F31"/>
    <w:rsid w:val="0BD65557"/>
    <w:rsid w:val="0BFB4241"/>
    <w:rsid w:val="0BFD606E"/>
    <w:rsid w:val="0C221191"/>
    <w:rsid w:val="0C273F15"/>
    <w:rsid w:val="0C680171"/>
    <w:rsid w:val="0C761A45"/>
    <w:rsid w:val="0CD87933"/>
    <w:rsid w:val="0D7E3539"/>
    <w:rsid w:val="0D8B27AF"/>
    <w:rsid w:val="0E4D2AEF"/>
    <w:rsid w:val="0E8520AF"/>
    <w:rsid w:val="0E871A04"/>
    <w:rsid w:val="0EFF2622"/>
    <w:rsid w:val="0F057CFA"/>
    <w:rsid w:val="0F2B060B"/>
    <w:rsid w:val="0F3E035A"/>
    <w:rsid w:val="0F6553CE"/>
    <w:rsid w:val="0F7A16C0"/>
    <w:rsid w:val="0F815A22"/>
    <w:rsid w:val="0F8477D7"/>
    <w:rsid w:val="0FB215E0"/>
    <w:rsid w:val="0FC91CB4"/>
    <w:rsid w:val="0FFA00C0"/>
    <w:rsid w:val="10E368A9"/>
    <w:rsid w:val="10EC7A09"/>
    <w:rsid w:val="11130B41"/>
    <w:rsid w:val="111331E7"/>
    <w:rsid w:val="11140D0D"/>
    <w:rsid w:val="112D5CA9"/>
    <w:rsid w:val="11B5429E"/>
    <w:rsid w:val="11BD2243"/>
    <w:rsid w:val="11C61128"/>
    <w:rsid w:val="11E123B0"/>
    <w:rsid w:val="122B166A"/>
    <w:rsid w:val="124B61D5"/>
    <w:rsid w:val="128B4FFF"/>
    <w:rsid w:val="129E11D6"/>
    <w:rsid w:val="12AB744F"/>
    <w:rsid w:val="12C95E37"/>
    <w:rsid w:val="131F352F"/>
    <w:rsid w:val="136349E1"/>
    <w:rsid w:val="136A089A"/>
    <w:rsid w:val="13733A43"/>
    <w:rsid w:val="13BE313B"/>
    <w:rsid w:val="140B3B1E"/>
    <w:rsid w:val="14230D41"/>
    <w:rsid w:val="14366498"/>
    <w:rsid w:val="148F5D32"/>
    <w:rsid w:val="149A777C"/>
    <w:rsid w:val="14A02B20"/>
    <w:rsid w:val="14B23CFC"/>
    <w:rsid w:val="15620F84"/>
    <w:rsid w:val="15A24BE5"/>
    <w:rsid w:val="15DC7ABD"/>
    <w:rsid w:val="160E7B7D"/>
    <w:rsid w:val="169A355B"/>
    <w:rsid w:val="172C70F4"/>
    <w:rsid w:val="173927B7"/>
    <w:rsid w:val="1753755E"/>
    <w:rsid w:val="17624AF7"/>
    <w:rsid w:val="185E568F"/>
    <w:rsid w:val="189B6135"/>
    <w:rsid w:val="19125973"/>
    <w:rsid w:val="194B02C6"/>
    <w:rsid w:val="198A6335"/>
    <w:rsid w:val="19F2280D"/>
    <w:rsid w:val="1A082D25"/>
    <w:rsid w:val="1A2E2C9C"/>
    <w:rsid w:val="1A2F2339"/>
    <w:rsid w:val="1A57541B"/>
    <w:rsid w:val="1ABD66C2"/>
    <w:rsid w:val="1B054C0E"/>
    <w:rsid w:val="1B4B10C0"/>
    <w:rsid w:val="1B4F3923"/>
    <w:rsid w:val="1B8D3B96"/>
    <w:rsid w:val="1BA50015"/>
    <w:rsid w:val="1BED7ABA"/>
    <w:rsid w:val="1C020757"/>
    <w:rsid w:val="1C24274C"/>
    <w:rsid w:val="1C284362"/>
    <w:rsid w:val="1C3109C5"/>
    <w:rsid w:val="1C5A43C0"/>
    <w:rsid w:val="1D0F6F7E"/>
    <w:rsid w:val="1D2C2B72"/>
    <w:rsid w:val="1D466583"/>
    <w:rsid w:val="1D8F0E26"/>
    <w:rsid w:val="1DBD2B22"/>
    <w:rsid w:val="1E967206"/>
    <w:rsid w:val="1EB27864"/>
    <w:rsid w:val="1EE73F05"/>
    <w:rsid w:val="1F2B626C"/>
    <w:rsid w:val="1F367C85"/>
    <w:rsid w:val="1F777932"/>
    <w:rsid w:val="1F830AA6"/>
    <w:rsid w:val="1FD870BC"/>
    <w:rsid w:val="206F7D0E"/>
    <w:rsid w:val="20764582"/>
    <w:rsid w:val="20F4534B"/>
    <w:rsid w:val="211771AB"/>
    <w:rsid w:val="21240AF9"/>
    <w:rsid w:val="21280F63"/>
    <w:rsid w:val="216C7510"/>
    <w:rsid w:val="21B7392C"/>
    <w:rsid w:val="21E30955"/>
    <w:rsid w:val="21E5472C"/>
    <w:rsid w:val="220B26C8"/>
    <w:rsid w:val="223F5E5A"/>
    <w:rsid w:val="227C6712"/>
    <w:rsid w:val="22956632"/>
    <w:rsid w:val="22D05032"/>
    <w:rsid w:val="22E25882"/>
    <w:rsid w:val="231132FF"/>
    <w:rsid w:val="23123E24"/>
    <w:rsid w:val="23526D43"/>
    <w:rsid w:val="235D47D5"/>
    <w:rsid w:val="23BE387B"/>
    <w:rsid w:val="23E138B2"/>
    <w:rsid w:val="23EB326C"/>
    <w:rsid w:val="23F5116A"/>
    <w:rsid w:val="23F72754"/>
    <w:rsid w:val="24107B79"/>
    <w:rsid w:val="2438146A"/>
    <w:rsid w:val="24A516A9"/>
    <w:rsid w:val="24C06E8C"/>
    <w:rsid w:val="24F86BC7"/>
    <w:rsid w:val="25755DC7"/>
    <w:rsid w:val="25992FEC"/>
    <w:rsid w:val="25BA41F4"/>
    <w:rsid w:val="25DF4040"/>
    <w:rsid w:val="26151AF6"/>
    <w:rsid w:val="261C5147"/>
    <w:rsid w:val="26365570"/>
    <w:rsid w:val="264527C5"/>
    <w:rsid w:val="267D4B3C"/>
    <w:rsid w:val="26DE08FD"/>
    <w:rsid w:val="26E1123A"/>
    <w:rsid w:val="26F838DA"/>
    <w:rsid w:val="27205C3A"/>
    <w:rsid w:val="27314692"/>
    <w:rsid w:val="275C48EF"/>
    <w:rsid w:val="27D34EA0"/>
    <w:rsid w:val="27FF7BCA"/>
    <w:rsid w:val="28113F9D"/>
    <w:rsid w:val="289A3E16"/>
    <w:rsid w:val="28D654A6"/>
    <w:rsid w:val="28DE2D62"/>
    <w:rsid w:val="28DF08C6"/>
    <w:rsid w:val="296C156A"/>
    <w:rsid w:val="29A57D37"/>
    <w:rsid w:val="29D07A70"/>
    <w:rsid w:val="2A082A0C"/>
    <w:rsid w:val="2A1A6F3D"/>
    <w:rsid w:val="2A2658E2"/>
    <w:rsid w:val="2A4E11F7"/>
    <w:rsid w:val="2AA33BA4"/>
    <w:rsid w:val="2AB10C78"/>
    <w:rsid w:val="2ACA7C13"/>
    <w:rsid w:val="2AD72F56"/>
    <w:rsid w:val="2B016BE6"/>
    <w:rsid w:val="2BAC7303"/>
    <w:rsid w:val="2BE455A1"/>
    <w:rsid w:val="2C306B6E"/>
    <w:rsid w:val="2C690673"/>
    <w:rsid w:val="2C7964BA"/>
    <w:rsid w:val="2CBE2D49"/>
    <w:rsid w:val="2CDA6018"/>
    <w:rsid w:val="2CDA6E57"/>
    <w:rsid w:val="2D096669"/>
    <w:rsid w:val="2D256324"/>
    <w:rsid w:val="2D3C7B49"/>
    <w:rsid w:val="2D67693D"/>
    <w:rsid w:val="2DEC0BF0"/>
    <w:rsid w:val="2E9F6564"/>
    <w:rsid w:val="2EE70AB1"/>
    <w:rsid w:val="2EED10C4"/>
    <w:rsid w:val="2F00249E"/>
    <w:rsid w:val="2F4B3C44"/>
    <w:rsid w:val="2F4B5F53"/>
    <w:rsid w:val="2FA80731"/>
    <w:rsid w:val="30004E27"/>
    <w:rsid w:val="30333C59"/>
    <w:rsid w:val="306B2D80"/>
    <w:rsid w:val="3073466A"/>
    <w:rsid w:val="3080429E"/>
    <w:rsid w:val="30E91417"/>
    <w:rsid w:val="30F57DBC"/>
    <w:rsid w:val="31025028"/>
    <w:rsid w:val="311A3DCD"/>
    <w:rsid w:val="31582BCF"/>
    <w:rsid w:val="317909ED"/>
    <w:rsid w:val="32954761"/>
    <w:rsid w:val="335A2AA0"/>
    <w:rsid w:val="33C537D4"/>
    <w:rsid w:val="33DE5179"/>
    <w:rsid w:val="34290044"/>
    <w:rsid w:val="344729FF"/>
    <w:rsid w:val="34C00A4F"/>
    <w:rsid w:val="34C410C2"/>
    <w:rsid w:val="34C57EEA"/>
    <w:rsid w:val="34E5250D"/>
    <w:rsid w:val="351957BC"/>
    <w:rsid w:val="351E3FB6"/>
    <w:rsid w:val="353006C9"/>
    <w:rsid w:val="35415CC5"/>
    <w:rsid w:val="3561657A"/>
    <w:rsid w:val="35A40EF2"/>
    <w:rsid w:val="35E328D9"/>
    <w:rsid w:val="35E6061B"/>
    <w:rsid w:val="35F90A51"/>
    <w:rsid w:val="36305093"/>
    <w:rsid w:val="363578F6"/>
    <w:rsid w:val="36AC3746"/>
    <w:rsid w:val="36D1436C"/>
    <w:rsid w:val="36FD7411"/>
    <w:rsid w:val="375904E6"/>
    <w:rsid w:val="38081FF6"/>
    <w:rsid w:val="383218F5"/>
    <w:rsid w:val="389E603D"/>
    <w:rsid w:val="38B43976"/>
    <w:rsid w:val="38B73A5E"/>
    <w:rsid w:val="38B92DB0"/>
    <w:rsid w:val="38BB1E01"/>
    <w:rsid w:val="394A57F7"/>
    <w:rsid w:val="39731517"/>
    <w:rsid w:val="399122FC"/>
    <w:rsid w:val="39A44A75"/>
    <w:rsid w:val="39A94E8D"/>
    <w:rsid w:val="39AA435D"/>
    <w:rsid w:val="39B32A88"/>
    <w:rsid w:val="39F97E48"/>
    <w:rsid w:val="3A5E02C6"/>
    <w:rsid w:val="3AE95412"/>
    <w:rsid w:val="3B9207F8"/>
    <w:rsid w:val="3C59686A"/>
    <w:rsid w:val="3C667DC0"/>
    <w:rsid w:val="3CA37266"/>
    <w:rsid w:val="3CAA4150"/>
    <w:rsid w:val="3D17331F"/>
    <w:rsid w:val="3D275AAD"/>
    <w:rsid w:val="3D667FC0"/>
    <w:rsid w:val="3D847B6E"/>
    <w:rsid w:val="3DB04076"/>
    <w:rsid w:val="3DB3507C"/>
    <w:rsid w:val="3EA3354D"/>
    <w:rsid w:val="3EE4039C"/>
    <w:rsid w:val="3F190107"/>
    <w:rsid w:val="3F9A5425"/>
    <w:rsid w:val="3FCF6ABD"/>
    <w:rsid w:val="402C4466"/>
    <w:rsid w:val="40503261"/>
    <w:rsid w:val="40A22C0F"/>
    <w:rsid w:val="40AE706F"/>
    <w:rsid w:val="40E027E7"/>
    <w:rsid w:val="40F11EEE"/>
    <w:rsid w:val="40FA3A73"/>
    <w:rsid w:val="41051CB1"/>
    <w:rsid w:val="414F6658"/>
    <w:rsid w:val="419E7FFC"/>
    <w:rsid w:val="41B63597"/>
    <w:rsid w:val="41EF176D"/>
    <w:rsid w:val="41F36599"/>
    <w:rsid w:val="420C1DAD"/>
    <w:rsid w:val="42555234"/>
    <w:rsid w:val="42824CA8"/>
    <w:rsid w:val="429531AD"/>
    <w:rsid w:val="42955623"/>
    <w:rsid w:val="42A77857"/>
    <w:rsid w:val="42AB0C22"/>
    <w:rsid w:val="42E303A5"/>
    <w:rsid w:val="42E87780"/>
    <w:rsid w:val="42EF07F1"/>
    <w:rsid w:val="42F356A5"/>
    <w:rsid w:val="43E51F12"/>
    <w:rsid w:val="44292F78"/>
    <w:rsid w:val="444D0481"/>
    <w:rsid w:val="444D70CA"/>
    <w:rsid w:val="446505FA"/>
    <w:rsid w:val="447004E0"/>
    <w:rsid w:val="44814F4F"/>
    <w:rsid w:val="44E961D7"/>
    <w:rsid w:val="44EE417D"/>
    <w:rsid w:val="463C0496"/>
    <w:rsid w:val="465E7BE6"/>
    <w:rsid w:val="46704EB6"/>
    <w:rsid w:val="469A51CE"/>
    <w:rsid w:val="469C0BB5"/>
    <w:rsid w:val="46AE4BDC"/>
    <w:rsid w:val="4724337C"/>
    <w:rsid w:val="477349E0"/>
    <w:rsid w:val="47C560AC"/>
    <w:rsid w:val="47D209FF"/>
    <w:rsid w:val="4847539D"/>
    <w:rsid w:val="4892414A"/>
    <w:rsid w:val="48AC1250"/>
    <w:rsid w:val="48E41A9A"/>
    <w:rsid w:val="48F90BAE"/>
    <w:rsid w:val="491533EC"/>
    <w:rsid w:val="49B93C25"/>
    <w:rsid w:val="49C56A6D"/>
    <w:rsid w:val="49F54AC2"/>
    <w:rsid w:val="4A0D314C"/>
    <w:rsid w:val="4A1B0CE4"/>
    <w:rsid w:val="4A2230E9"/>
    <w:rsid w:val="4A4E16AF"/>
    <w:rsid w:val="4A7C4E4F"/>
    <w:rsid w:val="4AE80FF6"/>
    <w:rsid w:val="4B143B2C"/>
    <w:rsid w:val="4B3D7971"/>
    <w:rsid w:val="4B55797D"/>
    <w:rsid w:val="4B5E0F43"/>
    <w:rsid w:val="4B5F25AA"/>
    <w:rsid w:val="4B764176"/>
    <w:rsid w:val="4B9C5DFD"/>
    <w:rsid w:val="4BBF3CB2"/>
    <w:rsid w:val="4BDF2F52"/>
    <w:rsid w:val="4BE51AE1"/>
    <w:rsid w:val="4BFFB09E"/>
    <w:rsid w:val="4C324124"/>
    <w:rsid w:val="4C950C60"/>
    <w:rsid w:val="4CA94424"/>
    <w:rsid w:val="4CBC1AA1"/>
    <w:rsid w:val="4CBD61AA"/>
    <w:rsid w:val="4CDF6F04"/>
    <w:rsid w:val="4D1C106F"/>
    <w:rsid w:val="4D241948"/>
    <w:rsid w:val="4D6B3488"/>
    <w:rsid w:val="4DA05C86"/>
    <w:rsid w:val="4DE20F75"/>
    <w:rsid w:val="4DE57142"/>
    <w:rsid w:val="4DE60D60"/>
    <w:rsid w:val="4DEE48C4"/>
    <w:rsid w:val="4E0F475B"/>
    <w:rsid w:val="4E236F71"/>
    <w:rsid w:val="4E4C6215"/>
    <w:rsid w:val="4E5F6D26"/>
    <w:rsid w:val="4E9904C8"/>
    <w:rsid w:val="4EB40842"/>
    <w:rsid w:val="4ECD5D6B"/>
    <w:rsid w:val="4EE80B08"/>
    <w:rsid w:val="4F1C65BB"/>
    <w:rsid w:val="4F4514B9"/>
    <w:rsid w:val="4F715187"/>
    <w:rsid w:val="4FBB5C6F"/>
    <w:rsid w:val="4FD55530"/>
    <w:rsid w:val="4FDD2A48"/>
    <w:rsid w:val="4FDE4FD0"/>
    <w:rsid w:val="50904FB1"/>
    <w:rsid w:val="50A11DE6"/>
    <w:rsid w:val="50A45CAF"/>
    <w:rsid w:val="50DE2E0E"/>
    <w:rsid w:val="513C4A21"/>
    <w:rsid w:val="51C413B8"/>
    <w:rsid w:val="520D596B"/>
    <w:rsid w:val="52592474"/>
    <w:rsid w:val="52956034"/>
    <w:rsid w:val="52CA0FF4"/>
    <w:rsid w:val="535E75EB"/>
    <w:rsid w:val="53604842"/>
    <w:rsid w:val="53650979"/>
    <w:rsid w:val="536E33AD"/>
    <w:rsid w:val="53AA036C"/>
    <w:rsid w:val="53AB4B67"/>
    <w:rsid w:val="53F21C60"/>
    <w:rsid w:val="546E5B71"/>
    <w:rsid w:val="549F4C9B"/>
    <w:rsid w:val="54CA3B23"/>
    <w:rsid w:val="54E43834"/>
    <w:rsid w:val="54E92E00"/>
    <w:rsid w:val="55486DD7"/>
    <w:rsid w:val="55634C86"/>
    <w:rsid w:val="55652CC8"/>
    <w:rsid w:val="55821CB6"/>
    <w:rsid w:val="55C635EB"/>
    <w:rsid w:val="55D4360F"/>
    <w:rsid w:val="55E95892"/>
    <w:rsid w:val="56206DD9"/>
    <w:rsid w:val="56214CCC"/>
    <w:rsid w:val="56970EC3"/>
    <w:rsid w:val="56AF0889"/>
    <w:rsid w:val="56B45E01"/>
    <w:rsid w:val="56E43138"/>
    <w:rsid w:val="56F10A80"/>
    <w:rsid w:val="57025CFB"/>
    <w:rsid w:val="575B1F2E"/>
    <w:rsid w:val="57631EB9"/>
    <w:rsid w:val="57AB3ACC"/>
    <w:rsid w:val="57C77E54"/>
    <w:rsid w:val="57D65757"/>
    <w:rsid w:val="57F531C2"/>
    <w:rsid w:val="58562F86"/>
    <w:rsid w:val="586F0066"/>
    <w:rsid w:val="5872576D"/>
    <w:rsid w:val="58D81BED"/>
    <w:rsid w:val="59054688"/>
    <w:rsid w:val="592D018B"/>
    <w:rsid w:val="59563B77"/>
    <w:rsid w:val="59624C9A"/>
    <w:rsid w:val="596743C1"/>
    <w:rsid w:val="598D7E40"/>
    <w:rsid w:val="59CA708F"/>
    <w:rsid w:val="59CF2FF0"/>
    <w:rsid w:val="59D40607"/>
    <w:rsid w:val="59D53026"/>
    <w:rsid w:val="5A10042E"/>
    <w:rsid w:val="5A4667E2"/>
    <w:rsid w:val="5A516D56"/>
    <w:rsid w:val="5A8A0999"/>
    <w:rsid w:val="5AA7482F"/>
    <w:rsid w:val="5AC454FB"/>
    <w:rsid w:val="5B2B4256"/>
    <w:rsid w:val="5B2C4EA3"/>
    <w:rsid w:val="5B5BDD07"/>
    <w:rsid w:val="5B687259"/>
    <w:rsid w:val="5BC56459"/>
    <w:rsid w:val="5C08212B"/>
    <w:rsid w:val="5C297863"/>
    <w:rsid w:val="5C4E644E"/>
    <w:rsid w:val="5C6B4459"/>
    <w:rsid w:val="5CB05CB6"/>
    <w:rsid w:val="5CC606DB"/>
    <w:rsid w:val="5CD27789"/>
    <w:rsid w:val="5CE045E7"/>
    <w:rsid w:val="5D177188"/>
    <w:rsid w:val="5D7E0FB5"/>
    <w:rsid w:val="5DA14CA4"/>
    <w:rsid w:val="5DE56E10"/>
    <w:rsid w:val="5E0146DC"/>
    <w:rsid w:val="5E04623D"/>
    <w:rsid w:val="5E570305"/>
    <w:rsid w:val="5EBD3D5F"/>
    <w:rsid w:val="5EC07074"/>
    <w:rsid w:val="5F585A7C"/>
    <w:rsid w:val="5FB05985"/>
    <w:rsid w:val="5FB16998"/>
    <w:rsid w:val="6004570B"/>
    <w:rsid w:val="60342028"/>
    <w:rsid w:val="607216C5"/>
    <w:rsid w:val="6120223E"/>
    <w:rsid w:val="61565DA5"/>
    <w:rsid w:val="616B76C1"/>
    <w:rsid w:val="61F730E4"/>
    <w:rsid w:val="620F4F81"/>
    <w:rsid w:val="62976FB4"/>
    <w:rsid w:val="62EC0063"/>
    <w:rsid w:val="62FD4C1C"/>
    <w:rsid w:val="63504929"/>
    <w:rsid w:val="635B6269"/>
    <w:rsid w:val="63EA0065"/>
    <w:rsid w:val="64021829"/>
    <w:rsid w:val="64103DA1"/>
    <w:rsid w:val="643F390D"/>
    <w:rsid w:val="64435226"/>
    <w:rsid w:val="646C46B7"/>
    <w:rsid w:val="64D12873"/>
    <w:rsid w:val="64FC7689"/>
    <w:rsid w:val="64FE4734"/>
    <w:rsid w:val="65037FF2"/>
    <w:rsid w:val="65316CBA"/>
    <w:rsid w:val="65700A83"/>
    <w:rsid w:val="65A11CE5"/>
    <w:rsid w:val="65AC55AE"/>
    <w:rsid w:val="65CC59CB"/>
    <w:rsid w:val="66262E1D"/>
    <w:rsid w:val="662B2BC9"/>
    <w:rsid w:val="664F4EF8"/>
    <w:rsid w:val="669E2922"/>
    <w:rsid w:val="66D0113F"/>
    <w:rsid w:val="66D633B1"/>
    <w:rsid w:val="67195BCA"/>
    <w:rsid w:val="674A3B45"/>
    <w:rsid w:val="678C42CF"/>
    <w:rsid w:val="67AB42FA"/>
    <w:rsid w:val="67AE324E"/>
    <w:rsid w:val="67B13D35"/>
    <w:rsid w:val="67C57173"/>
    <w:rsid w:val="6848049A"/>
    <w:rsid w:val="68530B68"/>
    <w:rsid w:val="687D1EB4"/>
    <w:rsid w:val="689A00F4"/>
    <w:rsid w:val="68A613C0"/>
    <w:rsid w:val="68D408E0"/>
    <w:rsid w:val="694F773D"/>
    <w:rsid w:val="69696632"/>
    <w:rsid w:val="69C82CA0"/>
    <w:rsid w:val="69FE23BF"/>
    <w:rsid w:val="6A0A5E7E"/>
    <w:rsid w:val="6A415C83"/>
    <w:rsid w:val="6A9F1CE8"/>
    <w:rsid w:val="6AF02C71"/>
    <w:rsid w:val="6B1348DC"/>
    <w:rsid w:val="6B4118B7"/>
    <w:rsid w:val="6B8F6B7F"/>
    <w:rsid w:val="6BB40298"/>
    <w:rsid w:val="6BC72357"/>
    <w:rsid w:val="6BC87EC3"/>
    <w:rsid w:val="6BE51F6D"/>
    <w:rsid w:val="6BFE4BFC"/>
    <w:rsid w:val="6C0D4447"/>
    <w:rsid w:val="6C1D2B12"/>
    <w:rsid w:val="6C4B6506"/>
    <w:rsid w:val="6C7B6B79"/>
    <w:rsid w:val="6C7F4402"/>
    <w:rsid w:val="6CBC16CE"/>
    <w:rsid w:val="6CD3474E"/>
    <w:rsid w:val="6D015791"/>
    <w:rsid w:val="6D170ADE"/>
    <w:rsid w:val="6D2D0302"/>
    <w:rsid w:val="6D536141"/>
    <w:rsid w:val="6D7C7F17"/>
    <w:rsid w:val="6D913D46"/>
    <w:rsid w:val="6DAF6882"/>
    <w:rsid w:val="6E2848E4"/>
    <w:rsid w:val="6E777813"/>
    <w:rsid w:val="6E796EC3"/>
    <w:rsid w:val="6E827B9C"/>
    <w:rsid w:val="6EAD4B62"/>
    <w:rsid w:val="6EFF7AFF"/>
    <w:rsid w:val="6F11606F"/>
    <w:rsid w:val="6F781DFC"/>
    <w:rsid w:val="6F7E3097"/>
    <w:rsid w:val="6F8320F2"/>
    <w:rsid w:val="6FA663F0"/>
    <w:rsid w:val="6FC321E3"/>
    <w:rsid w:val="6FCB6495"/>
    <w:rsid w:val="6FE74798"/>
    <w:rsid w:val="702F23C1"/>
    <w:rsid w:val="70B229A9"/>
    <w:rsid w:val="70B623BC"/>
    <w:rsid w:val="70E36AB6"/>
    <w:rsid w:val="711A671D"/>
    <w:rsid w:val="71222E58"/>
    <w:rsid w:val="718D7C27"/>
    <w:rsid w:val="719A425E"/>
    <w:rsid w:val="71DB5E7F"/>
    <w:rsid w:val="72181581"/>
    <w:rsid w:val="728840A7"/>
    <w:rsid w:val="728A528D"/>
    <w:rsid w:val="72A23924"/>
    <w:rsid w:val="72AD06C6"/>
    <w:rsid w:val="72D00517"/>
    <w:rsid w:val="73214465"/>
    <w:rsid w:val="73603C02"/>
    <w:rsid w:val="73646238"/>
    <w:rsid w:val="739B4366"/>
    <w:rsid w:val="73C80945"/>
    <w:rsid w:val="740A6721"/>
    <w:rsid w:val="742A4612"/>
    <w:rsid w:val="745D771F"/>
    <w:rsid w:val="7513790B"/>
    <w:rsid w:val="751B57DC"/>
    <w:rsid w:val="75430B1F"/>
    <w:rsid w:val="75997057"/>
    <w:rsid w:val="75E63D42"/>
    <w:rsid w:val="761F0F2E"/>
    <w:rsid w:val="7673087F"/>
    <w:rsid w:val="76AB248B"/>
    <w:rsid w:val="76AD6658"/>
    <w:rsid w:val="76E557A9"/>
    <w:rsid w:val="7796732B"/>
    <w:rsid w:val="77CE5240"/>
    <w:rsid w:val="77FDDCD9"/>
    <w:rsid w:val="780B3B36"/>
    <w:rsid w:val="787F7564"/>
    <w:rsid w:val="788270C1"/>
    <w:rsid w:val="78A841C7"/>
    <w:rsid w:val="790A2AC9"/>
    <w:rsid w:val="79443090"/>
    <w:rsid w:val="79492020"/>
    <w:rsid w:val="7967100B"/>
    <w:rsid w:val="796B7926"/>
    <w:rsid w:val="797C2936"/>
    <w:rsid w:val="79B719E6"/>
    <w:rsid w:val="79BA211C"/>
    <w:rsid w:val="79D55FA9"/>
    <w:rsid w:val="7A095F64"/>
    <w:rsid w:val="7A0F044F"/>
    <w:rsid w:val="7A831561"/>
    <w:rsid w:val="7A884099"/>
    <w:rsid w:val="7A952AAB"/>
    <w:rsid w:val="7B5C345E"/>
    <w:rsid w:val="7B6FA60E"/>
    <w:rsid w:val="7B7A23EE"/>
    <w:rsid w:val="7BA07852"/>
    <w:rsid w:val="7BBC6865"/>
    <w:rsid w:val="7BBE1F25"/>
    <w:rsid w:val="7BBF1764"/>
    <w:rsid w:val="7BD746D6"/>
    <w:rsid w:val="7BEC0ED1"/>
    <w:rsid w:val="7C590271"/>
    <w:rsid w:val="7CA03228"/>
    <w:rsid w:val="7CDC31AB"/>
    <w:rsid w:val="7CE1656E"/>
    <w:rsid w:val="7D0F45B2"/>
    <w:rsid w:val="7DA23018"/>
    <w:rsid w:val="7DB000C7"/>
    <w:rsid w:val="7DE20C95"/>
    <w:rsid w:val="7E030655"/>
    <w:rsid w:val="7E732483"/>
    <w:rsid w:val="7E7864E1"/>
    <w:rsid w:val="7EF6029B"/>
    <w:rsid w:val="7F7235B4"/>
    <w:rsid w:val="7F9B68EA"/>
    <w:rsid w:val="7FAD6712"/>
    <w:rsid w:val="7FDF714D"/>
    <w:rsid w:val="7FED6CA9"/>
    <w:rsid w:val="BEB7762F"/>
    <w:rsid w:val="BFFD080C"/>
    <w:rsid w:val="D7E61305"/>
    <w:rsid w:val="DED7EF52"/>
    <w:rsid w:val="DFBE1536"/>
    <w:rsid w:val="DFFF7876"/>
    <w:rsid w:val="EEF92E5B"/>
    <w:rsid w:val="EFDD559A"/>
    <w:rsid w:val="F75F57D7"/>
    <w:rsid w:val="FD7131DC"/>
    <w:rsid w:val="FDDB512A"/>
    <w:rsid w:val="FFDBB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9"/>
    <w:pPr>
      <w:keepNext/>
      <w:keepLines/>
      <w:spacing w:before="340" w:after="330" w:line="578" w:lineRule="auto"/>
      <w:ind w:left="432" w:hanging="432"/>
      <w:jc w:val="center"/>
      <w:outlineLvl w:val="0"/>
    </w:pPr>
    <w:rPr>
      <w:b/>
      <w:bCs/>
      <w:kern w:val="44"/>
      <w:sz w:val="52"/>
      <w:szCs w:val="44"/>
    </w:rPr>
  </w:style>
  <w:style w:type="paragraph" w:styleId="4">
    <w:name w:val="heading 2"/>
    <w:basedOn w:val="1"/>
    <w:next w:val="1"/>
    <w:link w:val="40"/>
    <w:semiHidden/>
    <w:unhideWhenUsed/>
    <w:qFormat/>
    <w:uiPriority w:val="9"/>
    <w:pPr>
      <w:keepNext/>
      <w:keepLines/>
      <w:spacing w:before="260" w:after="260" w:line="416" w:lineRule="auto"/>
      <w:ind w:left="576" w:hanging="576"/>
      <w:outlineLvl w:val="1"/>
    </w:pPr>
    <w:rPr>
      <w:rFonts w:ascii="Cambria" w:hAnsi="Cambria"/>
      <w:b/>
      <w:bCs/>
      <w:sz w:val="32"/>
      <w:szCs w:val="32"/>
    </w:rPr>
  </w:style>
  <w:style w:type="paragraph" w:styleId="5">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link w:val="53"/>
    <w:qFormat/>
    <w:uiPriority w:val="0"/>
    <w:pPr>
      <w:spacing w:afterLines="50" w:line="360" w:lineRule="auto"/>
      <w:ind w:firstLine="200" w:firstLineChars="200"/>
    </w:pPr>
    <w:rPr>
      <w:sz w:val="24"/>
    </w:rPr>
  </w:style>
  <w:style w:type="paragraph" w:styleId="8">
    <w:name w:val="Document Map"/>
    <w:basedOn w:val="1"/>
    <w:link w:val="39"/>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
    <w:qFormat/>
    <w:uiPriority w:val="0"/>
    <w:pPr>
      <w:spacing w:after="120"/>
    </w:pPr>
  </w:style>
  <w:style w:type="paragraph" w:styleId="11">
    <w:name w:val="Body Text Indent"/>
    <w:basedOn w:val="1"/>
    <w:next w:val="1"/>
    <w:link w:val="82"/>
    <w:qFormat/>
    <w:uiPriority w:val="0"/>
    <w:pPr>
      <w:ind w:left="420" w:leftChars="200" w:firstLine="480" w:firstLineChars="200"/>
    </w:pPr>
    <w:rPr>
      <w:sz w:val="24"/>
    </w:rPr>
  </w:style>
  <w:style w:type="paragraph" w:styleId="12">
    <w:name w:val="Plain Text"/>
    <w:basedOn w:val="1"/>
    <w:link w:val="34"/>
    <w:qFormat/>
    <w:uiPriority w:val="0"/>
    <w:rPr>
      <w:rFonts w:ascii="宋体" w:hAnsi="Courier New"/>
      <w:szCs w:val="20"/>
    </w:rPr>
  </w:style>
  <w:style w:type="paragraph" w:styleId="13">
    <w:name w:val="Date"/>
    <w:basedOn w:val="1"/>
    <w:next w:val="1"/>
    <w:link w:val="70"/>
    <w:qFormat/>
    <w:uiPriority w:val="0"/>
    <w:pPr>
      <w:ind w:left="100" w:leftChars="2500"/>
    </w:pPr>
  </w:style>
  <w:style w:type="paragraph" w:styleId="14">
    <w:name w:val="Balloon Text"/>
    <w:basedOn w:val="1"/>
    <w:link w:val="43"/>
    <w:qFormat/>
    <w:uiPriority w:val="0"/>
    <w:rPr>
      <w:sz w:val="18"/>
      <w:szCs w:val="18"/>
    </w:rPr>
  </w:style>
  <w:style w:type="paragraph" w:styleId="15">
    <w:name w:val="footer"/>
    <w:basedOn w:val="1"/>
    <w:link w:val="79"/>
    <w:qFormat/>
    <w:uiPriority w:val="99"/>
    <w:pPr>
      <w:tabs>
        <w:tab w:val="center" w:pos="4153"/>
        <w:tab w:val="right" w:pos="8306"/>
      </w:tabs>
      <w:snapToGrid w:val="0"/>
      <w:jc w:val="left"/>
    </w:pPr>
    <w:rPr>
      <w:sz w:val="18"/>
      <w:szCs w:val="18"/>
    </w:rPr>
  </w:style>
  <w:style w:type="paragraph" w:styleId="16">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Subtitle"/>
    <w:basedOn w:val="1"/>
    <w:next w:val="1"/>
    <w:link w:val="41"/>
    <w:qFormat/>
    <w:uiPriority w:val="11"/>
    <w:pPr>
      <w:spacing w:before="240" w:after="60" w:line="312" w:lineRule="auto"/>
      <w:jc w:val="center"/>
      <w:outlineLvl w:val="1"/>
    </w:pPr>
    <w:rPr>
      <w:rFonts w:ascii="Cambria" w:hAnsi="Cambria"/>
      <w:b/>
      <w:bCs/>
      <w:kern w:val="28"/>
      <w:sz w:val="32"/>
      <w:szCs w:val="32"/>
    </w:rPr>
  </w:style>
  <w:style w:type="paragraph" w:styleId="19">
    <w:name w:val="toc 6"/>
    <w:basedOn w:val="1"/>
    <w:next w:val="1"/>
    <w:semiHidden/>
    <w:qFormat/>
    <w:uiPriority w:val="0"/>
    <w:pPr>
      <w:ind w:left="1050"/>
      <w:jc w:val="left"/>
    </w:pPr>
    <w:rPr>
      <w:sz w:val="18"/>
      <w:szCs w:val="18"/>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9"/>
    <w:next w:val="9"/>
    <w:link w:val="52"/>
    <w:qFormat/>
    <w:uiPriority w:val="0"/>
    <w:rPr>
      <w:b/>
      <w:bCs/>
    </w:rPr>
  </w:style>
  <w:style w:type="paragraph" w:styleId="22">
    <w:name w:val="Body Text First Indent"/>
    <w:basedOn w:val="10"/>
    <w:next w:val="1"/>
    <w:qFormat/>
    <w:uiPriority w:val="0"/>
    <w:pPr>
      <w:ind w:firstLine="420" w:firstLineChars="100"/>
    </w:pPr>
  </w:style>
  <w:style w:type="paragraph" w:styleId="23">
    <w:name w:val="Body Text First Indent 2"/>
    <w:basedOn w:val="11"/>
    <w:next w:val="1"/>
    <w:link w:val="83"/>
    <w:unhideWhenUsed/>
    <w:qFormat/>
    <w:uiPriority w:val="0"/>
    <w:pPr>
      <w:widowControl/>
      <w:spacing w:after="120"/>
      <w:ind w:firstLine="420"/>
      <w:jc w:val="left"/>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qFormat/>
    <w:uiPriority w:val="0"/>
  </w:style>
  <w:style w:type="character" w:styleId="29">
    <w:name w:val="Hyperlink"/>
    <w:qFormat/>
    <w:uiPriority w:val="0"/>
    <w:rPr>
      <w:color w:val="574D31"/>
      <w:u w:val="none"/>
    </w:rPr>
  </w:style>
  <w:style w:type="character" w:styleId="30">
    <w:name w:val="annotation reference"/>
    <w:qFormat/>
    <w:uiPriority w:val="0"/>
    <w:rPr>
      <w:sz w:val="21"/>
      <w:szCs w:val="21"/>
    </w:rPr>
  </w:style>
  <w:style w:type="paragraph" w:customStyle="1" w:styleId="31">
    <w:name w:val="表格文字"/>
    <w:basedOn w:val="1"/>
    <w:next w:val="10"/>
    <w:qFormat/>
    <w:uiPriority w:val="0"/>
    <w:rPr>
      <w:rFonts w:ascii="Arial" w:hAnsi="Arial"/>
      <w:snapToGrid/>
      <w:kern w:val="2"/>
      <w:szCs w:val="21"/>
    </w:rPr>
  </w:style>
  <w:style w:type="paragraph" w:customStyle="1" w:styleId="32">
    <w:name w:val="段"/>
    <w:next w:val="33"/>
    <w:qFormat/>
    <w:uiPriority w:val="0"/>
    <w:pPr>
      <w:autoSpaceDE w:val="0"/>
      <w:autoSpaceDN w:val="0"/>
      <w:ind w:firstLine="200"/>
      <w:jc w:val="both"/>
    </w:pPr>
    <w:rPr>
      <w:rFonts w:ascii="宋体" w:hAnsi="Calibri" w:eastAsia="宋体" w:cs="Times New Roman"/>
      <w:kern w:val="2"/>
      <w:sz w:val="21"/>
      <w:szCs w:val="22"/>
      <w:lang w:val="en-US" w:eastAsia="zh-CN" w:bidi="ar-SA"/>
    </w:rPr>
  </w:style>
  <w:style w:type="paragraph" w:customStyle="1" w:styleId="33">
    <w:name w:val="正文 A"/>
    <w:next w:val="32"/>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34">
    <w:name w:val="纯文本 字符"/>
    <w:link w:val="12"/>
    <w:qFormat/>
    <w:uiPriority w:val="0"/>
    <w:rPr>
      <w:rFonts w:ascii="宋体" w:hAnsi="Courier New" w:eastAsia="宋体"/>
      <w:kern w:val="2"/>
      <w:sz w:val="21"/>
      <w:lang w:val="en-US" w:eastAsia="zh-CN" w:bidi="ar-SA"/>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正文段落 Char"/>
    <w:link w:val="38"/>
    <w:qFormat/>
    <w:uiPriority w:val="0"/>
    <w:rPr>
      <w:rFonts w:ascii="宋体" w:hAnsi="宋体" w:eastAsia="宋体"/>
      <w:sz w:val="28"/>
      <w:lang w:bidi="ar-SA"/>
    </w:rPr>
  </w:style>
  <w:style w:type="paragraph" w:customStyle="1" w:styleId="38">
    <w:name w:val="正文段落"/>
    <w:basedOn w:val="1"/>
    <w:link w:val="37"/>
    <w:qFormat/>
    <w:uiPriority w:val="0"/>
    <w:pPr>
      <w:ind w:firstLine="560" w:firstLineChars="200"/>
    </w:pPr>
    <w:rPr>
      <w:rFonts w:ascii="宋体" w:hAnsi="宋体"/>
      <w:kern w:val="0"/>
      <w:sz w:val="28"/>
      <w:szCs w:val="20"/>
    </w:rPr>
  </w:style>
  <w:style w:type="character" w:customStyle="1" w:styleId="39">
    <w:name w:val="文档结构图 字符"/>
    <w:link w:val="8"/>
    <w:qFormat/>
    <w:uiPriority w:val="0"/>
    <w:rPr>
      <w:rFonts w:ascii="宋体"/>
      <w:kern w:val="2"/>
      <w:sz w:val="18"/>
      <w:szCs w:val="18"/>
    </w:rPr>
  </w:style>
  <w:style w:type="character" w:customStyle="1" w:styleId="40">
    <w:name w:val="标题 2 字符"/>
    <w:link w:val="4"/>
    <w:qFormat/>
    <w:uiPriority w:val="0"/>
    <w:rPr>
      <w:rFonts w:ascii="Cambria" w:hAnsi="Cambria"/>
      <w:b/>
      <w:bCs/>
      <w:kern w:val="2"/>
      <w:sz w:val="32"/>
      <w:szCs w:val="32"/>
    </w:rPr>
  </w:style>
  <w:style w:type="character" w:customStyle="1" w:styleId="41">
    <w:name w:val="副标题 字符"/>
    <w:link w:val="18"/>
    <w:qFormat/>
    <w:uiPriority w:val="0"/>
    <w:rPr>
      <w:rFonts w:ascii="Cambria" w:hAnsi="Cambria"/>
      <w:b/>
      <w:bCs/>
      <w:kern w:val="28"/>
      <w:sz w:val="32"/>
      <w:szCs w:val="32"/>
    </w:rPr>
  </w:style>
  <w:style w:type="character" w:customStyle="1" w:styleId="42">
    <w:name w:val="17"/>
    <w:qFormat/>
    <w:uiPriority w:val="0"/>
    <w:rPr>
      <w:rFonts w:hint="default" w:ascii="Times New Roman" w:hAnsi="Times New Roman" w:cs="Times New Roman"/>
      <w:b/>
      <w:bCs/>
      <w:sz w:val="27"/>
      <w:szCs w:val="27"/>
    </w:rPr>
  </w:style>
  <w:style w:type="character" w:customStyle="1" w:styleId="43">
    <w:name w:val="批注框文本 字符"/>
    <w:link w:val="14"/>
    <w:qFormat/>
    <w:uiPriority w:val="0"/>
    <w:rPr>
      <w:kern w:val="2"/>
      <w:sz w:val="18"/>
      <w:szCs w:val="18"/>
    </w:rPr>
  </w:style>
  <w:style w:type="character" w:customStyle="1" w:styleId="44">
    <w:name w:val="Plain Text Char1"/>
    <w:link w:val="45"/>
    <w:qFormat/>
    <w:uiPriority w:val="0"/>
    <w:rPr>
      <w:rFonts w:ascii="宋体" w:hAnsi="Courier New" w:cs="Courier New"/>
      <w:sz w:val="21"/>
      <w:szCs w:val="21"/>
    </w:rPr>
  </w:style>
  <w:style w:type="paragraph" w:customStyle="1" w:styleId="45">
    <w:name w:val="纯文本1"/>
    <w:basedOn w:val="1"/>
    <w:link w:val="44"/>
    <w:qFormat/>
    <w:uiPriority w:val="0"/>
    <w:rPr>
      <w:rFonts w:ascii="宋体" w:hAnsi="Courier New"/>
      <w:kern w:val="0"/>
      <w:szCs w:val="21"/>
    </w:rPr>
  </w:style>
  <w:style w:type="character" w:customStyle="1" w:styleId="46">
    <w:name w:val="unnamed31"/>
    <w:basedOn w:val="26"/>
    <w:qFormat/>
    <w:uiPriority w:val="0"/>
  </w:style>
  <w:style w:type="character" w:customStyle="1" w:styleId="47">
    <w:name w:val="标题 3 字符"/>
    <w:link w:val="5"/>
    <w:qFormat/>
    <w:uiPriority w:val="0"/>
    <w:rPr>
      <w:rFonts w:eastAsia="宋体"/>
      <w:b/>
      <w:bCs/>
      <w:kern w:val="2"/>
      <w:sz w:val="32"/>
      <w:szCs w:val="32"/>
      <w:lang w:val="en-US" w:eastAsia="zh-CN" w:bidi="ar-SA"/>
    </w:rPr>
  </w:style>
  <w:style w:type="character" w:customStyle="1" w:styleId="48">
    <w:name w:val="标题 1 字符"/>
    <w:link w:val="3"/>
    <w:qFormat/>
    <w:uiPriority w:val="0"/>
    <w:rPr>
      <w:b/>
      <w:bCs/>
      <w:kern w:val="44"/>
      <w:sz w:val="52"/>
      <w:szCs w:val="44"/>
    </w:rPr>
  </w:style>
  <w:style w:type="character" w:customStyle="1" w:styleId="49">
    <w:name w:val="ca-4"/>
    <w:basedOn w:val="26"/>
    <w:qFormat/>
    <w:uiPriority w:val="0"/>
  </w:style>
  <w:style w:type="character" w:customStyle="1" w:styleId="50">
    <w:name w:val="16"/>
    <w:qFormat/>
    <w:uiPriority w:val="0"/>
    <w:rPr>
      <w:rFonts w:hint="default" w:ascii="Times New Roman" w:hAnsi="Times New Roman" w:cs="Times New Roman"/>
      <w:sz w:val="20"/>
      <w:szCs w:val="20"/>
    </w:rPr>
  </w:style>
  <w:style w:type="character" w:customStyle="1" w:styleId="51">
    <w:name w:val="ca-3"/>
    <w:basedOn w:val="26"/>
    <w:qFormat/>
    <w:uiPriority w:val="0"/>
  </w:style>
  <w:style w:type="character" w:customStyle="1" w:styleId="52">
    <w:name w:val="批注主题 字符"/>
    <w:link w:val="21"/>
    <w:qFormat/>
    <w:uiPriority w:val="0"/>
    <w:rPr>
      <w:b/>
      <w:bCs/>
      <w:kern w:val="2"/>
      <w:sz w:val="21"/>
      <w:szCs w:val="24"/>
    </w:rPr>
  </w:style>
  <w:style w:type="character" w:customStyle="1" w:styleId="53">
    <w:name w:val="正文缩进 字符"/>
    <w:link w:val="7"/>
    <w:qFormat/>
    <w:uiPriority w:val="0"/>
    <w:rPr>
      <w:rFonts w:eastAsia="宋体"/>
      <w:kern w:val="2"/>
      <w:sz w:val="24"/>
      <w:szCs w:val="24"/>
      <w:lang w:val="en-US" w:eastAsia="zh-CN" w:bidi="ar-SA"/>
    </w:rPr>
  </w:style>
  <w:style w:type="character" w:customStyle="1" w:styleId="54">
    <w:name w:val="Char Char8"/>
    <w:qFormat/>
    <w:uiPriority w:val="0"/>
    <w:rPr>
      <w:rFonts w:ascii="Times New Roman" w:hAnsi="Times New Roman" w:eastAsia="宋体" w:cs="Times New Roman"/>
      <w:b/>
      <w:bCs/>
      <w:sz w:val="32"/>
      <w:szCs w:val="32"/>
    </w:rPr>
  </w:style>
  <w:style w:type="character" w:customStyle="1" w:styleId="55">
    <w:name w:val="批注文字 字符"/>
    <w:link w:val="9"/>
    <w:qFormat/>
    <w:uiPriority w:val="0"/>
    <w:rPr>
      <w:kern w:val="2"/>
      <w:sz w:val="21"/>
      <w:szCs w:val="24"/>
    </w:rPr>
  </w:style>
  <w:style w:type="character" w:customStyle="1" w:styleId="56">
    <w:name w:val="吉奥正文 Char2"/>
    <w:link w:val="57"/>
    <w:qFormat/>
    <w:uiPriority w:val="0"/>
    <w:rPr>
      <w:rFonts w:eastAsia="仿宋_GB2312"/>
      <w:sz w:val="24"/>
      <w:lang w:bidi="ar-SA"/>
    </w:rPr>
  </w:style>
  <w:style w:type="paragraph" w:customStyle="1" w:styleId="57">
    <w:name w:val="吉奥正文"/>
    <w:basedOn w:val="1"/>
    <w:link w:val="56"/>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paragraph" w:customStyle="1" w:styleId="58">
    <w:name w:val="p0"/>
    <w:basedOn w:val="1"/>
    <w:qFormat/>
    <w:uiPriority w:val="0"/>
    <w:pPr>
      <w:widowControl/>
    </w:pPr>
    <w:rPr>
      <w:kern w:val="0"/>
      <w:szCs w:val="21"/>
    </w:rPr>
  </w:style>
  <w:style w:type="paragraph" w:customStyle="1" w:styleId="59">
    <w:name w:val="正文缩进1"/>
    <w:basedOn w:val="1"/>
    <w:next w:val="11"/>
    <w:qFormat/>
    <w:uiPriority w:val="0"/>
    <w:pPr>
      <w:autoSpaceDE w:val="0"/>
      <w:autoSpaceDN w:val="0"/>
      <w:adjustRightInd w:val="0"/>
      <w:snapToGrid w:val="0"/>
      <w:spacing w:after="120" w:line="360" w:lineRule="auto"/>
      <w:ind w:left="420" w:firstLine="480"/>
    </w:pPr>
    <w:rPr>
      <w:sz w:val="24"/>
      <w:szCs w:val="20"/>
    </w:rPr>
  </w:style>
  <w:style w:type="paragraph" w:customStyle="1" w:styleId="60">
    <w:name w:val="ZJX正文"/>
    <w:basedOn w:val="1"/>
    <w:qFormat/>
    <w:uiPriority w:val="0"/>
    <w:pPr>
      <w:spacing w:line="360" w:lineRule="auto"/>
      <w:ind w:firstLine="480" w:firstLineChars="200"/>
    </w:pPr>
    <w:rPr>
      <w:rFonts w:cs="黑体"/>
      <w:sz w:val="24"/>
      <w:szCs w:val="21"/>
    </w:rPr>
  </w:style>
  <w:style w:type="paragraph" w:customStyle="1" w:styleId="61">
    <w:name w:val="p18"/>
    <w:basedOn w:val="1"/>
    <w:qFormat/>
    <w:uiPriority w:val="0"/>
    <w:pPr>
      <w:widowControl/>
    </w:pPr>
    <w:rPr>
      <w:kern w:val="0"/>
      <w:szCs w:val="21"/>
    </w:rPr>
  </w:style>
  <w:style w:type="paragraph" w:customStyle="1" w:styleId="62">
    <w:name w:val="xc正文"/>
    <w:basedOn w:val="1"/>
    <w:qFormat/>
    <w:uiPriority w:val="0"/>
    <w:pPr>
      <w:spacing w:line="360" w:lineRule="auto"/>
      <w:ind w:firstLine="200" w:firstLineChars="200"/>
    </w:pPr>
    <w:rPr>
      <w:sz w:val="24"/>
    </w:rPr>
  </w:style>
  <w:style w:type="paragraph" w:customStyle="1" w:styleId="6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4">
    <w:name w:val="L正文4"/>
    <w:basedOn w:val="1"/>
    <w:qFormat/>
    <w:uiPriority w:val="0"/>
    <w:pPr>
      <w:spacing w:line="360" w:lineRule="auto"/>
      <w:ind w:firstLine="560" w:firstLineChars="200"/>
    </w:pPr>
    <w:rPr>
      <w:sz w:val="28"/>
      <w:szCs w:val="28"/>
    </w:rPr>
  </w:style>
  <w:style w:type="paragraph" w:customStyle="1" w:styleId="65">
    <w:name w:val="pa-2"/>
    <w:basedOn w:val="1"/>
    <w:qFormat/>
    <w:uiPriority w:val="0"/>
    <w:pPr>
      <w:widowControl/>
      <w:spacing w:before="100" w:beforeAutospacing="1" w:after="100" w:afterAutospacing="1"/>
      <w:jc w:val="left"/>
    </w:pPr>
    <w:rPr>
      <w:rFonts w:ascii="宋体" w:hAnsi="宋体" w:cs="宋体"/>
      <w:kern w:val="0"/>
      <w:sz w:val="24"/>
    </w:rPr>
  </w:style>
  <w:style w:type="character" w:customStyle="1" w:styleId="66">
    <w:name w:val="纯文本 Char1"/>
    <w:basedOn w:val="26"/>
    <w:qFormat/>
    <w:uiPriority w:val="0"/>
    <w:rPr>
      <w:rFonts w:ascii="宋体" w:hAnsi="Courier New" w:eastAsia="宋体"/>
      <w:kern w:val="2"/>
      <w:sz w:val="21"/>
      <w:lang w:val="en-US" w:eastAsia="zh-CN" w:bidi="ar-SA"/>
    </w:rPr>
  </w:style>
  <w:style w:type="character" w:customStyle="1" w:styleId="67">
    <w:name w:val="正文2 Char Char"/>
    <w:link w:val="68"/>
    <w:qFormat/>
    <w:uiPriority w:val="0"/>
    <w:rPr>
      <w:rFonts w:eastAsia="??"/>
      <w:kern w:val="2"/>
      <w:sz w:val="24"/>
      <w:szCs w:val="28"/>
    </w:rPr>
  </w:style>
  <w:style w:type="paragraph" w:customStyle="1" w:styleId="68">
    <w:name w:val="正文2"/>
    <w:basedOn w:val="1"/>
    <w:link w:val="67"/>
    <w:qFormat/>
    <w:uiPriority w:val="0"/>
    <w:pPr>
      <w:spacing w:before="156" w:line="360" w:lineRule="auto"/>
      <w:ind w:firstLine="200" w:firstLineChars="200"/>
    </w:pPr>
    <w:rPr>
      <w:rFonts w:eastAsia="??"/>
      <w:sz w:val="24"/>
      <w:szCs w:val="28"/>
    </w:rPr>
  </w:style>
  <w:style w:type="character" w:customStyle="1" w:styleId="69">
    <w:name w:val="fontstyle01"/>
    <w:qFormat/>
    <w:uiPriority w:val="0"/>
    <w:rPr>
      <w:rFonts w:hint="eastAsia" w:ascii="仿宋_GB2312" w:eastAsia="仿宋_GB2312"/>
      <w:color w:val="000000"/>
      <w:sz w:val="24"/>
      <w:szCs w:val="24"/>
    </w:rPr>
  </w:style>
  <w:style w:type="character" w:customStyle="1" w:styleId="70">
    <w:name w:val="日期 字符"/>
    <w:link w:val="13"/>
    <w:qFormat/>
    <w:uiPriority w:val="0"/>
    <w:rPr>
      <w:kern w:val="2"/>
      <w:sz w:val="21"/>
      <w:szCs w:val="24"/>
    </w:rPr>
  </w:style>
  <w:style w:type="paragraph" w:customStyle="1" w:styleId="7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character" w:customStyle="1" w:styleId="72">
    <w:name w:val="未处理的提及1"/>
    <w:basedOn w:val="26"/>
    <w:qFormat/>
    <w:uiPriority w:val="99"/>
    <w:rPr>
      <w:color w:val="605E5C"/>
      <w:shd w:val="clear" w:color="auto" w:fill="E1DFDD"/>
    </w:rPr>
  </w:style>
  <w:style w:type="character" w:customStyle="1" w:styleId="73">
    <w:name w:val="NormalCharacter"/>
    <w:qFormat/>
    <w:uiPriority w:val="0"/>
  </w:style>
  <w:style w:type="character" w:customStyle="1" w:styleId="74">
    <w:name w:val="纯文本 字符1"/>
    <w:qFormat/>
    <w:uiPriority w:val="0"/>
    <w:rPr>
      <w:rFonts w:ascii="宋体" w:hAnsi="Courier New" w:eastAsia="宋体" w:cs="Courier New"/>
      <w:sz w:val="21"/>
      <w:szCs w:val="21"/>
    </w:rPr>
  </w:style>
  <w:style w:type="character" w:customStyle="1" w:styleId="75">
    <w:name w:val="无"/>
    <w:qFormat/>
    <w:uiPriority w:val="0"/>
  </w:style>
  <w:style w:type="character" w:customStyle="1" w:styleId="76">
    <w:name w:val="未处理的提及2"/>
    <w:basedOn w:val="26"/>
    <w:qFormat/>
    <w:uiPriority w:val="99"/>
    <w:rPr>
      <w:color w:val="605E5C"/>
      <w:shd w:val="clear" w:color="auto" w:fill="E1DFDD"/>
    </w:rPr>
  </w:style>
  <w:style w:type="character" w:customStyle="1" w:styleId="77">
    <w:name w:val="未处理的提及3"/>
    <w:basedOn w:val="26"/>
    <w:semiHidden/>
    <w:unhideWhenUsed/>
    <w:qFormat/>
    <w:uiPriority w:val="99"/>
    <w:rPr>
      <w:color w:val="605E5C"/>
      <w:shd w:val="clear" w:color="auto" w:fill="E1DFDD"/>
    </w:rPr>
  </w:style>
  <w:style w:type="character" w:customStyle="1" w:styleId="78">
    <w:name w:val="纯文本 字符2"/>
    <w:qFormat/>
    <w:uiPriority w:val="0"/>
    <w:rPr>
      <w:rFonts w:ascii="宋体" w:hAnsi="Courier New" w:eastAsia="宋体"/>
      <w:kern w:val="2"/>
      <w:sz w:val="21"/>
      <w:lang w:val="en-US" w:eastAsia="zh-CN" w:bidi="ar-SA"/>
    </w:rPr>
  </w:style>
  <w:style w:type="character" w:customStyle="1" w:styleId="79">
    <w:name w:val="页脚 字符"/>
    <w:link w:val="15"/>
    <w:qFormat/>
    <w:locked/>
    <w:uiPriority w:val="99"/>
    <w:rPr>
      <w:kern w:val="2"/>
      <w:sz w:val="18"/>
      <w:szCs w:val="18"/>
    </w:rPr>
  </w:style>
  <w:style w:type="character" w:customStyle="1" w:styleId="80">
    <w:name w:val="页眉 字符"/>
    <w:link w:val="16"/>
    <w:qFormat/>
    <w:uiPriority w:val="99"/>
    <w:rPr>
      <w:kern w:val="2"/>
      <w:sz w:val="18"/>
      <w:szCs w:val="18"/>
    </w:rPr>
  </w:style>
  <w:style w:type="character" w:customStyle="1" w:styleId="81">
    <w:name w:val="正文首行缩进 2 Char1"/>
    <w:qFormat/>
    <w:uiPriority w:val="0"/>
    <w:rPr>
      <w:kern w:val="2"/>
      <w:sz w:val="21"/>
      <w:szCs w:val="24"/>
    </w:rPr>
  </w:style>
  <w:style w:type="character" w:customStyle="1" w:styleId="82">
    <w:name w:val="正文文本缩进 字符"/>
    <w:basedOn w:val="26"/>
    <w:link w:val="11"/>
    <w:qFormat/>
    <w:uiPriority w:val="0"/>
    <w:rPr>
      <w:kern w:val="2"/>
      <w:sz w:val="24"/>
      <w:szCs w:val="24"/>
    </w:rPr>
  </w:style>
  <w:style w:type="character" w:customStyle="1" w:styleId="83">
    <w:name w:val="正文文本首行缩进 2 字符"/>
    <w:basedOn w:val="82"/>
    <w:link w:val="23"/>
    <w:qFormat/>
    <w:uiPriority w:val="0"/>
    <w:rPr>
      <w:kern w:val="2"/>
      <w:sz w:val="24"/>
      <w:szCs w:val="24"/>
    </w:rPr>
  </w:style>
  <w:style w:type="paragraph" w:customStyle="1" w:styleId="84">
    <w:name w:val="正文文本缩进1"/>
    <w:link w:val="85"/>
    <w:qFormat/>
    <w:uiPriority w:val="0"/>
    <w:pPr>
      <w:framePr w:wrap="around" w:vAnchor="margin" w:hAnchor="text" w:y="1"/>
      <w:widowControl w:val="0"/>
      <w:ind w:left="420" w:firstLine="480"/>
      <w:jc w:val="both"/>
    </w:pPr>
    <w:rPr>
      <w:rFonts w:ascii="Arial Unicode MS" w:hAnsi="Arial Unicode MS" w:eastAsia="Times New Roman" w:cs="Arial Unicode MS"/>
      <w:color w:val="000000"/>
      <w:kern w:val="2"/>
      <w:sz w:val="24"/>
      <w:szCs w:val="24"/>
      <w:u w:color="000000"/>
      <w:lang w:val="en-US" w:eastAsia="zh-CN" w:bidi="ar-SA"/>
    </w:rPr>
  </w:style>
  <w:style w:type="character" w:customStyle="1" w:styleId="85">
    <w:name w:val="Body Text Indent Char Char"/>
    <w:link w:val="84"/>
    <w:qFormat/>
    <w:uiPriority w:val="0"/>
    <w:rPr>
      <w:rFonts w:ascii="Arial Unicode MS" w:hAnsi="Arial Unicode MS" w:eastAsia="Times New Roman" w:cs="Arial Unicode MS"/>
      <w:color w:val="000000"/>
      <w:kern w:val="2"/>
      <w:sz w:val="24"/>
      <w:szCs w:val="24"/>
      <w:u w:color="000000"/>
    </w:rPr>
  </w:style>
  <w:style w:type="paragraph" w:customStyle="1" w:styleId="86">
    <w:name w:val="样式2"/>
    <w:basedOn w:val="87"/>
    <w:qFormat/>
    <w:uiPriority w:val="0"/>
    <w:pPr>
      <w:numPr>
        <w:ilvl w:val="0"/>
        <w:numId w:val="1"/>
      </w:numPr>
      <w:spacing w:line="240" w:lineRule="auto"/>
      <w:ind w:firstLine="0" w:firstLineChars="0"/>
    </w:pPr>
    <w:rPr>
      <w:rFonts w:ascii="等线" w:hAnsi="等线" w:eastAsia="等线"/>
      <w:szCs w:val="22"/>
    </w:rPr>
  </w:style>
  <w:style w:type="paragraph" w:customStyle="1" w:styleId="87">
    <w:name w:val="样式1"/>
    <w:basedOn w:val="1"/>
    <w:qFormat/>
    <w:uiPriority w:val="0"/>
    <w:pPr>
      <w:spacing w:line="360" w:lineRule="exact"/>
      <w:ind w:firstLine="200" w:firstLineChars="200"/>
    </w:pPr>
    <w:rPr>
      <w:rFonts w:ascii="Arial" w:hAnsi="Arial"/>
    </w:rPr>
  </w:style>
  <w:style w:type="paragraph" w:customStyle="1" w:styleId="88">
    <w:name w:val="Table Text"/>
    <w:basedOn w:val="1"/>
    <w:semiHidden/>
    <w:qFormat/>
    <w:uiPriority w:val="0"/>
    <w:rPr>
      <w:rFonts w:ascii="宋体" w:hAnsi="宋体" w:eastAsia="宋体" w:cs="宋体"/>
      <w:sz w:val="29"/>
      <w:szCs w:val="29"/>
      <w:lang w:val="en-US" w:eastAsia="en-US" w:bidi="ar-SA"/>
    </w:rPr>
  </w:style>
  <w:style w:type="table" w:customStyle="1" w:styleId="89">
    <w:name w:val="Table Normal"/>
    <w:semiHidden/>
    <w:unhideWhenUsed/>
    <w:qFormat/>
    <w:uiPriority w:val="0"/>
    <w:tblPr>
      <w:tblCellMar>
        <w:top w:w="0" w:type="dxa"/>
        <w:left w:w="0" w:type="dxa"/>
        <w:bottom w:w="0" w:type="dxa"/>
        <w:right w:w="0" w:type="dxa"/>
      </w:tblCellMar>
    </w:tblPr>
  </w:style>
  <w:style w:type="paragraph" w:customStyle="1" w:styleId="90">
    <w:name w:val="No Spacing"/>
    <w:qFormat/>
    <w:uiPriority w:val="0"/>
    <w:rPr>
      <w:rFonts w:ascii="Times New Roman" w:hAnsi="Times New Roman" w:eastAsia="??" w:cs="宋体"/>
      <w:sz w:val="22"/>
      <w:szCs w:val="22"/>
      <w:lang w:val="en-US" w:eastAsia="en-US" w:bidi="ar-SA"/>
    </w:rPr>
  </w:style>
  <w:style w:type="paragraph" w:customStyle="1" w:styleId="91">
    <w:name w:val="列出段落1"/>
    <w:qFormat/>
    <w:uiPriority w:val="99"/>
    <w:pPr>
      <w:widowControl w:val="0"/>
      <w:suppressAutoHyphens/>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5127</Words>
  <Characters>5646</Characters>
  <DocSecurity>0</DocSecurity>
  <Lines>2067</Lines>
  <Paragraphs>1904</Paragraphs>
  <ScaleCrop>false</ScaleCrop>
  <LinksUpToDate>false</LinksUpToDate>
  <CharactersWithSpaces>5666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2023-08-27T02:52:00Z</cp:lastPrinted>
  <dcterms:created xsi:type="dcterms:W3CDTF">2024-05-29T17:01:00Z</dcterms:created>
  <dcterms:modified xsi:type="dcterms:W3CDTF">2025-06-27T01:22:28Z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4945EBB35FE9D18C3F1F5568BF7B8C08_43</vt:lpwstr>
  </property>
  <property fmtid="{D5CDD505-2E9C-101B-9397-08002B2CF9AE}" pid="4" name="KSOTemplateDocerSaveRecord">
    <vt:lpwstr>eyJoZGlkIjoiNjRmNGNlZTY2MDQ1NzUzMzMwYzJmNDNjNGVmOWVhYmYiLCJ1c2VySWQiOiIxMDY2MzMzMDExIn0=</vt:lpwstr>
  </property>
</Properties>
</file>