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17EE0D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杭州市行政审批服务管理办公室深化信创（2025年）项目-公共资源交易公共服务平台系统非信创子系统应用</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HZZFCG-2025-137</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401E6AE6">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杭州市行政审批服务管理办公室</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HZZFCG-2025-137</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预算金额（元）：4015000</w:t>
      </w:r>
      <w:r>
        <w:rPr>
          <w:rFonts w:hint="eastAsia" w:ascii="宋体" w:hAnsi="宋体" w:cs="宋体"/>
          <w:b/>
          <w:color w:val="auto"/>
          <w:sz w:val="24"/>
          <w:highlight w:val="none"/>
          <w:lang w:val="en-US" w:eastAsia="zh-CN"/>
        </w:rPr>
        <w:t>.00</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最高限价（元）：4015000</w:t>
      </w:r>
      <w:r>
        <w:rPr>
          <w:rFonts w:hint="eastAsia" w:ascii="宋体" w:hAnsi="宋体" w:cs="宋体"/>
          <w:b/>
          <w:color w:val="auto"/>
          <w:sz w:val="24"/>
          <w:highlight w:val="none"/>
          <w:lang w:val="en-US" w:eastAsia="zh-CN"/>
        </w:rPr>
        <w:t>.00</w:t>
      </w:r>
      <w:r>
        <w:rPr>
          <w:rFonts w:ascii="宋体" w:hAnsi="宋体" w:cs="宋体"/>
          <w:color w:val="auto"/>
          <w:sz w:val="24"/>
          <w:highlight w:val="none"/>
        </w:rPr>
        <w:t xml:space="preserve"> </w:t>
      </w:r>
    </w:p>
    <w:p w14:paraId="1588D7D9">
      <w:pPr>
        <w:pStyle w:val="10"/>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杭州市行政审批服务管理办公室深化信创（2025年）项目-公共资源交易公共服务平台系统非信创子系统应用</w:t>
      </w:r>
      <w:r>
        <w:rPr>
          <w:rFonts w:hint="eastAsia" w:hAnsi="宋体" w:cs="宋体"/>
          <w:bCs/>
          <w:snapToGrid/>
          <w:color w:val="auto"/>
          <w:kern w:val="2"/>
          <w:sz w:val="24"/>
          <w:szCs w:val="24"/>
          <w:highlight w:val="none"/>
        </w:rPr>
        <w:t xml:space="preserve">主要内容： </w:t>
      </w:r>
      <w:r>
        <w:rPr>
          <w:rFonts w:hint="default" w:ascii="Times New Roman" w:hAnsi="Times New Roman" w:eastAsia="宋体" w:cs="Times New Roman"/>
          <w:color w:val="auto"/>
          <w:sz w:val="24"/>
          <w:highlight w:val="none"/>
          <w:u w:val="none"/>
          <w:lang w:val="en-US" w:eastAsia="zh-CN"/>
        </w:rPr>
        <w:t>涉及省统建工程项目配套</w:t>
      </w:r>
      <w:r>
        <w:rPr>
          <w:rFonts w:hint="default" w:ascii="Times New Roman" w:hAnsi="Times New Roman" w:cs="Times New Roman"/>
          <w:color w:val="auto"/>
          <w:sz w:val="24"/>
          <w:highlight w:val="none"/>
          <w:u w:val="none"/>
          <w:lang w:val="en-US" w:eastAsia="zh-CN"/>
        </w:rPr>
        <w:t>、非统建其他交易、招投标服务管理应用等三个应用板块的</w:t>
      </w:r>
      <w:r>
        <w:rPr>
          <w:rFonts w:hint="default" w:ascii="Times New Roman" w:hAnsi="Times New Roman" w:eastAsia="宋体" w:cs="Times New Roman"/>
          <w:color w:val="auto"/>
          <w:sz w:val="24"/>
          <w:highlight w:val="none"/>
          <w:u w:val="none"/>
          <w:lang w:val="en-US" w:eastAsia="zh-CN"/>
        </w:rPr>
        <w:t>1</w:t>
      </w:r>
      <w:r>
        <w:rPr>
          <w:rFonts w:hint="default" w:ascii="Times New Roman" w:hAnsi="Times New Roman" w:cs="Times New Roman"/>
          <w:color w:val="auto"/>
          <w:sz w:val="24"/>
          <w:highlight w:val="none"/>
          <w:u w:val="none"/>
          <w:lang w:val="en-US" w:eastAsia="zh-CN"/>
        </w:rPr>
        <w:t>5</w:t>
      </w:r>
      <w:r>
        <w:rPr>
          <w:rFonts w:hint="default" w:ascii="Times New Roman" w:hAnsi="Times New Roman" w:eastAsia="宋体" w:cs="Times New Roman"/>
          <w:color w:val="auto"/>
          <w:sz w:val="24"/>
          <w:highlight w:val="none"/>
          <w:u w:val="none"/>
          <w:lang w:val="en-US" w:eastAsia="zh-CN"/>
        </w:rPr>
        <w:t>个子模块的整合改造</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年12月</w:t>
      </w:r>
      <w:r>
        <w:rPr>
          <w:rFonts w:hint="eastAsia" w:ascii="宋体" w:hAnsi="宋体" w:cs="宋体"/>
          <w:color w:val="auto"/>
          <w:sz w:val="24"/>
          <w:highlight w:val="none"/>
          <w:lang w:val="en-US" w:eastAsia="zh-CN"/>
        </w:rPr>
        <w:t>3</w:t>
      </w:r>
      <w:r>
        <w:rPr>
          <w:rFonts w:ascii="宋体" w:hAnsi="宋体" w:eastAsia="宋体" w:cs="宋体"/>
          <w:color w:val="auto"/>
          <w:sz w:val="24"/>
          <w:highlight w:val="none"/>
        </w:rPr>
        <w:t>1日前完成项目验收</w:t>
      </w:r>
      <w:r>
        <w:rPr>
          <w:rFonts w:hint="eastAsia" w:hAnsi="宋体" w:cs="宋体"/>
          <w:bCs/>
          <w:color w:val="auto"/>
          <w:szCs w:val="24"/>
          <w:highlight w:val="none"/>
        </w:rPr>
        <w:t>。</w:t>
      </w:r>
      <w:r>
        <w:rPr>
          <w:rFonts w:ascii="宋体" w:hAnsi="宋体" w:cs="宋体"/>
          <w:color w:val="auto"/>
          <w:highlight w:val="none"/>
        </w:rPr>
        <w:t xml:space="preserve"> </w:t>
      </w:r>
    </w:p>
    <w:p w14:paraId="6DFCB626">
      <w:pPr>
        <w:pStyle w:val="1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 xml:space="preserve"> </w:t>
      </w:r>
    </w:p>
    <w:p w14:paraId="48C27A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rPr>
        <w:t>杭州市上城区解放东路18号市民中心H楼4楼</w:t>
      </w:r>
    </w:p>
    <w:p w14:paraId="4876691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5502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rPr>
        <w:t>姜工</w:t>
      </w:r>
      <w:r>
        <w:rPr>
          <w:rFonts w:hint="eastAsia" w:ascii="宋体" w:hAnsi="宋体" w:cs="宋体"/>
          <w:color w:val="auto"/>
          <w:sz w:val="24"/>
          <w:highlight w:val="none"/>
        </w:rPr>
        <w:t xml:space="preserve"> </w:t>
      </w:r>
    </w:p>
    <w:p w14:paraId="124890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rPr>
        <w:t>0571-85251742</w:t>
      </w:r>
      <w:r>
        <w:rPr>
          <w:rFonts w:hint="eastAsia" w:ascii="宋体" w:hAnsi="宋体" w:cs="宋体"/>
          <w:color w:val="auto"/>
          <w:sz w:val="24"/>
          <w:highlight w:val="none"/>
        </w:rPr>
        <w:t xml:space="preserve"> </w:t>
      </w:r>
    </w:p>
    <w:p w14:paraId="5A9A9FF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王工</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rPr>
        <w:t>：0571-89587919</w:t>
      </w:r>
      <w:r>
        <w:rPr>
          <w:rFonts w:hint="eastAsia" w:ascii="宋体" w:hAnsi="宋体" w:cs="宋体"/>
          <w:color w:val="auto"/>
          <w:sz w:val="24"/>
          <w:highlight w:val="none"/>
          <w:lang w:val="en-US" w:eastAsia="zh-CN"/>
        </w:rPr>
        <w:t xml:space="preserve"> （请通过以下路径在线提起质疑：政采云-项目采购-询问质疑投诉-质疑列表）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b w:val="0"/>
                <w:bCs w:val="0"/>
                <w:color w:val="auto"/>
                <w:kern w:val="2"/>
                <w:sz w:val="24"/>
                <w:szCs w:val="24"/>
                <w:highlight w:val="none"/>
                <w:u w:val="single"/>
                <w:lang w:val="en-US" w:eastAsia="zh-CN" w:bidi="ar-SA"/>
              </w:rPr>
              <w:t>软件和信息技术服务业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6D5A91E">
            <w:pPr>
              <w:rPr>
                <w:rFonts w:hint="default" w:eastAsia="宋体"/>
                <w:color w:val="auto"/>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编码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79"/>
              <w:spacing w:line="360" w:lineRule="auto"/>
              <w:jc w:val="both"/>
              <w:rPr>
                <w:rFonts w:hint="eastAsia" w:ascii="宋体" w:hAnsi="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AB83068">
            <w:pPr>
              <w:pStyle w:val="79"/>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6575F24">
            <w:pPr>
              <w:pStyle w:val="79"/>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373CBAF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6"/>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6"/>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6"/>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6"/>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rFonts w:hint="eastAsia"/>
          <w:color w:val="auto"/>
          <w:highlight w:val="none"/>
        </w:rPr>
      </w:pPr>
    </w:p>
    <w:p w14:paraId="0CD358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D8CDB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val="en-US" w:eastAsia="zh-CN"/>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、定标</w:t>
      </w:r>
    </w:p>
    <w:p w14:paraId="540B0F1F">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79"/>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0" w:leftChars="0" w:firstLine="0" w:firstLineChars="0"/>
        <w:jc w:val="center"/>
        <w:outlineLvl w:val="0"/>
        <w:rPr>
          <w:rFonts w:ascii="宋体" w:hAnsi="宋体" w:cs="宋体"/>
          <w:b/>
          <w:color w:val="auto"/>
          <w:sz w:val="36"/>
          <w:szCs w:val="36"/>
          <w:highlight w:val="none"/>
        </w:rPr>
      </w:pPr>
      <w:r>
        <w:rPr>
          <w:rFonts w:hint="default" w:ascii="宋体" w:hAnsi="宋体" w:cs="宋体"/>
          <w:b/>
          <w:color w:val="auto"/>
          <w:sz w:val="36"/>
          <w:szCs w:val="36"/>
          <w:highlight w:val="none"/>
          <w:lang w:val="en-US" w:eastAsia="zh-CN"/>
        </w:rPr>
        <w:t>八</w:t>
      </w:r>
      <w:r>
        <w:rPr>
          <w:rFonts w:hint="default" w:ascii="宋体" w:hAnsi="宋体" w:cs="宋体"/>
          <w:b/>
          <w:color w:val="auto"/>
          <w:sz w:val="36"/>
          <w:szCs w:val="36"/>
          <w:highlight w:val="none"/>
        </w:rPr>
        <w:t>、合同授予</w:t>
      </w:r>
    </w:p>
    <w:p w14:paraId="7B0E3511">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5409EEE">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75CE4AB">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8"/>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B374507">
      <w:pPr>
        <w:pStyle w:val="3"/>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04CB0AA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74730295"/>
      <w:bookmarkEnd w:id="17"/>
      <w:bookmarkStart w:id="18" w:name="_Hlt74707468"/>
      <w:bookmarkEnd w:id="18"/>
      <w:bookmarkStart w:id="19" w:name="_Hlt68403820"/>
      <w:bookmarkEnd w:id="19"/>
      <w:bookmarkStart w:id="20" w:name="_Hlt74714665"/>
      <w:bookmarkEnd w:id="20"/>
      <w:bookmarkStart w:id="21" w:name="_Hlt75236011"/>
      <w:bookmarkEnd w:id="21"/>
      <w:bookmarkStart w:id="22" w:name="_Hlt68073093"/>
      <w:bookmarkEnd w:id="22"/>
      <w:bookmarkStart w:id="23" w:name="_Hlt75236101"/>
      <w:bookmarkEnd w:id="23"/>
      <w:bookmarkStart w:id="24" w:name="_Hlt68072998"/>
      <w:bookmarkEnd w:id="24"/>
      <w:bookmarkStart w:id="25" w:name="_Hlt75236290"/>
      <w:bookmarkEnd w:id="25"/>
      <w:bookmarkStart w:id="26" w:name="_Hlt68057669"/>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489D7DD">
      <w:pPr>
        <w:pStyle w:val="131"/>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建设目标</w:t>
      </w:r>
    </w:p>
    <w:p w14:paraId="2AF133F2">
      <w:pPr>
        <w:tabs>
          <w:tab w:val="left" w:pos="0"/>
        </w:tabs>
        <w:spacing w:line="360" w:lineRule="auto"/>
        <w:ind w:firstLine="48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为进一步深化信创替代建设，突出管用实用的效果导向，继续响应国产化信创改造要求，加快推进信创改造进程，结合我单位现状及实际业务需求，在政务应用一体化平台总体框架下，针对当前在运行的杭州市公共资源交易公共服务平台系统非信创子系统应用进行信创改造，</w:t>
      </w:r>
      <w:r>
        <w:rPr>
          <w:rFonts w:hint="eastAsia" w:ascii="宋体" w:hAnsi="宋体" w:eastAsia="宋体" w:cs="宋体"/>
          <w:color w:val="auto"/>
          <w:kern w:val="0"/>
          <w:sz w:val="24"/>
          <w:szCs w:val="24"/>
          <w:highlight w:val="none"/>
          <w:lang w:val="en-US" w:eastAsia="zh-CN"/>
        </w:rPr>
        <w:t>涉及省统建工程项目配套、非统建其他交易、招投标服务管理应用等三个应用板块的15个子模块的整合改造</w:t>
      </w:r>
      <w:r>
        <w:rPr>
          <w:rFonts w:hint="eastAsia" w:ascii="宋体" w:hAnsi="宋体" w:eastAsia="宋体" w:cs="宋体"/>
          <w:color w:val="auto"/>
          <w:kern w:val="0"/>
          <w:sz w:val="24"/>
          <w:szCs w:val="24"/>
          <w:highlight w:val="none"/>
          <w:lang w:val="en-US"/>
        </w:rPr>
        <w:t xml:space="preserve">，本次拟采购利旧系统改造升级服务。 </w:t>
      </w:r>
    </w:p>
    <w:p w14:paraId="39040FA0">
      <w:pPr>
        <w:pStyle w:val="131"/>
        <w:numPr>
          <w:ilvl w:val="0"/>
          <w:numId w:val="0"/>
        </w:numPr>
        <w:snapToGrid w:val="0"/>
        <w:spacing w:line="360" w:lineRule="auto"/>
        <w:ind w:left="23" w:leftChars="11" w:firstLine="0" w:firstLineChars="0"/>
        <w:rPr>
          <w:rFonts w:hint="eastAsia" w:ascii="宋体" w:hAnsi="宋体" w:eastAsia="宋体" w:cs="宋体"/>
          <w:b/>
          <w:color w:val="auto"/>
          <w:sz w:val="24"/>
          <w:szCs w:val="24"/>
          <w:highlight w:val="none"/>
        </w:rPr>
      </w:pPr>
      <w:r>
        <w:rPr>
          <w:rFonts w:hint="eastAsia" w:ascii="宋体" w:hAnsi="宋体" w:cs="宋体"/>
          <w:b/>
          <w:color w:val="auto"/>
          <w:kern w:val="2"/>
          <w:sz w:val="24"/>
          <w:szCs w:val="24"/>
          <w:highlight w:val="none"/>
          <w:lang w:val="en-US" w:eastAsia="zh-CN"/>
        </w:rPr>
        <w:t>2.</w:t>
      </w:r>
      <w:r>
        <w:rPr>
          <w:rFonts w:hint="eastAsia" w:ascii="宋体" w:hAnsi="宋体" w:eastAsia="宋体" w:cs="宋体"/>
          <w:b/>
          <w:color w:val="auto"/>
          <w:sz w:val="24"/>
          <w:szCs w:val="24"/>
          <w:highlight w:val="none"/>
        </w:rPr>
        <w:t>建设原则</w:t>
      </w:r>
    </w:p>
    <w:p w14:paraId="433FCFFA">
      <w:pPr>
        <w:tabs>
          <w:tab w:val="left" w:pos="0"/>
        </w:tabs>
        <w:spacing w:line="360" w:lineRule="auto"/>
        <w:ind w:firstLine="480"/>
        <w:rPr>
          <w:rFonts w:hint="eastAsia" w:ascii="宋体" w:hAnsi="宋体" w:eastAsia="宋体" w:cs="宋体"/>
          <w:bCs w:val="0"/>
          <w:i w:val="0"/>
          <w:iCs w:val="0"/>
          <w:caps w:val="0"/>
          <w:color w:val="auto"/>
          <w:spacing w:val="0"/>
          <w:kern w:val="0"/>
          <w:sz w:val="24"/>
          <w:szCs w:val="24"/>
          <w:highlight w:val="none"/>
        </w:rPr>
      </w:pPr>
      <w:r>
        <w:rPr>
          <w:rFonts w:hint="eastAsia" w:ascii="宋体" w:hAnsi="宋体" w:cs="宋体"/>
          <w:b w:val="0"/>
          <w:bCs w:val="0"/>
          <w:i w:val="0"/>
          <w:iCs w:val="0"/>
          <w:caps w:val="0"/>
          <w:color w:val="auto"/>
          <w:spacing w:val="0"/>
          <w:kern w:val="0"/>
          <w:sz w:val="24"/>
          <w:szCs w:val="24"/>
          <w:highlight w:val="none"/>
          <w:shd w:val="clear"/>
          <w:lang w:eastAsia="zh-CN"/>
        </w:rPr>
        <w:t>2</w:t>
      </w:r>
      <w:r>
        <w:rPr>
          <w:rFonts w:hint="eastAsia" w:ascii="宋体" w:hAnsi="宋体" w:cs="宋体"/>
          <w:b w:val="0"/>
          <w:bCs w:val="0"/>
          <w:i w:val="0"/>
          <w:iCs w:val="0"/>
          <w:caps w:val="0"/>
          <w:color w:val="auto"/>
          <w:spacing w:val="0"/>
          <w:kern w:val="0"/>
          <w:sz w:val="24"/>
          <w:szCs w:val="24"/>
          <w:highlight w:val="none"/>
          <w:shd w:val="clear"/>
          <w:lang w:val="en-US" w:eastAsia="zh-CN"/>
        </w:rPr>
        <w:t>.1</w:t>
      </w:r>
      <w:r>
        <w:rPr>
          <w:rFonts w:hint="eastAsia" w:ascii="宋体" w:hAnsi="宋体" w:eastAsia="宋体" w:cs="宋体"/>
          <w:b w:val="0"/>
          <w:bCs w:val="0"/>
          <w:i w:val="0"/>
          <w:iCs w:val="0"/>
          <w:caps w:val="0"/>
          <w:color w:val="auto"/>
          <w:spacing w:val="0"/>
          <w:kern w:val="0"/>
          <w:sz w:val="24"/>
          <w:szCs w:val="24"/>
          <w:highlight w:val="none"/>
          <w:shd w:val="clear"/>
        </w:rPr>
        <w:t>立足已有基础，引入主流技术</w:t>
      </w:r>
      <w:r>
        <w:rPr>
          <w:rFonts w:hint="eastAsia" w:ascii="宋体" w:hAnsi="宋体" w:cs="宋体"/>
          <w:b w:val="0"/>
          <w:bCs w:val="0"/>
          <w:i w:val="0"/>
          <w:iCs w:val="0"/>
          <w:caps w:val="0"/>
          <w:color w:val="auto"/>
          <w:spacing w:val="0"/>
          <w:kern w:val="0"/>
          <w:sz w:val="24"/>
          <w:szCs w:val="24"/>
          <w:highlight w:val="none"/>
          <w:shd w:val="clear"/>
          <w:lang w:eastAsia="zh-CN"/>
        </w:rPr>
        <w:t>。</w:t>
      </w:r>
      <w:r>
        <w:rPr>
          <w:rFonts w:hint="eastAsia" w:ascii="宋体" w:hAnsi="宋体" w:eastAsia="宋体" w:cs="宋体"/>
          <w:bCs w:val="0"/>
          <w:i w:val="0"/>
          <w:iCs w:val="0"/>
          <w:caps w:val="0"/>
          <w:color w:val="auto"/>
          <w:spacing w:val="0"/>
          <w:kern w:val="0"/>
          <w:sz w:val="24"/>
          <w:szCs w:val="24"/>
          <w:highlight w:val="none"/>
          <w:shd w:val="clear"/>
          <w:lang w:val="en-US" w:eastAsia="zh-CN"/>
        </w:rPr>
        <w:t>本次</w:t>
      </w:r>
      <w:r>
        <w:rPr>
          <w:rFonts w:hint="eastAsia" w:ascii="宋体" w:hAnsi="宋体" w:eastAsia="宋体" w:cs="宋体"/>
          <w:bCs w:val="0"/>
          <w:i w:val="0"/>
          <w:iCs w:val="0"/>
          <w:caps w:val="0"/>
          <w:color w:val="auto"/>
          <w:spacing w:val="0"/>
          <w:kern w:val="0"/>
          <w:sz w:val="24"/>
          <w:szCs w:val="24"/>
          <w:highlight w:val="none"/>
          <w:shd w:val="clear"/>
        </w:rPr>
        <w:t>建设首先应当基于现有的技术基础和业务流程，充分利用已有的资源和经验，避免重复建设和浪费。同时，应当紧跟技术发展趋势，引入当前主流的技术手段，如云计算、大数据、人工智能等，以提高平台的技术水平和服务质量。通过结合现代信息技术，可以提升平台的数据处理能力、业务响应速度和服务效率，为用户提供更加便捷、高效的服务体验。</w:t>
      </w:r>
    </w:p>
    <w:p w14:paraId="4C5422B0">
      <w:pPr>
        <w:tabs>
          <w:tab w:val="left" w:pos="0"/>
        </w:tabs>
        <w:spacing w:line="360" w:lineRule="auto"/>
        <w:ind w:firstLine="480"/>
        <w:rPr>
          <w:rFonts w:hint="eastAsia" w:ascii="宋体" w:hAnsi="宋体" w:eastAsia="宋体" w:cs="宋体"/>
          <w:bCs w:val="0"/>
          <w:i w:val="0"/>
          <w:iCs w:val="0"/>
          <w:caps w:val="0"/>
          <w:color w:val="auto"/>
          <w:spacing w:val="0"/>
          <w:kern w:val="0"/>
          <w:sz w:val="24"/>
          <w:szCs w:val="24"/>
          <w:highlight w:val="none"/>
        </w:rPr>
      </w:pPr>
      <w:r>
        <w:rPr>
          <w:rFonts w:hint="eastAsia" w:ascii="宋体" w:hAnsi="宋体" w:cs="宋体"/>
          <w:b w:val="0"/>
          <w:bCs w:val="0"/>
          <w:i w:val="0"/>
          <w:iCs w:val="0"/>
          <w:caps w:val="0"/>
          <w:color w:val="auto"/>
          <w:spacing w:val="0"/>
          <w:kern w:val="0"/>
          <w:sz w:val="24"/>
          <w:szCs w:val="24"/>
          <w:highlight w:val="none"/>
          <w:shd w:val="clear"/>
          <w:lang w:eastAsia="zh-CN"/>
        </w:rPr>
        <w:t>2</w:t>
      </w:r>
      <w:r>
        <w:rPr>
          <w:rFonts w:hint="eastAsia" w:ascii="宋体" w:hAnsi="宋体" w:cs="宋体"/>
          <w:b w:val="0"/>
          <w:bCs w:val="0"/>
          <w:i w:val="0"/>
          <w:iCs w:val="0"/>
          <w:caps w:val="0"/>
          <w:color w:val="auto"/>
          <w:spacing w:val="0"/>
          <w:kern w:val="0"/>
          <w:sz w:val="24"/>
          <w:szCs w:val="24"/>
          <w:highlight w:val="none"/>
          <w:shd w:val="clear"/>
          <w:lang w:val="en-US" w:eastAsia="zh-CN"/>
        </w:rPr>
        <w:t>.2</w:t>
      </w:r>
      <w:r>
        <w:rPr>
          <w:rFonts w:hint="eastAsia" w:ascii="宋体" w:hAnsi="宋体" w:eastAsia="宋体" w:cs="宋体"/>
          <w:b w:val="0"/>
          <w:bCs w:val="0"/>
          <w:i w:val="0"/>
          <w:iCs w:val="0"/>
          <w:caps w:val="0"/>
          <w:color w:val="auto"/>
          <w:spacing w:val="0"/>
          <w:kern w:val="0"/>
          <w:sz w:val="24"/>
          <w:szCs w:val="24"/>
          <w:highlight w:val="none"/>
          <w:shd w:val="clear"/>
        </w:rPr>
        <w:t>整体设计开放，强化标准规范</w:t>
      </w:r>
      <w:r>
        <w:rPr>
          <w:rFonts w:hint="eastAsia" w:ascii="宋体" w:hAnsi="宋体" w:cs="宋体"/>
          <w:b w:val="0"/>
          <w:bCs w:val="0"/>
          <w:i w:val="0"/>
          <w:iCs w:val="0"/>
          <w:caps w:val="0"/>
          <w:color w:val="auto"/>
          <w:spacing w:val="0"/>
          <w:kern w:val="0"/>
          <w:sz w:val="24"/>
          <w:szCs w:val="24"/>
          <w:highlight w:val="none"/>
          <w:shd w:val="clear"/>
          <w:lang w:eastAsia="zh-CN"/>
        </w:rPr>
        <w:t>。</w:t>
      </w:r>
      <w:r>
        <w:rPr>
          <w:rFonts w:hint="eastAsia" w:ascii="宋体" w:hAnsi="宋体" w:eastAsia="宋体" w:cs="宋体"/>
          <w:bCs w:val="0"/>
          <w:i w:val="0"/>
          <w:iCs w:val="0"/>
          <w:caps w:val="0"/>
          <w:color w:val="auto"/>
          <w:spacing w:val="0"/>
          <w:kern w:val="0"/>
          <w:sz w:val="24"/>
          <w:szCs w:val="24"/>
          <w:highlight w:val="none"/>
          <w:shd w:val="clear"/>
        </w:rPr>
        <w:t>在设计时，应当秉持开放的理念，确保平台具有良好的扩展性和兼容性。平台应当能够方便地与其他系统和平台进行对接，支持不同类型的应用和服务集成，以满足多样化的业务需求。同时，强化标准规范的制定和执行，确保平台的运行和管理符合国家和行业的相关标准，保障交易的公平、公正和透明，提高平台的公信力和市场认可度。</w:t>
      </w:r>
    </w:p>
    <w:p w14:paraId="765D3A4C">
      <w:pPr>
        <w:tabs>
          <w:tab w:val="left" w:pos="0"/>
        </w:tabs>
        <w:spacing w:line="360" w:lineRule="auto"/>
        <w:ind w:firstLine="480"/>
        <w:rPr>
          <w:rFonts w:hint="eastAsia" w:ascii="宋体" w:hAnsi="宋体" w:eastAsia="宋体" w:cs="宋体"/>
          <w:bCs w:val="0"/>
          <w:i w:val="0"/>
          <w:iCs w:val="0"/>
          <w:caps w:val="0"/>
          <w:color w:val="auto"/>
          <w:spacing w:val="0"/>
          <w:kern w:val="0"/>
          <w:sz w:val="24"/>
          <w:szCs w:val="24"/>
          <w:highlight w:val="none"/>
        </w:rPr>
      </w:pPr>
      <w:r>
        <w:rPr>
          <w:rFonts w:hint="eastAsia" w:ascii="宋体" w:hAnsi="宋体" w:cs="宋体"/>
          <w:b w:val="0"/>
          <w:bCs w:val="0"/>
          <w:i w:val="0"/>
          <w:iCs w:val="0"/>
          <w:caps w:val="0"/>
          <w:color w:val="auto"/>
          <w:spacing w:val="0"/>
          <w:kern w:val="0"/>
          <w:sz w:val="24"/>
          <w:szCs w:val="24"/>
          <w:highlight w:val="none"/>
          <w:shd w:val="clear"/>
          <w:lang w:eastAsia="zh-CN"/>
        </w:rPr>
        <w:t>2</w:t>
      </w:r>
      <w:r>
        <w:rPr>
          <w:rFonts w:hint="eastAsia" w:ascii="宋体" w:hAnsi="宋体" w:cs="宋体"/>
          <w:b w:val="0"/>
          <w:bCs w:val="0"/>
          <w:i w:val="0"/>
          <w:iCs w:val="0"/>
          <w:caps w:val="0"/>
          <w:color w:val="auto"/>
          <w:spacing w:val="0"/>
          <w:kern w:val="0"/>
          <w:sz w:val="24"/>
          <w:szCs w:val="24"/>
          <w:highlight w:val="none"/>
          <w:shd w:val="clear"/>
          <w:lang w:val="en-US" w:eastAsia="zh-CN"/>
        </w:rPr>
        <w:t>.3</w:t>
      </w:r>
      <w:r>
        <w:rPr>
          <w:rFonts w:hint="eastAsia" w:ascii="宋体" w:hAnsi="宋体" w:eastAsia="宋体" w:cs="宋体"/>
          <w:b w:val="0"/>
          <w:bCs w:val="0"/>
          <w:i w:val="0"/>
          <w:iCs w:val="0"/>
          <w:caps w:val="0"/>
          <w:color w:val="auto"/>
          <w:spacing w:val="0"/>
          <w:kern w:val="0"/>
          <w:sz w:val="24"/>
          <w:szCs w:val="24"/>
          <w:highlight w:val="none"/>
          <w:shd w:val="clear"/>
        </w:rPr>
        <w:t>支持协调联动，促进紧密衔接</w:t>
      </w:r>
      <w:r>
        <w:rPr>
          <w:rFonts w:hint="eastAsia" w:ascii="宋体" w:hAnsi="宋体" w:cs="宋体"/>
          <w:b w:val="0"/>
          <w:bCs w:val="0"/>
          <w:i w:val="0"/>
          <w:iCs w:val="0"/>
          <w:caps w:val="0"/>
          <w:color w:val="auto"/>
          <w:spacing w:val="0"/>
          <w:kern w:val="0"/>
          <w:sz w:val="24"/>
          <w:szCs w:val="24"/>
          <w:highlight w:val="none"/>
          <w:shd w:val="clear"/>
          <w:lang w:eastAsia="zh-CN"/>
        </w:rPr>
        <w:t>。</w:t>
      </w:r>
      <w:r>
        <w:rPr>
          <w:rFonts w:hint="eastAsia" w:ascii="宋体" w:hAnsi="宋体" w:eastAsia="宋体" w:cs="宋体"/>
          <w:bCs w:val="0"/>
          <w:i w:val="0"/>
          <w:iCs w:val="0"/>
          <w:caps w:val="0"/>
          <w:color w:val="auto"/>
          <w:spacing w:val="0"/>
          <w:kern w:val="0"/>
          <w:sz w:val="24"/>
          <w:szCs w:val="24"/>
          <w:highlight w:val="none"/>
          <w:shd w:val="clear"/>
        </w:rPr>
        <w:t>从信息技术应用布局和</w:t>
      </w:r>
      <w:r>
        <w:rPr>
          <w:rFonts w:hint="eastAsia" w:ascii="宋体" w:hAnsi="宋体" w:eastAsia="宋体" w:cs="宋体"/>
          <w:bCs w:val="0"/>
          <w:i w:val="0"/>
          <w:iCs w:val="0"/>
          <w:caps w:val="0"/>
          <w:color w:val="auto"/>
          <w:spacing w:val="0"/>
          <w:kern w:val="0"/>
          <w:sz w:val="24"/>
          <w:szCs w:val="24"/>
          <w:highlight w:val="none"/>
          <w:shd w:val="clear"/>
          <w:lang w:val="en-US" w:eastAsia="zh-CN"/>
        </w:rPr>
        <w:t>公共资源交易管理</w:t>
      </w:r>
      <w:r>
        <w:rPr>
          <w:rFonts w:hint="eastAsia" w:ascii="宋体" w:hAnsi="宋体" w:eastAsia="宋体" w:cs="宋体"/>
          <w:bCs w:val="0"/>
          <w:i w:val="0"/>
          <w:iCs w:val="0"/>
          <w:caps w:val="0"/>
          <w:color w:val="auto"/>
          <w:spacing w:val="0"/>
          <w:kern w:val="0"/>
          <w:sz w:val="24"/>
          <w:szCs w:val="24"/>
          <w:highlight w:val="none"/>
          <w:shd w:val="clear"/>
        </w:rPr>
        <w:t>全局出发，将</w:t>
      </w:r>
      <w:r>
        <w:rPr>
          <w:rFonts w:hint="eastAsia" w:ascii="宋体" w:hAnsi="宋体" w:eastAsia="宋体" w:cs="宋体"/>
          <w:bCs w:val="0"/>
          <w:i w:val="0"/>
          <w:iCs w:val="0"/>
          <w:caps w:val="0"/>
          <w:color w:val="auto"/>
          <w:spacing w:val="0"/>
          <w:kern w:val="0"/>
          <w:sz w:val="24"/>
          <w:szCs w:val="24"/>
          <w:highlight w:val="none"/>
          <w:shd w:val="clear"/>
          <w:lang w:val="en-US" w:eastAsia="zh-CN"/>
        </w:rPr>
        <w:t>工程建设、交通、水利、绿化</w:t>
      </w:r>
      <w:r>
        <w:rPr>
          <w:rFonts w:hint="eastAsia" w:ascii="宋体" w:hAnsi="宋体" w:eastAsia="宋体" w:cs="宋体"/>
          <w:bCs w:val="0"/>
          <w:i w:val="0"/>
          <w:iCs w:val="0"/>
          <w:caps w:val="0"/>
          <w:color w:val="auto"/>
          <w:spacing w:val="0"/>
          <w:kern w:val="0"/>
          <w:sz w:val="24"/>
          <w:szCs w:val="24"/>
          <w:highlight w:val="none"/>
          <w:shd w:val="clear"/>
        </w:rPr>
        <w:t>作为一个系统整体统筹考虑，构建统一的数据体系和综合应用平台。需要顶层设计、统筹部署，明确职责分工和进度安排，加强各级协调联动，形成合力，有序推进；强化部门间协同，坚持对数据的生产、加工、管理和服务“分兵把守”，各司其职，保证</w:t>
      </w:r>
      <w:r>
        <w:rPr>
          <w:rFonts w:hint="eastAsia" w:ascii="宋体" w:hAnsi="宋体" w:eastAsia="宋体" w:cs="宋体"/>
          <w:bCs w:val="0"/>
          <w:i w:val="0"/>
          <w:iCs w:val="0"/>
          <w:caps w:val="0"/>
          <w:color w:val="auto"/>
          <w:spacing w:val="0"/>
          <w:kern w:val="0"/>
          <w:sz w:val="24"/>
          <w:szCs w:val="24"/>
          <w:highlight w:val="none"/>
          <w:shd w:val="clear"/>
          <w:lang w:val="en-US" w:eastAsia="zh-CN"/>
        </w:rPr>
        <w:t>公共资源交易</w:t>
      </w:r>
      <w:r>
        <w:rPr>
          <w:rFonts w:hint="eastAsia" w:ascii="宋体" w:hAnsi="宋体" w:eastAsia="宋体" w:cs="宋体"/>
          <w:bCs w:val="0"/>
          <w:i w:val="0"/>
          <w:iCs w:val="0"/>
          <w:caps w:val="0"/>
          <w:color w:val="auto"/>
          <w:spacing w:val="0"/>
          <w:kern w:val="0"/>
          <w:sz w:val="24"/>
          <w:szCs w:val="24"/>
          <w:highlight w:val="none"/>
          <w:shd w:val="clear"/>
        </w:rPr>
        <w:t>信息化的完整性、统一性和有效性。</w:t>
      </w:r>
    </w:p>
    <w:p w14:paraId="6151B338">
      <w:pPr>
        <w:tabs>
          <w:tab w:val="left" w:pos="0"/>
        </w:tabs>
        <w:spacing w:line="360" w:lineRule="auto"/>
        <w:ind w:firstLine="480"/>
        <w:rPr>
          <w:rFonts w:hint="eastAsia" w:ascii="宋体" w:hAnsi="宋体" w:eastAsia="宋体" w:cs="宋体"/>
          <w:bCs w:val="0"/>
          <w:i w:val="0"/>
          <w:iCs w:val="0"/>
          <w:caps w:val="0"/>
          <w:color w:val="auto"/>
          <w:spacing w:val="0"/>
          <w:kern w:val="0"/>
          <w:sz w:val="24"/>
          <w:szCs w:val="24"/>
          <w:highlight w:val="none"/>
        </w:rPr>
      </w:pPr>
      <w:r>
        <w:rPr>
          <w:rFonts w:hint="eastAsia" w:ascii="宋体" w:hAnsi="宋体" w:cs="宋体"/>
          <w:b w:val="0"/>
          <w:bCs w:val="0"/>
          <w:i w:val="0"/>
          <w:iCs w:val="0"/>
          <w:caps w:val="0"/>
          <w:color w:val="auto"/>
          <w:spacing w:val="0"/>
          <w:kern w:val="0"/>
          <w:sz w:val="24"/>
          <w:szCs w:val="24"/>
          <w:highlight w:val="none"/>
          <w:shd w:val="clear"/>
          <w:lang w:eastAsia="zh-CN"/>
        </w:rPr>
        <w:t>2</w:t>
      </w:r>
      <w:r>
        <w:rPr>
          <w:rFonts w:hint="eastAsia" w:ascii="宋体" w:hAnsi="宋体" w:cs="宋体"/>
          <w:b w:val="0"/>
          <w:bCs w:val="0"/>
          <w:i w:val="0"/>
          <w:iCs w:val="0"/>
          <w:caps w:val="0"/>
          <w:color w:val="auto"/>
          <w:spacing w:val="0"/>
          <w:kern w:val="0"/>
          <w:sz w:val="24"/>
          <w:szCs w:val="24"/>
          <w:highlight w:val="none"/>
          <w:shd w:val="clear"/>
          <w:lang w:val="en-US" w:eastAsia="zh-CN"/>
        </w:rPr>
        <w:t>.4</w:t>
      </w:r>
      <w:r>
        <w:rPr>
          <w:rFonts w:hint="eastAsia" w:ascii="宋体" w:hAnsi="宋体" w:eastAsia="宋体" w:cs="宋体"/>
          <w:b w:val="0"/>
          <w:bCs w:val="0"/>
          <w:i w:val="0"/>
          <w:iCs w:val="0"/>
          <w:caps w:val="0"/>
          <w:color w:val="auto"/>
          <w:spacing w:val="0"/>
          <w:kern w:val="0"/>
          <w:sz w:val="24"/>
          <w:szCs w:val="24"/>
          <w:highlight w:val="none"/>
          <w:shd w:val="clear"/>
        </w:rPr>
        <w:t>实施深度整合，确保信息安全</w:t>
      </w:r>
      <w:r>
        <w:rPr>
          <w:rFonts w:hint="eastAsia" w:ascii="宋体" w:hAnsi="宋体" w:cs="宋体"/>
          <w:b w:val="0"/>
          <w:bCs w:val="0"/>
          <w:i w:val="0"/>
          <w:iCs w:val="0"/>
          <w:caps w:val="0"/>
          <w:color w:val="auto"/>
          <w:spacing w:val="0"/>
          <w:kern w:val="0"/>
          <w:sz w:val="24"/>
          <w:szCs w:val="24"/>
          <w:highlight w:val="none"/>
          <w:shd w:val="clear"/>
          <w:lang w:eastAsia="zh-CN"/>
        </w:rPr>
        <w:t>。</w:t>
      </w:r>
      <w:r>
        <w:rPr>
          <w:rFonts w:hint="eastAsia" w:ascii="宋体" w:hAnsi="宋体" w:eastAsia="宋体" w:cs="宋体"/>
          <w:bCs w:val="0"/>
          <w:i w:val="0"/>
          <w:iCs w:val="0"/>
          <w:caps w:val="0"/>
          <w:color w:val="auto"/>
          <w:spacing w:val="0"/>
          <w:kern w:val="0"/>
          <w:sz w:val="24"/>
          <w:szCs w:val="24"/>
          <w:highlight w:val="none"/>
          <w:shd w:val="clear"/>
        </w:rPr>
        <w:t>在平台的建设和运营过程中，应当实施深度整合策略，对各类资源和信息进行集中管理和优化配置。这不仅有助于提高资源利用效率，还能够通过整合分散的数据和信息，为决策提供更加全面和准确的支持。同时，信息安全是平台建设的重要方面，必须采取有效的技术和管理措施，确保平台的数据安全、系统安全和网络安全，防止数据泄露、篡改和破坏等风险，保障平台的稳定运行和用户的合法权益。</w:t>
      </w:r>
    </w:p>
    <w:p w14:paraId="212E161B">
      <w:pPr>
        <w:pStyle w:val="131"/>
        <w:numPr>
          <w:ilvl w:val="0"/>
          <w:numId w:val="1"/>
        </w:numPr>
        <w:snapToGrid w:val="0"/>
        <w:spacing w:line="360" w:lineRule="auto"/>
        <w:ind w:left="23" w:leftChars="11"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建设内容</w:t>
      </w:r>
    </w:p>
    <w:p w14:paraId="5C68DC52">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3.1</w:t>
      </w:r>
      <w:r>
        <w:rPr>
          <w:rFonts w:hint="eastAsia" w:ascii="宋体" w:hAnsi="宋体" w:eastAsia="宋体" w:cs="宋体"/>
          <w:b w:val="0"/>
          <w:bCs w:val="0"/>
          <w:color w:val="auto"/>
          <w:kern w:val="0"/>
          <w:sz w:val="24"/>
          <w:szCs w:val="24"/>
          <w:highlight w:val="none"/>
          <w:lang w:val="en-US" w:eastAsia="zh-CN"/>
        </w:rPr>
        <w:t>省统建工程项目配套板块（数据下放功能）</w:t>
      </w:r>
    </w:p>
    <w:p w14:paraId="28F94C91">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3.1.1数据接入模块，</w:t>
      </w:r>
      <w:r>
        <w:rPr>
          <w:rFonts w:hint="eastAsia" w:ascii="宋体" w:hAnsi="宋体" w:eastAsia="宋体" w:cs="宋体"/>
          <w:b w:val="0"/>
          <w:bCs w:val="0"/>
          <w:color w:val="auto"/>
          <w:kern w:val="0"/>
          <w:sz w:val="24"/>
          <w:szCs w:val="24"/>
          <w:highlight w:val="none"/>
          <w:lang w:val="en-US" w:eastAsia="zh-CN"/>
        </w:rPr>
        <w:t>用于对接省统建招投标交易平台后的数据贯通，实现省级交易数据下放及接收，并实现省级统建系统数据下放的本地化接收应用。</w:t>
      </w:r>
    </w:p>
    <w:p w14:paraId="393B95D5">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kern w:val="0"/>
          <w:sz w:val="24"/>
          <w:szCs w:val="24"/>
          <w:highlight w:val="none"/>
          <w:lang w:val="en-US" w:eastAsia="zh-CN"/>
        </w:rPr>
        <w:t>非统建其他交易板块</w:t>
      </w:r>
    </w:p>
    <w:p w14:paraId="0DE260B8">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3.2.1</w:t>
      </w:r>
      <w:bookmarkStart w:id="28" w:name="OLE_LINK44"/>
      <w:r>
        <w:rPr>
          <w:rFonts w:hint="eastAsia" w:ascii="宋体" w:hAnsi="宋体" w:cs="宋体"/>
          <w:color w:val="auto"/>
          <w:kern w:val="0"/>
          <w:sz w:val="24"/>
          <w:highlight w:val="none"/>
        </w:rPr>
        <w:t>信创替代建</w:t>
      </w:r>
      <w:bookmarkEnd w:id="28"/>
      <w:r>
        <w:rPr>
          <w:rFonts w:hint="eastAsia" w:ascii="宋体" w:hAnsi="宋体" w:cs="宋体"/>
          <w:color w:val="auto"/>
          <w:kern w:val="0"/>
          <w:sz w:val="24"/>
          <w:highlight w:val="none"/>
        </w:rPr>
        <w:t>设非统建</w:t>
      </w:r>
      <w:r>
        <w:rPr>
          <w:rFonts w:hint="eastAsia" w:ascii="宋体" w:hAnsi="宋体" w:eastAsia="宋体" w:cs="宋体"/>
          <w:color w:val="auto"/>
          <w:kern w:val="0"/>
          <w:sz w:val="24"/>
          <w:highlight w:val="none"/>
          <w:lang w:val="en-US" w:eastAsia="zh-CN"/>
        </w:rPr>
        <w:t>其他</w:t>
      </w:r>
      <w:r>
        <w:rPr>
          <w:rFonts w:hint="eastAsia" w:ascii="宋体" w:hAnsi="宋体" w:cs="宋体"/>
          <w:color w:val="auto"/>
          <w:kern w:val="0"/>
          <w:sz w:val="24"/>
          <w:highlight w:val="none"/>
        </w:rPr>
        <w:t>交易流程，无缝</w:t>
      </w:r>
      <w:r>
        <w:rPr>
          <w:rFonts w:hint="eastAsia" w:ascii="宋体" w:hAnsi="宋体" w:cs="宋体"/>
          <w:color w:val="auto"/>
          <w:kern w:val="0"/>
          <w:sz w:val="24"/>
          <w:highlight w:val="none"/>
          <w:lang w:eastAsia="zh-CN"/>
        </w:rPr>
        <w:t>对接非统建其他交易电子监管模块</w:t>
      </w:r>
      <w:r>
        <w:rPr>
          <w:rFonts w:hint="eastAsia" w:ascii="宋体" w:hAnsi="宋体" w:cs="宋体"/>
          <w:color w:val="auto"/>
          <w:kern w:val="0"/>
          <w:sz w:val="24"/>
          <w:highlight w:val="none"/>
        </w:rPr>
        <w:t>，深度整合了杭州市</w:t>
      </w:r>
      <w:r>
        <w:rPr>
          <w:rFonts w:hint="eastAsia" w:ascii="宋体" w:hAnsi="宋体" w:cs="宋体"/>
          <w:color w:val="auto"/>
          <w:kern w:val="0"/>
          <w:sz w:val="24"/>
          <w:highlight w:val="none"/>
          <w:lang w:eastAsia="zh-CN"/>
        </w:rPr>
        <w:t>非统建其他交易</w:t>
      </w:r>
      <w:r>
        <w:rPr>
          <w:rFonts w:hint="eastAsia" w:ascii="宋体" w:hAnsi="宋体" w:cs="宋体"/>
          <w:color w:val="auto"/>
          <w:kern w:val="0"/>
          <w:sz w:val="24"/>
          <w:highlight w:val="none"/>
        </w:rPr>
        <w:t>招投标服务生态，实现了</w:t>
      </w:r>
      <w:r>
        <w:rPr>
          <w:rFonts w:hint="eastAsia" w:ascii="宋体" w:hAnsi="宋体" w:cs="宋体"/>
          <w:color w:val="auto"/>
          <w:kern w:val="0"/>
          <w:sz w:val="24"/>
          <w:highlight w:val="none"/>
          <w:lang w:eastAsia="zh-CN"/>
        </w:rPr>
        <w:t>其他交易项目各类</w:t>
      </w:r>
      <w:r>
        <w:rPr>
          <w:rFonts w:hint="eastAsia" w:ascii="宋体" w:hAnsi="宋体" w:cs="宋体"/>
          <w:color w:val="auto"/>
          <w:kern w:val="0"/>
          <w:sz w:val="24"/>
          <w:highlight w:val="none"/>
        </w:rPr>
        <w:t>评审办法的在线智能化应用</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color w:val="auto"/>
          <w:kern w:val="0"/>
          <w:sz w:val="24"/>
          <w:highlight w:val="none"/>
        </w:rPr>
        <w:t>同时实现远程异地与省系统本地化应用流程的全贯通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其他交易模块</w:t>
      </w:r>
      <w:r>
        <w:rPr>
          <w:rFonts w:hint="eastAsia" w:ascii="宋体" w:hAnsi="宋体" w:eastAsia="宋体" w:cs="宋体"/>
          <w:b w:val="0"/>
          <w:bCs w:val="0"/>
          <w:color w:val="auto"/>
          <w:kern w:val="0"/>
          <w:sz w:val="24"/>
          <w:szCs w:val="24"/>
          <w:highlight w:val="none"/>
          <w:lang w:val="en-US" w:eastAsia="zh-CN"/>
        </w:rPr>
        <w:t>涵盖土地整治、地质灾害防治、边坡治理、能源交易等业务流程；同步实现非统建货物服务项目的核心流程，进一步满足非统建货物服务的业务需求。</w:t>
      </w:r>
    </w:p>
    <w:p w14:paraId="46C88148">
      <w:pPr>
        <w:spacing w:line="24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3.2.2</w:t>
      </w:r>
      <w:r>
        <w:rPr>
          <w:rFonts w:hint="eastAsia" w:ascii="宋体" w:hAnsi="宋体" w:eastAsia="宋体" w:cs="宋体"/>
          <w:b w:val="0"/>
          <w:bCs w:val="0"/>
          <w:color w:val="auto"/>
          <w:kern w:val="0"/>
          <w:sz w:val="24"/>
          <w:szCs w:val="24"/>
          <w:highlight w:val="none"/>
          <w:lang w:val="en-US" w:eastAsia="zh-CN"/>
        </w:rPr>
        <w:t>“易捷开”开标应用模块，完成非统建其他交易的开标大厅信创替代，</w:t>
      </w:r>
      <w:r>
        <w:rPr>
          <w:rFonts w:hint="eastAsia" w:ascii="宋体" w:hAnsi="宋体" w:eastAsia="宋体" w:cs="宋体"/>
          <w:color w:val="auto"/>
          <w:kern w:val="0"/>
          <w:sz w:val="24"/>
          <w:szCs w:val="24"/>
          <w:highlight w:val="none"/>
        </w:rPr>
        <w:t>对开标现场及整个开标过程的网络虚拟实现</w:t>
      </w:r>
      <w:r>
        <w:rPr>
          <w:rFonts w:hint="eastAsia" w:ascii="Times New Roman" w:hAnsi="Times New Roman" w:eastAsia="仿宋_GB2312" w:cs="宋体"/>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采用数字直播+视频直播的方式进行开标过程的全流程公开</w:t>
      </w:r>
      <w:r>
        <w:rPr>
          <w:rFonts w:hint="eastAsia" w:ascii="宋体" w:hAnsi="宋体" w:cs="宋体"/>
          <w:b w:val="0"/>
          <w:bCs w:val="0"/>
          <w:color w:val="auto"/>
          <w:kern w:val="0"/>
          <w:sz w:val="24"/>
          <w:szCs w:val="24"/>
          <w:highlight w:val="none"/>
          <w:lang w:val="en-US" w:eastAsia="zh-CN"/>
        </w:rPr>
        <w:t>，</w:t>
      </w:r>
      <w:r>
        <w:rPr>
          <w:rFonts w:hint="eastAsia" w:ascii="宋体" w:hAnsi="宋体" w:cs="宋体"/>
          <w:color w:val="auto"/>
          <w:kern w:val="0"/>
          <w:sz w:val="24"/>
          <w:highlight w:val="none"/>
        </w:rPr>
        <w:t>结合业务实际，建设</w:t>
      </w:r>
      <w:r>
        <w:rPr>
          <w:rFonts w:hint="eastAsia" w:ascii="宋体" w:hAnsi="宋体" w:eastAsia="宋体" w:cs="宋体"/>
          <w:color w:val="auto"/>
          <w:kern w:val="0"/>
          <w:sz w:val="24"/>
          <w:szCs w:val="24"/>
          <w:highlight w:val="none"/>
        </w:rPr>
        <w:t>其他交易</w:t>
      </w:r>
      <w:r>
        <w:rPr>
          <w:rFonts w:hint="eastAsia" w:ascii="宋体" w:hAnsi="宋体" w:cs="宋体"/>
          <w:color w:val="auto"/>
          <w:kern w:val="0"/>
          <w:sz w:val="24"/>
          <w:szCs w:val="24"/>
          <w:highlight w:val="none"/>
          <w:lang w:val="en-US" w:eastAsia="zh-CN"/>
        </w:rPr>
        <w:t>模块</w:t>
      </w:r>
      <w:r>
        <w:rPr>
          <w:rFonts w:hint="eastAsia" w:ascii="宋体" w:hAnsi="宋体" w:cs="宋体"/>
          <w:color w:val="auto"/>
          <w:kern w:val="0"/>
          <w:sz w:val="24"/>
          <w:highlight w:val="none"/>
        </w:rPr>
        <w:t>开标个性化应用，满足</w:t>
      </w:r>
      <w:r>
        <w:rPr>
          <w:rFonts w:hint="eastAsia" w:ascii="宋体" w:hAnsi="宋体" w:eastAsia="宋体" w:cs="宋体"/>
          <w:color w:val="auto"/>
          <w:kern w:val="0"/>
          <w:sz w:val="24"/>
          <w:szCs w:val="24"/>
          <w:highlight w:val="none"/>
        </w:rPr>
        <w:t>其他交易</w:t>
      </w:r>
      <w:r>
        <w:rPr>
          <w:rFonts w:hint="eastAsia" w:ascii="宋体" w:hAnsi="宋体" w:cs="宋体"/>
          <w:color w:val="auto"/>
          <w:kern w:val="0"/>
          <w:sz w:val="24"/>
          <w:szCs w:val="24"/>
          <w:highlight w:val="none"/>
          <w:lang w:val="en-US" w:eastAsia="zh-CN"/>
        </w:rPr>
        <w:t>模块项目</w:t>
      </w:r>
      <w:r>
        <w:rPr>
          <w:rFonts w:hint="eastAsia" w:ascii="宋体" w:hAnsi="宋体" w:cs="宋体"/>
          <w:color w:val="auto"/>
          <w:kern w:val="0"/>
          <w:sz w:val="24"/>
          <w:highlight w:val="none"/>
        </w:rPr>
        <w:t>开标业务需求。同时结合业务实际要求，实现</w:t>
      </w:r>
      <w:r>
        <w:rPr>
          <w:rFonts w:hint="eastAsia" w:ascii="宋体" w:hAnsi="宋体" w:eastAsia="宋体" w:cs="宋体"/>
          <w:color w:val="auto"/>
          <w:kern w:val="0"/>
          <w:sz w:val="24"/>
          <w:szCs w:val="24"/>
          <w:highlight w:val="none"/>
        </w:rPr>
        <w:t>其他交易</w:t>
      </w:r>
      <w:r>
        <w:rPr>
          <w:rFonts w:hint="eastAsia" w:ascii="宋体" w:hAnsi="宋体" w:cs="宋体"/>
          <w:color w:val="auto"/>
          <w:kern w:val="0"/>
          <w:sz w:val="24"/>
          <w:szCs w:val="24"/>
          <w:highlight w:val="none"/>
          <w:lang w:val="en-US" w:eastAsia="zh-CN"/>
        </w:rPr>
        <w:t>模块</w:t>
      </w:r>
      <w:r>
        <w:rPr>
          <w:rFonts w:hint="eastAsia" w:ascii="宋体" w:hAnsi="宋体" w:cs="宋体"/>
          <w:color w:val="auto"/>
          <w:kern w:val="0"/>
          <w:sz w:val="24"/>
          <w:highlight w:val="none"/>
        </w:rPr>
        <w:t>项目开标异常在线处置流程；梳理整合监管部门及各业务处室在异常处置中的业务操作，规范统一的操作流程；处置过程根据业务需要进行动态配置、后端数据备份留痕、过程文件归档，实现异常问题从发生到处置再到归档的顺畅业务操作和完整数据链路保存，增加系统承载力同时根据角色参与不同划分为交易中心管理端、招标代理端和投标人端，方便各类人员深度参与开标流程。</w:t>
      </w:r>
    </w:p>
    <w:p w14:paraId="4582DBFD">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3.2.3</w:t>
      </w:r>
      <w:r>
        <w:rPr>
          <w:rFonts w:hint="eastAsia" w:ascii="宋体" w:hAnsi="宋体" w:eastAsia="宋体" w:cs="宋体"/>
          <w:b w:val="0"/>
          <w:bCs w:val="0"/>
          <w:color w:val="auto"/>
          <w:kern w:val="0"/>
          <w:sz w:val="24"/>
          <w:szCs w:val="24"/>
          <w:highlight w:val="none"/>
          <w:lang w:val="en-US" w:eastAsia="zh-CN"/>
        </w:rPr>
        <w:t>电子监管模块，满足</w:t>
      </w:r>
      <w:r>
        <w:rPr>
          <w:rFonts w:hint="eastAsia" w:ascii="宋体" w:hAnsi="宋体" w:cs="宋体"/>
          <w:b w:val="0"/>
          <w:bCs w:val="0"/>
          <w:color w:val="auto"/>
          <w:kern w:val="0"/>
          <w:sz w:val="24"/>
          <w:szCs w:val="24"/>
          <w:highlight w:val="none"/>
          <w:lang w:val="en-US" w:eastAsia="zh-CN"/>
        </w:rPr>
        <w:t>行业监管部门</w:t>
      </w:r>
      <w:r>
        <w:rPr>
          <w:rFonts w:hint="eastAsia" w:ascii="宋体" w:hAnsi="宋体" w:eastAsia="宋体" w:cs="宋体"/>
          <w:b w:val="0"/>
          <w:bCs w:val="0"/>
          <w:color w:val="auto"/>
          <w:kern w:val="0"/>
          <w:sz w:val="24"/>
          <w:szCs w:val="24"/>
          <w:highlight w:val="none"/>
          <w:lang w:val="en-US" w:eastAsia="zh-CN"/>
        </w:rPr>
        <w:t>在公共资源交易监管平台的监督管理需求，完成非统建其他交易项目监管模块的信创替代。主要包括项目报建、项目报建审核、招标文件上传、招标文件审核、开评标安排查阅、开标信息查阅、评标信息查阅、预警信息查阅等环节</w:t>
      </w:r>
      <w:r>
        <w:rPr>
          <w:rFonts w:hint="eastAsia" w:ascii="宋体" w:hAnsi="宋体" w:cs="宋体"/>
          <w:b w:val="0"/>
          <w:bCs w:val="0"/>
          <w:color w:val="auto"/>
          <w:kern w:val="0"/>
          <w:sz w:val="24"/>
          <w:szCs w:val="24"/>
          <w:highlight w:val="none"/>
          <w:lang w:val="en-US" w:eastAsia="zh-CN"/>
        </w:rPr>
        <w:t>，</w:t>
      </w:r>
      <w:r>
        <w:rPr>
          <w:rFonts w:hint="eastAsia" w:ascii="宋体" w:hAnsi="宋体" w:cs="宋体"/>
          <w:color w:val="auto"/>
          <w:kern w:val="0"/>
          <w:sz w:val="24"/>
          <w:highlight w:val="none"/>
        </w:rPr>
        <w:t>满足监管方</w:t>
      </w:r>
      <w:r>
        <w:rPr>
          <w:rFonts w:hint="eastAsia" w:ascii="宋体" w:hAnsi="宋体" w:cs="宋体"/>
          <w:color w:val="auto"/>
          <w:kern w:val="0"/>
          <w:sz w:val="24"/>
          <w:highlight w:val="none"/>
          <w:lang w:eastAsia="zh-CN"/>
        </w:rPr>
        <w:t>在</w:t>
      </w:r>
      <w:r>
        <w:rPr>
          <w:rFonts w:hint="eastAsia" w:ascii="宋体" w:hAnsi="宋体" w:eastAsia="宋体" w:cs="宋体"/>
          <w:color w:val="auto"/>
          <w:kern w:val="0"/>
          <w:sz w:val="24"/>
          <w:highlight w:val="none"/>
          <w:lang w:val="en-US" w:eastAsia="zh-CN"/>
        </w:rPr>
        <w:t>非统建</w:t>
      </w:r>
      <w:r>
        <w:rPr>
          <w:rFonts w:hint="eastAsia" w:ascii="宋体" w:hAnsi="宋体" w:cs="宋体"/>
          <w:color w:val="auto"/>
          <w:kern w:val="0"/>
          <w:sz w:val="24"/>
          <w:highlight w:val="none"/>
          <w:lang w:eastAsia="zh-CN"/>
        </w:rPr>
        <w:t>其他交易</w:t>
      </w:r>
      <w:r>
        <w:rPr>
          <w:rFonts w:hint="eastAsia" w:ascii="宋体" w:hAnsi="宋体" w:eastAsia="宋体" w:cs="宋体"/>
          <w:color w:val="auto"/>
          <w:kern w:val="0"/>
          <w:sz w:val="24"/>
          <w:highlight w:val="none"/>
          <w:lang w:val="en-US" w:eastAsia="zh-CN"/>
        </w:rPr>
        <w:t>模块</w:t>
      </w:r>
      <w:r>
        <w:rPr>
          <w:rFonts w:hint="eastAsia" w:ascii="宋体" w:hAnsi="宋体" w:cs="宋体"/>
          <w:color w:val="auto"/>
          <w:kern w:val="0"/>
          <w:sz w:val="24"/>
          <w:highlight w:val="none"/>
        </w:rPr>
        <w:t>项目线上交易过程中的业务需要</w:t>
      </w:r>
      <w:r>
        <w:rPr>
          <w:rFonts w:hint="eastAsia" w:ascii="宋体" w:hAnsi="宋体" w:eastAsia="宋体" w:cs="宋体"/>
          <w:b w:val="0"/>
          <w:bCs w:val="0"/>
          <w:color w:val="auto"/>
          <w:kern w:val="0"/>
          <w:sz w:val="24"/>
          <w:szCs w:val="24"/>
          <w:highlight w:val="none"/>
          <w:lang w:val="en-US" w:eastAsia="zh-CN"/>
        </w:rPr>
        <w:t>。</w:t>
      </w:r>
    </w:p>
    <w:p w14:paraId="66B05A4F">
      <w:pPr>
        <w:spacing w:before="100" w:after="100"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3.2.4</w:t>
      </w:r>
      <w:r>
        <w:rPr>
          <w:rFonts w:hint="eastAsia" w:ascii="宋体" w:hAnsi="宋体" w:eastAsia="宋体" w:cs="宋体"/>
          <w:b w:val="0"/>
          <w:bCs w:val="0"/>
          <w:color w:val="auto"/>
          <w:kern w:val="0"/>
          <w:sz w:val="24"/>
          <w:szCs w:val="24"/>
          <w:highlight w:val="none"/>
          <w:lang w:val="en-US" w:eastAsia="zh-CN"/>
        </w:rPr>
        <w:t>辅助评标模块，完成非统建其他交易项目的电子辅助评审模块信创替代，</w:t>
      </w:r>
      <w:r>
        <w:rPr>
          <w:rFonts w:hint="eastAsia" w:ascii="宋体" w:hAnsi="宋体" w:cs="宋体"/>
          <w:b w:val="0"/>
          <w:bCs w:val="0"/>
          <w:color w:val="auto"/>
          <w:kern w:val="0"/>
          <w:sz w:val="24"/>
          <w:szCs w:val="24"/>
          <w:highlight w:val="none"/>
          <w:lang w:val="en-US" w:eastAsia="zh-CN"/>
        </w:rPr>
        <w:t>面向招标代理、评审专家侧的辅助评审模块，</w:t>
      </w:r>
      <w:r>
        <w:rPr>
          <w:rFonts w:hint="eastAsia" w:ascii="宋体" w:hAnsi="宋体" w:eastAsia="宋体" w:cs="宋体"/>
          <w:b w:val="0"/>
          <w:bCs w:val="0"/>
          <w:color w:val="auto"/>
          <w:kern w:val="0"/>
          <w:sz w:val="24"/>
          <w:szCs w:val="24"/>
          <w:highlight w:val="none"/>
          <w:lang w:val="en-US" w:eastAsia="zh-CN"/>
        </w:rPr>
        <w:t>主要包括项目信息和投标文件解密后自动导入评标模块、组建评标委员会，评标资料，辅助评标，评审权限管理，评标流程，评标准备，初步评审，详细评审、评审结果、评审结果推送等内容</w:t>
      </w:r>
      <w:r>
        <w:rPr>
          <w:rFonts w:hint="eastAsia" w:ascii="宋体" w:hAnsi="宋体" w:cs="宋体"/>
          <w:b w:val="0"/>
          <w:bCs w:val="0"/>
          <w:color w:val="auto"/>
          <w:kern w:val="0"/>
          <w:sz w:val="24"/>
          <w:szCs w:val="24"/>
          <w:highlight w:val="none"/>
          <w:lang w:val="en-US" w:eastAsia="zh-CN"/>
        </w:rPr>
        <w:t>，</w:t>
      </w:r>
      <w:r>
        <w:rPr>
          <w:rFonts w:hint="eastAsia" w:ascii="宋体" w:hAnsi="宋体" w:cs="宋体"/>
          <w:color w:val="auto"/>
          <w:kern w:val="0"/>
          <w:sz w:val="24"/>
          <w:highlight w:val="none"/>
          <w:lang w:bidi="ar"/>
        </w:rPr>
        <w:t>支持评审无限次回退修正、评审报告自动生成、评审结果同步至交易平台、监管平台等支撑后续业务。</w:t>
      </w:r>
    </w:p>
    <w:p w14:paraId="6A856569">
      <w:pPr>
        <w:spacing w:before="100" w:after="100" w:line="360" w:lineRule="auto"/>
        <w:ind w:firstLine="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3.2.5</w:t>
      </w:r>
      <w:r>
        <w:rPr>
          <w:rFonts w:hint="eastAsia" w:ascii="宋体" w:hAnsi="宋体" w:eastAsia="宋体" w:cs="宋体"/>
          <w:b w:val="0"/>
          <w:bCs w:val="0"/>
          <w:color w:val="auto"/>
          <w:kern w:val="0"/>
          <w:sz w:val="24"/>
          <w:szCs w:val="24"/>
          <w:highlight w:val="none"/>
          <w:lang w:val="en-US" w:eastAsia="zh-CN"/>
        </w:rPr>
        <w:t>在线询标模块</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完成信创替代</w:t>
      </w:r>
      <w:r>
        <w:rPr>
          <w:rFonts w:hint="eastAsia" w:ascii="宋体" w:hAnsi="宋体" w:cs="宋体"/>
          <w:b w:val="0"/>
          <w:bCs w:val="0"/>
          <w:color w:val="auto"/>
          <w:kern w:val="0"/>
          <w:sz w:val="24"/>
          <w:szCs w:val="24"/>
          <w:highlight w:val="none"/>
          <w:lang w:val="en-US" w:eastAsia="zh-CN"/>
        </w:rPr>
        <w:t>改造</w:t>
      </w:r>
      <w:r>
        <w:rPr>
          <w:rFonts w:hint="eastAsia" w:ascii="宋体" w:hAnsi="宋体" w:eastAsia="宋体" w:cs="宋体"/>
          <w:b w:val="0"/>
          <w:bCs w:val="0"/>
          <w:color w:val="auto"/>
          <w:kern w:val="0"/>
          <w:sz w:val="24"/>
          <w:szCs w:val="24"/>
          <w:highlight w:val="none"/>
          <w:lang w:val="en-US" w:eastAsia="zh-CN"/>
        </w:rPr>
        <w:t>，用于其他交易项目评标阶段评审专家在线询标，实现评标阶段评审专家与供应商远程互动及在线询标等功能</w:t>
      </w:r>
      <w:r>
        <w:rPr>
          <w:rFonts w:hint="eastAsia" w:ascii="宋体" w:hAnsi="宋体" w:cs="宋体"/>
          <w:b w:val="0"/>
          <w:bCs w:val="0"/>
          <w:color w:val="auto"/>
          <w:kern w:val="0"/>
          <w:sz w:val="24"/>
          <w:szCs w:val="24"/>
          <w:highlight w:val="none"/>
          <w:lang w:val="en-US" w:eastAsia="zh-CN"/>
        </w:rPr>
        <w:t>，</w:t>
      </w:r>
      <w:r>
        <w:rPr>
          <w:rFonts w:hint="eastAsia" w:ascii="宋体" w:hAnsi="宋体" w:cs="宋体"/>
          <w:color w:val="auto"/>
          <w:kern w:val="0"/>
          <w:sz w:val="24"/>
          <w:highlight w:val="none"/>
          <w:lang w:bidi="ar"/>
        </w:rPr>
        <w:t>同时建设标准化数据接口，兼容各类别项目在评标阶段的询标应用。</w:t>
      </w:r>
    </w:p>
    <w:p w14:paraId="1289D3D0">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3.2.6集约化门户网站模块，</w:t>
      </w:r>
      <w:r>
        <w:rPr>
          <w:rFonts w:hint="eastAsia" w:ascii="宋体" w:hAnsi="宋体" w:eastAsia="宋体" w:cs="宋体"/>
          <w:b w:val="0"/>
          <w:bCs w:val="0"/>
          <w:color w:val="auto"/>
          <w:kern w:val="0"/>
          <w:sz w:val="24"/>
          <w:szCs w:val="24"/>
          <w:highlight w:val="none"/>
          <w:lang w:val="en-US" w:eastAsia="zh-CN"/>
        </w:rPr>
        <w:t>按照全省政府网站集约化平台的要求，完成市交易中心门户集约化网站的信创替代，完成网站内容的重构、页面改版、服务界面的重新规划和各项功能的优化提升，完成集约化迁移、网站适老化、PC端、移动端的信创适配，全面提升杭州市公共资源交易网建设和服务水平。</w:t>
      </w:r>
    </w:p>
    <w:p w14:paraId="03BC9404">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w:t>
      </w:r>
      <w:r>
        <w:rPr>
          <w:rFonts w:hint="eastAsia" w:ascii="宋体" w:hAnsi="宋体" w:eastAsia="宋体" w:cs="宋体"/>
          <w:b w:val="0"/>
          <w:bCs w:val="0"/>
          <w:color w:val="auto"/>
          <w:kern w:val="0"/>
          <w:sz w:val="24"/>
          <w:szCs w:val="24"/>
          <w:highlight w:val="none"/>
          <w:lang w:val="en-US" w:eastAsia="zh-CN"/>
        </w:rPr>
        <w:t>招投标服务管理应用</w:t>
      </w:r>
      <w:r>
        <w:rPr>
          <w:rFonts w:hint="eastAsia" w:ascii="宋体" w:hAnsi="宋体" w:cs="宋体"/>
          <w:b w:val="0"/>
          <w:bCs w:val="0"/>
          <w:color w:val="auto"/>
          <w:kern w:val="0"/>
          <w:sz w:val="24"/>
          <w:szCs w:val="24"/>
          <w:highlight w:val="none"/>
          <w:lang w:val="en-US" w:eastAsia="zh-CN"/>
        </w:rPr>
        <w:t>板块</w:t>
      </w:r>
      <w:r>
        <w:rPr>
          <w:rFonts w:hint="eastAsia" w:ascii="宋体" w:hAnsi="宋体" w:eastAsia="宋体" w:cs="宋体"/>
          <w:b w:val="0"/>
          <w:bCs w:val="0"/>
          <w:color w:val="auto"/>
          <w:kern w:val="0"/>
          <w:sz w:val="24"/>
          <w:szCs w:val="24"/>
          <w:highlight w:val="none"/>
          <w:lang w:val="en-US" w:eastAsia="zh-CN"/>
        </w:rPr>
        <w:t>（本地特色应用）</w:t>
      </w:r>
    </w:p>
    <w:p w14:paraId="4571232D">
      <w:pPr>
        <w:spacing w:line="24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3.3.1</w:t>
      </w:r>
      <w:r>
        <w:rPr>
          <w:rFonts w:hint="eastAsia" w:ascii="宋体" w:hAnsi="宋体" w:eastAsia="宋体" w:cs="宋体"/>
          <w:b w:val="0"/>
          <w:bCs w:val="0"/>
          <w:color w:val="auto"/>
          <w:kern w:val="0"/>
          <w:sz w:val="24"/>
          <w:szCs w:val="24"/>
          <w:highlight w:val="none"/>
          <w:lang w:val="en-US" w:eastAsia="zh-CN"/>
        </w:rPr>
        <w:t>市场主体库模块，完成建设公共资源交易市场主体库功能信创替代，</w:t>
      </w:r>
      <w:r>
        <w:rPr>
          <w:rFonts w:hint="eastAsia" w:ascii="宋体" w:hAnsi="宋体" w:cs="宋体"/>
          <w:color w:val="auto"/>
          <w:kern w:val="0"/>
          <w:sz w:val="24"/>
          <w:highlight w:val="none"/>
        </w:rPr>
        <w:t>对各类市场主体信息进行汇集、管理、应用与共享</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需要充分考虑信息采集、数据应用和信息管理的关系，确保数据库的有效性和实用性。</w:t>
      </w:r>
      <w:r>
        <w:rPr>
          <w:rFonts w:hint="eastAsia" w:ascii="宋体" w:hAnsi="宋体" w:eastAsia="宋体" w:cs="宋体"/>
          <w:color w:val="auto"/>
          <w:kern w:val="0"/>
          <w:sz w:val="24"/>
          <w:highlight w:val="none"/>
          <w:lang w:val="en-US" w:eastAsia="zh-CN"/>
        </w:rPr>
        <w:t>主体库模块</w:t>
      </w:r>
      <w:r>
        <w:rPr>
          <w:rFonts w:hint="eastAsia" w:ascii="宋体" w:hAnsi="宋体" w:eastAsia="宋体" w:cs="宋体"/>
          <w:b w:val="0"/>
          <w:bCs w:val="0"/>
          <w:color w:val="auto"/>
          <w:kern w:val="0"/>
          <w:sz w:val="24"/>
          <w:szCs w:val="24"/>
          <w:highlight w:val="none"/>
          <w:lang w:val="en-US" w:eastAsia="zh-CN"/>
        </w:rPr>
        <w:t>涵盖招标人库、招标代理库、投标人库、评审专家库四大市场主体，实现自助归库管理、对各类主体基本信息、资质信息、人员信息的相关应用</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充分考虑</w:t>
      </w:r>
      <w:r>
        <w:rPr>
          <w:rFonts w:hint="eastAsia" w:ascii="宋体" w:hAnsi="宋体" w:cs="宋体"/>
          <w:color w:val="auto"/>
          <w:kern w:val="0"/>
          <w:sz w:val="24"/>
          <w:highlight w:val="none"/>
        </w:rPr>
        <w:t>信息集成与共享</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市场主体库能够收集、存储、整合和共享各市场主体的信息，包括企业资质、人员资格、业绩记录等。这些信息可以为各方参与者提供全面、准确的市场情报，提高招投标的透明度和公正性。</w:t>
      </w:r>
    </w:p>
    <w:p w14:paraId="7E5BDC91">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3.3.2 </w:t>
      </w:r>
      <w:r>
        <w:rPr>
          <w:rFonts w:hint="eastAsia" w:ascii="宋体" w:hAnsi="宋体" w:eastAsia="宋体" w:cs="宋体"/>
          <w:b w:val="0"/>
          <w:bCs w:val="0"/>
          <w:color w:val="auto"/>
          <w:kern w:val="0"/>
          <w:sz w:val="24"/>
          <w:szCs w:val="24"/>
          <w:highlight w:val="none"/>
          <w:lang w:val="en-US" w:eastAsia="zh-CN"/>
        </w:rPr>
        <w:t>1+N远程异地多点评标模块，完成1+N远程异地多点评标模块信创替代，主要包括评标调度、专家管理、点位及专家随机抽取等功能，同时需支持电子签章回传，评审数据自动归集，进一步提升使用体验。</w:t>
      </w:r>
    </w:p>
    <w:p w14:paraId="23735FE1">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3.3.3 </w:t>
      </w:r>
      <w:r>
        <w:rPr>
          <w:rFonts w:hint="eastAsia" w:ascii="宋体" w:hAnsi="宋体" w:eastAsia="宋体" w:cs="宋体"/>
          <w:b w:val="0"/>
          <w:bCs w:val="0"/>
          <w:color w:val="auto"/>
          <w:kern w:val="0"/>
          <w:sz w:val="24"/>
          <w:szCs w:val="24"/>
          <w:highlight w:val="none"/>
          <w:lang w:val="en-US" w:eastAsia="zh-CN"/>
        </w:rPr>
        <w:t>CA应用管理模块，</w:t>
      </w:r>
      <w:r>
        <w:rPr>
          <w:rFonts w:hint="eastAsia" w:ascii="宋体" w:hAnsi="宋体" w:eastAsia="宋体" w:cs="宋体"/>
          <w:b w:val="0"/>
          <w:bCs w:val="0"/>
          <w:color w:val="auto"/>
          <w:kern w:val="0"/>
          <w:sz w:val="24"/>
          <w:szCs w:val="24"/>
          <w:highlight w:val="none"/>
          <w:lang w:val="en-US" w:eastAsia="zh-CN"/>
        </w:rPr>
        <w:t>完成CA互认信创替代，</w:t>
      </w:r>
      <w:r>
        <w:rPr>
          <w:rFonts w:hint="eastAsia" w:ascii="宋体" w:hAnsi="宋体" w:cs="宋体"/>
          <w:color w:val="auto"/>
          <w:kern w:val="0"/>
          <w:sz w:val="24"/>
          <w:highlight w:val="none"/>
        </w:rPr>
        <w:t>根据《国家发展改革委办公厅关于开展招标投标领城》（发改办法规〔2024〕589号）的要求，建设开发</w:t>
      </w:r>
      <w:r>
        <w:rPr>
          <w:rFonts w:hint="eastAsia" w:ascii="宋体" w:hAnsi="宋体" w:eastAsia="宋体" w:cs="宋体"/>
          <w:i w:val="0"/>
          <w:iCs w:val="0"/>
          <w:caps w:val="0"/>
          <w:color w:val="auto"/>
          <w:spacing w:val="0"/>
          <w:kern w:val="0"/>
          <w:sz w:val="24"/>
          <w:szCs w:val="24"/>
          <w:highlight w:val="none"/>
          <w:shd w:val="clear" w:fill="auto"/>
        </w:rPr>
        <w:t>全国网络ca互认</w:t>
      </w:r>
      <w:r>
        <w:rPr>
          <w:rFonts w:hint="eastAsia" w:ascii="宋体" w:hAnsi="宋体" w:cs="宋体"/>
          <w:color w:val="auto"/>
          <w:kern w:val="0"/>
          <w:sz w:val="24"/>
          <w:highlight w:val="none"/>
        </w:rPr>
        <w:t>，增加CA证书app互认</w:t>
      </w:r>
      <w:r>
        <w:rPr>
          <w:rFonts w:hint="eastAsia" w:ascii="宋体" w:hAnsi="宋体" w:cs="宋体"/>
          <w:color w:val="auto"/>
          <w:kern w:val="0"/>
          <w:sz w:val="24"/>
          <w:highlight w:val="none"/>
          <w:lang w:eastAsia="zh-CN"/>
        </w:rPr>
        <w:t>，</w:t>
      </w:r>
      <w:r>
        <w:rPr>
          <w:rFonts w:hint="eastAsia" w:ascii="宋体" w:hAnsi="宋体" w:eastAsia="宋体" w:cs="宋体"/>
          <w:b w:val="0"/>
          <w:bCs w:val="0"/>
          <w:color w:val="auto"/>
          <w:kern w:val="0"/>
          <w:sz w:val="24"/>
          <w:szCs w:val="24"/>
          <w:highlight w:val="none"/>
          <w:lang w:val="en-US" w:eastAsia="zh-CN"/>
        </w:rPr>
        <w:t>可兼容新（信创）老系统；</w:t>
      </w:r>
    </w:p>
    <w:p w14:paraId="0A2F3E3B">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3.3.4</w:t>
      </w:r>
      <w:r>
        <w:rPr>
          <w:rFonts w:hint="eastAsia" w:ascii="宋体" w:hAnsi="宋体" w:eastAsia="宋体" w:cs="宋体"/>
          <w:b w:val="0"/>
          <w:bCs w:val="0"/>
          <w:color w:val="auto"/>
          <w:kern w:val="0"/>
          <w:sz w:val="24"/>
          <w:szCs w:val="24"/>
          <w:highlight w:val="none"/>
          <w:lang w:val="en-US" w:eastAsia="zh-CN"/>
        </w:rPr>
        <w:t>结合省市数据局应用上架“两侧”的要求，实现移动服务应用，构建“双端协同+智能中枢”的移动服务体系，为交易中心工作人员及其他交易（特色交易）监管人员提供全流程掌上服务，实现业务通知和业务审批“掌上办”，进一步缩短各业务处理时效，增加处理效率和便捷度。</w:t>
      </w:r>
    </w:p>
    <w:p w14:paraId="2C6B7F25">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3.3.5</w:t>
      </w:r>
      <w:r>
        <w:rPr>
          <w:rFonts w:hint="eastAsia" w:ascii="宋体" w:hAnsi="宋体" w:eastAsia="宋体" w:cs="宋体"/>
          <w:b w:val="0"/>
          <w:bCs w:val="0"/>
          <w:color w:val="auto"/>
          <w:kern w:val="0"/>
          <w:sz w:val="24"/>
          <w:szCs w:val="24"/>
          <w:highlight w:val="none"/>
          <w:lang w:val="en-US" w:eastAsia="zh-CN"/>
        </w:rPr>
        <w:t>专家费结算模块，实现专家报酬的精准核算；自动生成《专家劳务报酬计算单》《代扣代缴税款明细表》等标准化文档，支持PDF/Excel多格式导出；提供劳务报酬发放趋势分析（如区域/行业分布）等主题数据分析，支撑评审方案决策优化。</w:t>
      </w:r>
    </w:p>
    <w:p w14:paraId="0322E6FC">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3.3.6</w:t>
      </w:r>
      <w:r>
        <w:rPr>
          <w:rFonts w:hint="eastAsia" w:ascii="宋体" w:hAnsi="宋体" w:eastAsia="宋体" w:cs="宋体"/>
          <w:b w:val="0"/>
          <w:bCs w:val="0"/>
          <w:color w:val="auto"/>
          <w:kern w:val="0"/>
          <w:sz w:val="24"/>
          <w:szCs w:val="24"/>
          <w:highlight w:val="none"/>
          <w:lang w:val="en-US" w:eastAsia="zh-CN"/>
        </w:rPr>
        <w:t>“易数达”数据管理中台，整合业务数据的标准化管理与应用；建设数据管理中心，实现各类数据库、数据表、数据视图、数据块、数据程序等结合密评、安全等保等要求进行安全加固，实现国产数据库的安全稳定数据存放；依据省上报数据要求制定本地交易数据的数据标准，提供基础数据的清洗梳理、分析整合，提升数据质量，支撑深度数据分析；建设区县、市、省三级纵向数据报送中台，进一步探索信创替代数据层面的高效化报送应用；联动各业务模块，形成一体化数据报表/月度分析报表/年度分析报表，并实现数据异动同步、自动预警工单、报表考核、数据查询等数据联通应用，提升数据应用价值。</w:t>
      </w:r>
    </w:p>
    <w:p w14:paraId="515B167E">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3.3.7</w:t>
      </w:r>
      <w:r>
        <w:rPr>
          <w:rFonts w:hint="eastAsia" w:ascii="宋体" w:hAnsi="宋体" w:eastAsia="宋体" w:cs="宋体"/>
          <w:b w:val="0"/>
          <w:bCs w:val="0"/>
          <w:color w:val="auto"/>
          <w:kern w:val="0"/>
          <w:sz w:val="24"/>
          <w:szCs w:val="24"/>
          <w:highlight w:val="none"/>
          <w:lang w:val="en-US" w:eastAsia="zh-CN"/>
        </w:rPr>
        <w:t>“易视界”交易管理模块，深度融合杭州市及各区县分中心实时交易数据与业务场景，构建集智能管理、运维保障、数字见证三位一体的公共资源交易管理中枢。</w:t>
      </w:r>
      <w:r>
        <w:rPr>
          <w:rFonts w:hint="eastAsia" w:ascii="宋体" w:hAnsi="宋体" w:cs="宋体"/>
          <w:color w:val="auto"/>
          <w:kern w:val="0"/>
          <w:sz w:val="24"/>
          <w:highlight w:val="none"/>
        </w:rPr>
        <w:t>建设包括数据采集、清洗、分析及可视化工具，可实时监测系统运行状态、资源负载及服务可用性，自动生成健康度报告，保障市区两级系统稳定协同</w:t>
      </w:r>
      <w:r>
        <w:rPr>
          <w:rFonts w:hint="eastAsia" w:ascii="宋体" w:hAnsi="宋体" w:eastAsia="宋体" w:cs="宋体"/>
          <w:color w:val="auto"/>
          <w:kern w:val="0"/>
          <w:sz w:val="24"/>
          <w:highlight w:val="none"/>
          <w:lang w:eastAsia="zh-CN"/>
        </w:rPr>
        <w:t>。</w:t>
      </w:r>
    </w:p>
    <w:p w14:paraId="5BA5E028">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3.3.8</w:t>
      </w:r>
      <w:r>
        <w:rPr>
          <w:rFonts w:hint="eastAsia" w:ascii="宋体" w:hAnsi="宋体" w:eastAsia="宋体" w:cs="宋体"/>
          <w:b w:val="0"/>
          <w:bCs w:val="0"/>
          <w:color w:val="auto"/>
          <w:kern w:val="0"/>
          <w:sz w:val="24"/>
          <w:szCs w:val="24"/>
          <w:highlight w:val="none"/>
          <w:lang w:val="en-US" w:eastAsia="zh-CN"/>
        </w:rPr>
        <w:t>“易查询”自定义查询模块，</w:t>
      </w:r>
      <w:r>
        <w:rPr>
          <w:rFonts w:hint="eastAsia" w:ascii="宋体" w:hAnsi="宋体" w:cs="宋体"/>
          <w:color w:val="auto"/>
          <w:kern w:val="0"/>
          <w:sz w:val="24"/>
          <w:highlight w:val="none"/>
        </w:rPr>
        <w:t>整合原自定义查询的基础业务需求，结合信创替代建设交易平台、服务平台、监管平台等平台应用的标准化数据仓库，通过全字段自定义、横纵关联预处理、全模式展示、动态可视化等全新服务，实现“易查询”自定义查询信创替代，满足市本级+13区县市日常交易数据查询、导出的需要</w:t>
      </w:r>
      <w:r>
        <w:rPr>
          <w:rFonts w:hint="eastAsia" w:ascii="宋体" w:hAnsi="宋体" w:eastAsia="宋体" w:cs="宋体"/>
          <w:color w:val="auto"/>
          <w:kern w:val="0"/>
          <w:sz w:val="24"/>
          <w:highlight w:val="none"/>
          <w:lang w:eastAsia="zh-CN"/>
        </w:rPr>
        <w:t>。</w:t>
      </w:r>
    </w:p>
    <w:p w14:paraId="39037C50">
      <w:pPr>
        <w:pStyle w:val="131"/>
        <w:numPr>
          <w:ilvl w:val="0"/>
          <w:numId w:val="0"/>
        </w:numPr>
        <w:snapToGrid w:val="0"/>
        <w:spacing w:line="360" w:lineRule="auto"/>
        <w:ind w:left="23" w:leftChars="11"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其他要求</w:t>
      </w:r>
    </w:p>
    <w:p w14:paraId="0E62C00F">
      <w:pPr>
        <w:tabs>
          <w:tab w:val="left" w:pos="0"/>
        </w:tabs>
        <w:spacing w:line="360" w:lineRule="auto"/>
        <w:ind w:left="0" w:leftChars="0" w:firstLine="480" w:firstLineChars="200"/>
        <w:jc w:val="left"/>
        <w:rPr>
          <w:rFonts w:hint="eastAsia" w:ascii="宋体" w:hAnsi="宋体" w:cs="宋体"/>
          <w:color w:val="auto"/>
          <w:kern w:val="0"/>
          <w:sz w:val="24"/>
          <w:highlight w:val="none"/>
          <w:u w:val="none"/>
        </w:rPr>
      </w:pPr>
      <w:r>
        <w:rPr>
          <w:rFonts w:hint="eastAsia" w:ascii="宋体" w:hAnsi="宋体" w:cs="宋体"/>
          <w:b w:val="0"/>
          <w:color w:val="auto"/>
          <w:kern w:val="0"/>
          <w:sz w:val="24"/>
          <w:highlight w:val="none"/>
          <w:lang w:val="en-US" w:eastAsia="zh-CN"/>
        </w:rPr>
        <w:t>4.1</w:t>
      </w:r>
      <w:r>
        <w:rPr>
          <w:rFonts w:hint="eastAsia" w:ascii="宋体" w:hAnsi="宋体" w:eastAsia="宋体" w:cs="宋体"/>
          <w:b w:val="0"/>
          <w:color w:val="auto"/>
          <w:kern w:val="0"/>
          <w:sz w:val="24"/>
          <w:highlight w:val="none"/>
        </w:rPr>
        <w:t>维护要求：</w:t>
      </w:r>
      <w:r>
        <w:rPr>
          <w:rFonts w:hint="eastAsia" w:ascii="宋体" w:hAnsi="宋体" w:cs="宋体"/>
          <w:color w:val="auto"/>
          <w:kern w:val="0"/>
          <w:sz w:val="24"/>
          <w:highlight w:val="none"/>
          <w:u w:val="none"/>
        </w:rPr>
        <w:t>供应商须提供三年质保期。</w:t>
      </w:r>
      <w:r>
        <w:rPr>
          <w:rFonts w:hint="eastAsia" w:ascii="宋体" w:hAnsi="宋体" w:cs="宋体"/>
          <w:color w:val="auto"/>
          <w:kern w:val="0"/>
          <w:sz w:val="24"/>
          <w:highlight w:val="none"/>
          <w:u w:val="none"/>
          <w:lang w:val="en-US" w:eastAsia="zh-CN"/>
        </w:rPr>
        <w:t>投</w:t>
      </w:r>
      <w:r>
        <w:rPr>
          <w:rFonts w:hint="eastAsia" w:ascii="宋体" w:hAnsi="宋体" w:cs="宋体"/>
          <w:color w:val="auto"/>
          <w:kern w:val="0"/>
          <w:sz w:val="24"/>
          <w:highlight w:val="none"/>
          <w:u w:val="none"/>
        </w:rPr>
        <w:t>标人应具有较强的本地化服务能力，并配有较强的技术队伍，能提供快速的售后服务，一般性故障或问题，在15分钟内解决；在15分钟内到场处理，30分钟内不能解决的，分析出故障或问题所在，并及时通报采购人。</w:t>
      </w:r>
    </w:p>
    <w:p w14:paraId="6349A8D5">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b w:val="0"/>
          <w:color w:val="auto"/>
          <w:kern w:val="0"/>
          <w:sz w:val="24"/>
          <w:highlight w:val="none"/>
          <w:lang w:val="en-US" w:eastAsia="zh-CN"/>
        </w:rPr>
        <w:t>4.2</w:t>
      </w:r>
      <w:r>
        <w:rPr>
          <w:rFonts w:hint="eastAsia" w:ascii="宋体" w:hAnsi="宋体" w:eastAsia="宋体" w:cs="宋体"/>
          <w:b w:val="0"/>
          <w:color w:val="auto"/>
          <w:kern w:val="0"/>
          <w:sz w:val="24"/>
          <w:highlight w:val="none"/>
        </w:rPr>
        <w:t xml:space="preserve">软件项目工期: </w:t>
      </w:r>
      <w:r>
        <w:rPr>
          <w:rFonts w:hint="eastAsia" w:ascii="宋体" w:hAnsi="宋体" w:eastAsia="宋体" w:cs="宋体"/>
          <w:color w:val="auto"/>
          <w:kern w:val="0"/>
          <w:sz w:val="24"/>
          <w:highlight w:val="none"/>
        </w:rPr>
        <w:t>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年12月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1日前完成项目验收。</w:t>
      </w:r>
    </w:p>
    <w:p w14:paraId="14D780BE">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b w:val="0"/>
          <w:color w:val="auto"/>
          <w:kern w:val="0"/>
          <w:sz w:val="24"/>
          <w:highlight w:val="none"/>
          <w:lang w:val="en-US" w:eastAsia="zh-CN"/>
        </w:rPr>
        <w:t>4.3</w:t>
      </w:r>
      <w:r>
        <w:rPr>
          <w:rFonts w:hint="eastAsia" w:ascii="宋体" w:hAnsi="宋体" w:eastAsia="宋体" w:cs="宋体"/>
          <w:b w:val="0"/>
          <w:color w:val="auto"/>
          <w:kern w:val="0"/>
          <w:sz w:val="24"/>
          <w:highlight w:val="none"/>
        </w:rPr>
        <w:t>维保时间:</w:t>
      </w: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年质保。</w:t>
      </w:r>
    </w:p>
    <w:p w14:paraId="5EC7753C">
      <w:pPr>
        <w:tabs>
          <w:tab w:val="left" w:pos="0"/>
        </w:tabs>
        <w:spacing w:line="360" w:lineRule="auto"/>
        <w:ind w:firstLine="480" w:firstLineChars="0"/>
        <w:rPr>
          <w:rFonts w:hint="eastAsia" w:ascii="宋体" w:hAnsi="宋体" w:eastAsia="宋体" w:cs="宋体"/>
          <w:b w:val="0"/>
          <w:color w:val="auto"/>
          <w:kern w:val="0"/>
          <w:sz w:val="24"/>
          <w:highlight w:val="none"/>
        </w:rPr>
      </w:pPr>
      <w:r>
        <w:rPr>
          <w:rFonts w:hint="eastAsia" w:ascii="宋体" w:hAnsi="宋体" w:cs="宋体"/>
          <w:b w:val="0"/>
          <w:color w:val="auto"/>
          <w:kern w:val="0"/>
          <w:sz w:val="24"/>
          <w:highlight w:val="none"/>
          <w:lang w:val="en-US" w:eastAsia="zh-CN"/>
        </w:rPr>
        <w:t>4.4</w:t>
      </w:r>
      <w:r>
        <w:rPr>
          <w:rFonts w:hint="eastAsia" w:ascii="宋体" w:hAnsi="宋体" w:eastAsia="宋体" w:cs="宋体"/>
          <w:b w:val="0"/>
          <w:color w:val="auto"/>
          <w:kern w:val="0"/>
          <w:sz w:val="24"/>
          <w:highlight w:val="none"/>
        </w:rPr>
        <w:t>人员要求:</w:t>
      </w:r>
    </w:p>
    <w:p w14:paraId="07E87BE6">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4.4.1</w:t>
      </w:r>
      <w:r>
        <w:rPr>
          <w:rFonts w:hint="eastAsia" w:ascii="宋体" w:hAnsi="宋体" w:cs="宋体"/>
          <w:color w:val="auto"/>
          <w:kern w:val="0"/>
          <w:sz w:val="24"/>
          <w:highlight w:val="none"/>
          <w:lang w:val="en-US" w:eastAsia="zh-CN"/>
        </w:rPr>
        <w:t>系统开发阶段：</w:t>
      </w:r>
      <w:r>
        <w:rPr>
          <w:rFonts w:hint="eastAsia" w:ascii="宋体" w:hAnsi="宋体" w:eastAsia="宋体" w:cs="宋体"/>
          <w:color w:val="auto"/>
          <w:kern w:val="0"/>
          <w:sz w:val="24"/>
          <w:highlight w:val="none"/>
        </w:rPr>
        <w:t>要求供应商安排团队人员至少15人为本项目提供服务，团队人员要求均具有相关电子招投标系统项目建设经验。项目经理具有信息系统项目管理师（高级)证书。项目团队人员具有中级及以上信息化类职称证书。项目团队成员必须为投标人自有员工，提供相关人员证书及开标日前由投标人为其缴交的载有社保部门公章的社保缴交证明材料。</w:t>
      </w:r>
    </w:p>
    <w:p w14:paraId="54E2DF37">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4.4.2</w:t>
      </w:r>
      <w:r>
        <w:rPr>
          <w:rFonts w:hint="eastAsia" w:ascii="宋体" w:hAnsi="宋体" w:cs="宋体"/>
          <w:color w:val="auto"/>
          <w:kern w:val="0"/>
          <w:sz w:val="24"/>
          <w:highlight w:val="none"/>
          <w:lang w:val="en-US" w:eastAsia="zh-CN"/>
        </w:rPr>
        <w:t>系统维护期：</w:t>
      </w:r>
      <w:r>
        <w:rPr>
          <w:rFonts w:hint="eastAsia" w:ascii="宋体" w:hAnsi="宋体" w:eastAsia="宋体" w:cs="宋体"/>
          <w:color w:val="auto"/>
          <w:kern w:val="0"/>
          <w:sz w:val="24"/>
          <w:highlight w:val="none"/>
        </w:rPr>
        <w:t>至少4名技术人员（其中包括3名维护人员、1名本项目开发人员）</w:t>
      </w:r>
      <w:r>
        <w:rPr>
          <w:rFonts w:hint="eastAsia" w:ascii="宋体" w:hAnsi="宋体" w:cs="宋体"/>
          <w:color w:val="auto"/>
          <w:kern w:val="0"/>
          <w:sz w:val="24"/>
          <w:highlight w:val="none"/>
          <w:lang w:val="en-US" w:eastAsia="zh-CN"/>
        </w:rPr>
        <w:t>提供</w:t>
      </w:r>
      <w:r>
        <w:rPr>
          <w:rFonts w:hint="eastAsia" w:ascii="宋体" w:hAnsi="宋体" w:eastAsia="宋体" w:cs="宋体"/>
          <w:color w:val="auto"/>
          <w:kern w:val="0"/>
          <w:sz w:val="24"/>
          <w:highlight w:val="none"/>
        </w:rPr>
        <w:t>驻场服务</w:t>
      </w:r>
      <w:r>
        <w:rPr>
          <w:rFonts w:hint="eastAsia" w:ascii="宋体" w:hAnsi="宋体" w:eastAsia="宋体" w:cs="宋体"/>
          <w:color w:val="auto"/>
          <w:kern w:val="0"/>
          <w:sz w:val="24"/>
          <w:highlight w:val="none"/>
        </w:rPr>
        <w:t>，所有人员从事对应专业工作的经验满2年，常驻采购人现场。</w:t>
      </w:r>
    </w:p>
    <w:p w14:paraId="7A135E96">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b w:val="0"/>
          <w:color w:val="auto"/>
          <w:kern w:val="0"/>
          <w:sz w:val="24"/>
          <w:highlight w:val="none"/>
          <w:lang w:val="en-US" w:eastAsia="zh-CN"/>
        </w:rPr>
        <w:t>4.5</w:t>
      </w:r>
      <w:r>
        <w:rPr>
          <w:rFonts w:hint="eastAsia" w:ascii="宋体" w:hAnsi="宋体" w:eastAsia="宋体" w:cs="宋体"/>
          <w:b w:val="0"/>
          <w:color w:val="auto"/>
          <w:kern w:val="0"/>
          <w:sz w:val="24"/>
          <w:highlight w:val="none"/>
        </w:rPr>
        <w:t>验收要求</w:t>
      </w:r>
      <w:r>
        <w:rPr>
          <w:rFonts w:hint="eastAsia" w:ascii="宋体" w:hAnsi="宋体" w:eastAsia="宋体" w:cs="宋体"/>
          <w:color w:val="auto"/>
          <w:kern w:val="0"/>
          <w:sz w:val="24"/>
          <w:highlight w:val="none"/>
        </w:rPr>
        <w:t>:</w:t>
      </w:r>
    </w:p>
    <w:p w14:paraId="4501B560">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4.5.1</w:t>
      </w:r>
      <w:r>
        <w:rPr>
          <w:rFonts w:hint="eastAsia" w:ascii="宋体" w:hAnsi="宋体" w:eastAsia="宋体" w:cs="宋体"/>
          <w:color w:val="auto"/>
          <w:kern w:val="0"/>
          <w:sz w:val="24"/>
          <w:highlight w:val="none"/>
        </w:rPr>
        <w:t>标的物交付前，中标供应商应对标的物的质量、数量等方面进行详细、全面的检验，并向采购人出具证明标的物符合合同约定的文件；标的物交付时，采购人在合同专用条款约定时间内组织验收，并可依法邀请相关方参加，验收应出具验收书。</w:t>
      </w:r>
    </w:p>
    <w:p w14:paraId="3DBB7593">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4.5.2</w:t>
      </w:r>
      <w:r>
        <w:rPr>
          <w:rFonts w:hint="eastAsia" w:ascii="宋体" w:hAnsi="宋体" w:eastAsia="宋体" w:cs="宋体"/>
          <w:color w:val="auto"/>
          <w:kern w:val="0"/>
          <w:sz w:val="24"/>
          <w:highlight w:val="none"/>
        </w:rPr>
        <w:t>合同期满或者履行完毕后，采购人有权组织（包括依法邀请国家认可的质量检测机构参加）对中标供应商履约的验收，即：按照合同约定的技术、服务、安全标准，组织对每一项技术、服务、安全标准的履约情况的验收，并出具验收书。</w:t>
      </w:r>
    </w:p>
    <w:p w14:paraId="473DB1E4">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4.5.3</w:t>
      </w:r>
      <w:r>
        <w:rPr>
          <w:rFonts w:hint="eastAsia" w:ascii="宋体" w:hAnsi="宋体" w:eastAsia="宋体" w:cs="宋体"/>
          <w:color w:val="auto"/>
          <w:kern w:val="0"/>
          <w:sz w:val="24"/>
          <w:highlight w:val="none"/>
        </w:rPr>
        <w:t>检验和验收标准、程序等具体内容以及前述验收书的效力详见合同专用条款。</w:t>
      </w:r>
    </w:p>
    <w:p w14:paraId="2CF479B6">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b w:val="0"/>
          <w:color w:val="auto"/>
          <w:kern w:val="0"/>
          <w:sz w:val="24"/>
          <w:highlight w:val="none"/>
          <w:lang w:val="en-US" w:eastAsia="zh-CN"/>
        </w:rPr>
        <w:t>4.6</w:t>
      </w:r>
      <w:r>
        <w:rPr>
          <w:rFonts w:hint="eastAsia" w:ascii="宋体" w:hAnsi="宋体" w:eastAsia="宋体" w:cs="宋体"/>
          <w:b w:val="0"/>
          <w:color w:val="auto"/>
          <w:kern w:val="0"/>
          <w:sz w:val="24"/>
          <w:highlight w:val="none"/>
        </w:rPr>
        <w:t>培训:</w:t>
      </w:r>
      <w:r>
        <w:rPr>
          <w:rFonts w:hint="eastAsia" w:ascii="宋体" w:hAnsi="宋体" w:eastAsia="宋体" w:cs="宋体"/>
          <w:color w:val="auto"/>
          <w:kern w:val="0"/>
          <w:sz w:val="24"/>
          <w:highlight w:val="none"/>
        </w:rPr>
        <w:t>供应商应对各招投标参与对象进行涉及该项目的业务操作培训。</w:t>
      </w:r>
    </w:p>
    <w:p w14:paraId="05536889">
      <w:pPr>
        <w:tabs>
          <w:tab w:val="left" w:pos="0"/>
        </w:tabs>
        <w:spacing w:line="360" w:lineRule="auto"/>
        <w:ind w:firstLine="480" w:firstLineChars="0"/>
        <w:rPr>
          <w:rFonts w:hint="eastAsia" w:ascii="宋体" w:hAnsi="宋体" w:eastAsia="宋体" w:cs="宋体"/>
          <w:b w:val="0"/>
          <w:color w:val="auto"/>
          <w:kern w:val="0"/>
          <w:sz w:val="24"/>
          <w:highlight w:val="none"/>
        </w:rPr>
      </w:pPr>
      <w:r>
        <w:rPr>
          <w:rFonts w:hint="eastAsia" w:ascii="宋体" w:hAnsi="宋体" w:cs="宋体"/>
          <w:b w:val="0"/>
          <w:color w:val="auto"/>
          <w:kern w:val="0"/>
          <w:sz w:val="24"/>
          <w:highlight w:val="none"/>
          <w:lang w:val="en-US" w:eastAsia="zh-CN"/>
        </w:rPr>
        <w:t>4.7</w:t>
      </w:r>
      <w:r>
        <w:rPr>
          <w:rFonts w:hint="eastAsia" w:ascii="宋体" w:hAnsi="宋体" w:eastAsia="宋体" w:cs="宋体"/>
          <w:b w:val="0"/>
          <w:color w:val="auto"/>
          <w:kern w:val="0"/>
          <w:sz w:val="24"/>
          <w:highlight w:val="none"/>
        </w:rPr>
        <w:t>其它：</w:t>
      </w:r>
    </w:p>
    <w:p w14:paraId="238CB3C0">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4.7.1</w:t>
      </w:r>
      <w:r>
        <w:rPr>
          <w:rFonts w:hint="eastAsia" w:ascii="宋体" w:hAnsi="宋体" w:eastAsia="宋体" w:cs="宋体"/>
          <w:color w:val="auto"/>
          <w:kern w:val="0"/>
          <w:sz w:val="24"/>
          <w:highlight w:val="none"/>
        </w:rPr>
        <w:t>招标文件第四部分评分办法中评审因素相应的其它要求及第五部分采购合同中相应的其他要求。</w:t>
      </w:r>
    </w:p>
    <w:p w14:paraId="51BDBE02">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4.7.2</w:t>
      </w:r>
      <w:r>
        <w:rPr>
          <w:rFonts w:hint="eastAsia" w:ascii="宋体" w:hAnsi="宋体" w:eastAsia="宋体" w:cs="宋体"/>
          <w:color w:val="auto"/>
          <w:kern w:val="0"/>
          <w:sz w:val="24"/>
          <w:highlight w:val="none"/>
        </w:rPr>
        <w:t>投标人可通过电话咨询、现场咨询、在线浏览系统等方式了解采购人现有业务系统情况，本次项目建设内容要求与采购人现有系统兼容。在理解采购人原有系统平台基础上，进行系统功能完善，优化现有数据库的各类交易数据，实现现有全部业务功能，保证数据的完整性和准确性。</w:t>
      </w:r>
    </w:p>
    <w:p w14:paraId="6023FB14">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4.7.3</w:t>
      </w:r>
      <w:r>
        <w:rPr>
          <w:rFonts w:hint="eastAsia" w:ascii="宋体" w:hAnsi="宋体" w:eastAsia="宋体" w:cs="宋体"/>
          <w:color w:val="auto"/>
          <w:kern w:val="0"/>
          <w:sz w:val="24"/>
          <w:highlight w:val="none"/>
        </w:rPr>
        <w:t>投标人获得公共资源招投标相关的软件著作权登记证书；质量管理体系认证证书（9001）、信息安全管理体系认证证书（27001）。具有类似软件开发类（含改造、升级）项目经验。</w:t>
      </w:r>
      <w:bookmarkStart w:id="418" w:name="_GoBack"/>
      <w:bookmarkEnd w:id="418"/>
    </w:p>
    <w:p w14:paraId="1B3D1598">
      <w:pPr>
        <w:widowControl/>
        <w:ind w:firstLine="720" w:firstLineChars="300"/>
        <w:jc w:val="left"/>
        <w:rPr>
          <w:rFonts w:ascii="宋体" w:hAnsi="宋体" w:cs="宋体"/>
          <w:bCs/>
          <w:color w:val="auto"/>
          <w:sz w:val="24"/>
          <w:highlight w:val="none"/>
        </w:rPr>
      </w:pPr>
    </w:p>
    <w:p w14:paraId="48CF43EC">
      <w:pPr>
        <w:spacing w:line="360" w:lineRule="auto"/>
        <w:ind w:firstLine="420"/>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3245"/>
      <w:bookmarkEnd w:id="29"/>
      <w:bookmarkStart w:id="30" w:name="_Toc184314425"/>
      <w:bookmarkEnd w:id="30"/>
      <w:bookmarkStart w:id="31" w:name="_Toc184308037"/>
      <w:bookmarkEnd w:id="31"/>
      <w:bookmarkStart w:id="32" w:name="_Toc184314474"/>
      <w:bookmarkEnd w:id="32"/>
      <w:bookmarkStart w:id="33" w:name="_Toc184313276"/>
      <w:bookmarkEnd w:id="33"/>
      <w:bookmarkStart w:id="34" w:name="_Toc184314429"/>
      <w:bookmarkEnd w:id="34"/>
      <w:bookmarkStart w:id="35" w:name="_Toc184308100"/>
      <w:bookmarkEnd w:id="35"/>
      <w:bookmarkStart w:id="36" w:name="_Toc184313243"/>
      <w:bookmarkEnd w:id="36"/>
      <w:bookmarkStart w:id="37" w:name="_Toc184314449"/>
      <w:bookmarkEnd w:id="37"/>
      <w:bookmarkStart w:id="38" w:name="_Toc184313294"/>
      <w:bookmarkEnd w:id="38"/>
      <w:bookmarkStart w:id="39" w:name="_Toc184310311"/>
      <w:bookmarkEnd w:id="39"/>
      <w:bookmarkStart w:id="40" w:name="_Toc184310279"/>
      <w:bookmarkEnd w:id="40"/>
      <w:bookmarkStart w:id="41" w:name="_Toc184312121"/>
      <w:bookmarkEnd w:id="41"/>
      <w:bookmarkStart w:id="42" w:name="_Toc184314422"/>
      <w:bookmarkEnd w:id="42"/>
      <w:bookmarkStart w:id="43" w:name="_Toc184313267"/>
      <w:bookmarkEnd w:id="43"/>
      <w:bookmarkStart w:id="44" w:name="_Toc184313289"/>
      <w:bookmarkEnd w:id="44"/>
      <w:bookmarkStart w:id="45" w:name="_Toc184310301"/>
      <w:bookmarkEnd w:id="45"/>
      <w:bookmarkStart w:id="46" w:name="_Toc184310275"/>
      <w:bookmarkEnd w:id="46"/>
      <w:bookmarkStart w:id="47" w:name="_Toc184314418"/>
      <w:bookmarkEnd w:id="47"/>
      <w:bookmarkStart w:id="48" w:name="_Toc184314428"/>
      <w:bookmarkEnd w:id="48"/>
      <w:bookmarkStart w:id="49" w:name="_Toc184313280"/>
      <w:bookmarkEnd w:id="49"/>
      <w:bookmarkStart w:id="50" w:name="_Toc184314413"/>
      <w:bookmarkEnd w:id="50"/>
      <w:bookmarkStart w:id="51" w:name="_Toc184312132"/>
      <w:bookmarkEnd w:id="51"/>
      <w:bookmarkStart w:id="52" w:name="_Toc184310319"/>
      <w:bookmarkEnd w:id="52"/>
      <w:bookmarkStart w:id="53" w:name="_Toc184312126"/>
      <w:bookmarkEnd w:id="53"/>
      <w:bookmarkStart w:id="54" w:name="_Toc184312076"/>
      <w:bookmarkEnd w:id="54"/>
      <w:bookmarkStart w:id="55" w:name="_Toc184310315"/>
      <w:bookmarkEnd w:id="55"/>
      <w:bookmarkStart w:id="56" w:name="_Toc184310291"/>
      <w:bookmarkEnd w:id="56"/>
      <w:bookmarkStart w:id="57" w:name="_Toc184310333"/>
      <w:bookmarkEnd w:id="57"/>
      <w:bookmarkStart w:id="58" w:name="_Toc184313269"/>
      <w:bookmarkEnd w:id="58"/>
      <w:bookmarkStart w:id="59" w:name="_Toc184308060"/>
      <w:bookmarkEnd w:id="59"/>
      <w:bookmarkStart w:id="60" w:name="_Toc184310340"/>
      <w:bookmarkEnd w:id="60"/>
      <w:bookmarkStart w:id="61" w:name="_Toc184313263"/>
      <w:bookmarkEnd w:id="61"/>
      <w:bookmarkStart w:id="62" w:name="_Toc184312099"/>
      <w:bookmarkEnd w:id="62"/>
      <w:bookmarkStart w:id="63" w:name="_Toc184313273"/>
      <w:bookmarkEnd w:id="63"/>
      <w:bookmarkStart w:id="64" w:name="_Toc184308103"/>
      <w:bookmarkEnd w:id="64"/>
      <w:bookmarkStart w:id="65" w:name="_Toc184313264"/>
      <w:bookmarkEnd w:id="65"/>
      <w:bookmarkStart w:id="66" w:name="_Toc184312130"/>
      <w:bookmarkEnd w:id="66"/>
      <w:bookmarkStart w:id="67" w:name="_Toc184308038"/>
      <w:bookmarkEnd w:id="67"/>
      <w:bookmarkStart w:id="68" w:name="_Toc184310300"/>
      <w:bookmarkEnd w:id="68"/>
      <w:bookmarkStart w:id="69" w:name="_Toc184310324"/>
      <w:bookmarkEnd w:id="69"/>
      <w:bookmarkStart w:id="70" w:name="_Toc184313258"/>
      <w:bookmarkEnd w:id="70"/>
      <w:bookmarkStart w:id="71" w:name="_Toc184313257"/>
      <w:bookmarkEnd w:id="71"/>
      <w:bookmarkStart w:id="72" w:name="_Toc184314453"/>
      <w:bookmarkEnd w:id="72"/>
      <w:bookmarkStart w:id="73" w:name="_Toc184312137"/>
      <w:bookmarkEnd w:id="73"/>
      <w:bookmarkStart w:id="74" w:name="_Toc184310314"/>
      <w:bookmarkEnd w:id="74"/>
      <w:bookmarkStart w:id="75" w:name="_Toc184314438"/>
      <w:bookmarkEnd w:id="75"/>
      <w:bookmarkStart w:id="76" w:name="_Toc184314467"/>
      <w:bookmarkEnd w:id="76"/>
      <w:bookmarkStart w:id="77" w:name="_Toc184312124"/>
      <w:bookmarkEnd w:id="77"/>
      <w:bookmarkStart w:id="78" w:name="_Toc184308108"/>
      <w:bookmarkEnd w:id="78"/>
      <w:bookmarkStart w:id="79" w:name="_Toc184310339"/>
      <w:bookmarkEnd w:id="79"/>
      <w:bookmarkStart w:id="80" w:name="_Toc184314443"/>
      <w:bookmarkEnd w:id="80"/>
      <w:bookmarkStart w:id="81" w:name="_Toc184308068"/>
      <w:bookmarkEnd w:id="81"/>
      <w:bookmarkStart w:id="82" w:name="_Toc184310295"/>
      <w:bookmarkEnd w:id="82"/>
      <w:bookmarkStart w:id="83" w:name="_Toc184312128"/>
      <w:bookmarkEnd w:id="83"/>
      <w:bookmarkStart w:id="84" w:name="_Toc184312106"/>
      <w:bookmarkEnd w:id="84"/>
      <w:bookmarkStart w:id="85" w:name="_Toc184310330"/>
      <w:bookmarkEnd w:id="85"/>
      <w:bookmarkStart w:id="86" w:name="_Toc184313246"/>
      <w:bookmarkEnd w:id="86"/>
      <w:bookmarkStart w:id="87" w:name="_Toc184308043"/>
      <w:bookmarkEnd w:id="87"/>
      <w:bookmarkStart w:id="88" w:name="_Toc184313265"/>
      <w:bookmarkEnd w:id="88"/>
      <w:bookmarkStart w:id="89" w:name="_Toc184308084"/>
      <w:bookmarkEnd w:id="89"/>
      <w:bookmarkStart w:id="90" w:name="_Toc184313259"/>
      <w:bookmarkEnd w:id="90"/>
      <w:bookmarkStart w:id="91" w:name="_Toc184308057"/>
      <w:bookmarkEnd w:id="91"/>
      <w:bookmarkStart w:id="92" w:name="_Toc184308074"/>
      <w:bookmarkEnd w:id="92"/>
      <w:bookmarkStart w:id="93" w:name="_Toc184310312"/>
      <w:bookmarkEnd w:id="93"/>
      <w:bookmarkStart w:id="94" w:name="_Toc184310316"/>
      <w:bookmarkEnd w:id="94"/>
      <w:bookmarkStart w:id="95" w:name="_Toc184314457"/>
      <w:bookmarkEnd w:id="95"/>
      <w:bookmarkStart w:id="96" w:name="_Toc184313304"/>
      <w:bookmarkEnd w:id="96"/>
      <w:bookmarkStart w:id="97" w:name="_Toc184308045"/>
      <w:bookmarkEnd w:id="97"/>
      <w:bookmarkStart w:id="98" w:name="_Toc184308106"/>
      <w:bookmarkEnd w:id="98"/>
      <w:bookmarkStart w:id="99" w:name="_Toc184314458"/>
      <w:bookmarkEnd w:id="99"/>
      <w:bookmarkStart w:id="100" w:name="_Toc184308091"/>
      <w:bookmarkEnd w:id="100"/>
      <w:bookmarkStart w:id="101" w:name="_Toc184308081"/>
      <w:bookmarkEnd w:id="101"/>
      <w:bookmarkStart w:id="102" w:name="_Toc184312097"/>
      <w:bookmarkEnd w:id="102"/>
      <w:bookmarkStart w:id="103" w:name="_Toc184312122"/>
      <w:bookmarkEnd w:id="103"/>
      <w:bookmarkStart w:id="104" w:name="_Toc184308046"/>
      <w:bookmarkEnd w:id="104"/>
      <w:bookmarkStart w:id="105" w:name="_Toc184308059"/>
      <w:bookmarkEnd w:id="105"/>
      <w:bookmarkStart w:id="106" w:name="_Toc184312113"/>
      <w:bookmarkEnd w:id="106"/>
      <w:bookmarkStart w:id="107" w:name="_Toc184308054"/>
      <w:bookmarkEnd w:id="107"/>
      <w:bookmarkStart w:id="108" w:name="_Toc184312072"/>
      <w:bookmarkEnd w:id="108"/>
      <w:bookmarkStart w:id="109" w:name="_Toc184312134"/>
      <w:bookmarkEnd w:id="109"/>
      <w:bookmarkStart w:id="110" w:name="_Toc184312110"/>
      <w:bookmarkEnd w:id="110"/>
      <w:bookmarkStart w:id="111" w:name="_Toc184308061"/>
      <w:bookmarkEnd w:id="111"/>
      <w:bookmarkStart w:id="112" w:name="_Toc184310303"/>
      <w:bookmarkEnd w:id="112"/>
      <w:bookmarkStart w:id="113" w:name="_Toc184312070"/>
      <w:bookmarkEnd w:id="113"/>
      <w:bookmarkStart w:id="114" w:name="_Toc184310274"/>
      <w:bookmarkEnd w:id="114"/>
      <w:bookmarkStart w:id="115" w:name="_Toc184314447"/>
      <w:bookmarkEnd w:id="115"/>
      <w:bookmarkStart w:id="116" w:name="_Toc184314430"/>
      <w:bookmarkEnd w:id="116"/>
      <w:bookmarkStart w:id="117" w:name="_Toc184308104"/>
      <w:bookmarkEnd w:id="117"/>
      <w:bookmarkStart w:id="118" w:name="_Toc184310273"/>
      <w:bookmarkEnd w:id="118"/>
      <w:bookmarkStart w:id="119" w:name="_Toc184310331"/>
      <w:bookmarkEnd w:id="119"/>
      <w:bookmarkStart w:id="120" w:name="_Toc184313295"/>
      <w:bookmarkEnd w:id="120"/>
      <w:bookmarkStart w:id="121" w:name="_Toc184312073"/>
      <w:bookmarkEnd w:id="121"/>
      <w:bookmarkStart w:id="122" w:name="_Toc184313310"/>
      <w:bookmarkEnd w:id="122"/>
      <w:bookmarkStart w:id="123" w:name="_Toc184312078"/>
      <w:bookmarkEnd w:id="123"/>
      <w:bookmarkStart w:id="124" w:name="_Toc184314436"/>
      <w:bookmarkEnd w:id="124"/>
      <w:bookmarkStart w:id="125" w:name="_Toc184312103"/>
      <w:bookmarkEnd w:id="125"/>
      <w:bookmarkStart w:id="126" w:name="_Toc184312111"/>
      <w:bookmarkEnd w:id="126"/>
      <w:bookmarkStart w:id="127" w:name="_Toc184310334"/>
      <w:bookmarkEnd w:id="127"/>
      <w:bookmarkStart w:id="128" w:name="_Toc184308066"/>
      <w:bookmarkEnd w:id="128"/>
      <w:bookmarkStart w:id="129" w:name="_Toc184310323"/>
      <w:bookmarkEnd w:id="129"/>
      <w:bookmarkStart w:id="130" w:name="_Toc184310285"/>
      <w:bookmarkEnd w:id="130"/>
      <w:bookmarkStart w:id="131" w:name="_Toc184308049"/>
      <w:bookmarkEnd w:id="131"/>
      <w:bookmarkStart w:id="132" w:name="_Toc184308098"/>
      <w:bookmarkEnd w:id="132"/>
      <w:bookmarkStart w:id="133" w:name="_Toc184314456"/>
      <w:bookmarkEnd w:id="133"/>
      <w:bookmarkStart w:id="134" w:name="_Toc184312069"/>
      <w:bookmarkEnd w:id="134"/>
      <w:bookmarkStart w:id="135" w:name="_Toc184308072"/>
      <w:bookmarkEnd w:id="135"/>
      <w:bookmarkStart w:id="136" w:name="_Toc184312112"/>
      <w:bookmarkEnd w:id="136"/>
      <w:bookmarkStart w:id="137" w:name="_Toc184314471"/>
      <w:bookmarkEnd w:id="137"/>
      <w:bookmarkStart w:id="138" w:name="_Toc184310305"/>
      <w:bookmarkEnd w:id="138"/>
      <w:bookmarkStart w:id="139" w:name="_Toc184308092"/>
      <w:bookmarkEnd w:id="139"/>
      <w:bookmarkStart w:id="140" w:name="_Toc184308050"/>
      <w:bookmarkEnd w:id="140"/>
      <w:bookmarkStart w:id="141" w:name="_Toc184312120"/>
      <w:bookmarkEnd w:id="141"/>
      <w:bookmarkStart w:id="142" w:name="_Toc184312116"/>
      <w:bookmarkEnd w:id="142"/>
      <w:bookmarkStart w:id="143" w:name="_Toc184308056"/>
      <w:bookmarkEnd w:id="143"/>
      <w:bookmarkStart w:id="144" w:name="_Toc184312068"/>
      <w:bookmarkEnd w:id="144"/>
      <w:bookmarkStart w:id="145" w:name="_Toc184312115"/>
      <w:bookmarkEnd w:id="145"/>
      <w:bookmarkStart w:id="146" w:name="_Toc184313262"/>
      <w:bookmarkEnd w:id="146"/>
      <w:bookmarkStart w:id="147" w:name="_Toc184313298"/>
      <w:bookmarkEnd w:id="147"/>
      <w:bookmarkStart w:id="148" w:name="_Toc184308053"/>
      <w:bookmarkEnd w:id="148"/>
      <w:bookmarkStart w:id="149" w:name="_Toc184308077"/>
      <w:bookmarkEnd w:id="149"/>
      <w:bookmarkStart w:id="150" w:name="_Toc184308082"/>
      <w:bookmarkEnd w:id="150"/>
      <w:bookmarkStart w:id="151" w:name="_Toc184314441"/>
      <w:bookmarkEnd w:id="151"/>
      <w:bookmarkStart w:id="152" w:name="_Toc184308048"/>
      <w:bookmarkEnd w:id="152"/>
      <w:bookmarkStart w:id="153" w:name="_Toc184313248"/>
      <w:bookmarkEnd w:id="153"/>
      <w:bookmarkStart w:id="154" w:name="_Toc184313277"/>
      <w:bookmarkEnd w:id="154"/>
      <w:bookmarkStart w:id="155" w:name="_Toc184310338"/>
      <w:bookmarkEnd w:id="155"/>
      <w:bookmarkStart w:id="156" w:name="_Toc184312088"/>
      <w:bookmarkEnd w:id="156"/>
      <w:bookmarkStart w:id="157" w:name="_Toc184308042"/>
      <w:bookmarkEnd w:id="157"/>
      <w:bookmarkStart w:id="158" w:name="_Toc184313284"/>
      <w:bookmarkEnd w:id="158"/>
      <w:bookmarkStart w:id="159" w:name="_Toc184312075"/>
      <w:bookmarkEnd w:id="159"/>
      <w:bookmarkStart w:id="160" w:name="_Toc184314435"/>
      <w:bookmarkEnd w:id="160"/>
      <w:bookmarkStart w:id="161" w:name="_Toc184314477"/>
      <w:bookmarkEnd w:id="161"/>
      <w:bookmarkStart w:id="162" w:name="_Toc184310337"/>
      <w:bookmarkEnd w:id="162"/>
      <w:bookmarkStart w:id="163" w:name="_Toc184310317"/>
      <w:bookmarkEnd w:id="163"/>
      <w:bookmarkStart w:id="164" w:name="_Toc184312091"/>
      <w:bookmarkEnd w:id="164"/>
      <w:bookmarkStart w:id="165" w:name="_Toc184314452"/>
      <w:bookmarkEnd w:id="165"/>
      <w:bookmarkStart w:id="166" w:name="_Toc184314440"/>
      <w:bookmarkEnd w:id="166"/>
      <w:bookmarkStart w:id="167" w:name="_Toc184312087"/>
      <w:bookmarkEnd w:id="167"/>
      <w:bookmarkStart w:id="168" w:name="_Toc184313271"/>
      <w:bookmarkEnd w:id="168"/>
      <w:bookmarkStart w:id="169" w:name="_Toc184313301"/>
      <w:bookmarkEnd w:id="169"/>
      <w:bookmarkStart w:id="170" w:name="_Toc184312085"/>
      <w:bookmarkEnd w:id="170"/>
      <w:bookmarkStart w:id="171" w:name="_Toc184314414"/>
      <w:bookmarkEnd w:id="171"/>
      <w:bookmarkStart w:id="172" w:name="_Toc184312118"/>
      <w:bookmarkEnd w:id="172"/>
      <w:bookmarkStart w:id="173" w:name="_Toc184314424"/>
      <w:bookmarkEnd w:id="173"/>
      <w:bookmarkStart w:id="174" w:name="_Toc184310335"/>
      <w:bookmarkEnd w:id="174"/>
      <w:bookmarkStart w:id="175" w:name="_Toc184312135"/>
      <w:bookmarkEnd w:id="175"/>
      <w:bookmarkStart w:id="176" w:name="_Toc184312084"/>
      <w:bookmarkEnd w:id="176"/>
      <w:bookmarkStart w:id="177" w:name="_Toc184314451"/>
      <w:bookmarkEnd w:id="177"/>
      <w:bookmarkStart w:id="178" w:name="_Toc184313285"/>
      <w:bookmarkEnd w:id="178"/>
      <w:bookmarkStart w:id="179" w:name="_Toc184312093"/>
      <w:bookmarkEnd w:id="179"/>
      <w:bookmarkStart w:id="180" w:name="_Toc184313279"/>
      <w:bookmarkEnd w:id="180"/>
      <w:bookmarkStart w:id="181" w:name="_Toc184313306"/>
      <w:bookmarkEnd w:id="181"/>
      <w:bookmarkStart w:id="182" w:name="_Toc184312136"/>
      <w:bookmarkEnd w:id="182"/>
      <w:bookmarkStart w:id="183" w:name="_Toc184310308"/>
      <w:bookmarkEnd w:id="183"/>
      <w:bookmarkStart w:id="184" w:name="_Toc184312139"/>
      <w:bookmarkEnd w:id="184"/>
      <w:bookmarkStart w:id="185" w:name="_Toc184308065"/>
      <w:bookmarkEnd w:id="185"/>
      <w:bookmarkStart w:id="186" w:name="_Toc184310293"/>
      <w:bookmarkEnd w:id="186"/>
      <w:bookmarkStart w:id="187" w:name="_Toc184313303"/>
      <w:bookmarkEnd w:id="187"/>
      <w:bookmarkStart w:id="188" w:name="_Toc184313268"/>
      <w:bookmarkEnd w:id="188"/>
      <w:bookmarkStart w:id="189" w:name="_Toc184308101"/>
      <w:bookmarkEnd w:id="189"/>
      <w:bookmarkStart w:id="190" w:name="_Toc184314470"/>
      <w:bookmarkEnd w:id="190"/>
      <w:bookmarkStart w:id="191" w:name="_Toc184313238"/>
      <w:bookmarkEnd w:id="191"/>
      <w:bookmarkStart w:id="192" w:name="_Toc184312096"/>
      <w:bookmarkEnd w:id="192"/>
      <w:bookmarkStart w:id="193" w:name="_Toc184314419"/>
      <w:bookmarkEnd w:id="193"/>
      <w:bookmarkStart w:id="194" w:name="_Toc184314481"/>
      <w:bookmarkEnd w:id="194"/>
      <w:bookmarkStart w:id="195" w:name="_Toc184313241"/>
      <w:bookmarkEnd w:id="195"/>
      <w:bookmarkStart w:id="196" w:name="_Toc184308064"/>
      <w:bookmarkEnd w:id="196"/>
      <w:bookmarkStart w:id="197" w:name="_Toc184313302"/>
      <w:bookmarkEnd w:id="197"/>
      <w:bookmarkStart w:id="198" w:name="_Toc184312117"/>
      <w:bookmarkEnd w:id="198"/>
      <w:bookmarkStart w:id="199" w:name="_Toc184310304"/>
      <w:bookmarkEnd w:id="199"/>
      <w:bookmarkStart w:id="200" w:name="_Toc184314466"/>
      <w:bookmarkEnd w:id="200"/>
      <w:bookmarkStart w:id="201" w:name="_Toc184314442"/>
      <w:bookmarkEnd w:id="201"/>
      <w:bookmarkStart w:id="202" w:name="_Toc184310281"/>
      <w:bookmarkEnd w:id="202"/>
      <w:bookmarkStart w:id="203" w:name="_Toc184310294"/>
      <w:bookmarkEnd w:id="203"/>
      <w:bookmarkStart w:id="204" w:name="_Toc184308089"/>
      <w:bookmarkEnd w:id="204"/>
      <w:bookmarkStart w:id="205" w:name="_Toc184314462"/>
      <w:bookmarkEnd w:id="205"/>
      <w:bookmarkStart w:id="206" w:name="_Toc184312114"/>
      <w:bookmarkEnd w:id="206"/>
      <w:bookmarkStart w:id="207" w:name="_Toc184313260"/>
      <w:bookmarkEnd w:id="207"/>
      <w:bookmarkStart w:id="208" w:name="_Toc184312129"/>
      <w:bookmarkEnd w:id="208"/>
      <w:bookmarkStart w:id="209" w:name="_Toc184312102"/>
      <w:bookmarkEnd w:id="209"/>
      <w:bookmarkStart w:id="210" w:name="_Toc184313253"/>
      <w:bookmarkEnd w:id="210"/>
      <w:bookmarkStart w:id="211" w:name="_Toc184310318"/>
      <w:bookmarkEnd w:id="211"/>
      <w:bookmarkStart w:id="212" w:name="_Toc184310307"/>
      <w:bookmarkEnd w:id="212"/>
      <w:bookmarkStart w:id="213" w:name="_Toc184313252"/>
      <w:bookmarkEnd w:id="213"/>
      <w:bookmarkStart w:id="214" w:name="_Toc184313250"/>
      <w:bookmarkEnd w:id="214"/>
      <w:bookmarkStart w:id="215" w:name="_Toc184310288"/>
      <w:bookmarkEnd w:id="215"/>
      <w:bookmarkStart w:id="216" w:name="_Toc184313239"/>
      <w:bookmarkEnd w:id="216"/>
      <w:bookmarkStart w:id="217" w:name="_Toc184310325"/>
      <w:bookmarkEnd w:id="217"/>
      <w:bookmarkStart w:id="218" w:name="_Toc184310276"/>
      <w:bookmarkEnd w:id="218"/>
      <w:bookmarkStart w:id="219" w:name="_Toc184314445"/>
      <w:bookmarkEnd w:id="219"/>
      <w:bookmarkStart w:id="220" w:name="_Toc184312105"/>
      <w:bookmarkEnd w:id="220"/>
      <w:bookmarkStart w:id="221" w:name="_Toc184310326"/>
      <w:bookmarkEnd w:id="221"/>
      <w:bookmarkStart w:id="222" w:name="_Toc184312119"/>
      <w:bookmarkEnd w:id="222"/>
      <w:bookmarkStart w:id="223" w:name="_Toc184308080"/>
      <w:bookmarkEnd w:id="223"/>
      <w:bookmarkStart w:id="224" w:name="_Toc184313247"/>
      <w:bookmarkEnd w:id="224"/>
      <w:bookmarkStart w:id="225" w:name="_Toc184314479"/>
      <w:bookmarkEnd w:id="225"/>
      <w:bookmarkStart w:id="226" w:name="_Toc184314417"/>
      <w:bookmarkEnd w:id="226"/>
      <w:bookmarkStart w:id="227" w:name="_Toc184310342"/>
      <w:bookmarkEnd w:id="227"/>
      <w:bookmarkStart w:id="228" w:name="_Toc184310289"/>
      <w:bookmarkEnd w:id="228"/>
      <w:bookmarkStart w:id="229" w:name="_Toc184313254"/>
      <w:bookmarkEnd w:id="229"/>
      <w:bookmarkStart w:id="230" w:name="_Toc184312086"/>
      <w:bookmarkEnd w:id="230"/>
      <w:bookmarkStart w:id="231" w:name="_Toc184313286"/>
      <w:bookmarkEnd w:id="231"/>
      <w:bookmarkStart w:id="232" w:name="_Toc184308075"/>
      <w:bookmarkEnd w:id="232"/>
      <w:bookmarkStart w:id="233" w:name="_Toc184308085"/>
      <w:bookmarkEnd w:id="233"/>
      <w:bookmarkStart w:id="234" w:name="_Toc184313275"/>
      <w:bookmarkEnd w:id="234"/>
      <w:bookmarkStart w:id="235" w:name="_Toc184312125"/>
      <w:bookmarkEnd w:id="235"/>
      <w:bookmarkStart w:id="236" w:name="_Toc184312081"/>
      <w:bookmarkEnd w:id="236"/>
      <w:bookmarkStart w:id="237" w:name="_Toc184312092"/>
      <w:bookmarkEnd w:id="237"/>
      <w:bookmarkStart w:id="238" w:name="_Toc184308096"/>
      <w:bookmarkEnd w:id="238"/>
      <w:bookmarkStart w:id="239" w:name="_Toc184308036"/>
      <w:bookmarkEnd w:id="239"/>
      <w:bookmarkStart w:id="240" w:name="_Toc184314465"/>
      <w:bookmarkEnd w:id="240"/>
      <w:bookmarkStart w:id="241" w:name="_Toc184310313"/>
      <w:bookmarkEnd w:id="241"/>
      <w:bookmarkStart w:id="242" w:name="_Toc184313281"/>
      <w:bookmarkEnd w:id="242"/>
      <w:bookmarkStart w:id="243" w:name="_Toc184314473"/>
      <w:bookmarkEnd w:id="243"/>
      <w:bookmarkStart w:id="244" w:name="_Toc184314416"/>
      <w:bookmarkEnd w:id="244"/>
      <w:bookmarkStart w:id="245" w:name="_Toc184313293"/>
      <w:bookmarkEnd w:id="245"/>
      <w:bookmarkStart w:id="246" w:name="_Toc184314454"/>
      <w:bookmarkEnd w:id="246"/>
      <w:bookmarkStart w:id="247" w:name="_Toc184313282"/>
      <w:bookmarkEnd w:id="247"/>
      <w:bookmarkStart w:id="248" w:name="_Toc184314463"/>
      <w:bookmarkEnd w:id="248"/>
      <w:bookmarkStart w:id="249" w:name="_Toc184310322"/>
      <w:bookmarkEnd w:id="249"/>
      <w:bookmarkStart w:id="250" w:name="_Toc184308039"/>
      <w:bookmarkEnd w:id="250"/>
      <w:bookmarkStart w:id="251" w:name="_Toc184312077"/>
      <w:bookmarkEnd w:id="251"/>
      <w:bookmarkStart w:id="252" w:name="_Toc184308047"/>
      <w:bookmarkEnd w:id="252"/>
      <w:bookmarkStart w:id="253" w:name="_Toc184313308"/>
      <w:bookmarkEnd w:id="253"/>
      <w:bookmarkStart w:id="254" w:name="_Toc184314423"/>
      <w:bookmarkEnd w:id="254"/>
      <w:bookmarkStart w:id="255" w:name="_Toc184310298"/>
      <w:bookmarkEnd w:id="255"/>
      <w:bookmarkStart w:id="256" w:name="_Toc184308105"/>
      <w:bookmarkEnd w:id="256"/>
      <w:bookmarkStart w:id="257" w:name="_Toc184310290"/>
      <w:bookmarkEnd w:id="257"/>
      <w:bookmarkStart w:id="258" w:name="_Toc184312108"/>
      <w:bookmarkEnd w:id="258"/>
      <w:bookmarkStart w:id="259" w:name="_Toc184313255"/>
      <w:bookmarkEnd w:id="259"/>
      <w:bookmarkStart w:id="260" w:name="_Toc184312071"/>
      <w:bookmarkEnd w:id="260"/>
      <w:bookmarkStart w:id="261" w:name="_Toc184314426"/>
      <w:bookmarkEnd w:id="261"/>
      <w:bookmarkStart w:id="262" w:name="_Toc184310336"/>
      <w:bookmarkEnd w:id="262"/>
      <w:bookmarkStart w:id="263" w:name="_Toc184308041"/>
      <w:bookmarkEnd w:id="263"/>
      <w:bookmarkStart w:id="264" w:name="_Toc184310292"/>
      <w:bookmarkEnd w:id="264"/>
      <w:bookmarkStart w:id="265" w:name="_Toc184313244"/>
      <w:bookmarkEnd w:id="265"/>
      <w:bookmarkStart w:id="266" w:name="_Toc184313266"/>
      <w:bookmarkEnd w:id="266"/>
      <w:bookmarkStart w:id="267" w:name="_Toc184308102"/>
      <w:bookmarkEnd w:id="267"/>
      <w:bookmarkStart w:id="268" w:name="_Toc184314444"/>
      <w:bookmarkEnd w:id="268"/>
      <w:bookmarkStart w:id="269" w:name="_Toc184313305"/>
      <w:bookmarkEnd w:id="269"/>
      <w:bookmarkStart w:id="270" w:name="_Toc184310320"/>
      <w:bookmarkEnd w:id="270"/>
      <w:bookmarkStart w:id="271" w:name="_Toc184310284"/>
      <w:bookmarkEnd w:id="271"/>
      <w:bookmarkStart w:id="272" w:name="_Toc184310306"/>
      <w:bookmarkEnd w:id="272"/>
      <w:bookmarkStart w:id="273" w:name="_Toc184312109"/>
      <w:bookmarkEnd w:id="273"/>
      <w:bookmarkStart w:id="274" w:name="_Toc184308051"/>
      <w:bookmarkEnd w:id="274"/>
      <w:bookmarkStart w:id="275" w:name="_Toc184308107"/>
      <w:bookmarkEnd w:id="275"/>
      <w:bookmarkStart w:id="276" w:name="_Toc184314478"/>
      <w:bookmarkEnd w:id="276"/>
      <w:bookmarkStart w:id="277" w:name="_Toc184312101"/>
      <w:bookmarkEnd w:id="277"/>
      <w:bookmarkStart w:id="278" w:name="_Toc184312138"/>
      <w:bookmarkEnd w:id="278"/>
      <w:bookmarkStart w:id="279" w:name="_Toc184313300"/>
      <w:bookmarkEnd w:id="279"/>
      <w:bookmarkStart w:id="280" w:name="_Toc184308099"/>
      <w:bookmarkEnd w:id="280"/>
      <w:bookmarkStart w:id="281" w:name="_Toc184308078"/>
      <w:bookmarkEnd w:id="281"/>
      <w:bookmarkStart w:id="282" w:name="_Toc184314432"/>
      <w:bookmarkEnd w:id="282"/>
      <w:bookmarkStart w:id="283" w:name="_Toc184310343"/>
      <w:bookmarkEnd w:id="283"/>
      <w:bookmarkStart w:id="284" w:name="_Toc184312104"/>
      <w:bookmarkEnd w:id="284"/>
      <w:bookmarkStart w:id="285" w:name="_Toc184310296"/>
      <w:bookmarkEnd w:id="285"/>
      <w:bookmarkStart w:id="286" w:name="_Toc184313274"/>
      <w:bookmarkEnd w:id="286"/>
      <w:bookmarkStart w:id="287" w:name="_Toc184313307"/>
      <w:bookmarkEnd w:id="287"/>
      <w:bookmarkStart w:id="288" w:name="_Toc184310310"/>
      <w:bookmarkEnd w:id="288"/>
      <w:bookmarkStart w:id="289" w:name="_Toc184310297"/>
      <w:bookmarkEnd w:id="289"/>
      <w:bookmarkStart w:id="290" w:name="_Toc184313297"/>
      <w:bookmarkEnd w:id="290"/>
      <w:bookmarkStart w:id="291" w:name="_Toc184310299"/>
      <w:bookmarkEnd w:id="291"/>
      <w:bookmarkStart w:id="292" w:name="_Toc184314475"/>
      <w:bookmarkEnd w:id="292"/>
      <w:bookmarkStart w:id="293" w:name="_Toc184313242"/>
      <w:bookmarkEnd w:id="293"/>
      <w:bookmarkStart w:id="294" w:name="_Toc184310321"/>
      <w:bookmarkEnd w:id="294"/>
      <w:bookmarkStart w:id="295" w:name="_Toc184313291"/>
      <w:bookmarkEnd w:id="295"/>
      <w:bookmarkStart w:id="296" w:name="_Toc184314437"/>
      <w:bookmarkEnd w:id="296"/>
      <w:bookmarkStart w:id="297" w:name="_Toc184308062"/>
      <w:bookmarkEnd w:id="297"/>
      <w:bookmarkStart w:id="298" w:name="_Toc184313296"/>
      <w:bookmarkEnd w:id="298"/>
      <w:bookmarkStart w:id="299" w:name="_Toc184308088"/>
      <w:bookmarkEnd w:id="299"/>
      <w:bookmarkStart w:id="300" w:name="_Toc184313283"/>
      <w:bookmarkEnd w:id="300"/>
      <w:bookmarkStart w:id="301" w:name="_Toc184314482"/>
      <w:bookmarkEnd w:id="301"/>
      <w:bookmarkStart w:id="302" w:name="_Toc184310286"/>
      <w:bookmarkEnd w:id="302"/>
      <w:bookmarkStart w:id="303" w:name="_Toc184312067"/>
      <w:bookmarkEnd w:id="303"/>
      <w:bookmarkStart w:id="304" w:name="_Toc184312100"/>
      <w:bookmarkEnd w:id="304"/>
      <w:bookmarkStart w:id="305" w:name="_Toc184314464"/>
      <w:bookmarkEnd w:id="305"/>
      <w:bookmarkStart w:id="306" w:name="_Toc184313290"/>
      <w:bookmarkEnd w:id="306"/>
      <w:bookmarkStart w:id="307" w:name="_Toc184312080"/>
      <w:bookmarkEnd w:id="307"/>
      <w:bookmarkStart w:id="308" w:name="_Toc184312131"/>
      <w:bookmarkEnd w:id="308"/>
      <w:bookmarkStart w:id="309" w:name="_Toc184308097"/>
      <w:bookmarkEnd w:id="309"/>
      <w:bookmarkStart w:id="310" w:name="_Toc184312123"/>
      <w:bookmarkEnd w:id="310"/>
      <w:bookmarkStart w:id="311" w:name="_Toc184308094"/>
      <w:bookmarkEnd w:id="311"/>
      <w:bookmarkStart w:id="312" w:name="_Toc184310278"/>
      <w:bookmarkEnd w:id="312"/>
      <w:bookmarkStart w:id="313" w:name="_Toc184314455"/>
      <w:bookmarkEnd w:id="313"/>
      <w:bookmarkStart w:id="314" w:name="_Toc184313240"/>
      <w:bookmarkEnd w:id="314"/>
      <w:bookmarkStart w:id="315" w:name="_Toc184314469"/>
      <w:bookmarkEnd w:id="315"/>
      <w:bookmarkStart w:id="316" w:name="_Toc184312074"/>
      <w:bookmarkEnd w:id="316"/>
      <w:bookmarkStart w:id="317" w:name="_Toc184308044"/>
      <w:bookmarkEnd w:id="317"/>
      <w:bookmarkStart w:id="318" w:name="_Toc184308070"/>
      <w:bookmarkEnd w:id="318"/>
      <w:bookmarkStart w:id="319" w:name="_Toc184313278"/>
      <w:bookmarkEnd w:id="319"/>
      <w:bookmarkStart w:id="320" w:name="_Toc184313299"/>
      <w:bookmarkEnd w:id="320"/>
      <w:bookmarkStart w:id="321" w:name="_Toc184308079"/>
      <w:bookmarkEnd w:id="321"/>
      <w:bookmarkStart w:id="322" w:name="_Toc184310282"/>
      <w:bookmarkEnd w:id="322"/>
      <w:bookmarkStart w:id="323" w:name="_Toc184314446"/>
      <w:bookmarkEnd w:id="323"/>
      <w:bookmarkStart w:id="324" w:name="_Toc184310302"/>
      <w:bookmarkEnd w:id="324"/>
      <w:bookmarkStart w:id="325" w:name="_Toc184312083"/>
      <w:bookmarkEnd w:id="325"/>
      <w:bookmarkStart w:id="326" w:name="_Toc184312098"/>
      <w:bookmarkEnd w:id="326"/>
      <w:bookmarkStart w:id="327" w:name="_Toc184313272"/>
      <w:bookmarkEnd w:id="327"/>
      <w:bookmarkStart w:id="328" w:name="_Toc184308063"/>
      <w:bookmarkEnd w:id="328"/>
      <w:bookmarkStart w:id="329" w:name="_Toc184308095"/>
      <w:bookmarkEnd w:id="329"/>
      <w:bookmarkStart w:id="330" w:name="_Toc184308040"/>
      <w:bookmarkEnd w:id="330"/>
      <w:bookmarkStart w:id="331" w:name="_Toc184314415"/>
      <w:bookmarkEnd w:id="331"/>
      <w:bookmarkStart w:id="332" w:name="_Toc184312079"/>
      <w:bookmarkEnd w:id="332"/>
      <w:bookmarkStart w:id="333" w:name="_Toc184310341"/>
      <w:bookmarkEnd w:id="333"/>
      <w:bookmarkStart w:id="334" w:name="_Toc184310332"/>
      <w:bookmarkEnd w:id="334"/>
      <w:bookmarkStart w:id="335" w:name="_Toc184308055"/>
      <w:bookmarkEnd w:id="335"/>
      <w:bookmarkStart w:id="336" w:name="_Toc184308087"/>
      <w:bookmarkEnd w:id="336"/>
      <w:bookmarkStart w:id="337" w:name="_Toc184313309"/>
      <w:bookmarkEnd w:id="337"/>
      <w:bookmarkStart w:id="338" w:name="_Toc184312094"/>
      <w:bookmarkEnd w:id="338"/>
      <w:bookmarkStart w:id="339" w:name="_Toc184308086"/>
      <w:bookmarkEnd w:id="339"/>
      <w:bookmarkStart w:id="340" w:name="_Toc184314420"/>
      <w:bookmarkEnd w:id="340"/>
      <w:bookmarkStart w:id="341" w:name="_Toc184313256"/>
      <w:bookmarkEnd w:id="341"/>
      <w:bookmarkStart w:id="342" w:name="_Toc184308058"/>
      <w:bookmarkEnd w:id="342"/>
      <w:bookmarkStart w:id="343" w:name="_Toc184314412"/>
      <w:bookmarkEnd w:id="343"/>
      <w:bookmarkStart w:id="344" w:name="_Toc184308073"/>
      <w:bookmarkEnd w:id="344"/>
      <w:bookmarkStart w:id="345" w:name="_Toc184308071"/>
      <w:bookmarkEnd w:id="345"/>
      <w:bookmarkStart w:id="346" w:name="_Toc184312095"/>
      <w:bookmarkEnd w:id="346"/>
      <w:bookmarkStart w:id="347" w:name="_Toc184314468"/>
      <w:bookmarkEnd w:id="347"/>
      <w:bookmarkStart w:id="348" w:name="_Toc184308069"/>
      <w:bookmarkEnd w:id="348"/>
      <w:bookmarkStart w:id="349" w:name="_Toc184314431"/>
      <w:bookmarkEnd w:id="349"/>
      <w:bookmarkStart w:id="350" w:name="_Toc184314421"/>
      <w:bookmarkEnd w:id="350"/>
      <w:bookmarkStart w:id="351" w:name="_Toc184313288"/>
      <w:bookmarkEnd w:id="351"/>
      <w:bookmarkStart w:id="352" w:name="_Toc184312082"/>
      <w:bookmarkEnd w:id="352"/>
      <w:bookmarkStart w:id="353" w:name="_Toc184314433"/>
      <w:bookmarkEnd w:id="353"/>
      <w:bookmarkStart w:id="354" w:name="_Toc184310287"/>
      <w:bookmarkEnd w:id="354"/>
      <w:bookmarkStart w:id="355" w:name="_Toc184313249"/>
      <w:bookmarkEnd w:id="355"/>
      <w:bookmarkStart w:id="356" w:name="_Toc184314427"/>
      <w:bookmarkEnd w:id="356"/>
      <w:bookmarkStart w:id="357" w:name="_Toc184314411"/>
      <w:bookmarkEnd w:id="357"/>
      <w:bookmarkStart w:id="358" w:name="_Toc184310327"/>
      <w:bookmarkEnd w:id="358"/>
      <w:bookmarkStart w:id="359" w:name="_Toc184310309"/>
      <w:bookmarkEnd w:id="359"/>
      <w:bookmarkStart w:id="360" w:name="_Toc184314410"/>
      <w:bookmarkEnd w:id="360"/>
      <w:bookmarkStart w:id="361" w:name="_Toc184308076"/>
      <w:bookmarkEnd w:id="361"/>
      <w:bookmarkStart w:id="362" w:name="_Toc184314439"/>
      <w:bookmarkEnd w:id="362"/>
      <w:bookmarkStart w:id="363" w:name="_Toc184312090"/>
      <w:bookmarkEnd w:id="363"/>
      <w:bookmarkStart w:id="364" w:name="_Toc184310277"/>
      <w:bookmarkEnd w:id="364"/>
      <w:bookmarkStart w:id="365" w:name="_Toc184313261"/>
      <w:bookmarkEnd w:id="365"/>
      <w:bookmarkStart w:id="366" w:name="_Toc184310329"/>
      <w:bookmarkEnd w:id="366"/>
      <w:bookmarkStart w:id="367" w:name="_Toc184310344"/>
      <w:bookmarkEnd w:id="367"/>
      <w:bookmarkStart w:id="368" w:name="_Toc184312089"/>
      <w:bookmarkEnd w:id="368"/>
      <w:bookmarkStart w:id="369" w:name="_Toc184314434"/>
      <w:bookmarkEnd w:id="369"/>
      <w:bookmarkStart w:id="370" w:name="_Toc184308067"/>
      <w:bookmarkEnd w:id="370"/>
      <w:bookmarkStart w:id="371" w:name="_Toc184314460"/>
      <w:bookmarkEnd w:id="371"/>
      <w:bookmarkStart w:id="372" w:name="_Toc184314459"/>
      <w:bookmarkEnd w:id="372"/>
      <w:bookmarkStart w:id="373" w:name="_Toc184312133"/>
      <w:bookmarkEnd w:id="373"/>
      <w:bookmarkStart w:id="374" w:name="_Toc184310328"/>
      <w:bookmarkEnd w:id="374"/>
      <w:bookmarkStart w:id="375" w:name="_Toc184308093"/>
      <w:bookmarkEnd w:id="375"/>
      <w:bookmarkStart w:id="376" w:name="_Toc184310272"/>
      <w:bookmarkEnd w:id="376"/>
      <w:bookmarkStart w:id="377" w:name="_Toc184314450"/>
      <w:bookmarkEnd w:id="377"/>
      <w:bookmarkStart w:id="378" w:name="_Toc184314476"/>
      <w:bookmarkEnd w:id="378"/>
      <w:bookmarkStart w:id="379" w:name="_Toc184313292"/>
      <w:bookmarkEnd w:id="379"/>
      <w:bookmarkStart w:id="380" w:name="_Toc184313270"/>
      <w:bookmarkEnd w:id="380"/>
      <w:bookmarkStart w:id="381" w:name="_Toc184314480"/>
      <w:bookmarkEnd w:id="381"/>
      <w:bookmarkStart w:id="382" w:name="_Toc184308083"/>
      <w:bookmarkEnd w:id="382"/>
      <w:bookmarkStart w:id="383" w:name="_Toc184312127"/>
      <w:bookmarkEnd w:id="383"/>
      <w:bookmarkStart w:id="384" w:name="_Toc184312107"/>
      <w:bookmarkEnd w:id="384"/>
      <w:bookmarkStart w:id="385" w:name="_Toc184313251"/>
      <w:bookmarkEnd w:id="385"/>
      <w:bookmarkStart w:id="386" w:name="_Toc184314448"/>
      <w:bookmarkEnd w:id="386"/>
      <w:bookmarkStart w:id="387" w:name="_Toc184310280"/>
      <w:bookmarkEnd w:id="387"/>
      <w:bookmarkStart w:id="388" w:name="_Toc184314472"/>
      <w:bookmarkEnd w:id="388"/>
      <w:bookmarkStart w:id="389" w:name="_Toc184308090"/>
      <w:bookmarkEnd w:id="389"/>
      <w:bookmarkStart w:id="390" w:name="_Toc184310283"/>
      <w:bookmarkEnd w:id="390"/>
      <w:bookmarkStart w:id="391" w:name="_Toc184313287"/>
      <w:bookmarkEnd w:id="391"/>
      <w:bookmarkStart w:id="392" w:name="_Toc184308052"/>
      <w:bookmarkEnd w:id="392"/>
      <w:bookmarkStart w:id="393" w:name="_Toc184314461"/>
      <w:bookmarkEnd w:id="393"/>
      <w:r>
        <w:rPr>
          <w:rFonts w:hint="eastAsia" w:ascii="宋体" w:hAnsi="宋体" w:cs="宋体"/>
          <w:b/>
          <w:color w:val="auto"/>
          <w:sz w:val="36"/>
          <w:szCs w:val="36"/>
          <w:highlight w:val="none"/>
        </w:rPr>
        <w:t>评标办法</w:t>
      </w:r>
    </w:p>
    <w:p w14:paraId="39778A0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488"/>
        <w:gridCol w:w="665"/>
        <w:gridCol w:w="829"/>
        <w:gridCol w:w="1423"/>
      </w:tblGrid>
      <w:tr w14:paraId="6F4A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ABE20B5">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5488" w:type="dxa"/>
            <w:noWrap w:val="0"/>
            <w:vAlign w:val="center"/>
          </w:tcPr>
          <w:p w14:paraId="4DEC91B2">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665" w:type="dxa"/>
            <w:noWrap w:val="0"/>
            <w:vAlign w:val="center"/>
          </w:tcPr>
          <w:p w14:paraId="3B265A30">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最高分值</w:t>
            </w:r>
          </w:p>
        </w:tc>
        <w:tc>
          <w:tcPr>
            <w:tcW w:w="829" w:type="dxa"/>
            <w:noWrap w:val="0"/>
            <w:vAlign w:val="center"/>
          </w:tcPr>
          <w:p w14:paraId="03800EC4">
            <w:pPr>
              <w:shd w:val="clear" w:color="auto" w:fill="auto"/>
              <w:snapToGrid w:val="0"/>
              <w:spacing w:line="36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423" w:type="dxa"/>
            <w:noWrap w:val="0"/>
            <w:vAlign w:val="top"/>
          </w:tcPr>
          <w:p w14:paraId="189E77A8">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14:paraId="2C4A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16C7065">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eastAsia="zh-CN"/>
              </w:rPr>
              <w:t xml:space="preserve"> </w:t>
            </w:r>
            <w:r>
              <w:rPr>
                <w:rFonts w:hint="eastAsia" w:ascii="宋体" w:hAnsi="宋体" w:cs="仿宋_GB2312"/>
                <w:color w:val="auto"/>
                <w:sz w:val="24"/>
                <w:highlight w:val="none"/>
              </w:rPr>
              <w:t>1</w:t>
            </w:r>
          </w:p>
        </w:tc>
        <w:tc>
          <w:tcPr>
            <w:tcW w:w="5488" w:type="dxa"/>
            <w:noWrap w:val="0"/>
            <w:vAlign w:val="top"/>
          </w:tcPr>
          <w:p w14:paraId="55158DF3">
            <w:pPr>
              <w:shd w:val="clear" w:color="auto" w:fill="auto"/>
              <w:snapToGrid w:val="0"/>
              <w:spacing w:line="360" w:lineRule="auto"/>
              <w:jc w:val="left"/>
              <w:rPr>
                <w:rFonts w:hint="default" w:ascii="宋体" w:hAnsi="宋体" w:cs="仿宋_GB2312"/>
                <w:color w:val="auto"/>
                <w:sz w:val="24"/>
                <w:highlight w:val="none"/>
                <w:woUserID w:val="1"/>
              </w:rPr>
            </w:pPr>
            <w:r>
              <w:rPr>
                <w:rFonts w:hint="eastAsia" w:ascii="宋体" w:hAnsi="宋体" w:cs="宋体"/>
                <w:color w:val="auto"/>
                <w:sz w:val="24"/>
                <w:highlight w:val="none"/>
                <w:lang w:val="zh-CN"/>
              </w:rPr>
              <w:t>投标人获得质量管理体系认证证书（</w:t>
            </w:r>
            <w:r>
              <w:rPr>
                <w:rFonts w:hint="eastAsia" w:ascii="宋体" w:hAnsi="宋体" w:cs="宋体"/>
                <w:color w:val="auto"/>
                <w:sz w:val="24"/>
                <w:highlight w:val="none"/>
              </w:rPr>
              <w:t>9001</w:t>
            </w:r>
            <w:r>
              <w:rPr>
                <w:rFonts w:hint="eastAsia" w:ascii="宋体" w:hAnsi="宋体" w:cs="宋体"/>
                <w:color w:val="auto"/>
                <w:sz w:val="24"/>
                <w:highlight w:val="none"/>
                <w:lang w:val="zh-CN"/>
              </w:rPr>
              <w:t>）</w:t>
            </w:r>
            <w:r>
              <w:rPr>
                <w:rFonts w:hint="eastAsia" w:ascii="宋体" w:hAnsi="宋体" w:cs="宋体"/>
                <w:color w:val="auto"/>
                <w:sz w:val="24"/>
                <w:highlight w:val="none"/>
              </w:rPr>
              <w:t>、信息安全管理体系认证证书</w:t>
            </w:r>
            <w:r>
              <w:rPr>
                <w:rFonts w:hint="eastAsia" w:ascii="宋体" w:hAnsi="宋体" w:cs="宋体"/>
                <w:color w:val="auto"/>
                <w:sz w:val="24"/>
                <w:highlight w:val="none"/>
                <w:lang w:val="zh-CN"/>
              </w:rPr>
              <w:t>（</w:t>
            </w:r>
            <w:r>
              <w:rPr>
                <w:rFonts w:hint="eastAsia" w:ascii="宋体" w:hAnsi="宋体" w:cs="宋体"/>
                <w:color w:val="auto"/>
                <w:sz w:val="24"/>
                <w:highlight w:val="none"/>
              </w:rPr>
              <w:t>27001</w:t>
            </w:r>
            <w:r>
              <w:rPr>
                <w:rFonts w:hint="eastAsia" w:ascii="宋体" w:hAnsi="宋体" w:cs="宋体"/>
                <w:color w:val="auto"/>
                <w:sz w:val="24"/>
                <w:highlight w:val="none"/>
                <w:lang w:val="zh-CN"/>
              </w:rPr>
              <w:t>）、信息技术服务管理体系认证证书（</w:t>
            </w:r>
            <w:r>
              <w:rPr>
                <w:rFonts w:hint="eastAsia" w:ascii="宋体" w:hAnsi="宋体" w:cs="宋体"/>
                <w:color w:val="auto"/>
                <w:sz w:val="24"/>
                <w:highlight w:val="none"/>
                <w:lang w:val="en-US" w:eastAsia="zh-CN"/>
              </w:rPr>
              <w:t>20000</w:t>
            </w:r>
            <w:r>
              <w:rPr>
                <w:rFonts w:hint="eastAsia" w:ascii="宋体" w:hAnsi="宋体" w:cs="宋体"/>
                <w:color w:val="auto"/>
                <w:sz w:val="24"/>
                <w:highlight w:val="none"/>
                <w:lang w:val="zh-CN"/>
              </w:rPr>
              <w:t>），每个得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分。</w:t>
            </w:r>
            <w:r>
              <w:rPr>
                <w:rFonts w:hint="eastAsia" w:ascii="宋体" w:hAnsi="宋体" w:eastAsia="宋体" w:cs="宋体"/>
                <w:i w:val="0"/>
                <w:caps w:val="0"/>
                <w:color w:val="auto"/>
                <w:spacing w:val="0"/>
                <w:sz w:val="24"/>
                <w:szCs w:val="24"/>
                <w:highlight w:val="none"/>
                <w:shd w:val="clear" w:fill="auto"/>
                <w:lang w:val="zh-CN"/>
                <w:woUserID w:val="0"/>
              </w:rPr>
              <w:t>（同时提供证书原件扫描件和全国认证认可信息公共服务平台</w:t>
            </w:r>
            <w:r>
              <w:rPr>
                <w:rFonts w:hint="eastAsia" w:ascii="宋体" w:hAnsi="宋体" w:eastAsia="宋体" w:cs="宋体"/>
                <w:i w:val="0"/>
                <w:caps w:val="0"/>
                <w:color w:val="auto"/>
                <w:spacing w:val="0"/>
                <w:sz w:val="24"/>
                <w:szCs w:val="24"/>
                <w:highlight w:val="none"/>
                <w:u w:val="none"/>
                <w:shd w:val="clear" w:fill="auto"/>
                <w:lang w:val="zh-CN"/>
                <w:woUserID w:val="0"/>
              </w:rPr>
              <w:fldChar w:fldCharType="begin"/>
            </w:r>
            <w:r>
              <w:rPr>
                <w:rFonts w:hint="eastAsia" w:ascii="宋体" w:hAnsi="宋体" w:eastAsia="宋体" w:cs="宋体"/>
                <w:i w:val="0"/>
                <w:caps w:val="0"/>
                <w:color w:val="auto"/>
                <w:spacing w:val="0"/>
                <w:sz w:val="24"/>
                <w:szCs w:val="24"/>
                <w:highlight w:val="none"/>
                <w:u w:val="none"/>
                <w:shd w:val="clear" w:fill="auto"/>
                <w:lang w:val="zh-CN"/>
                <w:woUserID w:val="0"/>
              </w:rPr>
              <w:instrText xml:space="preserve"> HYPERLINK "http://cx.cnca.cn/CertECloud/result/skipResultList%E7%9A%84%E6%9F%A5%E8%AF%A2%E6%88%AA%E5%9B%BE" \t "/tmp/22699/wps-root/x/_blank" </w:instrText>
            </w:r>
            <w:r>
              <w:rPr>
                <w:rFonts w:hint="eastAsia" w:ascii="宋体" w:hAnsi="宋体" w:eastAsia="宋体" w:cs="宋体"/>
                <w:i w:val="0"/>
                <w:caps w:val="0"/>
                <w:color w:val="auto"/>
                <w:spacing w:val="0"/>
                <w:sz w:val="24"/>
                <w:szCs w:val="24"/>
                <w:highlight w:val="none"/>
                <w:u w:val="none"/>
                <w:shd w:val="clear" w:fill="auto"/>
                <w:lang w:val="zh-CN"/>
                <w:woUserID w:val="0"/>
              </w:rPr>
              <w:fldChar w:fldCharType="separate"/>
            </w:r>
            <w:r>
              <w:rPr>
                <w:rStyle w:val="69"/>
                <w:rFonts w:hint="eastAsia" w:ascii="宋体" w:hAnsi="宋体" w:eastAsia="宋体" w:cs="宋体"/>
                <w:i w:val="0"/>
                <w:caps w:val="0"/>
                <w:color w:val="auto"/>
                <w:spacing w:val="0"/>
                <w:sz w:val="24"/>
                <w:szCs w:val="24"/>
                <w:highlight w:val="none"/>
                <w:u w:val="none"/>
                <w:shd w:val="clear"/>
                <w:lang w:val="zh-CN"/>
                <w:woUserID w:val="0"/>
              </w:rPr>
              <w:t>http://cx.cnca.cn/CertECloud/result/skipResultList的查询截图</w:t>
            </w:r>
            <w:r>
              <w:rPr>
                <w:rFonts w:hint="eastAsia" w:ascii="宋体" w:hAnsi="宋体" w:eastAsia="宋体" w:cs="宋体"/>
                <w:i w:val="0"/>
                <w:caps w:val="0"/>
                <w:color w:val="auto"/>
                <w:spacing w:val="0"/>
                <w:sz w:val="24"/>
                <w:szCs w:val="24"/>
                <w:highlight w:val="none"/>
                <w:u w:val="none"/>
                <w:shd w:val="clear" w:fill="auto"/>
                <w:lang w:val="zh-CN"/>
                <w:woUserID w:val="0"/>
              </w:rPr>
              <w:fldChar w:fldCharType="end"/>
            </w:r>
            <w:r>
              <w:rPr>
                <w:rFonts w:hint="eastAsia" w:ascii="宋体" w:hAnsi="宋体" w:eastAsia="宋体" w:cs="宋体"/>
                <w:i w:val="0"/>
                <w:caps w:val="0"/>
                <w:color w:val="auto"/>
                <w:spacing w:val="0"/>
                <w:sz w:val="24"/>
                <w:szCs w:val="24"/>
                <w:highlight w:val="none"/>
                <w:shd w:val="clear" w:fill="auto"/>
                <w:lang w:val="zh-CN"/>
                <w:woUserID w:val="0"/>
              </w:rPr>
              <w:t>。）</w:t>
            </w:r>
          </w:p>
        </w:tc>
        <w:tc>
          <w:tcPr>
            <w:tcW w:w="665" w:type="dxa"/>
            <w:noWrap w:val="0"/>
            <w:vAlign w:val="center"/>
          </w:tcPr>
          <w:p w14:paraId="0A95A1BD">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829" w:type="dxa"/>
            <w:noWrap w:val="0"/>
            <w:vAlign w:val="center"/>
          </w:tcPr>
          <w:p w14:paraId="2BA5B960">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423" w:type="dxa"/>
            <w:noWrap w:val="0"/>
            <w:vAlign w:val="center"/>
          </w:tcPr>
          <w:p w14:paraId="4EF4D836">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（一）资信情况</w:t>
            </w:r>
          </w:p>
        </w:tc>
      </w:tr>
      <w:tr w14:paraId="0D41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AA0B06C">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5488" w:type="dxa"/>
            <w:noWrap w:val="0"/>
            <w:vAlign w:val="top"/>
          </w:tcPr>
          <w:p w14:paraId="25EB9AB3">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投标截止之日前三年内</w:t>
            </w:r>
            <w:r>
              <w:rPr>
                <w:rFonts w:hint="eastAsia" w:ascii="宋体" w:hAnsi="宋体" w:cs="宋体"/>
                <w:color w:val="auto"/>
                <w:sz w:val="24"/>
                <w:highlight w:val="none"/>
                <w:lang w:val="zh-CN"/>
              </w:rPr>
              <w:t>投标人具有类似软件开发类（含改造、升级）项目业绩</w:t>
            </w:r>
            <w:r>
              <w:rPr>
                <w:rFonts w:hint="eastAsia" w:ascii="宋体" w:hAnsi="宋体" w:cs="宋体"/>
                <w:color w:val="auto"/>
                <w:sz w:val="24"/>
                <w:highlight w:val="none"/>
              </w:rPr>
              <w:t>且项目验收通过（以验收报告时间为准）</w:t>
            </w:r>
            <w:r>
              <w:rPr>
                <w:rFonts w:hint="eastAsia" w:ascii="宋体" w:hAnsi="宋体" w:cs="宋体"/>
                <w:color w:val="auto"/>
                <w:sz w:val="24"/>
                <w:highlight w:val="none"/>
                <w:lang w:val="zh-CN"/>
              </w:rPr>
              <w:t>，每个</w:t>
            </w:r>
            <w:r>
              <w:rPr>
                <w:rFonts w:hint="eastAsia" w:ascii="宋体" w:hAnsi="宋体" w:cs="宋体"/>
                <w:color w:val="auto"/>
                <w:sz w:val="24"/>
                <w:highlight w:val="none"/>
                <w:lang w:val="en-US" w:eastAsia="zh-CN"/>
              </w:rPr>
              <w:t>0.5</w:t>
            </w:r>
            <w:r>
              <w:rPr>
                <w:rFonts w:hint="eastAsia" w:ascii="宋体" w:hAnsi="宋体" w:cs="宋体"/>
                <w:color w:val="auto"/>
                <w:sz w:val="24"/>
                <w:highlight w:val="none"/>
                <w:lang w:val="zh-CN"/>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w:t>
            </w:r>
          </w:p>
          <w:p w14:paraId="320C55F9">
            <w:pPr>
              <w:shd w:val="clear" w:color="auto" w:fill="auto"/>
              <w:snapToGrid w:val="0"/>
              <w:spacing w:line="360" w:lineRule="auto"/>
              <w:jc w:val="left"/>
              <w:rPr>
                <w:rFonts w:ascii="宋体" w:hAnsi="宋体" w:cs="仿宋_GB2312"/>
                <w:color w:val="auto"/>
                <w:sz w:val="24"/>
                <w:highlight w:val="none"/>
              </w:rPr>
            </w:pPr>
            <w:r>
              <w:rPr>
                <w:rFonts w:hint="eastAsia" w:ascii="宋体" w:hAnsi="宋体" w:cs="宋体"/>
                <w:color w:val="auto"/>
                <w:sz w:val="24"/>
                <w:highlight w:val="none"/>
                <w:lang w:val="zh-CN"/>
              </w:rPr>
              <w:t>提供合同关键页扫描件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用户验收报告，</w:t>
            </w:r>
            <w:r>
              <w:rPr>
                <w:rFonts w:hint="eastAsia" w:ascii="宋体" w:hAnsi="宋体" w:cs="宋体"/>
                <w:color w:val="auto"/>
                <w:sz w:val="24"/>
                <w:highlight w:val="none"/>
                <w:lang w:val="zh-CN"/>
              </w:rPr>
              <w:t>原件备查。未按要求提供或提供不清晰导致专家无法判断的不得分。</w:t>
            </w:r>
          </w:p>
        </w:tc>
        <w:tc>
          <w:tcPr>
            <w:tcW w:w="665" w:type="dxa"/>
            <w:noWrap w:val="0"/>
            <w:vAlign w:val="center"/>
          </w:tcPr>
          <w:p w14:paraId="34BE28D8">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829" w:type="dxa"/>
            <w:noWrap w:val="0"/>
            <w:vAlign w:val="center"/>
          </w:tcPr>
          <w:p w14:paraId="6271257F">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423" w:type="dxa"/>
            <w:noWrap w:val="0"/>
            <w:vAlign w:val="center"/>
          </w:tcPr>
          <w:p w14:paraId="7F36A3FC">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（二）业绩情况</w:t>
            </w:r>
          </w:p>
        </w:tc>
      </w:tr>
      <w:tr w14:paraId="162B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noWrap w:val="0"/>
            <w:vAlign w:val="center"/>
          </w:tcPr>
          <w:p w14:paraId="1E8F67AF">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5488" w:type="dxa"/>
            <w:noWrap w:val="0"/>
            <w:vAlign w:val="top"/>
          </w:tcPr>
          <w:p w14:paraId="58F048F5">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 投标方案总体设计、系统构架等情况，投标方案与需求的吻合程度，实现思路和关键技术的理解；方案科学、可行、安全严密、方案设计考虑扩展性，具有一定的前瞻性，有独到的优势。完全符合采购人要求</w:t>
            </w:r>
            <w:r>
              <w:rPr>
                <w:rFonts w:hint="eastAsia" w:ascii="宋体" w:hAnsi="宋体" w:cs="宋体"/>
                <w:color w:val="auto"/>
                <w:sz w:val="24"/>
                <w:highlight w:val="none"/>
              </w:rPr>
              <w:t>得</w:t>
            </w:r>
            <w:r>
              <w:rPr>
                <w:rFonts w:hint="default" w:ascii="宋体" w:hAnsi="宋体" w:cs="宋体"/>
                <w:color w:val="auto"/>
                <w:sz w:val="24"/>
                <w:highlight w:val="none"/>
                <w:woUserID w:val="1"/>
              </w:rPr>
              <w:t>5</w:t>
            </w:r>
            <w:r>
              <w:rPr>
                <w:rFonts w:hint="eastAsia" w:ascii="宋体" w:hAnsi="宋体" w:cs="宋体"/>
                <w:color w:val="auto"/>
                <w:sz w:val="24"/>
                <w:highlight w:val="none"/>
              </w:rPr>
              <w:t>分，部分符合得</w:t>
            </w:r>
            <w:r>
              <w:rPr>
                <w:rFonts w:hint="default" w:ascii="宋体" w:hAnsi="宋体" w:cs="宋体"/>
                <w:color w:val="auto"/>
                <w:sz w:val="24"/>
                <w:highlight w:val="none"/>
                <w:woUserID w:val="1"/>
              </w:rPr>
              <w:t>3</w:t>
            </w:r>
            <w:r>
              <w:rPr>
                <w:rFonts w:hint="eastAsia" w:ascii="宋体" w:hAnsi="宋体" w:cs="宋体"/>
                <w:color w:val="auto"/>
                <w:sz w:val="24"/>
                <w:highlight w:val="none"/>
              </w:rPr>
              <w:t>分，不符合不得分（</w:t>
            </w:r>
            <w:r>
              <w:rPr>
                <w:rFonts w:hint="default" w:ascii="宋体" w:hAnsi="宋体" w:cs="宋体"/>
                <w:color w:val="auto"/>
                <w:sz w:val="24"/>
                <w:highlight w:val="none"/>
                <w:woUserID w:val="1"/>
              </w:rPr>
              <w:t>5</w:t>
            </w:r>
            <w:r>
              <w:rPr>
                <w:rFonts w:hint="eastAsia" w:ascii="宋体" w:hAnsi="宋体" w:cs="宋体"/>
                <w:color w:val="auto"/>
                <w:sz w:val="24"/>
                <w:highlight w:val="none"/>
              </w:rPr>
              <w:t>分）</w:t>
            </w:r>
            <w:r>
              <w:rPr>
                <w:rFonts w:hint="eastAsia" w:ascii="宋体" w:hAnsi="宋体" w:cs="宋体"/>
                <w:color w:val="auto"/>
                <w:sz w:val="24"/>
                <w:highlight w:val="none"/>
                <w:lang w:val="zh-CN"/>
              </w:rPr>
              <w:t>；</w:t>
            </w:r>
          </w:p>
          <w:p w14:paraId="4531A158">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 投标方案</w:t>
            </w:r>
            <w:r>
              <w:rPr>
                <w:rFonts w:hint="eastAsia" w:ascii="宋体" w:hAnsi="宋体" w:cs="宋体"/>
                <w:color w:val="auto"/>
                <w:sz w:val="24"/>
                <w:highlight w:val="none"/>
              </w:rPr>
              <w:t>中是否体现</w:t>
            </w:r>
            <w:r>
              <w:rPr>
                <w:rFonts w:hint="eastAsia" w:ascii="宋体" w:hAnsi="宋体" w:cs="宋体"/>
                <w:color w:val="auto"/>
                <w:sz w:val="24"/>
                <w:highlight w:val="none"/>
                <w:lang w:val="zh-CN"/>
              </w:rPr>
              <w:t>系统的兼容</w:t>
            </w:r>
            <w:r>
              <w:rPr>
                <w:rFonts w:hint="eastAsia" w:ascii="宋体" w:hAnsi="宋体" w:cs="宋体"/>
                <w:color w:val="auto"/>
                <w:sz w:val="24"/>
                <w:highlight w:val="none"/>
              </w:rPr>
              <w:t>性，包括系统部署是否具备高兼容性和高可用性</w:t>
            </w:r>
            <w:r>
              <w:rPr>
                <w:rFonts w:hint="eastAsia" w:ascii="宋体" w:hAnsi="宋体" w:cs="宋体"/>
                <w:color w:val="auto"/>
                <w:sz w:val="24"/>
                <w:highlight w:val="none"/>
                <w:lang w:val="zh-CN"/>
              </w:rPr>
              <w:t>；完全兼容得</w:t>
            </w:r>
            <w:r>
              <w:rPr>
                <w:rFonts w:hint="default" w:ascii="宋体" w:hAnsi="宋体" w:cs="宋体"/>
                <w:color w:val="auto"/>
                <w:sz w:val="24"/>
                <w:highlight w:val="none"/>
                <w:woUserID w:val="1"/>
              </w:rPr>
              <w:t>5</w:t>
            </w:r>
            <w:r>
              <w:rPr>
                <w:rFonts w:hint="eastAsia" w:ascii="宋体" w:hAnsi="宋体" w:cs="宋体"/>
                <w:color w:val="auto"/>
                <w:sz w:val="24"/>
                <w:highlight w:val="none"/>
                <w:lang w:val="zh-CN"/>
              </w:rPr>
              <w:t>分，部分兼容得3分，不兼容不得分（</w:t>
            </w:r>
            <w:r>
              <w:rPr>
                <w:rFonts w:hint="default" w:ascii="宋体" w:hAnsi="宋体" w:cs="宋体"/>
                <w:color w:val="auto"/>
                <w:sz w:val="24"/>
                <w:highlight w:val="none"/>
                <w:woUserID w:val="1"/>
              </w:rPr>
              <w:t>5</w:t>
            </w:r>
            <w:r>
              <w:rPr>
                <w:rFonts w:hint="eastAsia" w:ascii="宋体" w:hAnsi="宋体" w:cs="宋体"/>
                <w:color w:val="auto"/>
                <w:sz w:val="24"/>
                <w:highlight w:val="none"/>
                <w:lang w:val="zh-CN"/>
              </w:rPr>
              <w:t>分）；</w:t>
            </w:r>
          </w:p>
          <w:p w14:paraId="3958B7E5">
            <w:pPr>
              <w:shd w:val="clear" w:color="auto" w:fill="auto"/>
              <w:snapToGrid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highlight w:val="none"/>
                <w:lang w:val="zh-CN"/>
              </w:rPr>
              <w:t>● 项目建设思路、原则、特点、技术要求的理解情况，包括：①结合本次项目建设所采取的技术措施合理有效；②投标方案在确保阶段性任务实现的同时，统筹考虑了总体目标的实现。每一项符合采购人要求得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分，部分符合得1分，不符合不得分。共</w:t>
            </w:r>
            <w:r>
              <w:rPr>
                <w:rFonts w:hint="eastAsia" w:ascii="宋体" w:hAnsi="宋体" w:cs="宋体"/>
                <w:color w:val="auto"/>
                <w:sz w:val="24"/>
                <w:highlight w:val="none"/>
                <w:lang w:val="en-US" w:eastAsia="zh-CN"/>
              </w:rPr>
              <w:t>4</w:t>
            </w:r>
            <w:r>
              <w:rPr>
                <w:rFonts w:ascii="宋体" w:hAnsi="宋体" w:cs="宋体"/>
                <w:color w:val="auto"/>
                <w:sz w:val="24"/>
                <w:highlight w:val="none"/>
                <w:lang w:val="zh-CN"/>
              </w:rPr>
              <w:t>分</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分）；</w:t>
            </w:r>
          </w:p>
          <w:p w14:paraId="34FFEBA7">
            <w:pPr>
              <w:shd w:val="clear" w:color="auto" w:fill="auto"/>
              <w:snapToGrid/>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●投标人在理解采购人原有系统平台基础上，①进行系统</w:t>
            </w:r>
            <w:r>
              <w:rPr>
                <w:rFonts w:hint="eastAsia" w:ascii="宋体" w:hAnsi="宋体" w:cs="宋体"/>
                <w:color w:val="auto"/>
                <w:sz w:val="24"/>
                <w:szCs w:val="24"/>
                <w:highlight w:val="none"/>
              </w:rPr>
              <w:t>功能完善</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优化</w:t>
            </w:r>
            <w:r>
              <w:rPr>
                <w:rFonts w:hint="eastAsia" w:ascii="宋体" w:hAnsi="宋体" w:cs="宋体"/>
                <w:color w:val="auto"/>
                <w:sz w:val="24"/>
                <w:szCs w:val="24"/>
                <w:highlight w:val="none"/>
                <w:lang w:val="zh-CN"/>
              </w:rPr>
              <w:t>现有数据库的各类交易数据，②实现现有全部业务功能，保证数据的完整和准确</w:t>
            </w:r>
            <w:r>
              <w:rPr>
                <w:rFonts w:hint="eastAsia" w:cs="宋体"/>
                <w:color w:val="auto"/>
                <w:sz w:val="24"/>
                <w:szCs w:val="24"/>
                <w:highlight w:val="none"/>
                <w:lang w:val="zh-CN"/>
              </w:rPr>
              <w:t>，</w:t>
            </w:r>
            <w:r>
              <w:rPr>
                <w:rFonts w:hint="eastAsia" w:cs="宋体"/>
                <w:color w:val="auto"/>
                <w:sz w:val="24"/>
                <w:szCs w:val="24"/>
                <w:highlight w:val="none"/>
                <w:lang w:val="en-US" w:eastAsia="zh-CN"/>
              </w:rPr>
              <w:t>③</w:t>
            </w:r>
            <w:r>
              <w:rPr>
                <w:rFonts w:hint="eastAsia" w:ascii="宋体" w:hAnsi="宋体" w:eastAsia="宋体" w:cs="宋体"/>
                <w:color w:val="auto"/>
                <w:kern w:val="0"/>
                <w:sz w:val="24"/>
                <w:szCs w:val="24"/>
                <w:highlight w:val="none"/>
                <w:lang w:val="en-US"/>
              </w:rPr>
              <w:t>结合政务应用一体化平台总体框架</w:t>
            </w:r>
            <w:r>
              <w:rPr>
                <w:rFonts w:hint="eastAsia" w:cs="宋体"/>
                <w:color w:val="auto"/>
                <w:kern w:val="0"/>
                <w:sz w:val="24"/>
                <w:szCs w:val="24"/>
                <w:highlight w:val="none"/>
                <w:lang w:val="en-US" w:eastAsia="zh-CN"/>
              </w:rPr>
              <w:t>，兼容原有系统平台</w:t>
            </w:r>
            <w:r>
              <w:rPr>
                <w:rFonts w:hint="eastAsia" w:cs="宋体"/>
                <w:color w:val="auto"/>
                <w:sz w:val="24"/>
                <w:szCs w:val="24"/>
                <w:highlight w:val="none"/>
                <w:lang w:val="en-US" w:eastAsia="zh-CN"/>
              </w:rPr>
              <w:t>。</w:t>
            </w:r>
            <w:r>
              <w:rPr>
                <w:rFonts w:hint="eastAsia" w:ascii="宋体" w:hAnsi="宋体" w:cs="宋体"/>
                <w:color w:val="auto"/>
                <w:sz w:val="24"/>
                <w:szCs w:val="24"/>
                <w:highlight w:val="none"/>
                <w:lang w:val="zh-CN"/>
              </w:rPr>
              <w:t>每一项完全符合采购人要求</w:t>
            </w:r>
            <w:r>
              <w:rPr>
                <w:rFonts w:hint="eastAsia" w:ascii="宋体" w:hAnsi="宋体" w:cs="宋体"/>
                <w:color w:val="auto"/>
                <w:sz w:val="24"/>
                <w:szCs w:val="24"/>
                <w:highlight w:val="none"/>
              </w:rPr>
              <w:t>得</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分，部分符合得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分，不符合不得分</w:t>
            </w:r>
            <w:r>
              <w:rPr>
                <w:rFonts w:hint="eastAsia" w:ascii="宋体" w:hAnsi="宋体" w:cs="宋体"/>
                <w:color w:val="auto"/>
                <w:sz w:val="24"/>
                <w:szCs w:val="24"/>
                <w:highlight w:val="none"/>
                <w:lang w:val="zh-CN"/>
              </w:rPr>
              <w:t>。共</w:t>
            </w:r>
            <w:r>
              <w:rPr>
                <w:rFonts w:hint="eastAsia" w:cs="宋体"/>
                <w:color w:val="auto"/>
                <w:sz w:val="24"/>
                <w:szCs w:val="24"/>
                <w:highlight w:val="none"/>
                <w:lang w:val="en-US" w:eastAsia="zh-CN"/>
              </w:rPr>
              <w:t>6</w:t>
            </w:r>
            <w:r>
              <w:rPr>
                <w:rFonts w:ascii="宋体" w:hAnsi="宋体" w:cs="宋体"/>
                <w:color w:val="auto"/>
                <w:sz w:val="24"/>
                <w:szCs w:val="24"/>
                <w:highlight w:val="none"/>
                <w:lang w:val="zh-CN"/>
              </w:rPr>
              <w:t>分。</w:t>
            </w:r>
            <w:r>
              <w:rPr>
                <w:rFonts w:hint="eastAsia" w:ascii="宋体" w:hAnsi="宋体" w:cs="宋体"/>
                <w:color w:val="auto"/>
                <w:sz w:val="24"/>
                <w:szCs w:val="24"/>
                <w:highlight w:val="none"/>
                <w:lang w:val="zh-CN"/>
              </w:rPr>
              <w:t>提供方案说明等证明材料，</w:t>
            </w:r>
            <w:r>
              <w:rPr>
                <w:rFonts w:hint="eastAsia" w:ascii="宋体" w:hAnsi="宋体" w:cs="宋体"/>
                <w:color w:val="auto"/>
                <w:sz w:val="24"/>
                <w:szCs w:val="24"/>
                <w:highlight w:val="none"/>
                <w:lang w:val="en-US" w:eastAsia="zh-CN"/>
              </w:rPr>
              <w:t>不提供不得分</w:t>
            </w:r>
            <w:r>
              <w:rPr>
                <w:rFonts w:hint="eastAsia" w:ascii="宋体" w:hAnsi="宋体" w:cs="宋体"/>
                <w:color w:val="auto"/>
                <w:sz w:val="24"/>
                <w:szCs w:val="24"/>
                <w:highlight w:val="none"/>
                <w:lang w:val="zh-CN"/>
              </w:rPr>
              <w:t>（</w:t>
            </w:r>
            <w:r>
              <w:rPr>
                <w:rFonts w:hint="eastAsia" w:cs="宋体"/>
                <w:color w:val="auto"/>
                <w:sz w:val="24"/>
                <w:szCs w:val="24"/>
                <w:highlight w:val="none"/>
                <w:lang w:val="en-US" w:eastAsia="zh-CN"/>
              </w:rPr>
              <w:t>6</w:t>
            </w:r>
            <w:r>
              <w:rPr>
                <w:rFonts w:ascii="宋体" w:hAnsi="宋体" w:cs="宋体"/>
                <w:color w:val="auto"/>
                <w:sz w:val="24"/>
                <w:szCs w:val="24"/>
                <w:highlight w:val="none"/>
                <w:lang w:val="zh-CN"/>
              </w:rPr>
              <w:t>分）</w:t>
            </w:r>
            <w:r>
              <w:rPr>
                <w:rFonts w:hint="eastAsia" w:ascii="宋体" w:hAnsi="宋体" w:cs="宋体"/>
                <w:color w:val="auto"/>
                <w:sz w:val="24"/>
                <w:szCs w:val="24"/>
                <w:highlight w:val="none"/>
                <w:lang w:val="zh-CN"/>
              </w:rPr>
              <w:t>。</w:t>
            </w:r>
          </w:p>
          <w:p w14:paraId="54C2FB26">
            <w:pPr>
              <w:rPr>
                <w:rFonts w:ascii="宋体" w:hAnsi="宋体" w:cs="仿宋_GB2312"/>
                <w:color w:val="auto"/>
                <w:sz w:val="24"/>
                <w:highlight w:val="none"/>
                <w:lang w:val="zh-CN"/>
              </w:rPr>
            </w:pPr>
          </w:p>
        </w:tc>
        <w:tc>
          <w:tcPr>
            <w:tcW w:w="665" w:type="dxa"/>
            <w:noWrap w:val="0"/>
            <w:vAlign w:val="center"/>
          </w:tcPr>
          <w:p w14:paraId="471BF56A">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829" w:type="dxa"/>
            <w:noWrap w:val="0"/>
            <w:vAlign w:val="center"/>
          </w:tcPr>
          <w:p w14:paraId="4ECA2C4F">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652374D9">
            <w:pPr>
              <w:shd w:val="clear" w:color="auto" w:fill="auto"/>
              <w:snapToGrid w:val="0"/>
              <w:spacing w:line="360" w:lineRule="auto"/>
              <w:jc w:val="center"/>
              <w:rPr>
                <w:rFonts w:hint="eastAsia" w:ascii="宋体" w:hAnsi="宋体" w:cs="仿宋_GB2312"/>
                <w:color w:val="auto"/>
                <w:sz w:val="24"/>
                <w:highlight w:val="none"/>
                <w:lang w:val="en-US"/>
              </w:rPr>
            </w:pPr>
            <w:r>
              <w:rPr>
                <w:rFonts w:hint="eastAsia" w:ascii="宋体" w:hAnsi="宋体" w:cs="仿宋_GB2312"/>
                <w:color w:val="auto"/>
                <w:sz w:val="24"/>
                <w:highlight w:val="none"/>
              </w:rPr>
              <w:t>（三）服务</w:t>
            </w:r>
            <w:r>
              <w:rPr>
                <w:rFonts w:ascii="宋体" w:hAnsi="宋体" w:cs="仿宋_GB2312"/>
                <w:color w:val="auto"/>
                <w:sz w:val="24"/>
                <w:highlight w:val="none"/>
              </w:rPr>
              <w:t>方案</w:t>
            </w:r>
            <w:r>
              <w:rPr>
                <w:rFonts w:hint="eastAsia" w:ascii="宋体" w:hAnsi="宋体" w:cs="仿宋_GB2312"/>
                <w:color w:val="auto"/>
                <w:sz w:val="24"/>
                <w:highlight w:val="none"/>
                <w:lang w:val="en-US" w:eastAsia="zh-CN"/>
              </w:rPr>
              <w:t>1</w:t>
            </w:r>
          </w:p>
        </w:tc>
      </w:tr>
      <w:tr w14:paraId="53A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425112F5">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4</w:t>
            </w:r>
          </w:p>
        </w:tc>
        <w:tc>
          <w:tcPr>
            <w:tcW w:w="5488" w:type="dxa"/>
            <w:noWrap w:val="0"/>
            <w:vAlign w:val="top"/>
          </w:tcPr>
          <w:p w14:paraId="6F4961CF">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对系统建设的软件部署、任务设置、功能实现、业务流程等方面的理解情况和所采取的措施情况。措施合理可行，满足采购需求视为符合。完全符合采购人要求得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分，部分符合得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分，不符合不得分（</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p w14:paraId="53ED98D4">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投标人对于系统结构框架的优化设计建议和完善情况，方案对系统实施可能遇到的问题及其应对措施的考虑情况等。方案合理可行，满足采购需求视为符合。完全符合采购人要求得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分，部分符合得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分，不符合不得分（</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tc>
        <w:tc>
          <w:tcPr>
            <w:tcW w:w="665" w:type="dxa"/>
            <w:noWrap w:val="0"/>
            <w:vAlign w:val="center"/>
          </w:tcPr>
          <w:p w14:paraId="20477180">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829" w:type="dxa"/>
            <w:noWrap w:val="0"/>
            <w:vAlign w:val="center"/>
          </w:tcPr>
          <w:p w14:paraId="7ACBFD91">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6E4CD679">
            <w:pPr>
              <w:shd w:val="clear" w:color="auto" w:fill="auto"/>
              <w:snapToGrid w:val="0"/>
              <w:spacing w:line="360" w:lineRule="auto"/>
              <w:jc w:val="center"/>
              <w:rPr>
                <w:rFonts w:ascii="宋体" w:hAnsi="宋体" w:cs="仿宋_GB2312"/>
                <w:color w:val="auto"/>
                <w:sz w:val="24"/>
                <w:highlight w:val="none"/>
                <w:lang w:val="zh-CN"/>
              </w:rPr>
            </w:pPr>
            <w:r>
              <w:rPr>
                <w:rFonts w:hint="eastAsia" w:ascii="宋体" w:hAnsi="宋体" w:cs="仿宋_GB2312"/>
                <w:color w:val="auto"/>
                <w:sz w:val="24"/>
                <w:highlight w:val="none"/>
              </w:rPr>
              <w:t>（四）服务方案2</w:t>
            </w:r>
          </w:p>
        </w:tc>
      </w:tr>
      <w:tr w14:paraId="61A5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B076259">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5488" w:type="dxa"/>
            <w:noWrap w:val="0"/>
            <w:vAlign w:val="top"/>
          </w:tcPr>
          <w:p w14:paraId="4F3924BD">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en-US" w:eastAsia="zh-CN"/>
              </w:rPr>
              <w:t>可通过PPT、系统原型等方式</w:t>
            </w:r>
            <w:r>
              <w:rPr>
                <w:rFonts w:hint="eastAsia" w:ascii="宋体" w:hAnsi="宋体" w:eastAsia="宋体" w:cs="宋体"/>
                <w:color w:val="auto"/>
                <w:sz w:val="24"/>
                <w:highlight w:val="none"/>
                <w:lang w:val="zh-CN"/>
              </w:rPr>
              <w:t>进行演示讲解：</w:t>
            </w:r>
          </w:p>
          <w:p w14:paraId="50A00EE4">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cs="仿宋_GB2312"/>
                <w:color w:val="auto"/>
                <w:sz w:val="24"/>
                <w:highlight w:val="none"/>
                <w:lang w:val="en-US" w:eastAsia="zh-CN"/>
              </w:rPr>
              <w:t>省统建工程项目配套板块的</w:t>
            </w:r>
            <w:r>
              <w:rPr>
                <w:rFonts w:hint="eastAsia" w:ascii="宋体" w:hAnsi="宋体" w:eastAsia="宋体" w:cs="宋体"/>
                <w:color w:val="auto"/>
                <w:sz w:val="24"/>
                <w:highlight w:val="none"/>
                <w:lang w:val="zh-CN"/>
              </w:rPr>
              <w:t>功能演示，全部满足采购需求得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分，部分满足得1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分，不满足不得分（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632691A4">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cs="仿宋_GB2312"/>
                <w:color w:val="auto"/>
                <w:sz w:val="24"/>
                <w:highlight w:val="none"/>
                <w:lang w:val="en-US" w:eastAsia="zh-CN"/>
              </w:rPr>
              <w:t>非统建其他交易板块（交易平台、监管平台、服务平台）</w:t>
            </w:r>
            <w:r>
              <w:rPr>
                <w:rFonts w:hint="eastAsia" w:ascii="宋体" w:hAnsi="宋体" w:cs="宋体"/>
                <w:color w:val="auto"/>
                <w:sz w:val="24"/>
                <w:highlight w:val="none"/>
                <w:lang w:val="zh-CN"/>
              </w:rPr>
              <w:t>的</w:t>
            </w:r>
            <w:r>
              <w:rPr>
                <w:rFonts w:hint="eastAsia" w:ascii="宋体" w:hAnsi="宋体" w:eastAsia="宋体" w:cs="宋体"/>
                <w:color w:val="auto"/>
                <w:sz w:val="24"/>
                <w:highlight w:val="none"/>
                <w:lang w:val="zh-CN"/>
              </w:rPr>
              <w:t>功能演示，全部满足采购需求得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分，部分满足得1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分，不满足不得分（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91C8E34">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cs="仿宋_GB2312"/>
                <w:color w:val="auto"/>
                <w:sz w:val="24"/>
                <w:highlight w:val="none"/>
                <w:lang w:val="en-US" w:eastAsia="zh-CN"/>
              </w:rPr>
              <w:t>招投标服务管理应用（</w:t>
            </w:r>
            <w:r>
              <w:rPr>
                <w:rFonts w:hint="eastAsia" w:ascii="宋体" w:hAnsi="宋体" w:eastAsia="宋体" w:cs="宋体"/>
                <w:b w:val="0"/>
                <w:bCs w:val="0"/>
                <w:color w:val="auto"/>
                <w:sz w:val="24"/>
                <w:szCs w:val="24"/>
                <w:highlight w:val="none"/>
                <w:lang w:val="zh-CN" w:eastAsia="zh-CN"/>
              </w:rPr>
              <w:t>含①</w:t>
            </w:r>
            <w:r>
              <w:rPr>
                <w:rFonts w:hint="eastAsia" w:ascii="宋体" w:hAnsi="宋体" w:cs="仿宋_GB2312"/>
                <w:color w:val="auto"/>
                <w:sz w:val="24"/>
                <w:highlight w:val="none"/>
                <w:lang w:val="en-US" w:eastAsia="zh-CN"/>
              </w:rPr>
              <w:t>市场主体库模块、②1+N远程异地多点评标模块、③CA应用管理模块、④移动端服务应用、⑤专家费结算模块、⑥“易数达”数据管理模块、⑦“易视界”交易管理中台、⑧“易查询”自定义查询）的</w:t>
            </w:r>
            <w:r>
              <w:rPr>
                <w:rFonts w:hint="eastAsia" w:ascii="宋体" w:hAnsi="宋体" w:eastAsia="宋体" w:cs="宋体"/>
                <w:color w:val="auto"/>
                <w:sz w:val="24"/>
                <w:highlight w:val="none"/>
                <w:lang w:val="zh-CN"/>
              </w:rPr>
              <w:t>功能演示，</w:t>
            </w:r>
            <w:r>
              <w:rPr>
                <w:rFonts w:hint="default" w:ascii="宋体" w:hAnsi="宋体" w:cs="宋体"/>
                <w:color w:val="auto"/>
                <w:sz w:val="24"/>
                <w:szCs w:val="24"/>
                <w:highlight w:val="none"/>
              </w:rPr>
              <w:t>每个模块全部</w:t>
            </w:r>
            <w:r>
              <w:rPr>
                <w:rFonts w:hint="eastAsia" w:ascii="宋体" w:hAnsi="宋体" w:cs="宋体"/>
                <w:color w:val="auto"/>
                <w:sz w:val="24"/>
                <w:szCs w:val="24"/>
                <w:highlight w:val="none"/>
              </w:rPr>
              <w:t>满足采购需求得</w:t>
            </w:r>
            <w:r>
              <w:rPr>
                <w:rFonts w:hint="default" w:ascii="宋体" w:hAnsi="宋体" w:cs="宋体"/>
                <w:color w:val="auto"/>
                <w:sz w:val="24"/>
                <w:szCs w:val="24"/>
                <w:highlight w:val="none"/>
              </w:rPr>
              <w:t>1</w:t>
            </w:r>
            <w:r>
              <w:rPr>
                <w:rFonts w:ascii="宋体" w:hAnsi="宋体" w:cs="宋体"/>
                <w:color w:val="auto"/>
                <w:sz w:val="24"/>
                <w:szCs w:val="24"/>
                <w:highlight w:val="none"/>
              </w:rPr>
              <w:t>分，</w:t>
            </w:r>
            <w:r>
              <w:rPr>
                <w:rFonts w:hint="eastAsia" w:ascii="宋体" w:hAnsi="宋体" w:cs="宋体"/>
                <w:color w:val="auto"/>
                <w:sz w:val="24"/>
                <w:szCs w:val="24"/>
                <w:highlight w:val="none"/>
              </w:rPr>
              <w:t>部分满足得</w:t>
            </w:r>
            <w:r>
              <w:rPr>
                <w:rFonts w:hint="default" w:ascii="宋体" w:hAnsi="宋体" w:cs="宋体"/>
                <w:color w:val="auto"/>
                <w:sz w:val="24"/>
                <w:szCs w:val="24"/>
                <w:highlight w:val="none"/>
              </w:rPr>
              <w:t>0.5</w:t>
            </w:r>
            <w:r>
              <w:rPr>
                <w:rFonts w:hint="eastAsia" w:ascii="宋体" w:hAnsi="宋体" w:cs="宋体"/>
                <w:color w:val="auto"/>
                <w:sz w:val="24"/>
                <w:szCs w:val="24"/>
                <w:highlight w:val="none"/>
              </w:rPr>
              <w:t>分，不满足不得分</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分）</w:t>
            </w:r>
            <w:r>
              <w:rPr>
                <w:rFonts w:hint="eastAsia" w:ascii="宋体" w:hAnsi="宋体" w:eastAsia="宋体" w:cs="宋体"/>
                <w:color w:val="auto"/>
                <w:sz w:val="24"/>
                <w:highlight w:val="none"/>
                <w:lang w:val="zh-CN"/>
              </w:rPr>
              <w:t>；</w:t>
            </w:r>
          </w:p>
          <w:p w14:paraId="1E4C0200">
            <w:pPr>
              <w:shd w:val="clear" w:color="auto" w:fill="auto"/>
              <w:snapToGrid w:val="0"/>
              <w:spacing w:line="360" w:lineRule="auto"/>
              <w:jc w:val="left"/>
              <w:rPr>
                <w:rFonts w:hint="eastAsia" w:ascii="宋体" w:hAnsi="宋体" w:eastAsia="宋体" w:cs="宋体"/>
                <w:color w:val="auto"/>
                <w:sz w:val="24"/>
                <w:highlight w:val="none"/>
                <w:lang w:val="zh-CN"/>
              </w:rPr>
            </w:pPr>
            <w:r>
              <w:rPr>
                <w:rFonts w:hint="eastAsia" w:ascii="宋体" w:hAnsi="宋体" w:cs="宋体"/>
                <w:color w:val="auto"/>
                <w:sz w:val="24"/>
                <w:szCs w:val="24"/>
                <w:highlight w:val="none"/>
              </w:rPr>
              <w:t>●</w:t>
            </w:r>
            <w:r>
              <w:rPr>
                <w:rFonts w:hint="default" w:ascii="宋体" w:hAnsi="宋体" w:cs="宋体"/>
                <w:color w:val="auto"/>
                <w:sz w:val="24"/>
                <w:szCs w:val="24"/>
                <w:highlight w:val="none"/>
              </w:rPr>
              <w:t>质保期间系统异常应急处置流程演示。全部满足维护要求得1分，否则不得分（1分）；</w:t>
            </w:r>
          </w:p>
        </w:tc>
        <w:tc>
          <w:tcPr>
            <w:tcW w:w="665" w:type="dxa"/>
            <w:noWrap w:val="0"/>
            <w:vAlign w:val="center"/>
          </w:tcPr>
          <w:p w14:paraId="4ED15AD4">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5</w:t>
            </w:r>
          </w:p>
        </w:tc>
        <w:tc>
          <w:tcPr>
            <w:tcW w:w="829" w:type="dxa"/>
            <w:noWrap w:val="0"/>
            <w:vAlign w:val="center"/>
          </w:tcPr>
          <w:p w14:paraId="2DA54180">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528957CA">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r>
      <w:tr w14:paraId="6CA0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6E2E56E2">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6</w:t>
            </w:r>
          </w:p>
        </w:tc>
        <w:tc>
          <w:tcPr>
            <w:tcW w:w="5488" w:type="dxa"/>
            <w:noWrap w:val="0"/>
            <w:vAlign w:val="top"/>
          </w:tcPr>
          <w:p w14:paraId="630DD975">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 投标人针对本项目拟安排的团队人员不少于</w:t>
            </w:r>
            <w:r>
              <w:rPr>
                <w:rFonts w:hint="default" w:ascii="宋体" w:hAnsi="宋体" w:cs="宋体"/>
                <w:color w:val="auto"/>
                <w:sz w:val="24"/>
                <w:highlight w:val="none"/>
                <w:woUserID w:val="1"/>
              </w:rPr>
              <w:t>15</w:t>
            </w:r>
            <w:r>
              <w:rPr>
                <w:rFonts w:hint="eastAsia" w:ascii="宋体" w:hAnsi="宋体" w:cs="宋体"/>
                <w:color w:val="auto"/>
                <w:sz w:val="24"/>
                <w:highlight w:val="none"/>
                <w:lang w:val="zh-CN"/>
              </w:rPr>
              <w:t>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分，否则不得分，投标时提供《人员</w:t>
            </w:r>
            <w:r>
              <w:rPr>
                <w:rFonts w:hint="eastAsia" w:ascii="宋体" w:hAnsi="宋体" w:cs="宋体"/>
                <w:color w:val="auto"/>
                <w:sz w:val="24"/>
                <w:highlight w:val="none"/>
                <w:lang w:val="en-US" w:eastAsia="zh-CN"/>
              </w:rPr>
              <w:t>配置</w:t>
            </w:r>
            <w:r>
              <w:rPr>
                <w:rFonts w:hint="eastAsia" w:ascii="宋体" w:hAnsi="宋体" w:cs="宋体"/>
                <w:color w:val="auto"/>
                <w:sz w:val="24"/>
                <w:highlight w:val="none"/>
                <w:lang w:val="zh-CN"/>
              </w:rPr>
              <w:t>清单》（</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p>
          <w:p w14:paraId="6FE83571">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 本项目拟安排</w:t>
            </w:r>
            <w:r>
              <w:rPr>
                <w:rFonts w:hint="eastAsia" w:ascii="宋体" w:hAnsi="宋体" w:cs="宋体"/>
                <w:color w:val="auto"/>
                <w:sz w:val="24"/>
                <w:highlight w:val="none"/>
              </w:rPr>
              <w:t>项目经理</w:t>
            </w:r>
            <w:r>
              <w:rPr>
                <w:rFonts w:hint="eastAsia" w:ascii="宋体" w:hAnsi="宋体" w:cs="宋体"/>
                <w:color w:val="auto"/>
                <w:sz w:val="24"/>
                <w:highlight w:val="none"/>
                <w:lang w:val="zh-CN"/>
              </w:rPr>
              <w:t>具有信息系统项目管理师（高级)</w:t>
            </w:r>
            <w:r>
              <w:rPr>
                <w:rFonts w:hint="eastAsia" w:ascii="宋体" w:hAnsi="宋体" w:cs="宋体"/>
                <w:color w:val="auto"/>
                <w:sz w:val="24"/>
                <w:highlight w:val="none"/>
              </w:rPr>
              <w:t>证书，投标时提供证书复印件得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11868A5A">
            <w:pPr>
              <w:shd w:val="clear" w:color="auto" w:fill="auto"/>
              <w:snapToGrid w:val="0"/>
              <w:spacing w:line="360" w:lineRule="auto"/>
              <w:jc w:val="left"/>
              <w:rPr>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项目团队人员</w:t>
            </w:r>
            <w:r>
              <w:rPr>
                <w:rFonts w:hint="eastAsia" w:ascii="宋体" w:hAnsi="宋体" w:cs="宋体"/>
                <w:color w:val="auto"/>
                <w:sz w:val="24"/>
                <w:highlight w:val="none"/>
                <w:lang w:val="zh-CN"/>
              </w:rPr>
              <w:t>具有</w:t>
            </w:r>
            <w:r>
              <w:rPr>
                <w:rStyle w:val="78"/>
                <w:rFonts w:hint="eastAsia"/>
                <w:color w:val="auto"/>
                <w:sz w:val="24"/>
                <w:szCs w:val="24"/>
                <w:highlight w:val="none"/>
              </w:rPr>
              <w:t>数据库系统工程师（中级）、软件设计师（中级）、系统集成项目管理工程师（中级)、软件测评师（中级）</w:t>
            </w:r>
            <w:r>
              <w:rPr>
                <w:rFonts w:hint="eastAsia" w:ascii="宋体" w:hAnsi="宋体" w:cs="宋体"/>
                <w:color w:val="auto"/>
                <w:sz w:val="24"/>
                <w:highlight w:val="none"/>
              </w:rPr>
              <w:t>，每一本得0.5分，</w:t>
            </w:r>
            <w:r>
              <w:rPr>
                <w:rFonts w:hint="eastAsia" w:ascii="宋体" w:hAnsi="宋体" w:cs="宋体"/>
                <w:color w:val="auto"/>
                <w:sz w:val="24"/>
                <w:highlight w:val="none"/>
                <w:lang w:val="zh-CN"/>
              </w:rPr>
              <w:t>信息系统项目管理师（高级)</w:t>
            </w:r>
            <w:r>
              <w:rPr>
                <w:rFonts w:hint="eastAsia" w:ascii="宋体" w:hAnsi="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每一本得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最高可得5分。</w:t>
            </w:r>
            <w:r>
              <w:rPr>
                <w:rFonts w:hint="eastAsia" w:ascii="宋体" w:hAnsi="宋体" w:cs="宋体"/>
                <w:color w:val="auto"/>
                <w:sz w:val="24"/>
                <w:highlight w:val="none"/>
                <w:lang w:val="zh-CN"/>
              </w:rPr>
              <w:t>同一人员具有多项证书的，可重复计分，投标时提供证书复印件。</w:t>
            </w:r>
            <w:r>
              <w:rPr>
                <w:rFonts w:hint="eastAsia" w:ascii="宋体" w:hAnsi="宋体" w:cs="宋体"/>
                <w:color w:val="auto"/>
                <w:sz w:val="24"/>
                <w:highlight w:val="none"/>
              </w:rPr>
              <w:t>（5分）</w:t>
            </w:r>
            <w:r>
              <w:rPr>
                <w:rFonts w:hint="eastAsia" w:ascii="宋体" w:hAnsi="宋体" w:cs="宋体"/>
                <w:color w:val="auto"/>
                <w:sz w:val="24"/>
                <w:highlight w:val="none"/>
                <w:lang w:val="zh-CN"/>
              </w:rPr>
              <w:t>。</w:t>
            </w:r>
          </w:p>
          <w:p w14:paraId="2561A033">
            <w:pPr>
              <w:shd w:val="clear" w:color="auto" w:fill="auto"/>
              <w:snapToGrid w:val="0"/>
              <w:spacing w:line="360" w:lineRule="auto"/>
              <w:jc w:val="left"/>
              <w:rPr>
                <w:rFonts w:ascii="宋体" w:hAnsi="宋体" w:cs="仿宋_GB2312"/>
                <w:color w:val="auto"/>
                <w:sz w:val="24"/>
                <w:highlight w:val="none"/>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lang w:val="zh-CN"/>
              </w:rPr>
              <w:t>项目团队成员必须为投标人自有员工，提供相关人员证书</w:t>
            </w:r>
            <w:r>
              <w:rPr>
                <w:rFonts w:hint="eastAsia" w:ascii="宋体" w:hAnsi="宋体" w:cs="宋体"/>
                <w:color w:val="auto"/>
                <w:sz w:val="24"/>
                <w:highlight w:val="none"/>
                <w:lang w:val="en-US" w:eastAsia="zh-CN"/>
              </w:rPr>
              <w:t>复印件</w:t>
            </w:r>
            <w:r>
              <w:rPr>
                <w:rFonts w:hint="eastAsia" w:ascii="宋体" w:hAnsi="宋体" w:cs="宋体"/>
                <w:color w:val="auto"/>
                <w:sz w:val="24"/>
                <w:highlight w:val="none"/>
                <w:lang w:val="zh-CN"/>
              </w:rPr>
              <w:t>及开标日前</w:t>
            </w:r>
            <w:r>
              <w:rPr>
                <w:rFonts w:hint="default" w:ascii="宋体" w:hAnsi="宋体" w:cs="宋体"/>
                <w:color w:val="auto"/>
                <w:sz w:val="24"/>
                <w:highlight w:val="none"/>
                <w:woUserID w:val="1"/>
              </w:rPr>
              <w:t>一个月</w:t>
            </w:r>
            <w:r>
              <w:rPr>
                <w:rFonts w:hint="eastAsia" w:ascii="宋体" w:hAnsi="宋体" w:cs="宋体"/>
                <w:color w:val="auto"/>
                <w:sz w:val="24"/>
                <w:highlight w:val="none"/>
                <w:lang w:val="zh-CN"/>
              </w:rPr>
              <w:t>由投标人为其缴交的载有社保部门公章的社保缴交证明材料。未按要求提供或提供不清晰导致专家无法判断的不得分。</w:t>
            </w:r>
          </w:p>
        </w:tc>
        <w:tc>
          <w:tcPr>
            <w:tcW w:w="665" w:type="dxa"/>
            <w:noWrap w:val="0"/>
            <w:vAlign w:val="center"/>
          </w:tcPr>
          <w:p w14:paraId="420FBECA">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829" w:type="dxa"/>
            <w:noWrap w:val="0"/>
            <w:vAlign w:val="center"/>
          </w:tcPr>
          <w:p w14:paraId="6F1A4252">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423" w:type="dxa"/>
            <w:noWrap w:val="0"/>
            <w:vAlign w:val="center"/>
          </w:tcPr>
          <w:p w14:paraId="3303C291">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（五）项目组人员情况</w:t>
            </w:r>
          </w:p>
        </w:tc>
      </w:tr>
      <w:tr w14:paraId="2FC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362CA0F4">
            <w:pPr>
              <w:shd w:val="clear" w:color="auto" w:fill="auto"/>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7</w:t>
            </w:r>
          </w:p>
        </w:tc>
        <w:tc>
          <w:tcPr>
            <w:tcW w:w="5488" w:type="dxa"/>
            <w:noWrap w:val="0"/>
            <w:vAlign w:val="top"/>
          </w:tcPr>
          <w:p w14:paraId="5764E6A6">
            <w:pPr>
              <w:shd w:val="clear" w:color="auto" w:fill="auto"/>
              <w:snapToGri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系统的</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lang w:val="zh-CN"/>
              </w:rPr>
              <w:t>方案设计合理，充分考虑用户实际使用需求，满足本项目的</w:t>
            </w:r>
            <w:r>
              <w:rPr>
                <w:rFonts w:hint="eastAsia" w:ascii="宋体" w:hAnsi="宋体" w:cs="宋体"/>
                <w:color w:val="auto"/>
                <w:sz w:val="24"/>
                <w:highlight w:val="none"/>
                <w:lang w:val="en-US" w:eastAsia="zh-CN"/>
              </w:rPr>
              <w:t>业务</w:t>
            </w:r>
            <w:r>
              <w:rPr>
                <w:rFonts w:hint="eastAsia" w:ascii="宋体" w:hAnsi="宋体" w:cs="宋体"/>
                <w:color w:val="auto"/>
                <w:sz w:val="24"/>
                <w:highlight w:val="none"/>
                <w:lang w:val="zh-CN"/>
              </w:rPr>
              <w:t>要求。完全符合采购人要求得3分，部分符合得1.5分，不符合不得分（3分）。</w:t>
            </w:r>
          </w:p>
        </w:tc>
        <w:tc>
          <w:tcPr>
            <w:tcW w:w="665" w:type="dxa"/>
            <w:noWrap w:val="0"/>
            <w:vAlign w:val="center"/>
          </w:tcPr>
          <w:p w14:paraId="78E0F612">
            <w:pPr>
              <w:shd w:val="clear" w:color="auto" w:fill="auto"/>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829" w:type="dxa"/>
            <w:noWrap w:val="0"/>
            <w:vAlign w:val="center"/>
          </w:tcPr>
          <w:p w14:paraId="62FBEA55">
            <w:pPr>
              <w:shd w:val="clear" w:color="auto" w:fill="auto"/>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rPr>
              <w:t>主观分</w:t>
            </w:r>
          </w:p>
        </w:tc>
        <w:tc>
          <w:tcPr>
            <w:tcW w:w="1423" w:type="dxa"/>
            <w:noWrap w:val="0"/>
            <w:vAlign w:val="center"/>
          </w:tcPr>
          <w:p w14:paraId="5BD730F8">
            <w:pPr>
              <w:shd w:val="clear" w:color="auto" w:fill="auto"/>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rPr>
              <w:t>（六）</w:t>
            </w:r>
            <w:r>
              <w:rPr>
                <w:rFonts w:hint="eastAsia" w:ascii="宋体" w:hAnsi="宋体" w:cs="仿宋_GB2312"/>
                <w:color w:val="auto"/>
                <w:sz w:val="24"/>
                <w:highlight w:val="none"/>
                <w:lang w:val="en-US" w:eastAsia="zh-CN"/>
              </w:rPr>
              <w:t>实施方案</w:t>
            </w:r>
          </w:p>
        </w:tc>
      </w:tr>
      <w:tr w14:paraId="0B22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4084AA8E">
            <w:pPr>
              <w:shd w:val="clear" w:color="auto" w:fill="auto"/>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8</w:t>
            </w:r>
          </w:p>
        </w:tc>
        <w:tc>
          <w:tcPr>
            <w:tcW w:w="5488" w:type="dxa"/>
            <w:noWrap w:val="0"/>
            <w:vAlign w:val="top"/>
          </w:tcPr>
          <w:p w14:paraId="01F574D4">
            <w:pPr>
              <w:pStyle w:val="10"/>
              <w:shd w:val="clear" w:color="auto" w:fill="auto"/>
              <w:ind w:left="0" w:leftChars="0" w:firstLine="0" w:firstLineChars="0"/>
              <w:rPr>
                <w:color w:val="auto"/>
                <w:highlight w:val="none"/>
              </w:rPr>
            </w:pPr>
            <w:r>
              <w:rPr>
                <w:rFonts w:hint="eastAsia" w:ascii="宋体" w:hAnsi="宋体" w:cs="宋体"/>
                <w:color w:val="auto"/>
                <w:sz w:val="24"/>
                <w:highlight w:val="none"/>
                <w:lang w:val="en-US" w:eastAsia="zh-CN"/>
              </w:rPr>
              <w:t>投标人提供</w:t>
            </w:r>
            <w:r>
              <w:rPr>
                <w:rFonts w:hint="eastAsia" w:ascii="宋体" w:hAnsi="宋体" w:cs="宋体"/>
                <w:color w:val="auto"/>
                <w:sz w:val="24"/>
                <w:highlight w:val="none"/>
                <w:lang w:val="zh-CN"/>
              </w:rPr>
              <w:t>的</w:t>
            </w:r>
            <w:r>
              <w:rPr>
                <w:rFonts w:hint="eastAsia" w:ascii="宋体" w:hAnsi="宋体" w:cs="宋体"/>
                <w:color w:val="auto"/>
                <w:sz w:val="24"/>
                <w:highlight w:val="none"/>
                <w:lang w:val="en-US" w:eastAsia="zh-CN"/>
              </w:rPr>
              <w:t>质量保证</w:t>
            </w:r>
            <w:r>
              <w:rPr>
                <w:rFonts w:hint="eastAsia" w:ascii="宋体" w:hAnsi="宋体" w:cs="宋体"/>
                <w:color w:val="auto"/>
                <w:sz w:val="24"/>
                <w:highlight w:val="none"/>
                <w:lang w:val="zh-CN"/>
              </w:rPr>
              <w:t>方案设计合理，充分考虑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实际使用需求，满足本项目对当前和未来发展的要求。完全符合采购人要求得3分，部分符合得1.5分，不符合不得分（3分）。</w:t>
            </w:r>
          </w:p>
        </w:tc>
        <w:tc>
          <w:tcPr>
            <w:tcW w:w="665" w:type="dxa"/>
            <w:noWrap w:val="0"/>
            <w:vAlign w:val="center"/>
          </w:tcPr>
          <w:p w14:paraId="04E3C5D9">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829" w:type="dxa"/>
            <w:noWrap w:val="0"/>
            <w:vAlign w:val="center"/>
          </w:tcPr>
          <w:p w14:paraId="3BC52B53">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22B00BC3">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七</w:t>
            </w:r>
            <w:r>
              <w:rPr>
                <w:rFonts w:hint="eastAsia" w:ascii="宋体" w:hAnsi="宋体" w:cs="仿宋_GB2312"/>
                <w:color w:val="auto"/>
                <w:sz w:val="24"/>
                <w:highlight w:val="none"/>
              </w:rPr>
              <w:t>）质量保证方案</w:t>
            </w:r>
          </w:p>
        </w:tc>
      </w:tr>
      <w:tr w14:paraId="2616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419872DF">
            <w:pPr>
              <w:shd w:val="clear" w:color="auto" w:fill="auto"/>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5488" w:type="dxa"/>
            <w:noWrap w:val="0"/>
            <w:vAlign w:val="top"/>
          </w:tcPr>
          <w:p w14:paraId="226FFB98">
            <w:pPr>
              <w:shd w:val="clear" w:color="auto" w:fill="auto"/>
              <w:snapToGri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投标人提供</w:t>
            </w:r>
            <w:r>
              <w:rPr>
                <w:rFonts w:hint="eastAsia" w:ascii="宋体" w:hAnsi="宋体" w:cs="宋体"/>
                <w:color w:val="auto"/>
                <w:sz w:val="24"/>
                <w:highlight w:val="none"/>
                <w:lang w:val="zh-CN"/>
              </w:rPr>
              <w:t>的</w:t>
            </w:r>
            <w:r>
              <w:rPr>
                <w:rFonts w:hint="eastAsia" w:ascii="宋体" w:hAnsi="宋体" w:cs="宋体"/>
                <w:color w:val="auto"/>
                <w:sz w:val="24"/>
                <w:highlight w:val="none"/>
                <w:lang w:val="en-US" w:eastAsia="zh-CN"/>
              </w:rPr>
              <w:t>测试</w:t>
            </w:r>
            <w:r>
              <w:rPr>
                <w:rFonts w:hint="eastAsia" w:ascii="宋体" w:hAnsi="宋体" w:cs="宋体"/>
                <w:color w:val="auto"/>
                <w:sz w:val="24"/>
                <w:highlight w:val="none"/>
                <w:lang w:val="zh-CN"/>
              </w:rPr>
              <w:t>方案设计合理，充分考虑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实际使用需求，满足本项目的</w:t>
            </w:r>
            <w:r>
              <w:rPr>
                <w:rFonts w:hint="eastAsia" w:ascii="宋体" w:hAnsi="宋体" w:cs="宋体"/>
                <w:color w:val="auto"/>
                <w:sz w:val="24"/>
                <w:highlight w:val="none"/>
                <w:lang w:val="en-US" w:eastAsia="zh-CN"/>
              </w:rPr>
              <w:t>业务</w:t>
            </w:r>
            <w:r>
              <w:rPr>
                <w:rFonts w:hint="eastAsia" w:ascii="宋体" w:hAnsi="宋体" w:cs="宋体"/>
                <w:color w:val="auto"/>
                <w:sz w:val="24"/>
                <w:highlight w:val="none"/>
                <w:lang w:val="zh-CN"/>
              </w:rPr>
              <w:t>要求。完全符合采购人要求得3分，部分符合得1.5分，不符合不得分（3分）。</w:t>
            </w:r>
          </w:p>
        </w:tc>
        <w:tc>
          <w:tcPr>
            <w:tcW w:w="665" w:type="dxa"/>
            <w:noWrap w:val="0"/>
            <w:vAlign w:val="center"/>
          </w:tcPr>
          <w:p w14:paraId="576589E6">
            <w:pPr>
              <w:shd w:val="clear" w:color="auto" w:fill="auto"/>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829" w:type="dxa"/>
            <w:noWrap w:val="0"/>
            <w:vAlign w:val="center"/>
          </w:tcPr>
          <w:p w14:paraId="07761846">
            <w:pPr>
              <w:shd w:val="clear" w:color="auto" w:fill="auto"/>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327AD341">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八</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测试方案</w:t>
            </w:r>
          </w:p>
        </w:tc>
      </w:tr>
      <w:tr w14:paraId="4D6D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501E103E">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488" w:type="dxa"/>
            <w:noWrap w:val="0"/>
            <w:vAlign w:val="top"/>
          </w:tcPr>
          <w:p w14:paraId="71333A29">
            <w:pPr>
              <w:shd w:val="clear" w:color="auto" w:fill="auto"/>
              <w:snapToGri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投标人提供</w:t>
            </w:r>
            <w:r>
              <w:rPr>
                <w:rFonts w:hint="eastAsia" w:ascii="宋体" w:hAnsi="宋体" w:cs="宋体"/>
                <w:color w:val="auto"/>
                <w:sz w:val="24"/>
                <w:highlight w:val="none"/>
                <w:lang w:val="zh-CN"/>
              </w:rPr>
              <w:t>的应急方案设计合理，充分考虑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实际使用需求，满足本项目对当前和未来发展的要求。完全符合采购人要求得3分，部分符合得1.5分，不符合不得分（3分）。</w:t>
            </w:r>
          </w:p>
        </w:tc>
        <w:tc>
          <w:tcPr>
            <w:tcW w:w="665" w:type="dxa"/>
            <w:noWrap w:val="0"/>
            <w:vAlign w:val="center"/>
          </w:tcPr>
          <w:p w14:paraId="78CD287A">
            <w:pPr>
              <w:shd w:val="clear" w:color="auto" w:fill="auto"/>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829" w:type="dxa"/>
            <w:noWrap w:val="0"/>
            <w:vAlign w:val="center"/>
          </w:tcPr>
          <w:p w14:paraId="5F16CAE4">
            <w:pPr>
              <w:shd w:val="clear" w:color="auto" w:fill="auto"/>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1A3554C4">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九</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应急方案</w:t>
            </w:r>
          </w:p>
        </w:tc>
      </w:tr>
      <w:tr w14:paraId="074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29452053">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5488" w:type="dxa"/>
            <w:noWrap w:val="0"/>
            <w:vAlign w:val="top"/>
          </w:tcPr>
          <w:p w14:paraId="3A8F96CD">
            <w:pPr>
              <w:shd w:val="clear" w:color="auto" w:fill="auto"/>
              <w:snapToGrid w:val="0"/>
              <w:spacing w:line="360" w:lineRule="auto"/>
              <w:jc w:val="left"/>
              <w:rPr>
                <w:rFonts w:ascii="宋体" w:hAnsi="宋体" w:cs="仿宋_GB2312"/>
                <w:color w:val="auto"/>
                <w:sz w:val="24"/>
                <w:highlight w:val="none"/>
              </w:rPr>
            </w:pPr>
            <w:r>
              <w:rPr>
                <w:rFonts w:hint="eastAsia" w:ascii="宋体" w:hAnsi="宋体" w:cs="宋体"/>
                <w:color w:val="auto"/>
                <w:sz w:val="24"/>
                <w:highlight w:val="none"/>
                <w:lang w:val="en-US" w:eastAsia="zh-CN"/>
              </w:rPr>
              <w:t>投标人提供</w:t>
            </w:r>
            <w:r>
              <w:rPr>
                <w:rFonts w:hint="eastAsia" w:ascii="宋体" w:hAnsi="宋体" w:cs="宋体"/>
                <w:color w:val="auto"/>
                <w:sz w:val="24"/>
                <w:highlight w:val="none"/>
                <w:lang w:val="zh-CN"/>
              </w:rPr>
              <w:t>的培训计划（提供业务人员应用培训和管理员级培训）地点、组织、人员配备、软件资料等内容是否完整、科学合理。</w:t>
            </w:r>
            <w:r>
              <w:rPr>
                <w:rFonts w:hint="eastAsia" w:ascii="宋体" w:hAnsi="宋体" w:cs="宋体"/>
                <w:color w:val="auto"/>
                <w:sz w:val="24"/>
                <w:highlight w:val="none"/>
              </w:rPr>
              <w:t>完全符合采购人要求</w:t>
            </w:r>
            <w:r>
              <w:rPr>
                <w:rFonts w:hint="eastAsia" w:ascii="宋体" w:hAnsi="宋体" w:cs="宋体"/>
                <w:color w:val="auto"/>
                <w:sz w:val="24"/>
                <w:highlight w:val="none"/>
                <w:lang w:val="zh-CN"/>
              </w:rPr>
              <w:t>得3分，部分符合得1.5分，不符合不得分（3分）。</w:t>
            </w:r>
          </w:p>
        </w:tc>
        <w:tc>
          <w:tcPr>
            <w:tcW w:w="665" w:type="dxa"/>
            <w:noWrap w:val="0"/>
            <w:vAlign w:val="center"/>
          </w:tcPr>
          <w:p w14:paraId="5197647D">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829" w:type="dxa"/>
            <w:noWrap w:val="0"/>
            <w:vAlign w:val="center"/>
          </w:tcPr>
          <w:p w14:paraId="7CB6C74D">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423" w:type="dxa"/>
            <w:noWrap w:val="0"/>
            <w:vAlign w:val="center"/>
          </w:tcPr>
          <w:p w14:paraId="3AC9F016">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十</w:t>
            </w:r>
            <w:r>
              <w:rPr>
                <w:rFonts w:hint="eastAsia" w:ascii="宋体" w:hAnsi="宋体" w:cs="仿宋_GB2312"/>
                <w:color w:val="auto"/>
                <w:sz w:val="24"/>
                <w:highlight w:val="none"/>
              </w:rPr>
              <w:t>）培训计划</w:t>
            </w:r>
          </w:p>
        </w:tc>
      </w:tr>
      <w:tr w14:paraId="68A9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noWrap w:val="0"/>
            <w:vAlign w:val="center"/>
          </w:tcPr>
          <w:p w14:paraId="0071A34D">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12</w:t>
            </w:r>
          </w:p>
        </w:tc>
        <w:tc>
          <w:tcPr>
            <w:tcW w:w="5488" w:type="dxa"/>
            <w:noWrap w:val="0"/>
            <w:vAlign w:val="top"/>
          </w:tcPr>
          <w:p w14:paraId="147C5295">
            <w:pPr>
              <w:shd w:val="clear" w:color="auto" w:fill="auto"/>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●投标人具有较强的本地化服务能力，提供承诺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较强的本地化服务能力，能提供快速的售后服务响应</w:t>
            </w:r>
            <w:r>
              <w:rPr>
                <w:rFonts w:hint="eastAsia" w:ascii="宋体" w:hAnsi="宋体" w:eastAsia="宋体" w:cs="宋体"/>
                <w:color w:val="auto"/>
                <w:sz w:val="24"/>
                <w:highlight w:val="none"/>
                <w:lang w:val="en-US" w:eastAsia="zh-CN"/>
              </w:rPr>
              <w:t>；</w:t>
            </w:r>
            <w:r>
              <w:rPr>
                <w:rFonts w:hint="eastAsia" w:ascii="宋体" w:hAnsi="宋体" w:cs="宋体"/>
                <w:color w:val="auto"/>
                <w:kern w:val="0"/>
                <w:sz w:val="24"/>
                <w:highlight w:val="none"/>
                <w:lang w:bidi="ar"/>
              </w:rPr>
              <w:t>一般性故障或问题，在15分钟内解决；在15分钟内到场处理，30分钟内不能解决的，分析出故障或问题所在，并及时通报采购人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得</w:t>
            </w:r>
            <w:r>
              <w:rPr>
                <w:rFonts w:ascii="宋体" w:hAnsi="宋体" w:cs="宋体"/>
                <w:color w:val="auto"/>
                <w:sz w:val="24"/>
                <w:highlight w:val="none"/>
              </w:rPr>
              <w:t>3分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不承诺或承诺内容</w:t>
            </w:r>
            <w:r>
              <w:rPr>
                <w:rFonts w:hint="eastAsia" w:ascii="宋体" w:hAnsi="宋体" w:cs="宋体"/>
                <w:color w:val="auto"/>
                <w:sz w:val="24"/>
                <w:highlight w:val="none"/>
              </w:rPr>
              <w:t>不符合不得分（</w:t>
            </w:r>
            <w:r>
              <w:rPr>
                <w:rFonts w:ascii="宋体" w:hAnsi="宋体" w:cs="宋体"/>
                <w:color w:val="auto"/>
                <w:sz w:val="24"/>
                <w:highlight w:val="none"/>
              </w:rPr>
              <w:t>3分）</w:t>
            </w:r>
            <w:r>
              <w:rPr>
                <w:rFonts w:hint="eastAsia" w:ascii="宋体" w:hAnsi="宋体" w:cs="宋体"/>
                <w:color w:val="auto"/>
                <w:sz w:val="24"/>
                <w:highlight w:val="none"/>
              </w:rPr>
              <w:t>；</w:t>
            </w:r>
          </w:p>
          <w:p w14:paraId="1FE36C4A">
            <w:pPr>
              <w:shd w:val="clear" w:color="auto" w:fill="auto"/>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●投标人承诺在系统维护期内安排至少</w:t>
            </w:r>
            <w:r>
              <w:rPr>
                <w:rFonts w:hint="default" w:ascii="宋体" w:hAnsi="宋体" w:cs="宋体"/>
                <w:color w:val="auto"/>
                <w:sz w:val="24"/>
                <w:highlight w:val="none"/>
                <w:woUserID w:val="1"/>
              </w:rPr>
              <w:t>4</w:t>
            </w:r>
            <w:r>
              <w:rPr>
                <w:rFonts w:hint="eastAsia" w:ascii="宋体" w:hAnsi="宋体" w:cs="宋体"/>
                <w:color w:val="auto"/>
                <w:sz w:val="24"/>
                <w:highlight w:val="none"/>
              </w:rPr>
              <w:t>名技术人员常驻采购人现场。承诺得5分，不承诺不得分（5分）。</w:t>
            </w:r>
          </w:p>
        </w:tc>
        <w:tc>
          <w:tcPr>
            <w:tcW w:w="665" w:type="dxa"/>
            <w:noWrap w:val="0"/>
            <w:vAlign w:val="center"/>
          </w:tcPr>
          <w:p w14:paraId="4D15DA74">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8</w:t>
            </w:r>
          </w:p>
        </w:tc>
        <w:tc>
          <w:tcPr>
            <w:tcW w:w="829" w:type="dxa"/>
            <w:noWrap w:val="0"/>
            <w:vAlign w:val="center"/>
          </w:tcPr>
          <w:p w14:paraId="023D523A">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423" w:type="dxa"/>
            <w:noWrap w:val="0"/>
            <w:vAlign w:val="center"/>
          </w:tcPr>
          <w:p w14:paraId="5996B9BD">
            <w:pPr>
              <w:shd w:val="clear" w:color="auto" w:fill="auto"/>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十一</w:t>
            </w:r>
            <w:r>
              <w:rPr>
                <w:rFonts w:hint="eastAsia" w:ascii="宋体" w:hAnsi="宋体" w:cs="仿宋_GB2312"/>
                <w:color w:val="auto"/>
                <w:sz w:val="24"/>
                <w:highlight w:val="none"/>
              </w:rPr>
              <w:t>）售后服务方案</w:t>
            </w:r>
          </w:p>
        </w:tc>
      </w:tr>
      <w:tr w14:paraId="6BF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224581BB">
            <w:pPr>
              <w:shd w:val="clear" w:color="auto" w:fill="auto"/>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488" w:type="dxa"/>
            <w:noWrap w:val="0"/>
            <w:vAlign w:val="top"/>
          </w:tcPr>
          <w:p w14:paraId="5B2010C7">
            <w:pPr>
              <w:shd w:val="clear" w:color="auto" w:fill="auto"/>
              <w:snapToGrid w:val="0"/>
              <w:spacing w:line="360" w:lineRule="auto"/>
              <w:ind w:left="0" w:leftChars="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w:t>
            </w:r>
            <w:r>
              <w:rPr>
                <w:rFonts w:hint="eastAsia" w:ascii="宋体" w:hAnsi="宋体" w:cs="宋体"/>
                <w:color w:val="auto"/>
                <w:sz w:val="24"/>
                <w:szCs w:val="24"/>
                <w:highlight w:val="none"/>
                <w:lang w:val="en-US" w:eastAsia="zh-CN"/>
              </w:rPr>
              <w:t>需</w:t>
            </w:r>
            <w:r>
              <w:rPr>
                <w:rFonts w:hint="eastAsia" w:ascii="宋体" w:hAnsi="宋体" w:cs="宋体"/>
                <w:color w:val="auto"/>
                <w:sz w:val="24"/>
                <w:szCs w:val="24"/>
                <w:highlight w:val="none"/>
                <w:lang w:val="zh-CN"/>
              </w:rPr>
              <w:t>从</w:t>
            </w:r>
            <w:r>
              <w:rPr>
                <w:rFonts w:hint="eastAsia" w:ascii="宋体" w:hAnsi="宋体" w:cs="宋体"/>
                <w:color w:val="auto"/>
                <w:sz w:val="24"/>
                <w:szCs w:val="24"/>
                <w:highlight w:val="none"/>
                <w:lang w:val="en-US" w:eastAsia="zh-CN"/>
              </w:rPr>
              <w:t>以下三个方面</w:t>
            </w:r>
            <w:r>
              <w:rPr>
                <w:rFonts w:hint="eastAsia" w:ascii="宋体" w:hAnsi="宋体" w:cs="宋体"/>
                <w:color w:val="auto"/>
                <w:sz w:val="24"/>
                <w:szCs w:val="24"/>
                <w:highlight w:val="none"/>
                <w:lang w:val="zh-CN"/>
              </w:rPr>
              <w:t>设计</w:t>
            </w:r>
            <w:r>
              <w:rPr>
                <w:rFonts w:hint="eastAsia" w:ascii="宋体" w:hAnsi="宋体" w:cs="宋体"/>
                <w:color w:val="auto"/>
                <w:sz w:val="24"/>
                <w:szCs w:val="24"/>
                <w:highlight w:val="none"/>
                <w:lang w:val="en-US" w:eastAsia="zh-CN"/>
              </w:rPr>
              <w:t>规划系统安全设计：</w:t>
            </w:r>
            <w:r>
              <w:rPr>
                <w:rFonts w:hint="eastAsia" w:ascii="宋体" w:hAnsi="宋体" w:cs="宋体"/>
                <w:color w:val="auto"/>
                <w:sz w:val="24"/>
                <w:highlight w:val="none"/>
              </w:rPr>
              <w:t>●</w:t>
            </w:r>
            <w:r>
              <w:rPr>
                <w:rFonts w:hint="eastAsia" w:ascii="宋体" w:hAnsi="宋体" w:cs="宋体"/>
                <w:color w:val="auto"/>
                <w:sz w:val="24"/>
                <w:szCs w:val="24"/>
                <w:highlight w:val="none"/>
                <w:lang w:val="zh-CN"/>
              </w:rPr>
              <w:t>安全策略</w:t>
            </w:r>
            <w:r>
              <w:rPr>
                <w:rFonts w:hint="eastAsia" w:ascii="宋体" w:hAnsi="宋体" w:cs="宋体"/>
                <w:color w:val="auto"/>
                <w:sz w:val="24"/>
                <w:szCs w:val="24"/>
                <w:highlight w:val="none"/>
                <w:lang w:val="en-US" w:eastAsia="zh-CN"/>
              </w:rPr>
              <w:t>科学合理，符合采购人实际需求，能够切实保障采购人业务系统安全的视为符合。符合</w:t>
            </w:r>
            <w:r>
              <w:rPr>
                <w:rFonts w:hint="eastAsia" w:ascii="宋体" w:hAnsi="宋体" w:cs="宋体"/>
                <w:color w:val="auto"/>
                <w:sz w:val="24"/>
                <w:szCs w:val="24"/>
                <w:highlight w:val="none"/>
                <w:lang w:val="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分，部分</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lang w:val="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分，不</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lang w:val="zh-CN"/>
              </w:rPr>
              <w:t>不得分。</w:t>
            </w:r>
          </w:p>
          <w:p w14:paraId="23B5F237">
            <w:pPr>
              <w:shd w:val="clear" w:color="auto" w:fill="auto"/>
              <w:snapToGrid w:val="0"/>
              <w:spacing w:line="360" w:lineRule="auto"/>
              <w:ind w:left="0" w:leftChars="0" w:firstLineChars="0"/>
              <w:jc w:val="left"/>
              <w:rPr>
                <w:rFonts w:hint="eastAsia" w:cs="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szCs w:val="24"/>
                <w:highlight w:val="none"/>
                <w:lang w:val="zh-CN"/>
              </w:rPr>
              <w:t>系统安全风险分析</w:t>
            </w:r>
            <w:r>
              <w:rPr>
                <w:rFonts w:hint="eastAsia" w:cs="宋体"/>
                <w:color w:val="auto"/>
                <w:sz w:val="24"/>
                <w:szCs w:val="24"/>
                <w:highlight w:val="none"/>
                <w:lang w:val="en-US" w:eastAsia="zh-CN"/>
              </w:rPr>
              <w:t>内容深入具体，贴近采购人业务系统实际，对采购人系统安全风险理解准确，并能够针对性提出解决方案。符合得3分，部分符合得1分，不符合不得分。</w:t>
            </w:r>
          </w:p>
          <w:p w14:paraId="3C21130F">
            <w:pPr>
              <w:shd w:val="clear" w:color="auto" w:fill="auto"/>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zh-CN"/>
              </w:rPr>
              <w:t>系统安全防护</w:t>
            </w:r>
            <w:r>
              <w:rPr>
                <w:rFonts w:hint="eastAsia" w:ascii="宋体" w:hAnsi="宋体" w:cs="宋体"/>
                <w:color w:val="auto"/>
                <w:sz w:val="24"/>
                <w:szCs w:val="24"/>
                <w:highlight w:val="none"/>
                <w:lang w:val="en-US" w:eastAsia="zh-CN"/>
              </w:rPr>
              <w:t>措施有效，方案合理，可行性强，满足采购人需求的视为符合。符合</w:t>
            </w:r>
            <w:r>
              <w:rPr>
                <w:rFonts w:hint="eastAsia" w:ascii="宋体" w:hAnsi="宋体" w:cs="宋体"/>
                <w:color w:val="auto"/>
                <w:sz w:val="24"/>
                <w:szCs w:val="24"/>
                <w:highlight w:val="none"/>
                <w:lang w:val="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分，部分</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lang w:val="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分，不</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lang w:val="zh-CN"/>
              </w:rPr>
              <w:t>不得分。</w:t>
            </w:r>
          </w:p>
        </w:tc>
        <w:tc>
          <w:tcPr>
            <w:tcW w:w="665" w:type="dxa"/>
            <w:noWrap w:val="0"/>
            <w:vAlign w:val="center"/>
          </w:tcPr>
          <w:p w14:paraId="47643506">
            <w:pPr>
              <w:shd w:val="clear" w:color="auto" w:fill="auto"/>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829" w:type="dxa"/>
            <w:noWrap w:val="0"/>
            <w:vAlign w:val="center"/>
          </w:tcPr>
          <w:p w14:paraId="5586678F">
            <w:pPr>
              <w:shd w:val="clear" w:color="auto" w:fill="auto"/>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主</w:t>
            </w:r>
            <w:r>
              <w:rPr>
                <w:rFonts w:hint="eastAsia" w:ascii="宋体" w:hAnsi="宋体" w:cs="仿宋_GB2312"/>
                <w:color w:val="auto"/>
                <w:sz w:val="24"/>
                <w:highlight w:val="none"/>
              </w:rPr>
              <w:t>观分</w:t>
            </w:r>
          </w:p>
        </w:tc>
        <w:tc>
          <w:tcPr>
            <w:tcW w:w="1423" w:type="dxa"/>
            <w:noWrap w:val="0"/>
            <w:vAlign w:val="center"/>
          </w:tcPr>
          <w:p w14:paraId="71EB956B">
            <w:pPr>
              <w:shd w:val="clear" w:color="auto" w:fill="auto"/>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（十二）系统安全</w:t>
            </w:r>
          </w:p>
        </w:tc>
      </w:tr>
      <w:tr w14:paraId="5111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0" w:type="dxa"/>
            <w:noWrap w:val="0"/>
            <w:vAlign w:val="center"/>
          </w:tcPr>
          <w:p w14:paraId="67AF3A95">
            <w:pPr>
              <w:shd w:val="clear" w:color="auto" w:fill="auto"/>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4</w:t>
            </w:r>
          </w:p>
        </w:tc>
        <w:tc>
          <w:tcPr>
            <w:tcW w:w="5488" w:type="dxa"/>
            <w:noWrap w:val="0"/>
            <w:vAlign w:val="top"/>
          </w:tcPr>
          <w:p w14:paraId="6EB1B04B">
            <w:pPr>
              <w:shd w:val="clear" w:color="auto" w:fill="auto"/>
              <w:snapToGrid w:val="0"/>
              <w:spacing w:line="360" w:lineRule="auto"/>
              <w:jc w:val="left"/>
              <w:outlineLvl w:val="0"/>
              <w:rPr>
                <w:rFonts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w:t>
            </w:r>
            <w:r>
              <w:rPr>
                <w:rFonts w:ascii="宋体" w:hAnsi="宋体" w:cs="仿宋_GB2312"/>
                <w:color w:val="auto"/>
                <w:sz w:val="24"/>
                <w:highlight w:val="none"/>
              </w:rPr>
              <w:t>=（评标基准价/投标报价）*10］的计算公式计算。</w:t>
            </w:r>
          </w:p>
          <w:p w14:paraId="5E8CDAC9">
            <w:pPr>
              <w:widowControl/>
              <w:shd w:val="clear" w:color="auto" w:fill="auto"/>
              <w:snapToGrid w:val="0"/>
              <w:spacing w:after="225" w:line="360" w:lineRule="auto"/>
              <w:ind w:firstLine="420"/>
              <w:jc w:val="left"/>
              <w:rPr>
                <w:rFonts w:ascii="宋体" w:hAnsi="宋体"/>
                <w:color w:val="auto"/>
                <w:sz w:val="24"/>
                <w:highlight w:val="none"/>
              </w:rPr>
            </w:pPr>
            <w:r>
              <w:rPr>
                <w:rFonts w:ascii="宋体" w:hAnsi="宋体" w:cs="仿宋_GB2312"/>
                <w:color w:val="auto"/>
                <w:sz w:val="24"/>
                <w:highlight w:val="none"/>
              </w:rPr>
              <w:t>评标过程中，不得去掉报价中的最高报价和最低报价。</w:t>
            </w:r>
          </w:p>
        </w:tc>
        <w:tc>
          <w:tcPr>
            <w:tcW w:w="665" w:type="dxa"/>
            <w:noWrap w:val="0"/>
            <w:vAlign w:val="center"/>
          </w:tcPr>
          <w:p w14:paraId="6105F3EF">
            <w:pPr>
              <w:shd w:val="clear" w:color="auto" w:fill="auto"/>
              <w:spacing w:line="360" w:lineRule="auto"/>
              <w:jc w:val="center"/>
              <w:outlineLvl w:val="0"/>
              <w:rPr>
                <w:rFonts w:ascii="宋体" w:hAnsi="宋体" w:cs="仿宋_GB2312"/>
                <w:color w:val="auto"/>
                <w:sz w:val="24"/>
                <w:highlight w:val="none"/>
              </w:rPr>
            </w:pPr>
            <w:r>
              <w:rPr>
                <w:rFonts w:hint="eastAsia" w:ascii="宋体" w:hAnsi="宋体" w:cs="仿宋_GB2312"/>
                <w:color w:val="auto"/>
                <w:sz w:val="24"/>
                <w:highlight w:val="none"/>
              </w:rPr>
              <w:t>10</w:t>
            </w:r>
          </w:p>
        </w:tc>
        <w:tc>
          <w:tcPr>
            <w:tcW w:w="829" w:type="dxa"/>
            <w:noWrap w:val="0"/>
            <w:vAlign w:val="center"/>
          </w:tcPr>
          <w:p w14:paraId="3CAAAF20">
            <w:pPr>
              <w:shd w:val="clear" w:color="auto" w:fill="auto"/>
              <w:spacing w:line="360" w:lineRule="auto"/>
              <w:jc w:val="center"/>
              <w:outlineLvl w:val="0"/>
              <w:rPr>
                <w:rFonts w:ascii="宋体" w:hAnsi="宋体" w:cs="仿宋_GB2312"/>
                <w:color w:val="auto"/>
                <w:sz w:val="24"/>
                <w:highlight w:val="none"/>
              </w:rPr>
            </w:pPr>
            <w:r>
              <w:rPr>
                <w:rFonts w:hint="eastAsia" w:ascii="宋体" w:hAnsi="宋体" w:cs="仿宋_GB2312"/>
                <w:color w:val="auto"/>
                <w:sz w:val="24"/>
                <w:highlight w:val="none"/>
              </w:rPr>
              <w:t>客观分</w:t>
            </w:r>
          </w:p>
        </w:tc>
        <w:tc>
          <w:tcPr>
            <w:tcW w:w="1423" w:type="dxa"/>
            <w:noWrap w:val="0"/>
            <w:vAlign w:val="center"/>
          </w:tcPr>
          <w:p w14:paraId="16BF146E">
            <w:pPr>
              <w:shd w:val="clear" w:color="auto" w:fill="auto"/>
              <w:snapToGrid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w:t>
            </w:r>
          </w:p>
        </w:tc>
      </w:tr>
    </w:tbl>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8"/>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EB0814F">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3"/>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8"/>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EBF39C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杭州市行政审批服务管理办公室</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HZZFCG-2025-137</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杭州市行政审批服务管理办公室</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6" w:name="_Toc10340"/>
      <w:bookmarkStart w:id="397" w:name="_Toc1814"/>
      <w:bookmarkStart w:id="398" w:name="_Toc22618"/>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8"/>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8"/>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9" w:name="_Toc15583"/>
      <w:bookmarkStart w:id="400" w:name="_Toc28375"/>
      <w:bookmarkStart w:id="401" w:name="_Toc16021"/>
      <w:r>
        <w:rPr>
          <w:rFonts w:hint="eastAsia" w:ascii="宋体" w:hAnsi="宋体" w:cs="宋体"/>
          <w:b/>
          <w:color w:val="auto"/>
          <w:sz w:val="24"/>
          <w:highlight w:val="none"/>
        </w:rPr>
        <w:t>1.9合同争议的解决</w:t>
      </w:r>
      <w:bookmarkEnd w:id="399"/>
      <w:bookmarkEnd w:id="400"/>
      <w:bookmarkEnd w:id="401"/>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2" w:name="_Toc15322"/>
      <w:bookmarkStart w:id="403" w:name="_Toc7245"/>
      <w:bookmarkStart w:id="404"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7DEBA79">
      <w:pPr>
        <w:autoSpaceDE w:val="0"/>
        <w:autoSpaceDN w:val="0"/>
        <w:spacing w:line="560" w:lineRule="exact"/>
        <w:rPr>
          <w:rFonts w:ascii="宋体" w:hAnsi="宋体"/>
          <w:color w:val="auto"/>
          <w:sz w:val="24"/>
          <w:highlight w:val="none"/>
          <w:lang w:val="zh-CN"/>
        </w:rPr>
      </w:pP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5" w:name="_Toc30599"/>
      <w:bookmarkStart w:id="406" w:name="_Toc18540"/>
      <w:bookmarkStart w:id="407" w:name="_Toc4355"/>
      <w:r>
        <w:rPr>
          <w:rFonts w:hint="eastAsia" w:ascii="宋体" w:hAnsi="宋体" w:cs="宋体"/>
          <w:b/>
          <w:color w:val="auto"/>
          <w:sz w:val="24"/>
          <w:highlight w:val="none"/>
        </w:rPr>
        <w:t>2.18 计量单位</w:t>
      </w:r>
      <w:bookmarkEnd w:id="405"/>
      <w:bookmarkEnd w:id="406"/>
      <w:bookmarkEnd w:id="407"/>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A5C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37C6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DBD4E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D8D9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86C8424">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8149" w:type="dxa"/>
            <w:vAlign w:val="center"/>
          </w:tcPr>
          <w:p w14:paraId="1755478A">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01653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83D7C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097300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CD7E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89A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8149" w:type="dxa"/>
            <w:vAlign w:val="center"/>
          </w:tcPr>
          <w:p w14:paraId="16C65FD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9EA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6E27F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149" w:type="dxa"/>
            <w:vAlign w:val="center"/>
          </w:tcPr>
          <w:p w14:paraId="0793EF1E">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30D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CCEA3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149" w:type="dxa"/>
            <w:vAlign w:val="center"/>
          </w:tcPr>
          <w:p w14:paraId="2F6620FF">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775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B3D2E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6ADBE3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87E4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48EF6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2B85803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0A1D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42A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07D6E87">
            <w:pPr>
              <w:spacing w:line="360" w:lineRule="auto"/>
              <w:rPr>
                <w:rFonts w:ascii="宋体" w:hAnsi="宋体" w:cs="宋体"/>
                <w:color w:val="auto"/>
                <w:sz w:val="24"/>
                <w:highlight w:val="none"/>
              </w:rPr>
            </w:pPr>
            <w:r>
              <w:rPr>
                <w:rFonts w:hint="eastAsia"/>
                <w:color w:val="auto"/>
                <w:sz w:val="24"/>
                <w:szCs w:val="24"/>
                <w:highlight w:val="none"/>
              </w:rPr>
              <w:t>合同签订后</w:t>
            </w:r>
            <w:r>
              <w:rPr>
                <w:rFonts w:hint="eastAsia"/>
                <w:color w:val="auto"/>
                <w:sz w:val="24"/>
                <w:szCs w:val="24"/>
                <w:highlight w:val="none"/>
                <w:lang w:val="en-US" w:eastAsia="zh-CN"/>
              </w:rPr>
              <w:t>5个工作日</w:t>
            </w:r>
            <w:r>
              <w:rPr>
                <w:rFonts w:hint="eastAsia"/>
                <w:color w:val="auto"/>
                <w:sz w:val="24"/>
                <w:szCs w:val="24"/>
                <w:highlight w:val="none"/>
              </w:rPr>
              <w:t>内</w:t>
            </w:r>
            <w:r>
              <w:rPr>
                <w:rFonts w:hint="eastAsia"/>
                <w:color w:val="auto"/>
                <w:sz w:val="24"/>
                <w:szCs w:val="24"/>
                <w:highlight w:val="none"/>
                <w:lang w:val="en-US" w:eastAsia="zh-CN"/>
              </w:rPr>
              <w:t>支</w:t>
            </w:r>
            <w:r>
              <w:rPr>
                <w:rFonts w:hint="eastAsia" w:ascii="宋体" w:hAnsi="宋体" w:cs="仿宋_GB2312"/>
                <w:color w:val="auto"/>
                <w:sz w:val="24"/>
                <w:szCs w:val="24"/>
                <w:highlight w:val="none"/>
              </w:rPr>
              <w:t>付</w:t>
            </w:r>
            <w:r>
              <w:rPr>
                <w:rFonts w:hint="eastAsia" w:ascii="宋体" w:hAnsi="宋体" w:cs="仿宋_GB2312"/>
                <w:color w:val="auto"/>
                <w:sz w:val="24"/>
                <w:szCs w:val="24"/>
                <w:highlight w:val="none"/>
                <w:lang w:val="en-US" w:eastAsia="zh-CN"/>
              </w:rPr>
              <w:t>合同价款的</w:t>
            </w:r>
            <w:r>
              <w:rPr>
                <w:rFonts w:hint="eastAsia"/>
                <w:color w:val="auto"/>
                <w:sz w:val="24"/>
                <w:szCs w:val="24"/>
                <w:highlight w:val="none"/>
              </w:rPr>
              <w:t>50%</w:t>
            </w:r>
            <w:r>
              <w:rPr>
                <w:rFonts w:hint="eastAsia"/>
                <w:color w:val="auto"/>
                <w:sz w:val="24"/>
                <w:szCs w:val="24"/>
                <w:highlight w:val="none"/>
                <w:lang w:eastAsia="zh-CN"/>
              </w:rPr>
              <w:t>的预付款。</w:t>
            </w:r>
          </w:p>
        </w:tc>
      </w:tr>
      <w:tr w14:paraId="74C5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F1CC2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9D2830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98D5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355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449F2E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AA89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C64D8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121452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同2.5条</w:t>
            </w:r>
          </w:p>
        </w:tc>
      </w:tr>
      <w:tr w14:paraId="53790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DD71C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0BFFDEF">
            <w:pPr>
              <w:spacing w:line="360" w:lineRule="auto"/>
              <w:rPr>
                <w:rFonts w:ascii="宋体" w:hAnsi="宋体" w:cs="宋体"/>
                <w:color w:val="auto"/>
                <w:sz w:val="24"/>
                <w:highlight w:val="none"/>
              </w:rPr>
            </w:pPr>
            <w:r>
              <w:rPr>
                <w:rFonts w:hint="eastAsia" w:ascii="宋体" w:hAnsi="宋体"/>
                <w:color w:val="auto"/>
                <w:sz w:val="24"/>
                <w:highlight w:val="none"/>
                <w:u w:val="none"/>
                <w:lang w:val="en-US" w:eastAsia="zh-CN"/>
              </w:rPr>
              <w:t>服务交付时间：</w:t>
            </w: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年12月</w:t>
            </w:r>
            <w:r>
              <w:rPr>
                <w:rFonts w:hint="default" w:ascii="宋体" w:hAnsi="宋体"/>
                <w:color w:val="auto"/>
                <w:sz w:val="24"/>
                <w:highlight w:val="none"/>
                <w:u w:val="none"/>
                <w:woUserID w:val="1"/>
              </w:rPr>
              <w:t>3</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日前</w:t>
            </w:r>
          </w:p>
        </w:tc>
      </w:tr>
      <w:tr w14:paraId="7D37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EEDA3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0408B9D">
            <w:pPr>
              <w:spacing w:line="360" w:lineRule="auto"/>
              <w:rPr>
                <w:rFonts w:ascii="宋体" w:hAnsi="宋体" w:cs="宋体"/>
                <w:color w:val="auto"/>
                <w:sz w:val="24"/>
                <w:highlight w:val="none"/>
              </w:rPr>
            </w:pPr>
            <w:r>
              <w:rPr>
                <w:rFonts w:hint="eastAsia" w:ascii="宋体" w:hAnsi="宋体"/>
                <w:color w:val="auto"/>
                <w:sz w:val="24"/>
                <w:highlight w:val="none"/>
                <w:u w:val="none"/>
                <w:lang w:val="en-US" w:eastAsia="zh-CN"/>
              </w:rPr>
              <w:t>服务</w:t>
            </w:r>
            <w:r>
              <w:rPr>
                <w:rFonts w:hint="eastAsia" w:ascii="宋体" w:hAnsi="宋体" w:cs="宋体"/>
                <w:color w:val="auto"/>
                <w:sz w:val="24"/>
                <w:highlight w:val="none"/>
                <w:lang w:val="en-US" w:eastAsia="zh-CN"/>
              </w:rPr>
              <w:t>交付地点：杭州市</w:t>
            </w:r>
          </w:p>
        </w:tc>
      </w:tr>
      <w:tr w14:paraId="040B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88160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281357B5">
            <w:pPr>
              <w:spacing w:line="360" w:lineRule="auto"/>
              <w:rPr>
                <w:rFonts w:ascii="宋体" w:hAnsi="宋体" w:cs="宋体"/>
                <w:color w:val="auto"/>
                <w:sz w:val="24"/>
                <w:highlight w:val="none"/>
              </w:rPr>
            </w:pPr>
            <w:r>
              <w:rPr>
                <w:rFonts w:hint="eastAsia" w:ascii="宋体" w:hAnsi="宋体"/>
                <w:color w:val="auto"/>
                <w:sz w:val="24"/>
                <w:highlight w:val="none"/>
                <w:u w:val="none"/>
                <w:lang w:val="en-US" w:eastAsia="zh-CN"/>
              </w:rPr>
              <w:t>服务</w:t>
            </w:r>
            <w:r>
              <w:rPr>
                <w:rFonts w:hint="eastAsia" w:ascii="宋体" w:hAnsi="宋体" w:cs="宋体"/>
                <w:color w:val="auto"/>
                <w:sz w:val="24"/>
                <w:highlight w:val="none"/>
                <w:lang w:val="en-US" w:eastAsia="zh-CN"/>
              </w:rPr>
              <w:t>交付方式：系统部署上线并完成试运行1个月</w:t>
            </w:r>
          </w:p>
        </w:tc>
      </w:tr>
      <w:tr w14:paraId="0A920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88D4F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13D47B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0CF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23EF7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F6D9B4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657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2C69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5841B5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B63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58904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2CCC97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EF16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9963E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149" w:type="dxa"/>
            <w:vAlign w:val="center"/>
          </w:tcPr>
          <w:p w14:paraId="0FA1115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合同争议</w:t>
            </w:r>
            <w:r>
              <w:rPr>
                <w:rFonts w:hint="eastAsia" w:ascii="宋体" w:hAnsi="宋体" w:cs="宋体"/>
                <w:color w:val="auto"/>
                <w:sz w:val="24"/>
                <w:highlight w:val="none"/>
              </w:rPr>
              <w:t>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1.9.1</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tc>
      </w:tr>
      <w:tr w14:paraId="578A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E59F7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D31E978">
            <w:pPr>
              <w:spacing w:line="360" w:lineRule="auto"/>
              <w:rPr>
                <w:rFonts w:ascii="宋体" w:hAnsi="宋体" w:cs="宋体"/>
                <w:color w:val="auto"/>
                <w:sz w:val="24"/>
                <w:highlight w:val="none"/>
              </w:rPr>
            </w:pPr>
            <w:r>
              <w:rPr>
                <w:rFonts w:hint="eastAsia" w:ascii="宋体" w:hAnsi="宋体" w:cs="宋体"/>
                <w:color w:val="auto"/>
                <w:sz w:val="24"/>
                <w:highlight w:val="none"/>
              </w:rPr>
              <w:t>将争议提交</w:t>
            </w:r>
            <w:r>
              <w:rPr>
                <w:rFonts w:hint="eastAsia" w:ascii="宋体" w:hAnsi="宋体" w:cs="宋体"/>
                <w:color w:val="auto"/>
                <w:sz w:val="24"/>
                <w:highlight w:val="none"/>
                <w:lang w:val="en-US" w:eastAsia="zh-CN"/>
              </w:rPr>
              <w:t>甲方所在地</w:t>
            </w:r>
            <w:r>
              <w:rPr>
                <w:rFonts w:hint="eastAsia" w:ascii="宋体" w:hAnsi="宋体" w:cs="宋体"/>
                <w:color w:val="auto"/>
                <w:sz w:val="24"/>
                <w:highlight w:val="none"/>
              </w:rPr>
              <w:t>仲裁委员会依申请仲裁时其现行有效的仲裁规则裁决</w:t>
            </w:r>
          </w:p>
        </w:tc>
      </w:tr>
      <w:tr w14:paraId="0EC8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7BF65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95A74C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E53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35EFF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6EDEDC2">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olor w:val="auto"/>
                <w:sz w:val="24"/>
                <w:highlight w:val="none"/>
                <w:lang w:val="en-US" w:eastAsia="zh-CN"/>
              </w:rPr>
              <w:t>本</w:t>
            </w:r>
            <w:r>
              <w:rPr>
                <w:rFonts w:hint="eastAsia" w:ascii="宋体" w:hAnsi="宋体"/>
                <w:color w:val="auto"/>
                <w:sz w:val="24"/>
                <w:highlight w:val="none"/>
              </w:rPr>
              <w:t>合同涉及技术成果和收益</w:t>
            </w:r>
            <w:r>
              <w:rPr>
                <w:rFonts w:hint="eastAsia" w:ascii="宋体" w:hAnsi="宋体"/>
                <w:color w:val="auto"/>
                <w:sz w:val="24"/>
                <w:highlight w:val="none"/>
                <w:lang w:val="en-US" w:eastAsia="zh-CN"/>
              </w:rPr>
              <w:t>均</w:t>
            </w:r>
            <w:r>
              <w:rPr>
                <w:rFonts w:hint="eastAsia"/>
                <w:color w:val="auto"/>
                <w:sz w:val="24"/>
                <w:szCs w:val="24"/>
                <w:highlight w:val="none"/>
                <w:lang w:val="en-US" w:eastAsia="zh-CN"/>
              </w:rPr>
              <w:t>归甲方所有</w:t>
            </w:r>
          </w:p>
        </w:tc>
      </w:tr>
      <w:tr w14:paraId="569E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E3F13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2DF42392">
            <w:pPr>
              <w:spacing w:line="360" w:lineRule="auto"/>
              <w:ind w:left="0" w:leftChars="0" w:right="0" w:rightChars="0" w:firstLine="0" w:firstLineChars="0"/>
              <w:rPr>
                <w:rFonts w:hint="eastAsia"/>
                <w:color w:val="auto"/>
                <w:sz w:val="24"/>
                <w:szCs w:val="24"/>
                <w:highlight w:val="none"/>
                <w:lang w:eastAsia="zh-CN"/>
              </w:rPr>
            </w:pPr>
            <w:r>
              <w:rPr>
                <w:rFonts w:hint="eastAsia" w:ascii="宋体" w:hAnsi="宋体" w:cs="宋体"/>
                <w:color w:val="auto"/>
                <w:kern w:val="0"/>
                <w:sz w:val="24"/>
                <w:highlight w:val="none"/>
                <w:lang w:bidi="ar"/>
              </w:rPr>
              <w:t>第一笔付款：</w:t>
            </w:r>
            <w:r>
              <w:rPr>
                <w:rFonts w:hint="eastAsia"/>
                <w:color w:val="auto"/>
                <w:sz w:val="24"/>
                <w:szCs w:val="24"/>
                <w:highlight w:val="none"/>
              </w:rPr>
              <w:t>合同签订后</w:t>
            </w:r>
            <w:r>
              <w:rPr>
                <w:rFonts w:hint="eastAsia"/>
                <w:color w:val="auto"/>
                <w:sz w:val="24"/>
                <w:szCs w:val="24"/>
                <w:highlight w:val="none"/>
                <w:lang w:val="en-US" w:eastAsia="zh-CN"/>
              </w:rPr>
              <w:t>5个工作日</w:t>
            </w:r>
            <w:r>
              <w:rPr>
                <w:rFonts w:hint="eastAsia"/>
                <w:color w:val="auto"/>
                <w:sz w:val="24"/>
                <w:szCs w:val="24"/>
                <w:highlight w:val="none"/>
              </w:rPr>
              <w:t>内</w:t>
            </w:r>
            <w:r>
              <w:rPr>
                <w:rFonts w:hint="eastAsia"/>
                <w:color w:val="auto"/>
                <w:sz w:val="24"/>
                <w:szCs w:val="24"/>
                <w:highlight w:val="none"/>
                <w:lang w:val="en-US" w:eastAsia="zh-CN"/>
              </w:rPr>
              <w:t>支</w:t>
            </w:r>
            <w:r>
              <w:rPr>
                <w:rFonts w:hint="eastAsia" w:ascii="宋体" w:hAnsi="宋体" w:cs="仿宋_GB2312"/>
                <w:color w:val="auto"/>
                <w:sz w:val="24"/>
                <w:szCs w:val="24"/>
                <w:highlight w:val="none"/>
              </w:rPr>
              <w:t>付</w:t>
            </w:r>
            <w:r>
              <w:rPr>
                <w:rFonts w:hint="eastAsia" w:ascii="宋体" w:hAnsi="宋体" w:cs="仿宋_GB2312"/>
                <w:color w:val="auto"/>
                <w:sz w:val="24"/>
                <w:szCs w:val="24"/>
                <w:highlight w:val="none"/>
                <w:lang w:val="en-US" w:eastAsia="zh-CN"/>
              </w:rPr>
              <w:t>合同价款的</w:t>
            </w:r>
            <w:r>
              <w:rPr>
                <w:rFonts w:hint="eastAsia"/>
                <w:color w:val="auto"/>
                <w:sz w:val="24"/>
                <w:szCs w:val="24"/>
                <w:highlight w:val="none"/>
              </w:rPr>
              <w:t>50%</w:t>
            </w:r>
            <w:r>
              <w:rPr>
                <w:rFonts w:hint="eastAsia"/>
                <w:color w:val="auto"/>
                <w:sz w:val="24"/>
                <w:szCs w:val="24"/>
                <w:highlight w:val="none"/>
                <w:lang w:eastAsia="zh-CN"/>
              </w:rPr>
              <w:t>的预付款；</w:t>
            </w:r>
          </w:p>
          <w:p w14:paraId="59B53DF4">
            <w:pPr>
              <w:spacing w:line="360" w:lineRule="auto"/>
              <w:ind w:left="0" w:leftChars="0" w:right="0" w:rightChars="0" w:firstLine="0" w:firstLineChars="0"/>
              <w:rPr>
                <w:rFonts w:hint="eastAsia"/>
                <w:color w:val="auto"/>
                <w:sz w:val="24"/>
                <w:szCs w:val="24"/>
                <w:highlight w:val="none"/>
                <w:lang w:eastAsia="zh-CN"/>
              </w:rPr>
            </w:pPr>
            <w:r>
              <w:rPr>
                <w:rFonts w:hint="eastAsia" w:ascii="宋体" w:hAnsi="宋体" w:cs="宋体"/>
                <w:color w:val="auto"/>
                <w:kern w:val="0"/>
                <w:sz w:val="24"/>
                <w:highlight w:val="none"/>
                <w:lang w:bidi="ar"/>
              </w:rPr>
              <w:t>第二笔付款：</w:t>
            </w:r>
            <w:r>
              <w:rPr>
                <w:rFonts w:hint="eastAsia"/>
                <w:color w:val="auto"/>
                <w:sz w:val="24"/>
                <w:szCs w:val="24"/>
                <w:highlight w:val="none"/>
              </w:rPr>
              <w:t>项目初步完成建设后，</w:t>
            </w:r>
            <w:r>
              <w:rPr>
                <w:rFonts w:hint="eastAsia"/>
                <w:color w:val="auto"/>
                <w:sz w:val="24"/>
                <w:szCs w:val="24"/>
                <w:highlight w:val="none"/>
                <w:lang w:val="en-US" w:eastAsia="zh-CN"/>
              </w:rPr>
              <w:t>甲方</w:t>
            </w:r>
            <w:r>
              <w:rPr>
                <w:rFonts w:hint="eastAsia"/>
                <w:color w:val="auto"/>
                <w:sz w:val="24"/>
                <w:szCs w:val="24"/>
                <w:highlight w:val="none"/>
              </w:rPr>
              <w:t>对项目执行情况进行初验，经初验合格</w:t>
            </w:r>
            <w:r>
              <w:rPr>
                <w:rFonts w:hint="eastAsia"/>
                <w:color w:val="auto"/>
                <w:sz w:val="24"/>
                <w:szCs w:val="24"/>
                <w:highlight w:val="none"/>
                <w:lang w:val="en-US" w:eastAsia="zh-CN"/>
              </w:rPr>
              <w:t>支</w:t>
            </w:r>
            <w:r>
              <w:rPr>
                <w:rFonts w:hint="eastAsia" w:ascii="宋体" w:hAnsi="宋体" w:cs="仿宋_GB2312"/>
                <w:color w:val="auto"/>
                <w:sz w:val="24"/>
                <w:szCs w:val="24"/>
                <w:highlight w:val="none"/>
              </w:rPr>
              <w:t>付</w:t>
            </w:r>
            <w:r>
              <w:rPr>
                <w:rFonts w:hint="eastAsia" w:ascii="宋体" w:hAnsi="宋体" w:cs="仿宋_GB2312"/>
                <w:color w:val="auto"/>
                <w:sz w:val="24"/>
                <w:szCs w:val="24"/>
                <w:highlight w:val="none"/>
                <w:lang w:val="en-US" w:eastAsia="zh-CN"/>
              </w:rPr>
              <w:t>合同价款的</w:t>
            </w:r>
            <w:r>
              <w:rPr>
                <w:rFonts w:hint="eastAsia"/>
                <w:color w:val="auto"/>
                <w:sz w:val="24"/>
                <w:szCs w:val="24"/>
                <w:highlight w:val="none"/>
              </w:rPr>
              <w:t>30%</w:t>
            </w:r>
            <w:r>
              <w:rPr>
                <w:rFonts w:hint="eastAsia"/>
                <w:color w:val="auto"/>
                <w:sz w:val="24"/>
                <w:szCs w:val="24"/>
                <w:highlight w:val="none"/>
                <w:lang w:eastAsia="zh-CN"/>
              </w:rPr>
              <w:t>；</w:t>
            </w:r>
          </w:p>
          <w:p w14:paraId="2C14BD32">
            <w:pPr>
              <w:spacing w:line="360" w:lineRule="auto"/>
              <w:ind w:left="0" w:leftChars="0" w:right="0" w:rightChars="0" w:firstLine="0" w:firstLineChars="0"/>
              <w:rPr>
                <w:rFonts w:ascii="宋体" w:hAnsi="宋体" w:cs="宋体"/>
                <w:color w:val="auto"/>
                <w:sz w:val="24"/>
                <w:highlight w:val="none"/>
              </w:rPr>
            </w:pPr>
            <w:r>
              <w:rPr>
                <w:rFonts w:hint="eastAsia" w:ascii="宋体" w:hAnsi="宋体" w:cs="宋体"/>
                <w:color w:val="auto"/>
                <w:kern w:val="0"/>
                <w:sz w:val="24"/>
                <w:highlight w:val="none"/>
                <w:lang w:bidi="ar"/>
              </w:rPr>
              <w:t>第三笔付款：</w:t>
            </w:r>
            <w:r>
              <w:rPr>
                <w:rFonts w:hint="eastAsia"/>
                <w:color w:val="auto"/>
                <w:sz w:val="24"/>
                <w:szCs w:val="24"/>
                <w:highlight w:val="none"/>
              </w:rPr>
              <w:t>项目建设完成后，</w:t>
            </w:r>
            <w:r>
              <w:rPr>
                <w:rFonts w:hint="eastAsia"/>
                <w:color w:val="auto"/>
                <w:sz w:val="24"/>
                <w:szCs w:val="24"/>
                <w:highlight w:val="none"/>
                <w:lang w:val="en-US" w:eastAsia="zh-CN"/>
              </w:rPr>
              <w:t>甲</w:t>
            </w:r>
            <w:r>
              <w:rPr>
                <w:rFonts w:hint="eastAsia"/>
                <w:color w:val="auto"/>
                <w:sz w:val="24"/>
                <w:szCs w:val="24"/>
                <w:highlight w:val="none"/>
              </w:rPr>
              <w:t>方对项目执行情况进行终验，项目执行情况良好，无质量和服务问题，经终验合格，试运行</w:t>
            </w:r>
            <w:r>
              <w:rPr>
                <w:rFonts w:hint="eastAsia"/>
                <w:color w:val="auto"/>
                <w:sz w:val="24"/>
                <w:szCs w:val="24"/>
                <w:highlight w:val="none"/>
                <w:lang w:val="en-US" w:eastAsia="zh-CN"/>
              </w:rPr>
              <w:t>三</w:t>
            </w:r>
            <w:r>
              <w:rPr>
                <w:rFonts w:hint="eastAsia"/>
                <w:color w:val="auto"/>
                <w:sz w:val="24"/>
                <w:szCs w:val="24"/>
                <w:highlight w:val="none"/>
              </w:rPr>
              <w:t>个月后</w:t>
            </w:r>
            <w:r>
              <w:rPr>
                <w:rFonts w:hint="eastAsia"/>
                <w:color w:val="auto"/>
                <w:sz w:val="24"/>
                <w:szCs w:val="24"/>
                <w:highlight w:val="none"/>
                <w:lang w:val="en-US" w:eastAsia="zh-CN"/>
              </w:rPr>
              <w:t>支</w:t>
            </w:r>
            <w:r>
              <w:rPr>
                <w:rFonts w:hint="eastAsia" w:ascii="宋体" w:hAnsi="宋体" w:cs="仿宋_GB2312"/>
                <w:color w:val="auto"/>
                <w:sz w:val="24"/>
                <w:szCs w:val="24"/>
                <w:highlight w:val="none"/>
              </w:rPr>
              <w:t>付</w:t>
            </w:r>
            <w:r>
              <w:rPr>
                <w:rFonts w:hint="eastAsia" w:ascii="宋体" w:hAnsi="宋体" w:cs="仿宋_GB2312"/>
                <w:color w:val="auto"/>
                <w:sz w:val="24"/>
                <w:szCs w:val="24"/>
                <w:highlight w:val="none"/>
                <w:lang w:val="en-US" w:eastAsia="zh-CN"/>
              </w:rPr>
              <w:t>合同价款的</w:t>
            </w:r>
            <w:r>
              <w:rPr>
                <w:rFonts w:hint="eastAsia"/>
                <w:color w:val="auto"/>
                <w:sz w:val="24"/>
                <w:szCs w:val="24"/>
                <w:highlight w:val="none"/>
                <w:lang w:val="en-US" w:eastAsia="zh-CN"/>
              </w:rPr>
              <w:t>20</w:t>
            </w:r>
            <w:r>
              <w:rPr>
                <w:rFonts w:hint="eastAsia"/>
                <w:color w:val="auto"/>
                <w:sz w:val="24"/>
                <w:szCs w:val="24"/>
                <w:highlight w:val="none"/>
              </w:rPr>
              <w:t>%</w:t>
            </w:r>
            <w:r>
              <w:rPr>
                <w:rFonts w:hint="eastAsia"/>
                <w:color w:val="auto"/>
                <w:sz w:val="24"/>
                <w:szCs w:val="24"/>
                <w:highlight w:val="none"/>
                <w:lang w:eastAsia="zh-CN"/>
              </w:rPr>
              <w:t>。</w:t>
            </w:r>
          </w:p>
        </w:tc>
      </w:tr>
      <w:tr w14:paraId="7746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78626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B0AC1C8">
            <w:pPr>
              <w:spacing w:line="360" w:lineRule="auto"/>
              <w:rPr>
                <w:rFonts w:ascii="宋体" w:hAnsi="宋体" w:cs="宋体"/>
                <w:color w:val="auto"/>
                <w:sz w:val="24"/>
                <w:highlight w:val="none"/>
              </w:rPr>
            </w:pP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lang w:val="en-US" w:eastAsia="zh-CN"/>
              </w:rPr>
              <w:t>15天</w:t>
            </w:r>
            <w:r>
              <w:rPr>
                <w:rFonts w:ascii="宋体" w:hAnsi="宋体"/>
                <w:color w:val="auto"/>
                <w:sz w:val="24"/>
                <w:highlight w:val="none"/>
              </w:rPr>
              <w:t>内以书面形式变更合同</w:t>
            </w:r>
          </w:p>
        </w:tc>
      </w:tr>
      <w:tr w14:paraId="0948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F7F94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5AABDCEB">
            <w:pPr>
              <w:spacing w:line="360" w:lineRule="auto"/>
              <w:rPr>
                <w:rFonts w:ascii="宋体" w:hAnsi="宋体" w:cs="宋体"/>
                <w:color w:val="auto"/>
                <w:sz w:val="24"/>
                <w:highlight w:val="none"/>
              </w:rPr>
            </w:pP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b/>
                <w:i/>
                <w:color w:val="auto"/>
                <w:sz w:val="24"/>
                <w:highlight w:val="none"/>
                <w:u w:val="single"/>
                <w:lang w:val="en-US" w:eastAsia="zh-CN"/>
              </w:rPr>
              <w:t>5天</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lang w:val="en-US" w:eastAsia="zh-CN"/>
              </w:rPr>
              <w:t>10天</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tc>
      </w:tr>
      <w:tr w14:paraId="30A6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AD4BA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F6DFBD6">
            <w:pPr>
              <w:spacing w:line="360" w:lineRule="auto"/>
              <w:rPr>
                <w:rFonts w:ascii="宋体" w:hAnsi="宋体" w:cs="宋体"/>
                <w:color w:val="auto"/>
                <w:sz w:val="24"/>
                <w:highlight w:val="none"/>
              </w:rPr>
            </w:pPr>
            <w:r>
              <w:rPr>
                <w:rFonts w:ascii="宋体" w:hAnsi="宋体" w:cs="宋体"/>
                <w:color w:val="auto"/>
                <w:sz w:val="24"/>
                <w:highlight w:val="none"/>
              </w:rPr>
              <w:t>符合国家法律法规、行业标准</w:t>
            </w:r>
          </w:p>
        </w:tc>
      </w:tr>
      <w:tr w14:paraId="6443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B7EA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FC0A433">
            <w:pPr>
              <w:spacing w:line="360" w:lineRule="auto"/>
              <w:rPr>
                <w:rFonts w:ascii="宋体" w:hAnsi="宋体" w:cs="宋体"/>
                <w:color w:val="auto"/>
                <w:sz w:val="24"/>
                <w:highlight w:val="none"/>
              </w:rPr>
            </w:pPr>
            <w:r>
              <w:rPr>
                <w:rFonts w:ascii="宋体" w:hAnsi="宋体" w:cs="宋体"/>
                <w:color w:val="auto"/>
                <w:sz w:val="24"/>
                <w:highlight w:val="none"/>
              </w:rPr>
              <w:t>符合国家法律法规、行业标准</w:t>
            </w:r>
          </w:p>
        </w:tc>
      </w:tr>
      <w:tr w14:paraId="36C7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9A0BF9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3860936">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合同一式陆份，甲方执肆份，乙方执贰份。</w:t>
            </w:r>
          </w:p>
        </w:tc>
      </w:tr>
      <w:tr w14:paraId="43D6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8F8730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149" w:type="dxa"/>
          </w:tcPr>
          <w:p w14:paraId="062875A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项目免费质保期从终验通过之日起计。</w:t>
            </w:r>
          </w:p>
        </w:tc>
      </w:tr>
    </w:tbl>
    <w:p w14:paraId="768A86A6">
      <w:pPr>
        <w:pStyle w:val="2"/>
        <w:rPr>
          <w:rFonts w:hint="eastAsia" w:ascii="宋体" w:hAnsi="宋体" w:cs="宋体"/>
          <w:color w:val="auto"/>
          <w:sz w:val="24"/>
          <w:highlight w:val="none"/>
        </w:rPr>
      </w:pPr>
    </w:p>
    <w:p w14:paraId="6981DE59">
      <w:pPr>
        <w:pStyle w:val="4"/>
        <w:rPr>
          <w:rFonts w:hint="eastAsia" w:ascii="宋体" w:hAnsi="宋体" w:cs="宋体"/>
          <w:color w:val="auto"/>
          <w:sz w:val="24"/>
          <w:highlight w:val="none"/>
        </w:rPr>
      </w:pPr>
    </w:p>
    <w:p w14:paraId="046DBCDB">
      <w:pPr>
        <w:rPr>
          <w:rFonts w:hint="eastAsia" w:ascii="宋体" w:hAnsi="宋体" w:cs="宋体"/>
          <w:color w:val="auto"/>
          <w:sz w:val="24"/>
          <w:highlight w:val="none"/>
        </w:rPr>
      </w:pPr>
    </w:p>
    <w:p w14:paraId="6CB6C5C7">
      <w:pPr>
        <w:pStyle w:val="2"/>
        <w:rPr>
          <w:color w:val="auto"/>
          <w:highlight w:val="none"/>
        </w:rPr>
      </w:pPr>
    </w:p>
    <w:p w14:paraId="1E7833D6">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9561E9">
      <w:pPr>
        <w:widowControl/>
        <w:spacing w:line="360" w:lineRule="auto"/>
        <w:ind w:firstLine="480"/>
        <w:jc w:val="left"/>
        <w:rPr>
          <w:rFonts w:ascii="宋体" w:hAnsi="宋体" w:cs="宋体"/>
          <w:color w:val="auto"/>
          <w:sz w:val="24"/>
          <w:highlight w:val="none"/>
        </w:rPr>
      </w:pP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2"/>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8"/>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83AD5A3">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584DE19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3"/>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79"/>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0C6AD520">
      <w:pPr>
        <w:jc w:val="center"/>
        <w:rPr>
          <w:rFonts w:ascii="宋体" w:hAnsi="宋体" w:cs="宋体"/>
          <w:b/>
          <w:color w:val="auto"/>
          <w:kern w:val="0"/>
          <w:sz w:val="32"/>
          <w:szCs w:val="32"/>
          <w:highlight w:val="none"/>
        </w:rPr>
      </w:pPr>
    </w:p>
    <w:p w14:paraId="408CC974">
      <w:pPr>
        <w:snapToGrid w:val="0"/>
        <w:spacing w:line="360" w:lineRule="auto"/>
        <w:jc w:val="center"/>
        <w:outlineLvl w:val="0"/>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七、人员配置清单</w:t>
      </w:r>
    </w:p>
    <w:p w14:paraId="35343D1A">
      <w:pPr>
        <w:snapToGrid w:val="0"/>
        <w:spacing w:line="360" w:lineRule="auto"/>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（按招标文件内容提供，格式自拟）</w:t>
      </w:r>
    </w:p>
    <w:p w14:paraId="4A22FF0C">
      <w:pPr>
        <w:jc w:val="center"/>
        <w:rPr>
          <w:rFonts w:hint="eastAsia" w:ascii="宋体" w:hAnsi="宋体" w:cs="宋体"/>
          <w:b/>
          <w:color w:val="auto"/>
          <w:kern w:val="0"/>
          <w:sz w:val="32"/>
          <w:szCs w:val="32"/>
          <w:highlight w:val="none"/>
        </w:rPr>
      </w:pPr>
    </w:p>
    <w:p w14:paraId="0DF5DBC9">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91BF3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0367399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杭州市行政审批服务管理办公室</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26"/>
        <w:gridCol w:w="2422"/>
        <w:gridCol w:w="1920"/>
        <w:gridCol w:w="1789"/>
        <w:gridCol w:w="3234"/>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826"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422"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20"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89"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234"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826"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p>
        </w:tc>
        <w:tc>
          <w:tcPr>
            <w:tcW w:w="2422" w:type="dxa"/>
            <w:vAlign w:val="center"/>
          </w:tcPr>
          <w:p w14:paraId="422F229C">
            <w:pPr>
              <w:snapToGrid w:val="0"/>
              <w:spacing w:line="360" w:lineRule="auto"/>
              <w:jc w:val="center"/>
              <w:rPr>
                <w:rFonts w:ascii="宋体" w:hAnsi="宋体" w:cs="宋体"/>
                <w:color w:val="auto"/>
                <w:sz w:val="24"/>
                <w:highlight w:val="none"/>
              </w:rPr>
            </w:pPr>
          </w:p>
        </w:tc>
        <w:tc>
          <w:tcPr>
            <w:tcW w:w="1920" w:type="dxa"/>
            <w:vAlign w:val="center"/>
          </w:tcPr>
          <w:p w14:paraId="6FC73C48">
            <w:pPr>
              <w:snapToGrid w:val="0"/>
              <w:spacing w:line="360" w:lineRule="auto"/>
              <w:jc w:val="center"/>
              <w:rPr>
                <w:rFonts w:ascii="宋体" w:hAnsi="宋体" w:cs="宋体"/>
                <w:color w:val="auto"/>
                <w:sz w:val="24"/>
                <w:highlight w:val="none"/>
              </w:rPr>
            </w:pPr>
          </w:p>
        </w:tc>
        <w:tc>
          <w:tcPr>
            <w:tcW w:w="1789" w:type="dxa"/>
            <w:vAlign w:val="center"/>
          </w:tcPr>
          <w:p w14:paraId="3DB7A9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按招标文件要求</w:t>
            </w:r>
          </w:p>
        </w:tc>
        <w:tc>
          <w:tcPr>
            <w:tcW w:w="3234"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85"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149"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85"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149"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ascii="宋体" w:hAnsi="宋体" w:cs="宋体"/>
          <w:color w:val="auto"/>
          <w:kern w:val="0"/>
          <w:sz w:val="24"/>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619985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杭州市行政审批服务管理办公室</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3ECD8979">
      <w:pPr>
        <w:pStyle w:val="2"/>
        <w:rPr>
          <w:color w:val="auto"/>
          <w:highlight w:val="none"/>
        </w:rPr>
      </w:pPr>
    </w:p>
    <w:p w14:paraId="51321169">
      <w:pPr>
        <w:spacing w:line="360" w:lineRule="auto"/>
        <w:jc w:val="left"/>
        <w:rPr>
          <w:rFonts w:hint="eastAsia" w:ascii="宋体" w:hAnsi="宋体" w:cs="宋体"/>
          <w:b/>
          <w:color w:val="auto"/>
          <w:spacing w:val="6"/>
          <w:sz w:val="32"/>
          <w:szCs w:val="32"/>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5592F294">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3B69A83E">
      <w:pPr>
        <w:spacing w:line="360" w:lineRule="auto"/>
        <w:jc w:val="left"/>
        <w:rPr>
          <w:rFonts w:hint="eastAsia"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杭州市行政审批服务管理办公室</w:t>
      </w:r>
      <w:r>
        <w:rPr>
          <w:rFonts w:hint="eastAsia" w:ascii="宋体" w:hAnsi="宋体" w:cs="宋体"/>
          <w:color w:val="auto"/>
          <w:sz w:val="24"/>
          <w:highlight w:val="none"/>
          <w:u w:val="singl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177C5702">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315320DC">
      <w:pPr>
        <w:snapToGrid/>
        <w:spacing w:line="240" w:lineRule="auto"/>
        <w:ind w:firstLine="0" w:firstLineChars="0"/>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8"/>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8"/>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461DC27">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杭州市行政审批服务管理办公室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标的名称：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杭州市行政审批服务管理办公室深化信创（2025年）项目-公共资源交易公共服务平台系统非信创子系统应用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b w:val="0"/>
          <w:bCs w:val="0"/>
          <w:color w:val="auto"/>
          <w:kern w:val="2"/>
          <w:sz w:val="24"/>
          <w:szCs w:val="24"/>
          <w:highlight w:val="none"/>
          <w:u w:val="single"/>
          <w:lang w:val="en-US" w:eastAsia="zh-CN" w:bidi="ar-SA"/>
        </w:rPr>
        <w:t>软件和信息技术服务业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lang w:val="en-US" w:eastAsia="zh-CN"/>
        </w:rPr>
        <w:t>1、本项目专门面向中小微企业。</w:t>
      </w:r>
    </w:p>
    <w:p w14:paraId="0F8A8856">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1A58A6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36AA22">
      <w:pPr>
        <w:pStyle w:val="8"/>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8"/>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41"/>
      <w:framePr w:wrap="around" w:vAnchor="text" w:hAnchor="margin" w:xAlign="right" w:y="1"/>
      <w:rPr>
        <w:rStyle w:val="72"/>
      </w:rPr>
    </w:pPr>
    <w:r>
      <w:fldChar w:fldCharType="begin"/>
    </w:r>
    <w:r>
      <w:rPr>
        <w:rStyle w:val="72"/>
      </w:rPr>
      <w:instrText xml:space="preserve">PAGE  </w:instrText>
    </w:r>
    <w:r>
      <w:fldChar w:fldCharType="end"/>
    </w:r>
  </w:p>
  <w:p w14:paraId="14C6E58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91899912"/>
    <w:bookmarkStart w:id="415" w:name="_Toc36110187"/>
    <w:bookmarkStart w:id="416" w:name="_Toc164085800"/>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41"/>
      <w:framePr w:wrap="around" w:vAnchor="text" w:hAnchor="margin" w:xAlign="right" w:y="1"/>
      <w:rPr>
        <w:rStyle w:val="72"/>
      </w:rPr>
    </w:pPr>
    <w:r>
      <w:fldChar w:fldCharType="begin"/>
    </w:r>
    <w:r>
      <w:rPr>
        <w:rStyle w:val="72"/>
      </w:rPr>
      <w:instrText xml:space="preserve">PAGE  </w:instrText>
    </w:r>
    <w:r>
      <w:fldChar w:fldCharType="end"/>
    </w:r>
  </w:p>
  <w:p w14:paraId="1462DAB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2"/>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09B09245"/>
    <w:multiLevelType w:val="singleLevel"/>
    <w:tmpl w:val="09B09245"/>
    <w:lvl w:ilvl="0" w:tentative="0">
      <w:start w:val="3"/>
      <w:numFmt w:val="chineseCounting"/>
      <w:suff w:val="nothing"/>
      <w:lvlText w:val="%1、"/>
      <w:lvlJc w:val="left"/>
      <w:rPr>
        <w:rFonts w:hint="eastAsia"/>
      </w:rPr>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382806"/>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5D560E4"/>
    <w:rsid w:val="060E5941"/>
    <w:rsid w:val="06110FAF"/>
    <w:rsid w:val="06493CA7"/>
    <w:rsid w:val="065A6178"/>
    <w:rsid w:val="066100AC"/>
    <w:rsid w:val="066F1CF3"/>
    <w:rsid w:val="06757199"/>
    <w:rsid w:val="06930BB8"/>
    <w:rsid w:val="07245D42"/>
    <w:rsid w:val="07264C62"/>
    <w:rsid w:val="0779354C"/>
    <w:rsid w:val="08061376"/>
    <w:rsid w:val="08452D77"/>
    <w:rsid w:val="086401F8"/>
    <w:rsid w:val="08751CAA"/>
    <w:rsid w:val="087E15BA"/>
    <w:rsid w:val="087E4C40"/>
    <w:rsid w:val="08A871D0"/>
    <w:rsid w:val="08D66AD6"/>
    <w:rsid w:val="08DA33A3"/>
    <w:rsid w:val="08E80F13"/>
    <w:rsid w:val="09335624"/>
    <w:rsid w:val="0944690F"/>
    <w:rsid w:val="09476150"/>
    <w:rsid w:val="09535675"/>
    <w:rsid w:val="095F057D"/>
    <w:rsid w:val="09642282"/>
    <w:rsid w:val="096D58B6"/>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0F5C30"/>
    <w:rsid w:val="13200C1E"/>
    <w:rsid w:val="135F4BE2"/>
    <w:rsid w:val="139B1A0A"/>
    <w:rsid w:val="139D25C7"/>
    <w:rsid w:val="13BF3CE4"/>
    <w:rsid w:val="141008D8"/>
    <w:rsid w:val="14125FE6"/>
    <w:rsid w:val="1428744E"/>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9F65454"/>
    <w:rsid w:val="1A071A03"/>
    <w:rsid w:val="1A1F16AE"/>
    <w:rsid w:val="1A3B5C77"/>
    <w:rsid w:val="1A984BAD"/>
    <w:rsid w:val="1AB8220E"/>
    <w:rsid w:val="1AE4166C"/>
    <w:rsid w:val="1AF06CFB"/>
    <w:rsid w:val="1AF11B8D"/>
    <w:rsid w:val="1AF22CC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A82565"/>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5A4CA6"/>
    <w:rsid w:val="236B425F"/>
    <w:rsid w:val="23836192"/>
    <w:rsid w:val="23901F29"/>
    <w:rsid w:val="239C0061"/>
    <w:rsid w:val="23B908A4"/>
    <w:rsid w:val="23CC0B31"/>
    <w:rsid w:val="23E95BEF"/>
    <w:rsid w:val="23FD0064"/>
    <w:rsid w:val="245375B0"/>
    <w:rsid w:val="24642C0A"/>
    <w:rsid w:val="24B22173"/>
    <w:rsid w:val="24B95AD9"/>
    <w:rsid w:val="24BE24DA"/>
    <w:rsid w:val="24C30629"/>
    <w:rsid w:val="24CF5825"/>
    <w:rsid w:val="24D663E6"/>
    <w:rsid w:val="24D77F2B"/>
    <w:rsid w:val="258B00E2"/>
    <w:rsid w:val="25A917A6"/>
    <w:rsid w:val="25BE27CC"/>
    <w:rsid w:val="25F74A5C"/>
    <w:rsid w:val="260C44FB"/>
    <w:rsid w:val="26216C89"/>
    <w:rsid w:val="2628662C"/>
    <w:rsid w:val="262D45DE"/>
    <w:rsid w:val="26777E78"/>
    <w:rsid w:val="26871DC8"/>
    <w:rsid w:val="268F2EB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77DEC"/>
    <w:rsid w:val="2A1C7367"/>
    <w:rsid w:val="2A2815FA"/>
    <w:rsid w:val="2A4C2E6E"/>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946CCB"/>
    <w:rsid w:val="2FB24FEF"/>
    <w:rsid w:val="2FD25781"/>
    <w:rsid w:val="2FDC745C"/>
    <w:rsid w:val="2FFD7934"/>
    <w:rsid w:val="30733ACD"/>
    <w:rsid w:val="308C3862"/>
    <w:rsid w:val="309379D8"/>
    <w:rsid w:val="30A270F7"/>
    <w:rsid w:val="30DF1478"/>
    <w:rsid w:val="30EC586F"/>
    <w:rsid w:val="318F0210"/>
    <w:rsid w:val="319C6071"/>
    <w:rsid w:val="31AC537E"/>
    <w:rsid w:val="31E3679B"/>
    <w:rsid w:val="31E732FD"/>
    <w:rsid w:val="31F52DDF"/>
    <w:rsid w:val="32517576"/>
    <w:rsid w:val="32681AB4"/>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C01C6"/>
    <w:rsid w:val="354D7158"/>
    <w:rsid w:val="357E5B54"/>
    <w:rsid w:val="358D5588"/>
    <w:rsid w:val="35D02BA5"/>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3FF02846"/>
    <w:rsid w:val="4019356B"/>
    <w:rsid w:val="40592157"/>
    <w:rsid w:val="406E1CAE"/>
    <w:rsid w:val="408E0F77"/>
    <w:rsid w:val="40A0133A"/>
    <w:rsid w:val="40C31A53"/>
    <w:rsid w:val="40F5154D"/>
    <w:rsid w:val="40FF545D"/>
    <w:rsid w:val="410067C8"/>
    <w:rsid w:val="411029F0"/>
    <w:rsid w:val="415D5C35"/>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1A17"/>
    <w:rsid w:val="4360274F"/>
    <w:rsid w:val="43977AB6"/>
    <w:rsid w:val="43A3342B"/>
    <w:rsid w:val="43C77C27"/>
    <w:rsid w:val="43DE09EE"/>
    <w:rsid w:val="44002FAD"/>
    <w:rsid w:val="446300D3"/>
    <w:rsid w:val="4486502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793741"/>
    <w:rsid w:val="4CB6685F"/>
    <w:rsid w:val="4CC367FE"/>
    <w:rsid w:val="4D077F3C"/>
    <w:rsid w:val="4D123355"/>
    <w:rsid w:val="4D2A3B31"/>
    <w:rsid w:val="4D312C52"/>
    <w:rsid w:val="4D905305"/>
    <w:rsid w:val="4D964A72"/>
    <w:rsid w:val="4D9C1254"/>
    <w:rsid w:val="4E1F24C4"/>
    <w:rsid w:val="4E793892"/>
    <w:rsid w:val="4E800872"/>
    <w:rsid w:val="4EC569ED"/>
    <w:rsid w:val="4ED50EA1"/>
    <w:rsid w:val="4EEC050C"/>
    <w:rsid w:val="4F104EC3"/>
    <w:rsid w:val="4F147B4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154D"/>
    <w:rsid w:val="58482120"/>
    <w:rsid w:val="5889510A"/>
    <w:rsid w:val="58917D2F"/>
    <w:rsid w:val="5894085C"/>
    <w:rsid w:val="58AE4F0C"/>
    <w:rsid w:val="58B85899"/>
    <w:rsid w:val="58E363A9"/>
    <w:rsid w:val="595E1678"/>
    <w:rsid w:val="596D5BD4"/>
    <w:rsid w:val="597E3DD8"/>
    <w:rsid w:val="59F80043"/>
    <w:rsid w:val="5A09252F"/>
    <w:rsid w:val="5A0B2778"/>
    <w:rsid w:val="5A2A7C7B"/>
    <w:rsid w:val="5A3E2560"/>
    <w:rsid w:val="5A4A2677"/>
    <w:rsid w:val="5A5D3B6E"/>
    <w:rsid w:val="5A637A76"/>
    <w:rsid w:val="5A6D33BA"/>
    <w:rsid w:val="5A792B1F"/>
    <w:rsid w:val="5A853FBF"/>
    <w:rsid w:val="5A874767"/>
    <w:rsid w:val="5AA85BE2"/>
    <w:rsid w:val="5AAD6F28"/>
    <w:rsid w:val="5AD63A24"/>
    <w:rsid w:val="5AE92B12"/>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A0E20"/>
    <w:rsid w:val="5E4A7017"/>
    <w:rsid w:val="5E552BBA"/>
    <w:rsid w:val="5E611C10"/>
    <w:rsid w:val="5E7A0F3F"/>
    <w:rsid w:val="5EFC7377"/>
    <w:rsid w:val="5F06174D"/>
    <w:rsid w:val="5F3A3602"/>
    <w:rsid w:val="5F45733B"/>
    <w:rsid w:val="5F6277C6"/>
    <w:rsid w:val="5F6D0B1D"/>
    <w:rsid w:val="5F8D0B82"/>
    <w:rsid w:val="5F97635E"/>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E6687"/>
    <w:rsid w:val="653C3090"/>
    <w:rsid w:val="65854376"/>
    <w:rsid w:val="658767BE"/>
    <w:rsid w:val="65892531"/>
    <w:rsid w:val="658D79C4"/>
    <w:rsid w:val="66195831"/>
    <w:rsid w:val="661C2CA5"/>
    <w:rsid w:val="66244125"/>
    <w:rsid w:val="662E75B1"/>
    <w:rsid w:val="66342C2E"/>
    <w:rsid w:val="663E784C"/>
    <w:rsid w:val="668B6A45"/>
    <w:rsid w:val="6692787F"/>
    <w:rsid w:val="66AB0941"/>
    <w:rsid w:val="672F3F24"/>
    <w:rsid w:val="673E055F"/>
    <w:rsid w:val="67551CE3"/>
    <w:rsid w:val="678E34E9"/>
    <w:rsid w:val="67A22552"/>
    <w:rsid w:val="67B22DCC"/>
    <w:rsid w:val="67BE71AA"/>
    <w:rsid w:val="67D90273"/>
    <w:rsid w:val="67DE5875"/>
    <w:rsid w:val="67E55852"/>
    <w:rsid w:val="67EB1AB4"/>
    <w:rsid w:val="67FA1285"/>
    <w:rsid w:val="68551F4F"/>
    <w:rsid w:val="68741DF5"/>
    <w:rsid w:val="687C10C9"/>
    <w:rsid w:val="68840C16"/>
    <w:rsid w:val="68876EFB"/>
    <w:rsid w:val="68884654"/>
    <w:rsid w:val="689F444F"/>
    <w:rsid w:val="68B96DBB"/>
    <w:rsid w:val="68CA2805"/>
    <w:rsid w:val="68CB0E27"/>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0A3C09"/>
    <w:rsid w:val="6D167928"/>
    <w:rsid w:val="6D26299B"/>
    <w:rsid w:val="6D4772EC"/>
    <w:rsid w:val="6D9078AF"/>
    <w:rsid w:val="6DAA3FEF"/>
    <w:rsid w:val="6DC0172B"/>
    <w:rsid w:val="6DCB690C"/>
    <w:rsid w:val="6DD41A5B"/>
    <w:rsid w:val="6DF43C2E"/>
    <w:rsid w:val="6DF51CA3"/>
    <w:rsid w:val="6E3808E1"/>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9077DA"/>
    <w:rsid w:val="71D43752"/>
    <w:rsid w:val="71F1796A"/>
    <w:rsid w:val="720F6228"/>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1E63"/>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184757"/>
    <w:rsid w:val="77340A39"/>
    <w:rsid w:val="77351FD0"/>
    <w:rsid w:val="77472422"/>
    <w:rsid w:val="777F31F2"/>
    <w:rsid w:val="779B5B1C"/>
    <w:rsid w:val="77D1700D"/>
    <w:rsid w:val="77EC04CC"/>
    <w:rsid w:val="780A371A"/>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33D2C"/>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autoRedefine/>
    <w:qFormat/>
    <w:uiPriority w:val="0"/>
    <w:pPr>
      <w:adjustRightInd/>
      <w:spacing w:after="120" w:line="240" w:lineRule="auto"/>
      <w:ind w:left="420" w:leftChars="200" w:firstLine="210"/>
    </w:pPr>
    <w:rPr>
      <w:sz w:val="21"/>
    </w:rPr>
  </w:style>
  <w:style w:type="paragraph" w:styleId="3">
    <w:name w:val="Body Text Indent"/>
    <w:basedOn w:val="1"/>
    <w:next w:val="2"/>
    <w:link w:val="265"/>
    <w:autoRedefine/>
    <w:qFormat/>
    <w:uiPriority w:val="0"/>
    <w:pPr>
      <w:spacing w:line="480" w:lineRule="exact"/>
      <w:ind w:firstLine="480" w:firstLineChars="200"/>
    </w:pPr>
    <w:rPr>
      <w:rFonts w:ascii="宋体" w:hAnsi="宋体"/>
      <w:sz w:val="24"/>
    </w:rPr>
  </w:style>
  <w:style w:type="paragraph" w:styleId="4">
    <w:name w:val="Body Text First Indent"/>
    <w:basedOn w:val="5"/>
    <w:next w:val="1"/>
    <w:link w:val="321"/>
    <w:autoRedefine/>
    <w:qFormat/>
    <w:uiPriority w:val="0"/>
    <w:pPr>
      <w:ind w:firstLine="420"/>
    </w:pPr>
    <w:rPr>
      <w:rFonts w:hAnsi="Calibri" w:cs="Times New Roman"/>
      <w:snapToGrid/>
      <w:szCs w:val="20"/>
    </w:rPr>
  </w:style>
  <w:style w:type="paragraph" w:styleId="5">
    <w:name w:val="Body Text"/>
    <w:basedOn w:val="1"/>
    <w:next w:val="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Plain Text"/>
    <w:basedOn w:val="1"/>
    <w:link w:val="125"/>
    <w:autoRedefine/>
    <w:qFormat/>
    <w:uiPriority w:val="0"/>
    <w:rPr>
      <w:rFonts w:ascii="宋体" w:hAnsi="Courier New" w:cs="Arial"/>
      <w:snapToGrid w:val="0"/>
      <w:szCs w:val="21"/>
    </w:rPr>
  </w:style>
  <w:style w:type="paragraph" w:styleId="10">
    <w:name w:val="Normal Indent"/>
    <w:basedOn w:val="1"/>
    <w:next w:val="3"/>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9"/>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2"/>
    <w:autoRedefine/>
    <w:qFormat/>
    <w:uiPriority w:val="0"/>
    <w:pPr>
      <w:shd w:val="clear" w:color="auto" w:fill="000080"/>
    </w:pPr>
  </w:style>
  <w:style w:type="paragraph" w:styleId="24">
    <w:name w:val="annotation text"/>
    <w:basedOn w:val="1"/>
    <w:link w:val="344"/>
    <w:autoRedefine/>
    <w:qFormat/>
    <w:uiPriority w:val="99"/>
    <w:pPr>
      <w:jc w:val="left"/>
    </w:pPr>
  </w:style>
  <w:style w:type="paragraph" w:styleId="25">
    <w:name w:val="Salutation"/>
    <w:basedOn w:val="1"/>
    <w:next w:val="1"/>
    <w:link w:val="298"/>
    <w:autoRedefine/>
    <w:qFormat/>
    <w:uiPriority w:val="0"/>
    <w:rPr>
      <w:rFonts w:ascii="仿宋_GB2312" w:eastAsia="仿宋_GB2312"/>
      <w:sz w:val="28"/>
      <w:szCs w:val="20"/>
    </w:rPr>
  </w:style>
  <w:style w:type="paragraph" w:styleId="26">
    <w:name w:val="Body Text 3"/>
    <w:basedOn w:val="1"/>
    <w:link w:val="330"/>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0"/>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6"/>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3"/>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8"/>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6"/>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3"/>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11"/>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21"/>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7"/>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12"/>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5"/>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11"/>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4"/>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11"/>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6"/>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4"/>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5"/>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0"/>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9"/>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12"/>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0"/>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1"/>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7"/>
    <w:autoRedefine/>
    <w:qFormat/>
    <w:uiPriority w:val="0"/>
    <w:pPr>
      <w:tabs>
        <w:tab w:val="left" w:pos="840"/>
      </w:tabs>
      <w:adjustRightInd/>
      <w:ind w:left="840" w:hanging="420"/>
    </w:pPr>
  </w:style>
  <w:style w:type="paragraph" w:customStyle="1" w:styleId="626">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9"/>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3"/>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autoRedefine/>
    <w:qFormat/>
    <w:uiPriority w:val="0"/>
    <w:pPr>
      <w:tabs>
        <w:tab w:val="left" w:pos="1080"/>
      </w:tabs>
      <w:ind w:left="1080" w:hanging="1080"/>
    </w:pPr>
  </w:style>
  <w:style w:type="paragraph" w:customStyle="1" w:styleId="897">
    <w:name w:val="数字标题1"/>
    <w:basedOn w:val="7"/>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9364</Words>
  <Characters>10076</Characters>
  <Lines>282</Lines>
  <Paragraphs>79</Paragraphs>
  <TotalTime>48</TotalTime>
  <ScaleCrop>false</ScaleCrop>
  <LinksUpToDate>false</LinksUpToDate>
  <CharactersWithSpaces>10482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2025-07-09T08:40:45Z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A0FEF726BBA94034B6117FB86D1F8091_13</vt:lpwstr>
  </property>
  <property fmtid="{D5CDD505-2E9C-101B-9397-08002B2CF9AE}" pid="5" name="KSOTemplateDocerSaveRecord">
    <vt:lpwstr>eyJoZGlkIjoiYmMxZDI1ODlhNWRlYjkxN2VjODFmOWI0MTRiZWU2ZjUiLCJ1c2VySWQiOiIzMTExNjMyNDAifQ==</vt:lpwstr>
  </property>
</Properties>
</file>