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bidi w:val="0"/>
        <w:rPr>
          <w:rFonts w:ascii="宋体" w:cs="宋体"/>
          <w:b/>
          <w:bCs/>
          <w:color w:val="auto"/>
          <w:sz w:val="48"/>
          <w:szCs w:val="48"/>
          <w:highlight w:val="none"/>
        </w:rPr>
      </w:pPr>
      <w:bookmarkStart w:id="0" w:name="_Toc177870533"/>
    </w:p>
    <w:p>
      <w:pPr>
        <w:pStyle w:val="71"/>
        <w:keepNext w:val="0"/>
        <w:keepLines w:val="0"/>
        <w:pageBreakBefore w:val="0"/>
        <w:widowControl w:val="0"/>
        <w:kinsoku/>
        <w:overflowPunct/>
        <w:topLinePunct w:val="0"/>
        <w:bidi w:val="0"/>
        <w:spacing w:before="120"/>
        <w:ind w:firstLine="0"/>
        <w:jc w:val="center"/>
        <w:rPr>
          <w:rFonts w:ascii="宋体"/>
          <w:color w:val="auto"/>
          <w:highlight w:val="none"/>
        </w:rPr>
      </w:pPr>
      <w:r>
        <w:rPr>
          <w:rFonts w:hint="eastAsia" w:ascii="宋体" w:cs="宋体"/>
          <w:b/>
          <w:bCs/>
          <w:color w:val="auto"/>
          <w:sz w:val="56"/>
          <w:szCs w:val="56"/>
          <w:highlight w:val="none"/>
          <w:lang w:eastAsia="zh-CN"/>
        </w:rPr>
        <w:t>浪漫山川旅游度假区基础设施一期建设工程之浪漫山川全域智慧旅游系统（标识标牌、智慧驿站）设计建设项目</w:t>
      </w:r>
    </w:p>
    <w:p>
      <w:pPr>
        <w:keepNext w:val="0"/>
        <w:keepLines w:val="0"/>
        <w:pageBreakBefore w:val="0"/>
        <w:widowControl w:val="0"/>
        <w:kinsoku/>
        <w:overflowPunct/>
        <w:topLinePunct w:val="0"/>
        <w:bidi w:val="0"/>
        <w:rPr>
          <w:rFonts w:ascii="宋体"/>
          <w:color w:val="auto"/>
          <w:highlight w:val="none"/>
        </w:rPr>
      </w:pPr>
    </w:p>
    <w:p>
      <w:pPr>
        <w:keepNext w:val="0"/>
        <w:keepLines w:val="0"/>
        <w:pageBreakBefore w:val="0"/>
        <w:widowControl w:val="0"/>
        <w:kinsoku/>
        <w:overflowPunct/>
        <w:topLinePunct w:val="0"/>
        <w:bidi w:val="0"/>
        <w:rPr>
          <w:rFonts w:ascii="宋体"/>
          <w:color w:val="auto"/>
          <w:highlight w:val="none"/>
        </w:rPr>
      </w:pPr>
    </w:p>
    <w:p>
      <w:pPr>
        <w:pStyle w:val="71"/>
        <w:keepNext w:val="0"/>
        <w:keepLines w:val="0"/>
        <w:pageBreakBefore w:val="0"/>
        <w:widowControl w:val="0"/>
        <w:kinsoku/>
        <w:overflowPunct/>
        <w:topLinePunct w:val="0"/>
        <w:bidi w:val="0"/>
        <w:spacing w:before="120"/>
        <w:rPr>
          <w:color w:val="auto"/>
          <w:highlight w:val="none"/>
        </w:rPr>
      </w:pPr>
    </w:p>
    <w:p>
      <w:pPr>
        <w:keepNext w:val="0"/>
        <w:keepLines w:val="0"/>
        <w:pageBreakBefore w:val="0"/>
        <w:widowControl w:val="0"/>
        <w:kinsoku/>
        <w:overflowPunct/>
        <w:topLinePunct w:val="0"/>
        <w:bidi w:val="0"/>
        <w:rPr>
          <w:rFonts w:ascii="宋体"/>
          <w:color w:val="auto"/>
          <w:highlight w:val="none"/>
        </w:rPr>
      </w:pPr>
    </w:p>
    <w:p>
      <w:pPr>
        <w:keepNext w:val="0"/>
        <w:keepLines w:val="0"/>
        <w:pageBreakBefore w:val="0"/>
        <w:widowControl w:val="0"/>
        <w:kinsoku/>
        <w:overflowPunct/>
        <w:topLinePunct w:val="0"/>
        <w:bidi w:val="0"/>
        <w:jc w:val="center"/>
        <w:rPr>
          <w:rFonts w:ascii="宋体"/>
          <w:color w:val="auto"/>
          <w:sz w:val="72"/>
          <w:szCs w:val="72"/>
          <w:highlight w:val="none"/>
        </w:rPr>
      </w:pPr>
      <w:r>
        <w:rPr>
          <w:rFonts w:hint="eastAsia" w:ascii="宋体"/>
          <w:b/>
          <w:color w:val="auto"/>
          <w:sz w:val="72"/>
          <w:szCs w:val="72"/>
          <w:highlight w:val="none"/>
        </w:rPr>
        <w:t>公开招标文件</w:t>
      </w:r>
    </w:p>
    <w:p>
      <w:pPr>
        <w:keepNext w:val="0"/>
        <w:keepLines w:val="0"/>
        <w:pageBreakBefore w:val="0"/>
        <w:widowControl w:val="0"/>
        <w:kinsoku/>
        <w:overflowPunct/>
        <w:topLinePunct w:val="0"/>
        <w:bidi w:val="0"/>
        <w:jc w:val="center"/>
        <w:rPr>
          <w:rFonts w:ascii="宋体"/>
          <w:color w:val="auto"/>
          <w:sz w:val="28"/>
          <w:szCs w:val="28"/>
          <w:highlight w:val="none"/>
        </w:rPr>
      </w:pPr>
    </w:p>
    <w:p>
      <w:pPr>
        <w:keepNext w:val="0"/>
        <w:keepLines w:val="0"/>
        <w:pageBreakBefore w:val="0"/>
        <w:widowControl w:val="0"/>
        <w:kinsoku/>
        <w:overflowPunct/>
        <w:topLinePunct w:val="0"/>
        <w:bidi w:val="0"/>
        <w:jc w:val="center"/>
        <w:rPr>
          <w:rFonts w:ascii="宋体"/>
          <w:color w:val="auto"/>
          <w:sz w:val="28"/>
          <w:szCs w:val="28"/>
          <w:highlight w:val="none"/>
        </w:rPr>
      </w:pPr>
    </w:p>
    <w:p>
      <w:pPr>
        <w:keepNext w:val="0"/>
        <w:keepLines w:val="0"/>
        <w:pageBreakBefore w:val="0"/>
        <w:widowControl w:val="0"/>
        <w:kinsoku/>
        <w:overflowPunct/>
        <w:topLinePunct w:val="0"/>
        <w:bidi w:val="0"/>
        <w:jc w:val="both"/>
        <w:rPr>
          <w:rFonts w:ascii="宋体"/>
          <w:color w:val="auto"/>
          <w:sz w:val="30"/>
          <w:szCs w:val="30"/>
          <w:highlight w:val="none"/>
        </w:rPr>
      </w:pPr>
    </w:p>
    <w:p>
      <w:pPr>
        <w:keepNext w:val="0"/>
        <w:keepLines w:val="0"/>
        <w:pageBreakBefore w:val="0"/>
        <w:widowControl w:val="0"/>
        <w:kinsoku/>
        <w:overflowPunct/>
        <w:topLinePunct w:val="0"/>
        <w:bidi w:val="0"/>
        <w:jc w:val="center"/>
        <w:rPr>
          <w:rFonts w:ascii="宋体"/>
          <w:color w:val="auto"/>
          <w:sz w:val="30"/>
          <w:szCs w:val="30"/>
          <w:highlight w:val="none"/>
        </w:rPr>
      </w:pPr>
    </w:p>
    <w:p>
      <w:pPr>
        <w:keepNext w:val="0"/>
        <w:keepLines w:val="0"/>
        <w:pageBreakBefore w:val="0"/>
        <w:widowControl w:val="0"/>
        <w:kinsoku/>
        <w:overflowPunct/>
        <w:topLinePunct w:val="0"/>
        <w:bidi w:val="0"/>
        <w:rPr>
          <w:rFonts w:ascii="宋体"/>
          <w:color w:val="auto"/>
          <w:sz w:val="28"/>
          <w:szCs w:val="28"/>
          <w:highlight w:val="none"/>
        </w:rPr>
      </w:pPr>
    </w:p>
    <w:p>
      <w:pPr>
        <w:keepNext w:val="0"/>
        <w:keepLines w:val="0"/>
        <w:pageBreakBefore w:val="0"/>
        <w:widowControl w:val="0"/>
        <w:kinsoku/>
        <w:overflowPunct/>
        <w:topLinePunct w:val="0"/>
        <w:bidi w:val="0"/>
        <w:spacing w:line="360" w:lineRule="auto"/>
        <w:ind w:firstLine="1054" w:firstLineChars="350"/>
        <w:rPr>
          <w:b/>
          <w:bCs/>
          <w:color w:val="auto"/>
          <w:sz w:val="30"/>
          <w:szCs w:val="30"/>
          <w:highlight w:val="none"/>
        </w:rPr>
      </w:pPr>
      <w:bookmarkStart w:id="1" w:name="_Toc293916797"/>
      <w:r>
        <w:rPr>
          <w:rFonts w:hint="eastAsia" w:ascii="宋体"/>
          <w:b/>
          <w:bCs/>
          <w:color w:val="auto"/>
          <w:sz w:val="30"/>
          <w:szCs w:val="30"/>
          <w:highlight w:val="none"/>
        </w:rPr>
        <w:t>项 目  编 号：</w:t>
      </w:r>
      <w:r>
        <w:rPr>
          <w:rFonts w:hint="eastAsia" w:ascii="宋体"/>
          <w:b/>
          <w:bCs/>
          <w:color w:val="auto"/>
          <w:sz w:val="30"/>
          <w:szCs w:val="30"/>
          <w:highlight w:val="none"/>
          <w:lang w:eastAsia="zh-CN"/>
        </w:rPr>
        <w:t xml:space="preserve"> HJCG20230503</w:t>
      </w:r>
    </w:p>
    <w:p>
      <w:pPr>
        <w:keepNext w:val="0"/>
        <w:keepLines w:val="0"/>
        <w:pageBreakBefore w:val="0"/>
        <w:widowControl w:val="0"/>
        <w:kinsoku/>
        <w:overflowPunct/>
        <w:topLinePunct w:val="0"/>
        <w:bidi w:val="0"/>
        <w:spacing w:line="360" w:lineRule="auto"/>
        <w:ind w:firstLine="1054" w:firstLineChars="350"/>
        <w:rPr>
          <w:rFonts w:ascii="宋体"/>
          <w:b/>
          <w:bCs/>
          <w:color w:val="auto"/>
          <w:sz w:val="30"/>
          <w:szCs w:val="30"/>
          <w:highlight w:val="none"/>
        </w:rPr>
      </w:pPr>
      <w:r>
        <w:rPr>
          <w:rFonts w:hint="eastAsia" w:ascii="宋体"/>
          <w:b/>
          <w:bCs/>
          <w:color w:val="auto"/>
          <w:sz w:val="30"/>
          <w:szCs w:val="30"/>
          <w:highlight w:val="none"/>
        </w:rPr>
        <w:t>采 购  单 位：</w:t>
      </w:r>
      <w:r>
        <w:rPr>
          <w:rFonts w:hint="eastAsia" w:ascii="宋体"/>
          <w:b/>
          <w:bCs/>
          <w:color w:val="auto"/>
          <w:sz w:val="30"/>
          <w:szCs w:val="30"/>
          <w:highlight w:val="none"/>
          <w:lang w:eastAsia="zh-CN"/>
        </w:rPr>
        <w:t>安吉县山川乡人民政府</w:t>
      </w:r>
    </w:p>
    <w:p>
      <w:pPr>
        <w:keepNext w:val="0"/>
        <w:keepLines w:val="0"/>
        <w:pageBreakBefore w:val="0"/>
        <w:widowControl w:val="0"/>
        <w:kinsoku/>
        <w:overflowPunct/>
        <w:topLinePunct w:val="0"/>
        <w:bidi w:val="0"/>
        <w:spacing w:line="360" w:lineRule="auto"/>
        <w:ind w:firstLine="1054" w:firstLineChars="350"/>
        <w:rPr>
          <w:rFonts w:hint="eastAsia" w:ascii="宋体" w:eastAsia="宋体"/>
          <w:b/>
          <w:bCs/>
          <w:color w:val="auto"/>
          <w:sz w:val="30"/>
          <w:szCs w:val="30"/>
          <w:highlight w:val="none"/>
          <w:lang w:eastAsia="zh-CN"/>
        </w:rPr>
      </w:pPr>
      <w:r>
        <w:rPr>
          <w:rFonts w:hint="eastAsia" w:ascii="宋体"/>
          <w:b/>
          <w:bCs/>
          <w:color w:val="auto"/>
          <w:sz w:val="30"/>
          <w:szCs w:val="30"/>
          <w:highlight w:val="none"/>
        </w:rPr>
        <w:t>采购代理机构：</w:t>
      </w:r>
      <w:r>
        <w:rPr>
          <w:rFonts w:hint="eastAsia" w:ascii="宋体"/>
          <w:b/>
          <w:bCs/>
          <w:color w:val="auto"/>
          <w:sz w:val="30"/>
          <w:szCs w:val="30"/>
          <w:highlight w:val="none"/>
          <w:lang w:eastAsia="zh-CN"/>
        </w:rPr>
        <w:t>杭州建设工程造价咨询有限公司</w:t>
      </w:r>
    </w:p>
    <w:p>
      <w:pPr>
        <w:keepNext w:val="0"/>
        <w:keepLines w:val="0"/>
        <w:pageBreakBefore w:val="0"/>
        <w:widowControl w:val="0"/>
        <w:kinsoku/>
        <w:overflowPunct/>
        <w:topLinePunct w:val="0"/>
        <w:bidi w:val="0"/>
        <w:spacing w:line="600" w:lineRule="exact"/>
        <w:rPr>
          <w:rFonts w:ascii="宋体"/>
          <w:color w:val="auto"/>
          <w:highlight w:val="none"/>
        </w:rPr>
      </w:pPr>
    </w:p>
    <w:p>
      <w:pPr>
        <w:keepNext w:val="0"/>
        <w:keepLines w:val="0"/>
        <w:pageBreakBefore w:val="0"/>
        <w:widowControl w:val="0"/>
        <w:kinsoku/>
        <w:overflowPunct/>
        <w:topLinePunct w:val="0"/>
        <w:bidi w:val="0"/>
        <w:snapToGrid w:val="0"/>
        <w:spacing w:line="600" w:lineRule="exact"/>
        <w:jc w:val="center"/>
        <w:rPr>
          <w:rFonts w:ascii="宋体"/>
          <w:color w:val="auto"/>
          <w:sz w:val="28"/>
          <w:szCs w:val="28"/>
          <w:highlight w:val="none"/>
        </w:rPr>
      </w:pPr>
    </w:p>
    <w:p>
      <w:pPr>
        <w:keepNext w:val="0"/>
        <w:keepLines w:val="0"/>
        <w:pageBreakBefore w:val="0"/>
        <w:widowControl w:val="0"/>
        <w:kinsoku/>
        <w:overflowPunct/>
        <w:topLinePunct w:val="0"/>
        <w:bidi w:val="0"/>
        <w:snapToGrid w:val="0"/>
        <w:spacing w:line="600" w:lineRule="exact"/>
        <w:jc w:val="center"/>
        <w:rPr>
          <w:rFonts w:ascii="宋体"/>
          <w:color w:val="auto"/>
          <w:sz w:val="28"/>
          <w:szCs w:val="28"/>
          <w:highlight w:val="none"/>
        </w:rPr>
      </w:pPr>
      <w:r>
        <w:rPr>
          <w:rFonts w:hint="eastAsia" w:ascii="宋体"/>
          <w:color w:val="auto"/>
          <w:sz w:val="28"/>
          <w:szCs w:val="28"/>
          <w:highlight w:val="none"/>
        </w:rPr>
        <w:t>二○二</w:t>
      </w:r>
      <w:r>
        <w:rPr>
          <w:rFonts w:hint="eastAsia" w:ascii="宋体"/>
          <w:color w:val="auto"/>
          <w:sz w:val="28"/>
          <w:szCs w:val="28"/>
          <w:highlight w:val="none"/>
          <w:lang w:val="en-US" w:eastAsia="zh-CN"/>
        </w:rPr>
        <w:t>三</w:t>
      </w:r>
      <w:r>
        <w:rPr>
          <w:rFonts w:hint="eastAsia" w:ascii="宋体"/>
          <w:color w:val="auto"/>
          <w:sz w:val="28"/>
          <w:szCs w:val="28"/>
          <w:highlight w:val="none"/>
        </w:rPr>
        <w:t>年</w:t>
      </w:r>
      <w:r>
        <w:rPr>
          <w:rFonts w:hint="eastAsia" w:ascii="宋体"/>
          <w:color w:val="auto"/>
          <w:sz w:val="28"/>
          <w:szCs w:val="28"/>
          <w:highlight w:val="none"/>
          <w:lang w:val="en-US" w:eastAsia="zh-CN"/>
        </w:rPr>
        <w:t>五</w:t>
      </w:r>
      <w:r>
        <w:rPr>
          <w:rFonts w:hint="eastAsia" w:ascii="宋体"/>
          <w:color w:val="auto"/>
          <w:sz w:val="28"/>
          <w:szCs w:val="28"/>
          <w:highlight w:val="none"/>
        </w:rPr>
        <w:t>月</w:t>
      </w:r>
    </w:p>
    <w:p>
      <w:pPr>
        <w:pStyle w:val="28"/>
        <w:keepNext w:val="0"/>
        <w:keepLines w:val="0"/>
        <w:pageBreakBefore w:val="0"/>
        <w:widowControl w:val="0"/>
        <w:kinsoku/>
        <w:overflowPunct/>
        <w:topLinePunct w:val="0"/>
        <w:bidi w:val="0"/>
        <w:spacing w:beforeLines="0" w:afterLines="0" w:line="360" w:lineRule="auto"/>
        <w:ind w:left="0" w:firstLine="0"/>
        <w:jc w:val="center"/>
        <w:rPr>
          <w:b/>
          <w:color w:val="auto"/>
          <w:sz w:val="48"/>
          <w:szCs w:val="48"/>
          <w:highlight w:val="none"/>
        </w:rPr>
      </w:pPr>
      <w:r>
        <w:rPr>
          <w:b/>
          <w:color w:val="auto"/>
          <w:sz w:val="32"/>
          <w:szCs w:val="32"/>
          <w:highlight w:val="none"/>
        </w:rPr>
        <w:br w:type="page"/>
      </w:r>
      <w:r>
        <w:rPr>
          <w:rFonts w:hint="eastAsia"/>
          <w:b/>
          <w:color w:val="auto"/>
          <w:sz w:val="48"/>
          <w:szCs w:val="48"/>
          <w:highlight w:val="none"/>
        </w:rPr>
        <w:t>目    录</w:t>
      </w:r>
      <w:bookmarkEnd w:id="1"/>
    </w:p>
    <w:p>
      <w:pPr>
        <w:pStyle w:val="36"/>
        <w:keepNext w:val="0"/>
        <w:keepLines w:val="0"/>
        <w:pageBreakBefore w:val="0"/>
        <w:widowControl w:val="0"/>
        <w:tabs>
          <w:tab w:val="right" w:leader="dot" w:pos="8504"/>
          <w:tab w:val="clear" w:pos="1200"/>
        </w:tabs>
        <w:kinsoku/>
        <w:overflowPunct/>
        <w:topLinePunct w:val="0"/>
        <w:bidi w:val="0"/>
        <w:spacing w:line="400" w:lineRule="exact"/>
        <w:rPr>
          <w:rFonts w:ascii="宋体" w:cs="宋体"/>
          <w:b w:val="0"/>
          <w:bCs w:val="0"/>
          <w:color w:val="auto"/>
          <w:sz w:val="24"/>
          <w:szCs w:val="24"/>
          <w:highlight w:val="none"/>
        </w:rPr>
      </w:pP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TOC \o "1-2" \h  \u </w:instrText>
      </w:r>
      <w:r>
        <w:rPr>
          <w:rFonts w:hint="eastAsia" w:ascii="宋体" w:cs="宋体"/>
          <w:b w:val="0"/>
          <w:bCs w:val="0"/>
          <w:color w:val="auto"/>
          <w:sz w:val="24"/>
          <w:szCs w:val="24"/>
          <w:highlight w:val="none"/>
        </w:rPr>
        <w:fldChar w:fldCharType="separate"/>
      </w:r>
      <w:r>
        <w:rPr>
          <w:color w:val="auto"/>
          <w:highlight w:val="none"/>
        </w:rPr>
        <w:fldChar w:fldCharType="begin"/>
      </w:r>
      <w:r>
        <w:rPr>
          <w:color w:val="auto"/>
          <w:highlight w:val="none"/>
        </w:rPr>
        <w:instrText xml:space="preserve"> HYPERLINK \l "_Toc9790" </w:instrText>
      </w:r>
      <w:r>
        <w:rPr>
          <w:color w:val="auto"/>
          <w:highlight w:val="none"/>
        </w:rPr>
        <w:fldChar w:fldCharType="separate"/>
      </w:r>
      <w:r>
        <w:rPr>
          <w:rFonts w:hint="eastAsia" w:ascii="宋体" w:cs="宋体"/>
          <w:b w:val="0"/>
          <w:bCs w:val="0"/>
          <w:color w:val="auto"/>
          <w:sz w:val="24"/>
          <w:szCs w:val="24"/>
          <w:highlight w:val="none"/>
        </w:rPr>
        <w:t>第一章、公开招标采购公告</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_Toc9790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2</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pPr>
        <w:pStyle w:val="36"/>
        <w:keepNext w:val="0"/>
        <w:keepLines w:val="0"/>
        <w:pageBreakBefore w:val="0"/>
        <w:widowControl w:val="0"/>
        <w:tabs>
          <w:tab w:val="right" w:leader="dot" w:pos="8504"/>
          <w:tab w:val="clear" w:pos="1200"/>
        </w:tabs>
        <w:kinsoku/>
        <w:overflowPunct/>
        <w:topLinePunct w:val="0"/>
        <w:bidi w:val="0"/>
        <w:spacing w:line="400" w:lineRule="exact"/>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"_Toc24399" </w:instrText>
      </w:r>
      <w:r>
        <w:rPr>
          <w:color w:val="auto"/>
          <w:highlight w:val="none"/>
        </w:rPr>
        <w:fldChar w:fldCharType="separate"/>
      </w:r>
      <w:r>
        <w:rPr>
          <w:rFonts w:hint="eastAsia" w:ascii="宋体" w:cs="宋体"/>
          <w:b w:val="0"/>
          <w:bCs w:val="0"/>
          <w:color w:val="auto"/>
          <w:sz w:val="24"/>
          <w:szCs w:val="24"/>
          <w:highlight w:val="none"/>
        </w:rPr>
        <w:t>第二章、招标需求</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_Toc24399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5</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pPr>
        <w:pStyle w:val="36"/>
        <w:keepNext w:val="0"/>
        <w:keepLines w:val="0"/>
        <w:pageBreakBefore w:val="0"/>
        <w:widowControl w:val="0"/>
        <w:tabs>
          <w:tab w:val="right" w:leader="dot" w:pos="8504"/>
          <w:tab w:val="clear" w:pos="1200"/>
        </w:tabs>
        <w:kinsoku/>
        <w:overflowPunct/>
        <w:topLinePunct w:val="0"/>
        <w:bidi w:val="0"/>
        <w:spacing w:line="400" w:lineRule="exact"/>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"_Toc4239" </w:instrText>
      </w:r>
      <w:r>
        <w:rPr>
          <w:color w:val="auto"/>
          <w:highlight w:val="none"/>
        </w:rPr>
        <w:fldChar w:fldCharType="separate"/>
      </w:r>
      <w:r>
        <w:rPr>
          <w:rFonts w:hint="eastAsia" w:ascii="宋体" w:cs="宋体"/>
          <w:b w:val="0"/>
          <w:bCs w:val="0"/>
          <w:color w:val="auto"/>
          <w:sz w:val="24"/>
          <w:szCs w:val="24"/>
          <w:highlight w:val="none"/>
        </w:rPr>
        <w:t>第三章、投标人须知</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_Toc4239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5</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"_Toc31589" </w:instrText>
      </w:r>
      <w:r>
        <w:rPr>
          <w:color w:val="auto"/>
          <w:highlight w:val="none"/>
        </w:rPr>
        <w:fldChar w:fldCharType="separate"/>
      </w:r>
      <w:r>
        <w:rPr>
          <w:rFonts w:hint="eastAsia" w:ascii="宋体" w:cs="宋体"/>
          <w:color w:val="auto"/>
          <w:sz w:val="24"/>
          <w:szCs w:val="24"/>
          <w:highlight w:val="none"/>
        </w:rPr>
        <w:t>投标须知前附表</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_Toc31589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9</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"_Toc17241" </w:instrText>
      </w:r>
      <w:r>
        <w:rPr>
          <w:color w:val="auto"/>
          <w:highlight w:val="none"/>
        </w:rPr>
        <w:fldChar w:fldCharType="separate"/>
      </w:r>
      <w:r>
        <w:rPr>
          <w:rFonts w:hint="eastAsia" w:ascii="宋体" w:cs="宋体"/>
          <w:color w:val="auto"/>
          <w:sz w:val="24"/>
          <w:szCs w:val="24"/>
          <w:highlight w:val="none"/>
        </w:rPr>
        <w:t>一、总  则</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_Toc17241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12</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"_Toc1418" </w:instrText>
      </w:r>
      <w:r>
        <w:rPr>
          <w:color w:val="auto"/>
          <w:highlight w:val="none"/>
        </w:rPr>
        <w:fldChar w:fldCharType="separate"/>
      </w:r>
      <w:r>
        <w:rPr>
          <w:rFonts w:hint="eastAsia" w:ascii="宋体" w:cs="宋体"/>
          <w:color w:val="auto"/>
          <w:sz w:val="24"/>
          <w:szCs w:val="24"/>
          <w:highlight w:val="none"/>
        </w:rPr>
        <w:t>二、招标文件</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_Toc1418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13</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"_Toc5756" </w:instrText>
      </w:r>
      <w:r>
        <w:rPr>
          <w:color w:val="auto"/>
          <w:highlight w:val="none"/>
        </w:rPr>
        <w:fldChar w:fldCharType="separate"/>
      </w:r>
      <w:r>
        <w:rPr>
          <w:rFonts w:hint="eastAsia" w:ascii="宋体" w:cs="宋体"/>
          <w:color w:val="auto"/>
          <w:sz w:val="24"/>
          <w:szCs w:val="24"/>
          <w:highlight w:val="none"/>
        </w:rPr>
        <w:t>三、投标文件的编制</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_Toc5756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14</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"_Toc11267" </w:instrText>
      </w:r>
      <w:r>
        <w:rPr>
          <w:color w:val="auto"/>
          <w:highlight w:val="none"/>
        </w:rPr>
        <w:fldChar w:fldCharType="separate"/>
      </w:r>
      <w:r>
        <w:rPr>
          <w:rFonts w:hint="eastAsia" w:ascii="宋体" w:cs="宋体"/>
          <w:color w:val="auto"/>
          <w:sz w:val="24"/>
          <w:szCs w:val="24"/>
          <w:highlight w:val="none"/>
        </w:rPr>
        <w:t>四、开标</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_Toc11267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18</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"_Toc25997" </w:instrText>
      </w:r>
      <w:r>
        <w:rPr>
          <w:color w:val="auto"/>
          <w:highlight w:val="none"/>
        </w:rPr>
        <w:fldChar w:fldCharType="separate"/>
      </w:r>
      <w:r>
        <w:rPr>
          <w:rFonts w:hint="eastAsia" w:ascii="宋体" w:cs="宋体"/>
          <w:color w:val="auto"/>
          <w:sz w:val="24"/>
          <w:szCs w:val="24"/>
          <w:highlight w:val="none"/>
        </w:rPr>
        <w:t>五、资格证明文件审查</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_Toc25997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19</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"_Toc4354" </w:instrText>
      </w:r>
      <w:r>
        <w:rPr>
          <w:color w:val="auto"/>
          <w:highlight w:val="none"/>
        </w:rPr>
        <w:fldChar w:fldCharType="separate"/>
      </w:r>
      <w:r>
        <w:rPr>
          <w:rFonts w:hint="eastAsia" w:ascii="宋体" w:cs="宋体"/>
          <w:color w:val="auto"/>
          <w:sz w:val="24"/>
          <w:szCs w:val="24"/>
          <w:highlight w:val="none"/>
        </w:rPr>
        <w:t>六、评标</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_Toc4354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20</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"_Toc29465" </w:instrText>
      </w:r>
      <w:r>
        <w:rPr>
          <w:color w:val="auto"/>
          <w:highlight w:val="none"/>
        </w:rPr>
        <w:fldChar w:fldCharType="separate"/>
      </w:r>
      <w:r>
        <w:rPr>
          <w:rFonts w:hint="eastAsia" w:ascii="宋体" w:cs="宋体"/>
          <w:color w:val="auto"/>
          <w:sz w:val="24"/>
          <w:szCs w:val="24"/>
          <w:highlight w:val="none"/>
        </w:rPr>
        <w:t>六、定标</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_Toc29465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21</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42"/>
        <w:keepNext w:val="0"/>
        <w:keepLines w:val="0"/>
        <w:pageBreakBefore w:val="0"/>
        <w:widowControl w:val="0"/>
        <w:tabs>
          <w:tab w:val="right" w:leader="dot" w:pos="8504"/>
        </w:tabs>
        <w:kinsoku/>
        <w:overflowPunct/>
        <w:topLinePunct w:val="0"/>
        <w:bidi w:val="0"/>
        <w:spacing w:line="400" w:lineRule="exact"/>
        <w:ind w:left="0" w:firstLine="400" w:firstLineChars="200"/>
        <w:rPr>
          <w:rFonts w:ascii="宋体" w:cs="宋体"/>
          <w:color w:val="auto"/>
          <w:sz w:val="24"/>
          <w:szCs w:val="24"/>
          <w:highlight w:val="none"/>
        </w:rPr>
      </w:pPr>
      <w:r>
        <w:rPr>
          <w:color w:val="auto"/>
          <w:highlight w:val="none"/>
        </w:rPr>
        <w:fldChar w:fldCharType="begin"/>
      </w:r>
      <w:r>
        <w:rPr>
          <w:color w:val="auto"/>
          <w:highlight w:val="none"/>
        </w:rPr>
        <w:instrText xml:space="preserve"> HYPERLINK \l "_Toc6498" </w:instrText>
      </w:r>
      <w:r>
        <w:rPr>
          <w:color w:val="auto"/>
          <w:highlight w:val="none"/>
        </w:rPr>
        <w:fldChar w:fldCharType="separate"/>
      </w:r>
      <w:r>
        <w:rPr>
          <w:rFonts w:hint="eastAsia" w:ascii="宋体" w:cs="宋体"/>
          <w:color w:val="auto"/>
          <w:sz w:val="24"/>
          <w:szCs w:val="24"/>
          <w:highlight w:val="none"/>
        </w:rPr>
        <w:t>七、合同授予</w:t>
      </w:r>
      <w:r>
        <w:rPr>
          <w:rFonts w:hint="eastAsia" w:ascii="宋体" w:cs="宋体"/>
          <w:color w:val="auto"/>
          <w:sz w:val="24"/>
          <w:szCs w:val="24"/>
          <w:highlight w:val="none"/>
        </w:rPr>
        <w:tab/>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PAGEREF _Toc6498 </w:instrText>
      </w:r>
      <w:r>
        <w:rPr>
          <w:rFonts w:hint="eastAsia" w:ascii="宋体" w:cs="宋体"/>
          <w:color w:val="auto"/>
          <w:sz w:val="24"/>
          <w:szCs w:val="24"/>
          <w:highlight w:val="none"/>
        </w:rPr>
        <w:fldChar w:fldCharType="separate"/>
      </w:r>
      <w:r>
        <w:rPr>
          <w:rFonts w:hint="eastAsia" w:ascii="宋体" w:cs="宋体"/>
          <w:color w:val="auto"/>
          <w:sz w:val="24"/>
          <w:szCs w:val="24"/>
          <w:highlight w:val="none"/>
        </w:rPr>
        <w:t>21</w:t>
      </w:r>
      <w:r>
        <w:rPr>
          <w:rFonts w:hint="eastAsia" w:ascii="宋体" w:cs="宋体"/>
          <w:color w:val="auto"/>
          <w:sz w:val="24"/>
          <w:szCs w:val="24"/>
          <w:highlight w:val="none"/>
        </w:rPr>
        <w:fldChar w:fldCharType="end"/>
      </w:r>
      <w:r>
        <w:rPr>
          <w:rFonts w:hint="eastAsia" w:ascii="宋体" w:cs="宋体"/>
          <w:color w:val="auto"/>
          <w:sz w:val="24"/>
          <w:szCs w:val="24"/>
          <w:highlight w:val="none"/>
        </w:rPr>
        <w:fldChar w:fldCharType="end"/>
      </w:r>
    </w:p>
    <w:p>
      <w:pPr>
        <w:pStyle w:val="36"/>
        <w:keepNext w:val="0"/>
        <w:keepLines w:val="0"/>
        <w:pageBreakBefore w:val="0"/>
        <w:widowControl w:val="0"/>
        <w:tabs>
          <w:tab w:val="right" w:leader="dot" w:pos="8504"/>
          <w:tab w:val="clear" w:pos="1200"/>
        </w:tabs>
        <w:kinsoku/>
        <w:overflowPunct/>
        <w:topLinePunct w:val="0"/>
        <w:bidi w:val="0"/>
        <w:spacing w:line="400" w:lineRule="exact"/>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"_Toc4875" </w:instrText>
      </w:r>
      <w:r>
        <w:rPr>
          <w:color w:val="auto"/>
          <w:highlight w:val="none"/>
        </w:rPr>
        <w:fldChar w:fldCharType="separate"/>
      </w:r>
      <w:r>
        <w:rPr>
          <w:rFonts w:hint="eastAsia" w:ascii="宋体" w:cs="宋体"/>
          <w:b w:val="0"/>
          <w:bCs w:val="0"/>
          <w:color w:val="auto"/>
          <w:sz w:val="24"/>
          <w:szCs w:val="24"/>
          <w:highlight w:val="none"/>
        </w:rPr>
        <w:t>第四章、评标办法及评分标准</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_Toc4875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23</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pPr>
        <w:pStyle w:val="36"/>
        <w:keepNext w:val="0"/>
        <w:keepLines w:val="0"/>
        <w:pageBreakBefore w:val="0"/>
        <w:widowControl w:val="0"/>
        <w:tabs>
          <w:tab w:val="right" w:leader="dot" w:pos="8504"/>
          <w:tab w:val="clear" w:pos="1200"/>
        </w:tabs>
        <w:kinsoku/>
        <w:overflowPunct/>
        <w:topLinePunct w:val="0"/>
        <w:bidi w:val="0"/>
        <w:spacing w:line="400" w:lineRule="exact"/>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"_Toc10740" </w:instrText>
      </w:r>
      <w:r>
        <w:rPr>
          <w:color w:val="auto"/>
          <w:highlight w:val="none"/>
        </w:rPr>
        <w:fldChar w:fldCharType="separate"/>
      </w:r>
      <w:r>
        <w:rPr>
          <w:rFonts w:hint="eastAsia" w:ascii="宋体" w:cs="宋体"/>
          <w:b w:val="0"/>
          <w:bCs w:val="0"/>
          <w:color w:val="auto"/>
          <w:sz w:val="24"/>
          <w:szCs w:val="24"/>
          <w:highlight w:val="none"/>
        </w:rPr>
        <w:t>第五章、合同主要条款</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_Toc10740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23</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pPr>
        <w:pStyle w:val="36"/>
        <w:keepNext w:val="0"/>
        <w:keepLines w:val="0"/>
        <w:pageBreakBefore w:val="0"/>
        <w:widowControl w:val="0"/>
        <w:tabs>
          <w:tab w:val="right" w:leader="dot" w:pos="8504"/>
          <w:tab w:val="clear" w:pos="1200"/>
        </w:tabs>
        <w:kinsoku/>
        <w:overflowPunct/>
        <w:topLinePunct w:val="0"/>
        <w:bidi w:val="0"/>
        <w:spacing w:line="400" w:lineRule="exact"/>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"_Toc15674" </w:instrText>
      </w:r>
      <w:r>
        <w:rPr>
          <w:color w:val="auto"/>
          <w:highlight w:val="none"/>
        </w:rPr>
        <w:fldChar w:fldCharType="separate"/>
      </w:r>
      <w:r>
        <w:rPr>
          <w:rFonts w:hint="eastAsia" w:ascii="宋体" w:cs="宋体"/>
          <w:b w:val="0"/>
          <w:bCs w:val="0"/>
          <w:color w:val="auto"/>
          <w:sz w:val="24"/>
          <w:szCs w:val="24"/>
          <w:highlight w:val="none"/>
        </w:rPr>
        <w:t>第六章、投标文件格式</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_Toc15674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26</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pPr>
        <w:pStyle w:val="36"/>
        <w:keepNext w:val="0"/>
        <w:keepLines w:val="0"/>
        <w:pageBreakBefore w:val="0"/>
        <w:widowControl w:val="0"/>
        <w:tabs>
          <w:tab w:val="right" w:leader="dot" w:pos="8504"/>
          <w:tab w:val="clear" w:pos="1200"/>
        </w:tabs>
        <w:kinsoku/>
        <w:overflowPunct/>
        <w:topLinePunct w:val="0"/>
        <w:bidi w:val="0"/>
        <w:spacing w:line="400" w:lineRule="exact"/>
        <w:rPr>
          <w:rFonts w:asci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"_Toc4182" </w:instrText>
      </w:r>
      <w:r>
        <w:rPr>
          <w:color w:val="auto"/>
          <w:highlight w:val="none"/>
        </w:rPr>
        <w:fldChar w:fldCharType="separate"/>
      </w:r>
      <w:r>
        <w:rPr>
          <w:rFonts w:hint="eastAsia" w:ascii="宋体" w:cs="宋体"/>
          <w:b w:val="0"/>
          <w:bCs w:val="0"/>
          <w:color w:val="auto"/>
          <w:sz w:val="24"/>
          <w:szCs w:val="24"/>
          <w:highlight w:val="none"/>
        </w:rPr>
        <w:t>第七章、专家评分索引表</w:t>
      </w:r>
      <w:r>
        <w:rPr>
          <w:rFonts w:hint="eastAsia" w:ascii="宋体" w:cs="宋体"/>
          <w:b w:val="0"/>
          <w:bCs w:val="0"/>
          <w:color w:val="auto"/>
          <w:sz w:val="24"/>
          <w:szCs w:val="24"/>
          <w:highlight w:val="none"/>
        </w:rPr>
        <w:tab/>
      </w:r>
      <w:r>
        <w:rPr>
          <w:rFonts w:hint="eastAsia" w:ascii="宋体" w:cs="宋体"/>
          <w:b w:val="0"/>
          <w:bCs w:val="0"/>
          <w:color w:val="auto"/>
          <w:sz w:val="24"/>
          <w:szCs w:val="24"/>
          <w:highlight w:val="none"/>
        </w:rPr>
        <w:fldChar w:fldCharType="begin"/>
      </w:r>
      <w:r>
        <w:rPr>
          <w:rFonts w:hint="eastAsia" w:ascii="宋体" w:cs="宋体"/>
          <w:b w:val="0"/>
          <w:bCs w:val="0"/>
          <w:color w:val="auto"/>
          <w:sz w:val="24"/>
          <w:szCs w:val="24"/>
          <w:highlight w:val="none"/>
        </w:rPr>
        <w:instrText xml:space="preserve"> PAGEREF _Toc4182 </w:instrText>
      </w:r>
      <w:r>
        <w:rPr>
          <w:rFonts w:hint="eastAsia" w:ascii="宋体" w:cs="宋体"/>
          <w:b w:val="0"/>
          <w:bCs w:val="0"/>
          <w:color w:val="auto"/>
          <w:sz w:val="24"/>
          <w:szCs w:val="24"/>
          <w:highlight w:val="none"/>
        </w:rPr>
        <w:fldChar w:fldCharType="separate"/>
      </w:r>
      <w:r>
        <w:rPr>
          <w:rFonts w:hint="eastAsia" w:ascii="宋体" w:cs="宋体"/>
          <w:b w:val="0"/>
          <w:bCs w:val="0"/>
          <w:color w:val="auto"/>
          <w:sz w:val="24"/>
          <w:szCs w:val="24"/>
          <w:highlight w:val="none"/>
        </w:rPr>
        <w:t>54</w:t>
      </w:r>
      <w:r>
        <w:rPr>
          <w:rFonts w:hint="eastAsia" w:ascii="宋体" w:cs="宋体"/>
          <w:b w:val="0"/>
          <w:bCs w:val="0"/>
          <w:color w:val="auto"/>
          <w:sz w:val="24"/>
          <w:szCs w:val="24"/>
          <w:highlight w:val="none"/>
        </w:rPr>
        <w:fldChar w:fldCharType="end"/>
      </w:r>
      <w:r>
        <w:rPr>
          <w:rFonts w:hint="eastAsia" w:ascii="宋体" w:cs="宋体"/>
          <w:b w:val="0"/>
          <w:bCs w:val="0"/>
          <w:color w:val="auto"/>
          <w:sz w:val="24"/>
          <w:szCs w:val="24"/>
          <w:highlight w:val="none"/>
        </w:rPr>
        <w:fldChar w:fldCharType="end"/>
      </w:r>
    </w:p>
    <w:p>
      <w:pPr>
        <w:pStyle w:val="28"/>
        <w:keepNext w:val="0"/>
        <w:keepLines w:val="0"/>
        <w:pageBreakBefore w:val="0"/>
        <w:widowControl w:val="0"/>
        <w:kinsoku/>
        <w:overflowPunct/>
        <w:topLinePunct w:val="0"/>
        <w:bidi w:val="0"/>
        <w:spacing w:beforeLines="0" w:afterLines="0"/>
        <w:ind w:left="0" w:firstLine="0"/>
        <w:rPr>
          <w:color w:val="auto"/>
          <w:highlight w:val="none"/>
        </w:rPr>
      </w:pPr>
      <w:r>
        <w:rPr>
          <w:rFonts w:hint="eastAsia" w:cs="宋体"/>
          <w:color w:val="auto"/>
          <w:highlight w:val="none"/>
        </w:rPr>
        <w:fldChar w:fldCharType="end"/>
      </w:r>
    </w:p>
    <w:p>
      <w:pPr>
        <w:keepNext w:val="0"/>
        <w:keepLines w:val="0"/>
        <w:pageBreakBefore w:val="0"/>
        <w:widowControl w:val="0"/>
        <w:kinsoku/>
        <w:overflowPunct/>
        <w:topLinePunct w:val="0"/>
        <w:bidi w:val="0"/>
        <w:spacing w:before="120" w:beforeLines="50" w:after="120" w:afterLines="50"/>
        <w:jc w:val="center"/>
        <w:outlineLvl w:val="0"/>
        <w:rPr>
          <w:rFonts w:ascii="宋体"/>
          <w:b/>
          <w:bCs/>
          <w:color w:val="auto"/>
          <w:sz w:val="32"/>
          <w:szCs w:val="30"/>
          <w:highlight w:val="none"/>
        </w:rPr>
      </w:pPr>
      <w:bookmarkStart w:id="2" w:name="_Toc293916280"/>
      <w:bookmarkStart w:id="3" w:name="_Toc293916798"/>
      <w:bookmarkStart w:id="4" w:name="_Toc293917008"/>
      <w:bookmarkStart w:id="5" w:name="_Toc293915929"/>
      <w:r>
        <w:rPr>
          <w:rFonts w:hint="eastAsia" w:ascii="宋体"/>
          <w:color w:val="auto"/>
          <w:szCs w:val="21"/>
          <w:highlight w:val="none"/>
        </w:rPr>
        <w:br w:type="page"/>
      </w:r>
      <w:bookmarkStart w:id="6" w:name="_Toc9790"/>
      <w:bookmarkStart w:id="7" w:name="_Toc13565"/>
      <w:bookmarkStart w:id="8" w:name="_Toc10839"/>
      <w:bookmarkStart w:id="9" w:name="_Toc424544525"/>
      <w:bookmarkStart w:id="10" w:name="_Toc3087"/>
      <w:bookmarkStart w:id="11" w:name="_Toc26608"/>
      <w:bookmarkStart w:id="12" w:name="_Toc32477"/>
      <w:bookmarkStart w:id="13" w:name="_Toc424544804"/>
      <w:r>
        <w:rPr>
          <w:rFonts w:hint="eastAsia" w:ascii="宋体"/>
          <w:b/>
          <w:bCs/>
          <w:color w:val="auto"/>
          <w:sz w:val="32"/>
          <w:szCs w:val="30"/>
          <w:highlight w:val="none"/>
        </w:rPr>
        <w:t>第一章</w:t>
      </w:r>
      <w:bookmarkEnd w:id="0"/>
      <w:r>
        <w:rPr>
          <w:rFonts w:hint="eastAsia" w:ascii="宋体"/>
          <w:b/>
          <w:bCs/>
          <w:color w:val="auto"/>
          <w:sz w:val="32"/>
          <w:szCs w:val="30"/>
          <w:highlight w:val="none"/>
        </w:rPr>
        <w:t>、公开招标采购公告</w:t>
      </w:r>
      <w:bookmarkEnd w:id="2"/>
      <w:bookmarkEnd w:id="3"/>
      <w:bookmarkEnd w:id="4"/>
      <w:bookmarkEnd w:id="5"/>
      <w:bookmarkEnd w:id="6"/>
      <w:bookmarkEnd w:id="7"/>
      <w:bookmarkEnd w:id="8"/>
      <w:bookmarkEnd w:id="9"/>
      <w:bookmarkEnd w:id="10"/>
      <w:bookmarkEnd w:id="11"/>
      <w:bookmarkEnd w:id="12"/>
      <w:bookmarkEnd w:id="13"/>
    </w:p>
    <w:tbl>
      <w:tblPr>
        <w:tblStyle w:val="61"/>
        <w:tblW w:w="858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8584" w:type="dxa"/>
          </w:tcPr>
          <w:p>
            <w:pPr>
              <w:keepNext w:val="0"/>
              <w:keepLines w:val="0"/>
              <w:pageBreakBefore w:val="0"/>
              <w:widowControl w:val="0"/>
              <w:kinsoku/>
              <w:overflowPunct/>
              <w:topLinePunct w:val="0"/>
              <w:bidi w:val="0"/>
              <w:spacing w:line="400" w:lineRule="atLeast"/>
              <w:ind w:firstLine="422" w:firstLineChars="200"/>
              <w:jc w:val="left"/>
              <w:rPr>
                <w:rFonts w:ascii="宋体" w:cs="宋体"/>
                <w:color w:val="auto"/>
                <w:szCs w:val="21"/>
                <w:highlight w:val="none"/>
              </w:rPr>
            </w:pPr>
            <w:r>
              <w:rPr>
                <w:rFonts w:hint="eastAsia" w:ascii="宋体" w:hAnsi="宋体" w:cs="宋体"/>
                <w:b/>
                <w:bCs/>
                <w:color w:val="auto"/>
                <w:kern w:val="0"/>
                <w:szCs w:val="21"/>
                <w:highlight w:val="none"/>
              </w:rPr>
              <w:t>项目概况</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lang w:eastAsia="zh-CN"/>
              </w:rPr>
              <w:t>浪漫山川旅游度假区基础设施一期建设工程之浪漫山川全域智慧旅游系统（标识标牌、智慧驿站）设计建设项目</w:t>
            </w:r>
            <w:r>
              <w:rPr>
                <w:rFonts w:hint="eastAsia" w:ascii="宋体" w:hAnsi="宋体" w:cs="宋体"/>
                <w:color w:val="auto"/>
                <w:kern w:val="0"/>
                <w:szCs w:val="21"/>
                <w:highlight w:val="none"/>
              </w:rPr>
              <w:t>的潜在投标人应在政府采购云平台</w:t>
            </w:r>
            <w:r>
              <w:rPr>
                <w:rFonts w:ascii="宋体" w:hAnsi="宋体" w:cs="宋体"/>
                <w:color w:val="auto"/>
                <w:kern w:val="0"/>
                <w:szCs w:val="21"/>
                <w:highlight w:val="none"/>
              </w:rPr>
              <w:t>http://www.zcygov.cn</w:t>
            </w:r>
            <w:r>
              <w:rPr>
                <w:rFonts w:hint="eastAsia" w:ascii="宋体" w:hAnsi="宋体" w:cs="宋体"/>
                <w:color w:val="auto"/>
                <w:kern w:val="0"/>
                <w:szCs w:val="21"/>
                <w:highlight w:val="none"/>
              </w:rPr>
              <w:t>（以下简称“政采云平台”）；获取（下载）招标文件，并于</w:t>
            </w:r>
            <w:r>
              <w:rPr>
                <w:rFonts w:hint="eastAsia" w:ascii="宋体" w:hAnsi="宋体" w:cs="宋体"/>
                <w:color w:val="auto"/>
                <w:kern w:val="0"/>
                <w:szCs w:val="21"/>
                <w:highlight w:val="none"/>
                <w:lang w:eastAsia="zh-CN"/>
              </w:rPr>
              <w:t>2023年06月01日下午14:00</w:t>
            </w:r>
            <w:r>
              <w:rPr>
                <w:rFonts w:hint="eastAsia" w:ascii="宋体" w:hAnsi="宋体" w:cs="宋体"/>
                <w:color w:val="auto"/>
                <w:kern w:val="0"/>
                <w:szCs w:val="21"/>
                <w:highlight w:val="none"/>
              </w:rPr>
              <w:t>（北京时间）前递交（上传）投标文件。</w:t>
            </w:r>
            <w:r>
              <w:rPr>
                <w:rFonts w:ascii="宋体" w:hAnsi="宋体" w:cs="宋体"/>
                <w:color w:val="auto"/>
                <w:kern w:val="0"/>
                <w:szCs w:val="21"/>
                <w:highlight w:val="none"/>
              </w:rPr>
              <w:t xml:space="preserve"> </w:t>
            </w:r>
          </w:p>
        </w:tc>
      </w:tr>
    </w:tbl>
    <w:p>
      <w:pPr>
        <w:keepNext w:val="0"/>
        <w:keepLines w:val="0"/>
        <w:pageBreakBefore w:val="0"/>
        <w:widowControl w:val="0"/>
        <w:kinsoku/>
        <w:overflowPunct/>
        <w:topLinePunct w:val="0"/>
        <w:bidi w:val="0"/>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一、项目基本情况</w:t>
      </w:r>
      <w:r>
        <w:rPr>
          <w:rFonts w:ascii="宋体" w:hAnsi="宋体" w:cs="宋体"/>
          <w:b/>
          <w:bCs/>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 xml:space="preserve"> HJCG20230503</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浪漫山川旅游度假区基础设施一期建设工程之浪漫山川全域智慧旅游系统（标识标牌、智慧驿站）设计建设项目</w:t>
      </w:r>
      <w:r>
        <w:rPr>
          <w:rFonts w:ascii="宋体" w:cs="宋体"/>
          <w:color w:val="auto"/>
          <w:kern w:val="0"/>
          <w:szCs w:val="21"/>
          <w:highlight w:val="none"/>
        </w:rPr>
        <w:t>    </w:t>
      </w:r>
    </w:p>
    <w:p>
      <w:pPr>
        <w:keepNext w:val="0"/>
        <w:keepLines w:val="0"/>
        <w:pageBreakBefore w:val="0"/>
        <w:widowControl w:val="0"/>
        <w:kinsoku/>
        <w:overflowPunct/>
        <w:topLinePunct w:val="0"/>
        <w:bidi w:val="0"/>
        <w:spacing w:line="400" w:lineRule="exact"/>
        <w:ind w:firstLine="420" w:firstLineChars="200"/>
        <w:jc w:val="left"/>
        <w:rPr>
          <w:rFonts w:hint="default" w:ascii="宋体" w:cs="宋体"/>
          <w:color w:val="auto"/>
          <w:szCs w:val="21"/>
          <w:highlight w:val="none"/>
          <w:lang w:val="en-US"/>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5750419</w:t>
      </w:r>
    </w:p>
    <w:p>
      <w:pPr>
        <w:keepNext w:val="0"/>
        <w:keepLines w:val="0"/>
        <w:pageBreakBefore w:val="0"/>
        <w:widowControl w:val="0"/>
        <w:kinsoku/>
        <w:overflowPunct/>
        <w:topLinePunct w:val="0"/>
        <w:bidi w:val="0"/>
        <w:spacing w:line="400" w:lineRule="exact"/>
        <w:ind w:firstLine="420" w:firstLineChars="200"/>
        <w:jc w:val="left"/>
        <w:rPr>
          <w:rFonts w:hint="default" w:ascii="宋体" w:cs="宋体"/>
          <w:color w:val="auto"/>
          <w:szCs w:val="21"/>
          <w:highlight w:val="none"/>
          <w:lang w:val="en-US"/>
        </w:rPr>
      </w:pPr>
      <w:r>
        <w:rPr>
          <w:rFonts w:hint="eastAsia"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5750419</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采购需求：</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浪漫山川旅游度假区基础设施一期建设工程之浪漫山川全域智慧旅游系统（标识标牌、智慧驿站）设计建设项目</w:t>
      </w:r>
      <w:r>
        <w:rPr>
          <w:rFonts w:ascii="宋体" w:cs="宋体"/>
          <w:color w:val="auto"/>
          <w:kern w:val="0"/>
          <w:szCs w:val="21"/>
          <w:highlight w:val="none"/>
        </w:rPr>
        <w:t>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数量：不限</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hint="default" w:ascii="宋体" w:eastAsia="宋体" w:cs="宋体"/>
          <w:color w:val="auto"/>
          <w:szCs w:val="21"/>
          <w:highlight w:val="none"/>
          <w:lang w:val="en-US" w:eastAsia="zh-CN"/>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5750419</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shd w:val="clear" w:color="auto" w:fill="FFFFFF"/>
        </w:rPr>
        <w:t>简要规格描述</w:t>
      </w:r>
      <w:r>
        <w:rPr>
          <w:rFonts w:hint="eastAsia" w:ascii="宋体" w:hAnsi="宋体" w:cs="宋体"/>
          <w:color w:val="auto"/>
          <w:kern w:val="0"/>
          <w:szCs w:val="21"/>
          <w:highlight w:val="none"/>
        </w:rPr>
        <w:t>：</w:t>
      </w:r>
      <w:r>
        <w:rPr>
          <w:rFonts w:hint="eastAsia" w:ascii="宋体" w:hAnsi="宋体" w:cs="宋体"/>
          <w:color w:val="auto"/>
          <w:szCs w:val="21"/>
          <w:highlight w:val="none"/>
        </w:rPr>
        <w:t>详见招标文件</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备注：投标报价不得超</w:t>
      </w:r>
      <w:r>
        <w:rPr>
          <w:rFonts w:hint="eastAsia" w:ascii="宋体" w:hAnsi="宋体" w:cs="宋体"/>
          <w:color w:val="auto"/>
          <w:kern w:val="0"/>
          <w:szCs w:val="21"/>
          <w:highlight w:val="none"/>
          <w:lang w:eastAsia="zh-CN"/>
        </w:rPr>
        <w:t>预算金额</w:t>
      </w:r>
      <w:r>
        <w:rPr>
          <w:rFonts w:hint="eastAsia" w:ascii="宋体" w:hAnsi="宋体" w:cs="宋体"/>
          <w:color w:val="auto"/>
          <w:kern w:val="0"/>
          <w:szCs w:val="21"/>
          <w:highlight w:val="none"/>
        </w:rPr>
        <w:t>，否则投标无效。</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合同履约期限：标项</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szCs w:val="21"/>
          <w:highlight w:val="none"/>
          <w:lang w:eastAsia="zh-CN"/>
        </w:rPr>
        <w:t>中标后15个日历天内完成方案优化及施工图设计，施工总承包工期（含设计周期）为75个日历天，具体情况满足采购人进度需要</w:t>
      </w:r>
      <w:r>
        <w:rPr>
          <w:rFonts w:hint="eastAsia" w:ascii="宋体" w:hAnsi="宋体" w:cs="宋体"/>
          <w:color w:val="auto"/>
          <w:szCs w:val="21"/>
          <w:highlight w:val="none"/>
          <w:lang w:val="zh-TW" w:eastAsia="zh-TW"/>
        </w:rPr>
        <w:t>。</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项目（否）接受联合体投标。</w:t>
      </w:r>
    </w:p>
    <w:p>
      <w:pPr>
        <w:keepNext w:val="0"/>
        <w:keepLines w:val="0"/>
        <w:pageBreakBefore w:val="0"/>
        <w:widowControl w:val="0"/>
        <w:kinsoku/>
        <w:overflowPunct/>
        <w:topLinePunct w:val="0"/>
        <w:bidi w:val="0"/>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二、申请人的资格要求：</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满足《中华人民共和国政府采购法》第二十二条规定；未被“信用中国”（</w:t>
      </w:r>
      <w:r>
        <w:rPr>
          <w:rFonts w:ascii="宋体" w:hAnsi="宋体" w:cs="宋体"/>
          <w:color w:val="auto"/>
          <w:kern w:val="0"/>
          <w:szCs w:val="21"/>
          <w:highlight w:val="none"/>
        </w:rPr>
        <w:t>www.creditchina.gov.cn)</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）列入失信被执行人、重大税收违法案件当事人名单、政府采购严重违法失信行为记录名单。</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2.</w:t>
      </w:r>
      <w:r>
        <w:rPr>
          <w:rFonts w:hint="eastAsia" w:ascii="宋体" w:hAnsi="宋体" w:cs="宋体"/>
          <w:color w:val="auto"/>
          <w:kern w:val="0"/>
          <w:szCs w:val="21"/>
          <w:highlight w:val="none"/>
        </w:rPr>
        <w:t>落实政府采购政策需满足的资格要求：</w:t>
      </w:r>
      <w:r>
        <w:rPr>
          <w:rFonts w:hint="eastAsia" w:ascii="宋体" w:hAnsi="宋体" w:cs="宋体"/>
          <w:color w:val="auto"/>
          <w:kern w:val="0"/>
          <w:szCs w:val="21"/>
          <w:highlight w:val="none"/>
          <w:lang w:bidi="ar"/>
        </w:rPr>
        <w:t>标项1：本项目为专门面向中小企业采购，提供服务的供应商非中小企业的，资格审查不通过；符合上述条件的中小微型企业应按照磋商文件附件的格式要求在资格文件中提供《中小企业声明函》</w:t>
      </w:r>
      <w:r>
        <w:rPr>
          <w:rFonts w:hint="eastAsia" w:ascii="宋体" w:hAnsi="宋体" w:cs="宋体"/>
          <w:color w:val="auto"/>
          <w:kern w:val="0"/>
          <w:szCs w:val="21"/>
          <w:highlight w:val="none"/>
          <w:lang w:eastAsia="zh-CN"/>
        </w:rPr>
        <w:t>。</w:t>
      </w:r>
    </w:p>
    <w:p>
      <w:pPr>
        <w:keepNext w:val="0"/>
        <w:keepLines w:val="0"/>
        <w:pageBreakBefore w:val="0"/>
        <w:widowControl w:val="0"/>
        <w:kinsoku/>
        <w:overflowPunct/>
        <w:topLinePunct w:val="0"/>
        <w:bidi w:val="0"/>
        <w:spacing w:line="400" w:lineRule="exact"/>
        <w:ind w:firstLine="420" w:firstLineChars="200"/>
        <w:jc w:val="left"/>
        <w:rPr>
          <w:rFonts w:hint="default" w:asci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3.本项目的特定资格条件：无。</w:t>
      </w:r>
    </w:p>
    <w:p>
      <w:pPr>
        <w:keepNext w:val="0"/>
        <w:keepLines w:val="0"/>
        <w:pageBreakBefore w:val="0"/>
        <w:widowControl w:val="0"/>
        <w:kinsoku/>
        <w:overflowPunct/>
        <w:topLinePunct w:val="0"/>
        <w:bidi w:val="0"/>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三、获取招标文件</w:t>
      </w:r>
      <w:r>
        <w:rPr>
          <w:rFonts w:ascii="宋体" w:hAnsi="宋体" w:cs="宋体"/>
          <w:b/>
          <w:bCs/>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时间：</w:t>
      </w:r>
      <w:r>
        <w:rPr>
          <w:rFonts w:ascii="宋体" w:hAnsi="宋体" w:cs="宋体"/>
          <w:color w:val="auto"/>
          <w:kern w:val="0"/>
          <w:szCs w:val="21"/>
          <w:highlight w:val="none"/>
        </w:rPr>
        <w:t>/</w:t>
      </w:r>
      <w:r>
        <w:rPr>
          <w:rFonts w:hint="eastAsia" w:ascii="宋体" w:hAnsi="宋体" w:cs="宋体"/>
          <w:color w:val="auto"/>
          <w:kern w:val="0"/>
          <w:szCs w:val="21"/>
          <w:highlight w:val="none"/>
        </w:rPr>
        <w:t>至</w:t>
      </w:r>
      <w:r>
        <w:rPr>
          <w:rFonts w:hint="eastAsia" w:ascii="宋体" w:hAnsi="宋体" w:cs="宋体"/>
          <w:color w:val="auto"/>
          <w:kern w:val="0"/>
          <w:szCs w:val="21"/>
          <w:highlight w:val="none"/>
          <w:lang w:eastAsia="zh-CN"/>
        </w:rPr>
        <w:t>2023年06月01日</w:t>
      </w:r>
      <w:r>
        <w:rPr>
          <w:rFonts w:hint="eastAsia" w:ascii="宋体" w:hAnsi="宋体" w:cs="宋体"/>
          <w:color w:val="auto"/>
          <w:kern w:val="0"/>
          <w:szCs w:val="21"/>
          <w:highlight w:val="none"/>
        </w:rPr>
        <w:t>，每天上午</w:t>
      </w:r>
      <w:r>
        <w:rPr>
          <w:rFonts w:ascii="宋体" w:hAnsi="宋体" w:cs="宋体"/>
          <w:color w:val="auto"/>
          <w:kern w:val="0"/>
          <w:szCs w:val="21"/>
          <w:highlight w:val="none"/>
        </w:rPr>
        <w:t>00:00</w:t>
      </w:r>
      <w:r>
        <w:rPr>
          <w:rFonts w:hint="eastAsia" w:ascii="宋体" w:hAnsi="宋体" w:cs="宋体"/>
          <w:color w:val="auto"/>
          <w:kern w:val="0"/>
          <w:szCs w:val="21"/>
          <w:highlight w:val="none"/>
        </w:rPr>
        <w:t>至</w:t>
      </w:r>
      <w:r>
        <w:rPr>
          <w:rFonts w:ascii="宋体" w:hAnsi="宋体" w:cs="宋体"/>
          <w:color w:val="auto"/>
          <w:kern w:val="0"/>
          <w:szCs w:val="21"/>
          <w:highlight w:val="none"/>
        </w:rPr>
        <w:t>12:00</w:t>
      </w:r>
      <w:r>
        <w:rPr>
          <w:rFonts w:hint="eastAsia" w:ascii="宋体" w:hAnsi="宋体" w:cs="宋体"/>
          <w:color w:val="auto"/>
          <w:kern w:val="0"/>
          <w:szCs w:val="21"/>
          <w:highlight w:val="none"/>
        </w:rPr>
        <w:t>，下午</w:t>
      </w:r>
      <w:r>
        <w:rPr>
          <w:rFonts w:ascii="宋体" w:hAnsi="宋体" w:cs="宋体"/>
          <w:color w:val="auto"/>
          <w:kern w:val="0"/>
          <w:szCs w:val="21"/>
          <w:highlight w:val="none"/>
        </w:rPr>
        <w:t>12:00</w:t>
      </w:r>
      <w:r>
        <w:rPr>
          <w:rFonts w:hint="eastAsia" w:ascii="宋体" w:hAnsi="宋体" w:cs="宋体"/>
          <w:color w:val="auto"/>
          <w:kern w:val="0"/>
          <w:szCs w:val="21"/>
          <w:highlight w:val="none"/>
        </w:rPr>
        <w:t>至</w:t>
      </w:r>
      <w:r>
        <w:rPr>
          <w:rFonts w:ascii="宋体" w:hAnsi="宋体" w:cs="宋体"/>
          <w:color w:val="auto"/>
          <w:kern w:val="0"/>
          <w:szCs w:val="21"/>
          <w:highlight w:val="none"/>
        </w:rPr>
        <w:t>23:59</w:t>
      </w:r>
      <w:r>
        <w:rPr>
          <w:rFonts w:hint="eastAsia" w:ascii="宋体" w:hAnsi="宋体" w:cs="宋体"/>
          <w:color w:val="auto"/>
          <w:kern w:val="0"/>
          <w:szCs w:val="21"/>
          <w:highlight w:val="none"/>
        </w:rPr>
        <w:t>（北京时间，线上获取法定节假日均可，线下获取文件法定节假日除外）</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地点（网址）：政府采购云平台</w:t>
      </w:r>
      <w:r>
        <w:rPr>
          <w:rFonts w:ascii="宋体" w:hAnsi="宋体" w:cs="宋体"/>
          <w:color w:val="auto"/>
          <w:kern w:val="0"/>
          <w:szCs w:val="21"/>
          <w:highlight w:val="none"/>
        </w:rPr>
        <w:t>http://www.zcygov.cn</w:t>
      </w:r>
      <w:r>
        <w:rPr>
          <w:rFonts w:hint="eastAsia" w:ascii="宋体" w:hAnsi="宋体" w:cs="宋体"/>
          <w:color w:val="auto"/>
          <w:kern w:val="0"/>
          <w:szCs w:val="21"/>
          <w:highlight w:val="none"/>
        </w:rPr>
        <w:t>（以下简称“政采云平台”）；</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方式：本项目采购文件实行“政采云平台”在线获取，不提供采购文件纸质版。供应商获取采购文件前应先完成“政采云平台”的账号注册，同时办理</w:t>
      </w:r>
      <w:r>
        <w:rPr>
          <w:rFonts w:ascii="宋体" w:hAnsi="宋体" w:cs="宋体"/>
          <w:color w:val="auto"/>
          <w:kern w:val="0"/>
          <w:szCs w:val="21"/>
          <w:highlight w:val="none"/>
        </w:rPr>
        <w:t>CA</w:t>
      </w:r>
      <w:r>
        <w:rPr>
          <w:rFonts w:hint="eastAsia" w:ascii="宋体" w:hAnsi="宋体" w:cs="宋体"/>
          <w:color w:val="auto"/>
          <w:kern w:val="0"/>
          <w:szCs w:val="21"/>
          <w:highlight w:val="none"/>
        </w:rPr>
        <w:t>数字证书申领；</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售价（元）：</w:t>
      </w:r>
      <w:r>
        <w:rPr>
          <w:rFonts w:ascii="宋体" w:hAnsi="宋体" w:cs="宋体"/>
          <w:color w:val="auto"/>
          <w:kern w:val="0"/>
          <w:szCs w:val="21"/>
          <w:highlight w:val="none"/>
        </w:rPr>
        <w:t xml:space="preserve">0 </w:t>
      </w:r>
    </w:p>
    <w:p>
      <w:pPr>
        <w:keepNext w:val="0"/>
        <w:keepLines w:val="0"/>
        <w:pageBreakBefore w:val="0"/>
        <w:widowControl w:val="0"/>
        <w:kinsoku/>
        <w:overflowPunct/>
        <w:topLinePunct w:val="0"/>
        <w:bidi w:val="0"/>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四、提交投标文件截止时间、开标时间和地点</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提交投标文件截止时间：</w:t>
      </w:r>
      <w:r>
        <w:rPr>
          <w:rFonts w:hint="eastAsia" w:ascii="宋体" w:hAnsi="宋体" w:cs="宋体"/>
          <w:color w:val="auto"/>
          <w:kern w:val="0"/>
          <w:szCs w:val="21"/>
          <w:highlight w:val="none"/>
          <w:lang w:eastAsia="zh-CN"/>
        </w:rPr>
        <w:t>2023年06月01日下午14:00</w:t>
      </w:r>
      <w:r>
        <w:rPr>
          <w:rFonts w:hint="eastAsia" w:ascii="宋体" w:hAnsi="宋体" w:cs="宋体"/>
          <w:color w:val="auto"/>
          <w:kern w:val="0"/>
          <w:szCs w:val="21"/>
          <w:highlight w:val="none"/>
        </w:rPr>
        <w:t>（北京时间）</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投标地点（网址）：通过“政府采购云平台（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）”实行在线投标及开标。</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lang w:eastAsia="zh-CN"/>
        </w:rPr>
        <w:t>2023年2023年06月01日下午14:00</w:t>
      </w:r>
      <w:r>
        <w:rPr>
          <w:rFonts w:hint="eastAsia" w:ascii="宋体" w:hAnsi="宋体" w:cs="宋体"/>
          <w:color w:val="auto"/>
          <w:kern w:val="0"/>
          <w:szCs w:val="21"/>
          <w:highlight w:val="none"/>
        </w:rPr>
        <w:t>（北京时间）</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开标地点（网址）：通过“政府采购云平台（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）”实行在线投标及开标。</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五、公告期限</w:t>
      </w:r>
      <w:r>
        <w:rPr>
          <w:rFonts w:ascii="宋体" w:hAnsi="宋体" w:cs="宋体"/>
          <w:b/>
          <w:bCs/>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pPr>
        <w:keepNext w:val="0"/>
        <w:keepLines w:val="0"/>
        <w:pageBreakBefore w:val="0"/>
        <w:widowControl w:val="0"/>
        <w:kinsoku/>
        <w:overflowPunct/>
        <w:topLinePunct w:val="0"/>
        <w:bidi w:val="0"/>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六、其他补充事宜</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2.其他事项：</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1）书面质疑受理地点及联系人：安吉县灵芝东路递二社区综合楼二楼杭州建设工程造价咨询有限公司，联系人沈女士 18057255582 邮箱3317971962@qq.com</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2）本项目执行的政府采购政策：</w:t>
      </w:r>
    </w:p>
    <w:p>
      <w:pPr>
        <w:keepNext w:val="0"/>
        <w:keepLines w:val="0"/>
        <w:pageBreakBefore w:val="0"/>
        <w:widowControl w:val="0"/>
        <w:kinsoku/>
        <w:overflowPunct/>
        <w:topLinePunct w:val="0"/>
        <w:bidi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《政府采购促进中小企业发展管理办法》（财库﹝2020﹞46 号）；</w:t>
      </w:r>
    </w:p>
    <w:p>
      <w:pPr>
        <w:keepNext w:val="0"/>
        <w:keepLines w:val="0"/>
        <w:pageBreakBefore w:val="0"/>
        <w:widowControl w:val="0"/>
        <w:kinsoku/>
        <w:overflowPunct/>
        <w:topLinePunct w:val="0"/>
        <w:bidi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《财政部、司法部关于政府采购支持监狱企业发展有关问题的通知》（财库〔2014〕68号）；</w:t>
      </w:r>
    </w:p>
    <w:p>
      <w:pPr>
        <w:keepNext w:val="0"/>
        <w:keepLines w:val="0"/>
        <w:pageBreakBefore w:val="0"/>
        <w:widowControl w:val="0"/>
        <w:kinsoku/>
        <w:overflowPunct/>
        <w:topLinePunct w:val="0"/>
        <w:bidi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《国务院办公厅关于建立政府强制采购节能产品制度的通知》（国办发〔2007〕51号）；</w:t>
      </w:r>
    </w:p>
    <w:p>
      <w:pPr>
        <w:keepNext w:val="0"/>
        <w:keepLines w:val="0"/>
        <w:pageBreakBefore w:val="0"/>
        <w:widowControl w:val="0"/>
        <w:kinsoku/>
        <w:overflowPunct/>
        <w:topLinePunct w:val="0"/>
        <w:bidi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《财政部、国家环保总局关于环境标志产品政府采购实施的意见》（财库[2006]90号）；</w:t>
      </w:r>
    </w:p>
    <w:p>
      <w:pPr>
        <w:keepNext w:val="0"/>
        <w:keepLines w:val="0"/>
        <w:pageBreakBefore w:val="0"/>
        <w:widowControl w:val="0"/>
        <w:kinsoku/>
        <w:overflowPunct/>
        <w:topLinePunct w:val="0"/>
        <w:bidi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财政部民政部中国残疾人联合会《关于促进残疾人就业政府采购政策的通知》（财库〔2017〕141号）。</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3）资格审查：本项目采用资格后审。</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4）本次采购有关信息发布媒介浙江政府采购网 http://zfcg.czt.zj.gov.cn、安吉县公共资源交易网 http：//www.ajztb.com；</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5）采购代理费用由成交供应商支付。</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供应商法定代表人（或其授权代表）无须出席磋商会议现场，但供应商必须派授权代表远程参与磋商，并保证其授权代表电话畅通、网络在线。在代理机构电话通知磋商结果前必须确保授权代表始终在岗，磋商过程中的澄清及报价等工作将以电话或网络形式进行。如因为供应商的通信或网络原因造成的磋商失误，责任由供应商自行承担。</w:t>
      </w:r>
    </w:p>
    <w:p>
      <w:pPr>
        <w:keepNext w:val="0"/>
        <w:keepLines w:val="0"/>
        <w:pageBreakBefore w:val="0"/>
        <w:widowControl w:val="0"/>
        <w:kinsoku/>
        <w:overflowPunct/>
        <w:topLinePunct w:val="0"/>
        <w:bidi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采购项目中标单位与采购单位签订的政府采购合同适用于浙江省政府采购贷款政策，简称“政采贷”，具体内容可参阅《安吉财政“政采贷”办理指引》。网址：http://www.anji.gov.cn/art/2021/10/28/art_1229518630_3837633.html 。</w:t>
      </w:r>
    </w:p>
    <w:p>
      <w:pPr>
        <w:keepNext w:val="0"/>
        <w:keepLines w:val="0"/>
        <w:pageBreakBefore w:val="0"/>
        <w:widowControl w:val="0"/>
        <w:kinsoku/>
        <w:overflowPunct/>
        <w:topLinePunct w:val="0"/>
        <w:bidi w:val="0"/>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七、对本次采购提出询问、质疑、投诉，请按以下方式联系</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采购人信息</w:t>
      </w:r>
    </w:p>
    <w:p>
      <w:pPr>
        <w:keepNext w:val="0"/>
        <w:keepLines w:val="0"/>
        <w:pageBreakBefore w:val="0"/>
        <w:widowControl w:val="0"/>
        <w:kinsoku/>
        <w:overflowPunct/>
        <w:topLinePunct w:val="0"/>
        <w:bidi w:val="0"/>
        <w:spacing w:line="40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kern w:val="0"/>
          <w:szCs w:val="21"/>
          <w:highlight w:val="none"/>
        </w:rPr>
        <w:t>名</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称：</w:t>
      </w:r>
      <w:r>
        <w:rPr>
          <w:rFonts w:hint="eastAsia" w:ascii="宋体" w:hAnsi="宋体" w:cs="宋体"/>
          <w:color w:val="auto"/>
          <w:kern w:val="0"/>
          <w:szCs w:val="21"/>
          <w:highlight w:val="none"/>
          <w:lang w:eastAsia="zh-CN"/>
        </w:rPr>
        <w:t>安吉县山川乡人民政府</w:t>
      </w:r>
    </w:p>
    <w:p>
      <w:pPr>
        <w:keepNext w:val="0"/>
        <w:keepLines w:val="0"/>
        <w:pageBreakBefore w:val="0"/>
        <w:widowControl w:val="0"/>
        <w:kinsoku/>
        <w:overflowPunct/>
        <w:topLinePunct w:val="0"/>
        <w:bidi w:val="0"/>
        <w:spacing w:line="400" w:lineRule="exact"/>
        <w:ind w:firstLine="420" w:firstLineChars="200"/>
        <w:jc w:val="left"/>
        <w:rPr>
          <w:rFonts w:hint="default" w:ascii="宋体" w:cs="宋体"/>
          <w:color w:val="auto"/>
          <w:szCs w:val="21"/>
          <w:highlight w:val="none"/>
          <w:lang w:val="en-US"/>
        </w:rPr>
      </w:pPr>
      <w:r>
        <w:rPr>
          <w:rFonts w:hint="eastAsia" w:ascii="宋体" w:hAnsi="宋体" w:cs="宋体"/>
          <w:color w:val="auto"/>
          <w:kern w:val="0"/>
          <w:szCs w:val="21"/>
          <w:highlight w:val="none"/>
        </w:rPr>
        <w:t>地</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址：</w:t>
      </w:r>
      <w:r>
        <w:rPr>
          <w:rFonts w:hint="eastAsia" w:ascii="宋体" w:hAnsi="宋体" w:eastAsia="宋体" w:cs="宋体"/>
          <w:color w:val="auto"/>
          <w:kern w:val="0"/>
          <w:sz w:val="21"/>
          <w:szCs w:val="21"/>
          <w:highlight w:val="none"/>
          <w:lang w:val="en-US" w:eastAsia="zh-CN" w:bidi="ar"/>
        </w:rPr>
        <w:t>安吉县</w:t>
      </w:r>
      <w:r>
        <w:rPr>
          <w:rFonts w:hint="eastAsia" w:ascii="宋体" w:hAnsi="宋体" w:cs="宋体"/>
          <w:color w:val="auto"/>
          <w:kern w:val="0"/>
          <w:sz w:val="21"/>
          <w:szCs w:val="21"/>
          <w:highlight w:val="none"/>
          <w:lang w:val="en-US" w:eastAsia="zh-CN" w:bidi="ar"/>
        </w:rPr>
        <w:t>山川乡</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eastAsia="zh-CN"/>
        </w:rPr>
        <w:t>杨先生</w:t>
      </w:r>
    </w:p>
    <w:p>
      <w:pPr>
        <w:keepNext w:val="0"/>
        <w:keepLines w:val="0"/>
        <w:pageBreakBefore w:val="0"/>
        <w:widowControl w:val="0"/>
        <w:kinsoku/>
        <w:overflowPunct/>
        <w:topLinePunct w:val="0"/>
        <w:bidi w:val="0"/>
        <w:spacing w:line="400" w:lineRule="exact"/>
        <w:ind w:firstLine="420" w:firstLineChars="200"/>
        <w:jc w:val="left"/>
        <w:rPr>
          <w:rFonts w:ascii="宋体" w:cs="宋体"/>
          <w:b w:val="0"/>
          <w:bCs w:val="0"/>
          <w:color w:val="auto"/>
          <w:szCs w:val="21"/>
          <w:highlight w:val="none"/>
        </w:rPr>
      </w:pPr>
      <w:r>
        <w:rPr>
          <w:rFonts w:hint="eastAsia" w:ascii="宋体" w:hAnsi="宋体" w:cs="宋体"/>
          <w:b w:val="0"/>
          <w:bCs w:val="0"/>
          <w:color w:val="auto"/>
          <w:kern w:val="0"/>
          <w:szCs w:val="21"/>
          <w:highlight w:val="none"/>
        </w:rPr>
        <w:t>项目联系方式（询问）：</w:t>
      </w:r>
      <w:r>
        <w:rPr>
          <w:rFonts w:hint="eastAsia" w:ascii="宋体" w:hAnsi="宋体" w:eastAsia="宋体" w:cs="宋体"/>
          <w:color w:val="auto"/>
          <w:kern w:val="0"/>
          <w:sz w:val="21"/>
          <w:szCs w:val="21"/>
          <w:highlight w:val="none"/>
          <w:lang w:val="en-US" w:eastAsia="zh-CN" w:bidi="ar"/>
        </w:rPr>
        <w:t>0572-5048561</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质疑联系人：</w:t>
      </w:r>
      <w:r>
        <w:rPr>
          <w:rFonts w:hint="eastAsia" w:ascii="宋体" w:hAnsi="宋体" w:cs="宋体"/>
          <w:color w:val="auto"/>
          <w:kern w:val="0"/>
          <w:szCs w:val="21"/>
          <w:highlight w:val="none"/>
          <w:lang w:eastAsia="zh-CN"/>
        </w:rPr>
        <w:t>蒋先生</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质疑联系方式：</w:t>
      </w:r>
      <w:r>
        <w:rPr>
          <w:rFonts w:hint="eastAsia" w:ascii="宋体" w:hAnsi="宋体" w:eastAsia="宋体" w:cs="宋体"/>
          <w:color w:val="auto"/>
          <w:kern w:val="0"/>
          <w:sz w:val="21"/>
          <w:szCs w:val="21"/>
          <w:highlight w:val="none"/>
          <w:lang w:val="en-US" w:eastAsia="zh-CN" w:bidi="ar"/>
        </w:rPr>
        <w:t xml:space="preserve">0572-5048701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kern w:val="0"/>
          <w:szCs w:val="21"/>
          <w:highlight w:val="none"/>
        </w:rPr>
      </w:pP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名</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称：</w:t>
      </w:r>
      <w:r>
        <w:rPr>
          <w:rFonts w:hint="eastAsia" w:ascii="宋体" w:hAnsi="宋体" w:cs="宋体"/>
          <w:color w:val="auto"/>
          <w:kern w:val="0"/>
          <w:szCs w:val="21"/>
          <w:highlight w:val="none"/>
          <w:lang w:eastAsia="zh-CN"/>
        </w:rPr>
        <w:t>杭州建设工程造价咨询有限公司</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地</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址：安吉县灵芝东路递二社区综合楼二楼202</w:t>
      </w:r>
      <w:r>
        <w:rPr>
          <w:rFonts w:ascii="宋体" w:hAnsi="宋体" w:cs="宋体"/>
          <w:color w:val="auto"/>
          <w:kern w:val="0"/>
          <w:szCs w:val="21"/>
          <w:highlight w:val="none"/>
        </w:rPr>
        <w:t>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传</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真：</w:t>
      </w:r>
      <w:r>
        <w:rPr>
          <w:rFonts w:hint="eastAsia" w:ascii="宋体" w:hAnsi="宋体" w:cs="宋体"/>
          <w:color w:val="auto"/>
          <w:kern w:val="0"/>
          <w:szCs w:val="21"/>
          <w:highlight w:val="none"/>
          <w:lang w:val="en-US" w:eastAsia="zh-CN"/>
        </w:rPr>
        <w:t>/</w:t>
      </w:r>
      <w:r>
        <w:rPr>
          <w:rFonts w:ascii="宋体" w:hAnsi="宋体" w:cs="宋体"/>
          <w:color w:val="auto"/>
          <w:kern w:val="0"/>
          <w:szCs w:val="21"/>
          <w:highlight w:val="none"/>
        </w:rPr>
        <w:t>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val="en-US" w:eastAsia="zh-CN"/>
        </w:rPr>
        <w:t>汪先生</w:t>
      </w:r>
      <w:r>
        <w:rPr>
          <w:rFonts w:ascii="宋体" w:cs="宋体"/>
          <w:color w:val="auto"/>
          <w:kern w:val="0"/>
          <w:szCs w:val="21"/>
          <w:highlight w:val="none"/>
        </w:rPr>
        <w:t>           </w:t>
      </w:r>
    </w:p>
    <w:p>
      <w:pPr>
        <w:keepNext w:val="0"/>
        <w:keepLines w:val="0"/>
        <w:pageBreakBefore w:val="0"/>
        <w:widowControl w:val="0"/>
        <w:kinsoku/>
        <w:overflowPunct/>
        <w:topLinePunct w:val="0"/>
        <w:bidi w:val="0"/>
        <w:spacing w:line="400" w:lineRule="exact"/>
        <w:ind w:firstLine="420" w:firstLineChars="200"/>
        <w:jc w:val="left"/>
        <w:rPr>
          <w:rFonts w:hint="default" w:ascii="宋体" w:eastAsia="宋体" w:cs="宋体"/>
          <w:color w:val="auto"/>
          <w:szCs w:val="21"/>
          <w:highlight w:val="none"/>
          <w:lang w:val="en-US" w:eastAsia="zh-CN"/>
        </w:rPr>
      </w:pPr>
      <w:r>
        <w:rPr>
          <w:rFonts w:hint="eastAsia" w:ascii="宋体" w:hAnsi="宋体" w:cs="宋体"/>
          <w:color w:val="auto"/>
          <w:kern w:val="0"/>
          <w:szCs w:val="21"/>
          <w:highlight w:val="none"/>
        </w:rPr>
        <w:t>项目联系方式（询问）：</w:t>
      </w:r>
      <w:r>
        <w:rPr>
          <w:rFonts w:hint="eastAsia" w:ascii="宋体" w:hAnsi="宋体" w:cs="宋体"/>
          <w:color w:val="auto"/>
          <w:kern w:val="0"/>
          <w:szCs w:val="21"/>
          <w:highlight w:val="none"/>
          <w:lang w:val="en-US" w:eastAsia="zh-CN"/>
        </w:rPr>
        <w:t>15957222451</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质疑联系人：</w:t>
      </w:r>
      <w:r>
        <w:rPr>
          <w:rFonts w:hint="eastAsia" w:ascii="宋体" w:hAnsi="宋体" w:cs="宋体"/>
          <w:color w:val="auto"/>
          <w:kern w:val="0"/>
          <w:szCs w:val="21"/>
          <w:highlight w:val="none"/>
          <w:lang w:val="en-US" w:eastAsia="zh-CN"/>
        </w:rPr>
        <w:t>沈女士</w:t>
      </w:r>
      <w:r>
        <w:rPr>
          <w:rFonts w:ascii="宋体" w:hAnsi="宋体" w:cs="宋体"/>
          <w:color w:val="auto"/>
          <w:kern w:val="0"/>
          <w:szCs w:val="21"/>
          <w:highlight w:val="none"/>
        </w:rPr>
        <w:t>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18057255582</w:t>
      </w:r>
      <w:r>
        <w:rPr>
          <w:rFonts w:hint="eastAsia" w:ascii="宋体" w:hAnsi="宋体" w:cs="宋体"/>
          <w:color w:val="auto"/>
          <w:kern w:val="0"/>
          <w:szCs w:val="21"/>
          <w:highlight w:val="none"/>
        </w:rPr>
        <w:t>　　　　　</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kern w:val="0"/>
          <w:szCs w:val="21"/>
          <w:highlight w:val="none"/>
        </w:rPr>
      </w:pP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同级政府采购监督管理部门</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名</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称：安吉县财政局</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址：安吉县昌硕街道凤凰路凤凰五区188号</w:t>
      </w:r>
      <w:r>
        <w:rPr>
          <w:rFonts w:ascii="宋体" w:hAnsi="宋体" w:cs="宋体"/>
          <w:color w:val="auto"/>
          <w:kern w:val="0"/>
          <w:szCs w:val="21"/>
          <w:highlight w:val="none"/>
        </w:rPr>
        <w:t>             </w:t>
      </w:r>
    </w:p>
    <w:p>
      <w:pPr>
        <w:keepNext w:val="0"/>
        <w:keepLines w:val="0"/>
        <w:pageBreakBefore w:val="0"/>
        <w:widowControl w:val="0"/>
        <w:kinsoku/>
        <w:overflowPunct/>
        <w:topLinePunct w:val="0"/>
        <w:bidi w:val="0"/>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联系人</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：李科</w:t>
      </w:r>
      <w:r>
        <w:rPr>
          <w:rFonts w:ascii="宋体" w:hAnsi="宋体" w:cs="宋体"/>
          <w:color w:val="auto"/>
          <w:kern w:val="0"/>
          <w:szCs w:val="21"/>
          <w:highlight w:val="none"/>
        </w:rPr>
        <w:t xml:space="preserve">              </w:t>
      </w:r>
    </w:p>
    <w:p>
      <w:pPr>
        <w:keepNext w:val="0"/>
        <w:keepLines w:val="0"/>
        <w:pageBreakBefore w:val="0"/>
        <w:widowControl w:val="0"/>
        <w:kinsoku/>
        <w:overflowPunct/>
        <w:topLinePunct w:val="0"/>
        <w:bidi w:val="0"/>
        <w:spacing w:line="400" w:lineRule="exact"/>
        <w:ind w:firstLine="420" w:firstLineChars="200"/>
        <w:jc w:val="left"/>
        <w:rPr>
          <w:color w:val="auto"/>
          <w:highlight w:val="none"/>
        </w:rPr>
      </w:pPr>
      <w:r>
        <w:rPr>
          <w:rFonts w:hint="eastAsia" w:ascii="宋体" w:hAnsi="宋体" w:cs="宋体"/>
          <w:color w:val="auto"/>
          <w:kern w:val="0"/>
          <w:szCs w:val="21"/>
          <w:highlight w:val="none"/>
        </w:rPr>
        <w:t>监督投诉电话：</w:t>
      </w:r>
      <w:r>
        <w:rPr>
          <w:rFonts w:ascii="宋体" w:hAnsi="宋体" w:cs="宋体"/>
          <w:color w:val="auto"/>
          <w:kern w:val="0"/>
          <w:szCs w:val="21"/>
          <w:highlight w:val="none"/>
        </w:rPr>
        <w:t>0572-5807951  </w:t>
      </w:r>
    </w:p>
    <w:p>
      <w:pPr>
        <w:keepNext w:val="0"/>
        <w:keepLines w:val="0"/>
        <w:pageBreakBefore w:val="0"/>
        <w:widowControl w:val="0"/>
        <w:kinsoku/>
        <w:overflowPunct/>
        <w:topLinePunct w:val="0"/>
        <w:bidi w:val="0"/>
        <w:spacing w:line="400" w:lineRule="exact"/>
        <w:jc w:val="right"/>
        <w:rPr>
          <w:rFonts w:ascii="宋体"/>
          <w:bCs/>
          <w:color w:val="auto"/>
          <w:szCs w:val="21"/>
          <w:highlight w:val="none"/>
        </w:rPr>
      </w:pPr>
    </w:p>
    <w:p>
      <w:pPr>
        <w:keepNext w:val="0"/>
        <w:keepLines w:val="0"/>
        <w:pageBreakBefore w:val="0"/>
        <w:widowControl w:val="0"/>
        <w:kinsoku/>
        <w:overflowPunct/>
        <w:topLinePunct w:val="0"/>
        <w:bidi w:val="0"/>
        <w:spacing w:line="400" w:lineRule="exact"/>
        <w:jc w:val="right"/>
        <w:rPr>
          <w:rFonts w:ascii="宋体"/>
          <w:bCs/>
          <w:color w:val="auto"/>
          <w:szCs w:val="21"/>
          <w:highlight w:val="none"/>
        </w:rPr>
      </w:pPr>
    </w:p>
    <w:p>
      <w:pPr>
        <w:keepNext w:val="0"/>
        <w:keepLines w:val="0"/>
        <w:pageBreakBefore w:val="0"/>
        <w:widowControl w:val="0"/>
        <w:kinsoku/>
        <w:overflowPunct/>
        <w:topLinePunct w:val="0"/>
        <w:bidi w:val="0"/>
        <w:spacing w:line="400" w:lineRule="exact"/>
        <w:jc w:val="right"/>
        <w:rPr>
          <w:rFonts w:ascii="宋体"/>
          <w:bCs/>
          <w:color w:val="auto"/>
          <w:szCs w:val="21"/>
          <w:highlight w:val="none"/>
        </w:rPr>
      </w:pPr>
    </w:p>
    <w:p>
      <w:pPr>
        <w:keepNext w:val="0"/>
        <w:keepLines w:val="0"/>
        <w:pageBreakBefore w:val="0"/>
        <w:widowControl w:val="0"/>
        <w:kinsoku/>
        <w:overflowPunct/>
        <w:topLinePunct w:val="0"/>
        <w:bidi w:val="0"/>
        <w:spacing w:line="400" w:lineRule="exact"/>
        <w:jc w:val="right"/>
        <w:rPr>
          <w:rFonts w:ascii="宋体"/>
          <w:bCs/>
          <w:color w:val="auto"/>
          <w:szCs w:val="21"/>
          <w:highlight w:val="none"/>
        </w:rPr>
      </w:pPr>
    </w:p>
    <w:p>
      <w:pPr>
        <w:keepNext w:val="0"/>
        <w:keepLines w:val="0"/>
        <w:pageBreakBefore w:val="0"/>
        <w:widowControl w:val="0"/>
        <w:kinsoku/>
        <w:overflowPunct/>
        <w:topLinePunct w:val="0"/>
        <w:bidi w:val="0"/>
        <w:spacing w:before="120" w:beforeLines="50" w:after="120" w:afterLines="50" w:line="400" w:lineRule="exact"/>
        <w:jc w:val="center"/>
        <w:outlineLvl w:val="0"/>
        <w:rPr>
          <w:rFonts w:ascii="宋体"/>
          <w:color w:val="auto"/>
          <w:sz w:val="30"/>
          <w:szCs w:val="30"/>
          <w:highlight w:val="none"/>
        </w:rPr>
      </w:pPr>
      <w:r>
        <w:rPr>
          <w:rFonts w:hint="eastAsia" w:ascii="宋体"/>
          <w:color w:val="auto"/>
          <w:szCs w:val="21"/>
          <w:highlight w:val="none"/>
        </w:rPr>
        <w:br w:type="page"/>
      </w:r>
      <w:bookmarkStart w:id="14" w:name="_Toc15114"/>
      <w:bookmarkStart w:id="15" w:name="_Toc25445"/>
      <w:bookmarkStart w:id="16" w:name="_Toc23707"/>
      <w:bookmarkStart w:id="17" w:name="_Toc16731"/>
      <w:bookmarkStart w:id="18" w:name="_Toc424544805"/>
      <w:bookmarkStart w:id="19" w:name="_Toc424544526"/>
      <w:bookmarkStart w:id="20" w:name="_Toc24399"/>
      <w:bookmarkStart w:id="21" w:name="_Toc4306"/>
      <w:bookmarkStart w:id="22" w:name="_Toc177870534"/>
      <w:bookmarkStart w:id="23" w:name="_Toc293916000"/>
      <w:bookmarkStart w:id="24" w:name="_Toc293916869"/>
      <w:bookmarkStart w:id="25" w:name="_Toc293917015"/>
      <w:bookmarkStart w:id="26" w:name="_Toc293916351"/>
      <w:r>
        <w:rPr>
          <w:rFonts w:hint="eastAsia" w:ascii="宋体"/>
          <w:b/>
          <w:bCs/>
          <w:color w:val="auto"/>
          <w:sz w:val="32"/>
          <w:szCs w:val="30"/>
          <w:highlight w:val="none"/>
        </w:rPr>
        <w:t>第二章、招标需求</w:t>
      </w:r>
      <w:bookmarkEnd w:id="14"/>
      <w:bookmarkEnd w:id="15"/>
      <w:bookmarkEnd w:id="16"/>
      <w:bookmarkEnd w:id="17"/>
      <w:bookmarkEnd w:id="18"/>
      <w:bookmarkEnd w:id="19"/>
      <w:bookmarkEnd w:id="20"/>
      <w:bookmarkEnd w:id="21"/>
    </w:p>
    <w:p>
      <w:pPr>
        <w:keepNext w:val="0"/>
        <w:keepLines w:val="0"/>
        <w:pageBreakBefore w:val="0"/>
        <w:widowControl w:val="0"/>
        <w:kinsoku/>
        <w:overflowPunct/>
        <w:topLinePunct w:val="0"/>
        <w:bidi w:val="0"/>
        <w:spacing w:line="440" w:lineRule="exact"/>
        <w:textAlignment w:val="auto"/>
        <w:rPr>
          <w:rFonts w:hint="eastAsia" w:ascii="宋体" w:eastAsia="宋体"/>
          <w:color w:val="auto"/>
          <w:sz w:val="21"/>
          <w:szCs w:val="21"/>
          <w:highlight w:val="none"/>
          <w:lang w:eastAsia="zh-CN"/>
        </w:rPr>
      </w:pPr>
      <w:bookmarkStart w:id="27" w:name="_Toc293916866"/>
      <w:bookmarkStart w:id="28" w:name="_Toc293915997"/>
      <w:bookmarkStart w:id="29" w:name="_Toc293917012"/>
      <w:bookmarkStart w:id="30" w:name="_Toc293916348"/>
      <w:r>
        <w:rPr>
          <w:rFonts w:hint="eastAsia" w:ascii="宋体"/>
          <w:b/>
          <w:color w:val="auto"/>
          <w:sz w:val="21"/>
          <w:szCs w:val="21"/>
          <w:highlight w:val="none"/>
        </w:rPr>
        <w:t>项目编号</w:t>
      </w:r>
      <w:bookmarkStart w:id="31" w:name="_Toc424544527"/>
      <w:bookmarkStart w:id="32" w:name="_Toc424544826"/>
      <w:bookmarkStart w:id="33" w:name="_Toc424544806"/>
      <w:r>
        <w:rPr>
          <w:rFonts w:hint="eastAsia" w:ascii="宋体"/>
          <w:color w:val="auto"/>
          <w:sz w:val="21"/>
          <w:szCs w:val="21"/>
          <w:highlight w:val="none"/>
        </w:rPr>
        <w:t>：</w:t>
      </w:r>
      <w:r>
        <w:rPr>
          <w:rFonts w:hint="eastAsia" w:ascii="宋体"/>
          <w:color w:val="auto"/>
          <w:sz w:val="21"/>
          <w:szCs w:val="21"/>
          <w:highlight w:val="none"/>
          <w:lang w:eastAsia="zh-CN"/>
        </w:rPr>
        <w:t xml:space="preserve"> </w:t>
      </w:r>
      <w:r>
        <w:rPr>
          <w:rFonts w:hint="eastAsia" w:ascii="宋体" w:hAnsi="宋体" w:eastAsia="宋体" w:cs="宋体"/>
          <w:kern w:val="0"/>
          <w:sz w:val="21"/>
          <w:szCs w:val="21"/>
          <w:lang w:val="en-US" w:eastAsia="zh-CN" w:bidi="ar-SA"/>
        </w:rPr>
        <w:t>HJCG20230503</w:t>
      </w:r>
    </w:p>
    <w:p>
      <w:pPr>
        <w:keepNext w:val="0"/>
        <w:keepLines w:val="0"/>
        <w:pageBreakBefore w:val="0"/>
        <w:widowControl w:val="0"/>
        <w:kinsoku/>
        <w:overflowPunct/>
        <w:topLinePunct w:val="0"/>
        <w:bidi w:val="0"/>
        <w:spacing w:line="440" w:lineRule="exact"/>
        <w:ind w:right="420"/>
        <w:textAlignment w:val="auto"/>
        <w:rPr>
          <w:rFonts w:hint="eastAsia" w:ascii="宋体" w:cs="宋体"/>
          <w:color w:val="auto"/>
          <w:sz w:val="21"/>
          <w:szCs w:val="21"/>
          <w:highlight w:val="none"/>
          <w:lang w:eastAsia="zh-CN"/>
        </w:rPr>
      </w:pPr>
      <w:r>
        <w:rPr>
          <w:rFonts w:hint="eastAsia" w:ascii="宋体"/>
          <w:b/>
          <w:color w:val="auto"/>
          <w:sz w:val="21"/>
          <w:szCs w:val="21"/>
          <w:highlight w:val="none"/>
        </w:rPr>
        <w:t>项目名称</w:t>
      </w:r>
      <w:bookmarkEnd w:id="31"/>
      <w:bookmarkEnd w:id="32"/>
      <w:bookmarkEnd w:id="33"/>
      <w:r>
        <w:rPr>
          <w:rFonts w:hint="eastAsia" w:ascii="宋体"/>
          <w:b/>
          <w:color w:val="auto"/>
          <w:sz w:val="21"/>
          <w:szCs w:val="21"/>
          <w:highlight w:val="none"/>
        </w:rPr>
        <w:t>：</w:t>
      </w:r>
      <w:r>
        <w:rPr>
          <w:rFonts w:hint="eastAsia" w:ascii="宋体" w:hAnsi="宋体" w:cs="宋体"/>
          <w:kern w:val="0"/>
          <w:sz w:val="21"/>
          <w:szCs w:val="21"/>
          <w:lang w:val="en-US" w:eastAsia="zh-CN" w:bidi="ar-SA"/>
        </w:rPr>
        <w:t>浪漫山川旅游度假区基础设施一期建设工程之浪漫山川全域智慧旅游系统（标识标牌、智慧驿站）设计建设项目</w:t>
      </w:r>
    </w:p>
    <w:p>
      <w:pPr>
        <w:keepNext w:val="0"/>
        <w:keepLines w:val="0"/>
        <w:pageBreakBefore w:val="0"/>
        <w:widowControl w:val="0"/>
        <w:kinsoku/>
        <w:overflowPunct/>
        <w:topLinePunct w:val="0"/>
        <w:bidi w:val="0"/>
        <w:spacing w:line="440" w:lineRule="exact"/>
        <w:ind w:right="420"/>
        <w:textAlignment w:val="auto"/>
        <w:rPr>
          <w:rFonts w:hint="eastAsia" w:ascii="宋体" w:eastAsia="宋体"/>
          <w:bCs/>
          <w:color w:val="auto"/>
          <w:sz w:val="21"/>
          <w:szCs w:val="21"/>
          <w:highlight w:val="none"/>
          <w:lang w:eastAsia="zh-CN"/>
        </w:rPr>
      </w:pPr>
      <w:r>
        <w:rPr>
          <w:rFonts w:hint="eastAsia" w:ascii="宋体"/>
          <w:b/>
          <w:color w:val="auto"/>
          <w:sz w:val="21"/>
          <w:szCs w:val="21"/>
          <w:highlight w:val="none"/>
        </w:rPr>
        <w:t>采购单位：</w:t>
      </w:r>
      <w:r>
        <w:rPr>
          <w:rFonts w:hint="eastAsia" w:ascii="宋体" w:hAnsi="宋体" w:eastAsia="宋体" w:cs="宋体"/>
          <w:kern w:val="0"/>
          <w:sz w:val="21"/>
          <w:szCs w:val="21"/>
          <w:lang w:val="en-US" w:eastAsia="zh-CN" w:bidi="ar-SA"/>
        </w:rPr>
        <w:t>安吉县山川乡人民政府</w:t>
      </w:r>
    </w:p>
    <w:bookmarkEnd w:id="27"/>
    <w:bookmarkEnd w:id="28"/>
    <w:bookmarkEnd w:id="29"/>
    <w:bookmarkEnd w:id="30"/>
    <w:p>
      <w:pPr>
        <w:keepNext w:val="0"/>
        <w:keepLines w:val="0"/>
        <w:pageBreakBefore w:val="0"/>
        <w:widowControl w:val="0"/>
        <w:numPr>
          <w:ilvl w:val="0"/>
          <w:numId w:val="15"/>
        </w:numPr>
        <w:kinsoku/>
        <w:overflowPunct/>
        <w:topLinePunct w:val="0"/>
        <w:bidi w:val="0"/>
        <w:spacing w:line="440" w:lineRule="exact"/>
        <w:jc w:val="left"/>
        <w:textAlignment w:val="auto"/>
        <w:outlineLvl w:val="1"/>
        <w:rPr>
          <w:rFonts w:ascii="宋体" w:hAnsi="宋体" w:cs="宋体"/>
          <w:b/>
          <w:color w:val="auto"/>
          <w:sz w:val="21"/>
          <w:szCs w:val="21"/>
          <w:highlight w:val="none"/>
        </w:rPr>
      </w:pPr>
      <w:bookmarkStart w:id="34" w:name="_Toc406664508"/>
      <w:bookmarkStart w:id="35" w:name="_Toc424544810"/>
      <w:bookmarkStart w:id="36" w:name="_Toc1302"/>
      <w:bookmarkStart w:id="37" w:name="_Toc424544531"/>
      <w:r>
        <w:rPr>
          <w:rFonts w:hint="eastAsia" w:ascii="宋体" w:hAnsi="宋体" w:cs="宋体"/>
          <w:b/>
          <w:color w:val="auto"/>
          <w:sz w:val="21"/>
          <w:szCs w:val="21"/>
          <w:highlight w:val="none"/>
          <w:lang w:eastAsia="zh-CN"/>
        </w:rPr>
        <w:t>项目概况</w:t>
      </w:r>
      <w:r>
        <w:rPr>
          <w:rFonts w:hint="eastAsia" w:ascii="宋体" w:hAnsi="宋体" w:cs="宋体"/>
          <w:b/>
          <w:color w:val="auto"/>
          <w:sz w:val="21"/>
          <w:szCs w:val="21"/>
          <w:highlight w:val="none"/>
          <w:lang w:val="en-US" w:eastAsia="zh-CN"/>
        </w:rPr>
        <w:t>采购内容</w:t>
      </w:r>
    </w:p>
    <w:p>
      <w:pPr>
        <w:pStyle w:val="70"/>
        <w:keepNext w:val="0"/>
        <w:keepLines w:val="0"/>
        <w:pageBreakBefore w:val="0"/>
        <w:kinsoku/>
        <w:overflowPunct/>
        <w:topLinePunct w:val="0"/>
        <w:bidi w:val="0"/>
        <w:spacing w:line="440" w:lineRule="exact"/>
        <w:ind w:left="0" w:leftChars="0"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为进一步完善山川乡全域旅游导视系统，打造浙北最美党建示范带品牌。现对霞大线至九亩村沿路沿线标志性的节点进行设计提升。</w:t>
      </w:r>
    </w:p>
    <w:tbl>
      <w:tblPr>
        <w:tblStyle w:val="61"/>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74"/>
        <w:gridCol w:w="2080"/>
        <w:gridCol w:w="2049"/>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77" w:type="dxa"/>
            <w:tcBorders>
              <w:top w:val="single" w:color="auto" w:sz="12" w:space="0"/>
              <w:left w:val="single" w:color="auto" w:sz="12" w:space="0"/>
              <w:bottom w:val="single" w:color="auto" w:sz="12" w:space="0"/>
            </w:tcBorders>
            <w:noWrap w:val="0"/>
            <w:vAlign w:val="center"/>
          </w:tcPr>
          <w:p>
            <w:pPr>
              <w:keepNext w:val="0"/>
              <w:keepLines w:val="0"/>
              <w:pageBreakBefore w:val="0"/>
              <w:tabs>
                <w:tab w:val="left" w:pos="1155"/>
              </w:tabs>
              <w:kinsoku/>
              <w:overflowPunct/>
              <w:topLinePunct w:val="0"/>
              <w:bidi w:val="0"/>
              <w:spacing w:line="4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074" w:type="dxa"/>
            <w:tcBorders>
              <w:top w:val="single" w:color="auto" w:sz="12" w:space="0"/>
              <w:bottom w:val="single" w:color="auto" w:sz="12" w:space="0"/>
            </w:tcBorders>
            <w:noWrap w:val="0"/>
            <w:vAlign w:val="center"/>
          </w:tcPr>
          <w:p>
            <w:pPr>
              <w:keepNext w:val="0"/>
              <w:keepLines w:val="0"/>
              <w:pageBreakBefore w:val="0"/>
              <w:tabs>
                <w:tab w:val="left" w:pos="1155"/>
              </w:tabs>
              <w:kinsoku/>
              <w:overflowPunct/>
              <w:topLinePunct w:val="0"/>
              <w:bidi w:val="0"/>
              <w:spacing w:line="440" w:lineRule="exact"/>
              <w:jc w:val="center"/>
              <w:textAlignment w:val="auto"/>
              <w:rPr>
                <w:rFonts w:hint="default" w:ascii="宋体" w:hAnsi="宋体" w:eastAsia="宋体" w:cs="宋体"/>
                <w:b/>
                <w:sz w:val="21"/>
                <w:szCs w:val="21"/>
                <w:lang w:val="en-US"/>
              </w:rPr>
            </w:pPr>
            <w:r>
              <w:rPr>
                <w:rFonts w:hint="eastAsia" w:ascii="宋体" w:hAnsi="宋体" w:cs="宋体"/>
                <w:b/>
                <w:sz w:val="21"/>
                <w:szCs w:val="21"/>
                <w:lang w:val="en-US" w:eastAsia="zh-CN"/>
              </w:rPr>
              <w:t>节点位置</w:t>
            </w:r>
          </w:p>
        </w:tc>
        <w:tc>
          <w:tcPr>
            <w:tcW w:w="2080" w:type="dxa"/>
            <w:tcBorders>
              <w:top w:val="single" w:color="auto" w:sz="12" w:space="0"/>
              <w:bottom w:val="single" w:color="auto" w:sz="12" w:space="0"/>
            </w:tcBorders>
            <w:noWrap w:val="0"/>
            <w:vAlign w:val="center"/>
          </w:tcPr>
          <w:p>
            <w:pPr>
              <w:keepNext w:val="0"/>
              <w:keepLines w:val="0"/>
              <w:pageBreakBefore w:val="0"/>
              <w:tabs>
                <w:tab w:val="left" w:pos="1155"/>
              </w:tabs>
              <w:kinsoku/>
              <w:overflowPunct/>
              <w:topLinePunct w:val="0"/>
              <w:bidi w:val="0"/>
              <w:spacing w:line="440" w:lineRule="exact"/>
              <w:jc w:val="center"/>
              <w:textAlignment w:val="auto"/>
              <w:rPr>
                <w:rFonts w:hint="eastAsia" w:ascii="宋体" w:hAnsi="宋体" w:eastAsia="宋体" w:cs="宋体"/>
                <w:b/>
                <w:sz w:val="21"/>
                <w:szCs w:val="21"/>
                <w:lang w:eastAsia="zh-CN"/>
              </w:rPr>
            </w:pPr>
            <w:r>
              <w:rPr>
                <w:rFonts w:hint="eastAsia" w:ascii="宋体" w:hAnsi="宋体" w:cs="宋体"/>
                <w:b/>
                <w:sz w:val="21"/>
                <w:szCs w:val="21"/>
                <w:lang w:val="en-US" w:eastAsia="zh-CN"/>
              </w:rPr>
              <w:t>尺寸</w:t>
            </w:r>
          </w:p>
        </w:tc>
        <w:tc>
          <w:tcPr>
            <w:tcW w:w="2049" w:type="dxa"/>
            <w:tcBorders>
              <w:top w:val="single" w:color="auto" w:sz="12" w:space="0"/>
              <w:bottom w:val="single" w:color="auto" w:sz="12" w:space="0"/>
            </w:tcBorders>
            <w:noWrap w:val="0"/>
            <w:vAlign w:val="center"/>
          </w:tcPr>
          <w:p>
            <w:pPr>
              <w:keepNext w:val="0"/>
              <w:keepLines w:val="0"/>
              <w:pageBreakBefore w:val="0"/>
              <w:tabs>
                <w:tab w:val="left" w:pos="1155"/>
              </w:tabs>
              <w:kinsoku/>
              <w:overflowPunct/>
              <w:topLinePunct w:val="0"/>
              <w:bidi w:val="0"/>
              <w:spacing w:line="44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材质要求</w:t>
            </w:r>
          </w:p>
        </w:tc>
        <w:tc>
          <w:tcPr>
            <w:tcW w:w="3917" w:type="dxa"/>
            <w:tcBorders>
              <w:top w:val="single" w:color="auto" w:sz="12" w:space="0"/>
              <w:bottom w:val="single" w:color="auto" w:sz="12" w:space="0"/>
            </w:tcBorders>
            <w:noWrap w:val="0"/>
            <w:vAlign w:val="center"/>
          </w:tcPr>
          <w:p>
            <w:pPr>
              <w:keepNext w:val="0"/>
              <w:keepLines w:val="0"/>
              <w:pageBreakBefore w:val="0"/>
              <w:tabs>
                <w:tab w:val="left" w:pos="1155"/>
              </w:tabs>
              <w:kinsoku/>
              <w:overflowPunct/>
              <w:topLinePunct w:val="0"/>
              <w:bidi w:val="0"/>
              <w:spacing w:line="44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57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107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霞大线入口</w:t>
            </w:r>
          </w:p>
        </w:tc>
        <w:tc>
          <w:tcPr>
            <w:tcW w:w="208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总长不小于72m，高不小于4.7m</w:t>
            </w:r>
          </w:p>
        </w:tc>
        <w:tc>
          <w:tcPr>
            <w:tcW w:w="204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2mm厚</w:t>
            </w:r>
            <w:r>
              <w:rPr>
                <w:rFonts w:hint="eastAsia" w:ascii="宋体" w:hAnsi="宋体" w:cs="宋体"/>
                <w:bCs/>
                <w:sz w:val="21"/>
                <w:szCs w:val="21"/>
                <w:lang w:val="en-US" w:eastAsia="zh-CN"/>
              </w:rPr>
              <w:t>304</w:t>
            </w:r>
            <w:r>
              <w:rPr>
                <w:rFonts w:hint="eastAsia" w:ascii="宋体" w:hAnsi="宋体" w:eastAsia="宋体" w:cs="宋体"/>
                <w:bCs/>
                <w:sz w:val="21"/>
                <w:szCs w:val="21"/>
                <w:lang w:val="en-US" w:eastAsia="zh-CN"/>
              </w:rPr>
              <w:t>不锈钢锻造、表面</w:t>
            </w:r>
            <w:r>
              <w:rPr>
                <w:rFonts w:hint="eastAsia" w:ascii="宋体" w:hAnsi="宋体" w:cs="宋体"/>
                <w:bCs/>
                <w:sz w:val="21"/>
                <w:szCs w:val="21"/>
                <w:lang w:val="en-US" w:eastAsia="zh-CN"/>
              </w:rPr>
              <w:t>镜面抛光工艺及</w:t>
            </w:r>
            <w:r>
              <w:rPr>
                <w:rFonts w:hint="eastAsia" w:ascii="宋体" w:hAnsi="宋体" w:eastAsia="宋体" w:cs="宋体"/>
                <w:bCs/>
                <w:sz w:val="21"/>
                <w:szCs w:val="21"/>
                <w:lang w:val="en-US" w:eastAsia="zh-CN"/>
              </w:rPr>
              <w:t>金属汽车漆、LED亮化效果</w:t>
            </w:r>
          </w:p>
        </w:tc>
        <w:tc>
          <w:tcPr>
            <w:tcW w:w="391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满足整体景观风格，体现出山川主题特色文化，与周边环境相互融洽。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57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107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罗仲村入口</w:t>
            </w:r>
          </w:p>
        </w:tc>
        <w:tc>
          <w:tcPr>
            <w:tcW w:w="208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高不低于4m</w:t>
            </w:r>
          </w:p>
        </w:tc>
        <w:tc>
          <w:tcPr>
            <w:tcW w:w="204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2mm厚</w:t>
            </w:r>
            <w:r>
              <w:rPr>
                <w:rFonts w:hint="eastAsia" w:ascii="宋体" w:hAnsi="宋体" w:cs="宋体"/>
                <w:bCs/>
                <w:sz w:val="21"/>
                <w:szCs w:val="21"/>
                <w:lang w:val="en-US" w:eastAsia="zh-CN"/>
              </w:rPr>
              <w:t>304</w:t>
            </w:r>
            <w:r>
              <w:rPr>
                <w:rFonts w:hint="eastAsia" w:ascii="宋体" w:hAnsi="宋体" w:eastAsia="宋体" w:cs="宋体"/>
                <w:bCs/>
                <w:sz w:val="21"/>
                <w:szCs w:val="21"/>
                <w:lang w:val="en-US" w:eastAsia="zh-CN"/>
              </w:rPr>
              <w:t>不锈钢锻造</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表面金属汽车漆、LED亮化效果</w:t>
            </w:r>
          </w:p>
        </w:tc>
        <w:tc>
          <w:tcPr>
            <w:tcW w:w="391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满足整体景观风格，体现出</w:t>
            </w:r>
            <w:r>
              <w:rPr>
                <w:rFonts w:hint="eastAsia" w:ascii="宋体" w:hAnsi="宋体" w:cs="宋体"/>
                <w:bCs/>
                <w:sz w:val="21"/>
                <w:szCs w:val="21"/>
                <w:lang w:val="en-US" w:eastAsia="zh-CN"/>
              </w:rPr>
              <w:t>罗仲村</w:t>
            </w:r>
            <w:r>
              <w:rPr>
                <w:rFonts w:hint="eastAsia" w:ascii="宋体" w:hAnsi="宋体" w:eastAsia="宋体" w:cs="宋体"/>
                <w:bCs/>
                <w:sz w:val="21"/>
                <w:szCs w:val="21"/>
                <w:lang w:val="en-US" w:eastAsia="zh-CN"/>
              </w:rPr>
              <w:t>主题特色文化，与周边环境相互融洽</w:t>
            </w:r>
            <w:r>
              <w:rPr>
                <w:rFonts w:hint="eastAsia" w:ascii="宋体" w:hAnsi="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7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107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金钱松主题文化墙</w:t>
            </w:r>
          </w:p>
        </w:tc>
        <w:tc>
          <w:tcPr>
            <w:tcW w:w="208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现有墙体尺寸长25m高3m</w:t>
            </w:r>
          </w:p>
        </w:tc>
        <w:tc>
          <w:tcPr>
            <w:tcW w:w="204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墙体粉刷，墙体彩绘制作。</w:t>
            </w:r>
          </w:p>
        </w:tc>
        <w:tc>
          <w:tcPr>
            <w:tcW w:w="391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满足整体景观风格，体现出</w:t>
            </w:r>
            <w:r>
              <w:rPr>
                <w:rFonts w:hint="eastAsia" w:ascii="宋体" w:hAnsi="宋体" w:cs="宋体"/>
                <w:bCs/>
                <w:sz w:val="21"/>
                <w:szCs w:val="21"/>
                <w:lang w:val="en-US" w:eastAsia="zh-CN"/>
              </w:rPr>
              <w:t>金钱松</w:t>
            </w:r>
            <w:r>
              <w:rPr>
                <w:rFonts w:hint="eastAsia" w:ascii="宋体" w:hAnsi="宋体" w:eastAsia="宋体" w:cs="宋体"/>
                <w:bCs/>
                <w:sz w:val="21"/>
                <w:szCs w:val="21"/>
                <w:lang w:val="en-US" w:eastAsia="zh-CN"/>
              </w:rPr>
              <w:t>主题特色文化</w:t>
            </w:r>
            <w:r>
              <w:rPr>
                <w:rFonts w:hint="eastAsia" w:ascii="宋体" w:hAnsi="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7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07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九亩入口</w:t>
            </w:r>
          </w:p>
        </w:tc>
        <w:tc>
          <w:tcPr>
            <w:tcW w:w="208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高不低于7m</w:t>
            </w:r>
          </w:p>
        </w:tc>
        <w:tc>
          <w:tcPr>
            <w:tcW w:w="204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2mm厚</w:t>
            </w:r>
            <w:r>
              <w:rPr>
                <w:rFonts w:hint="eastAsia" w:ascii="宋体" w:hAnsi="宋体" w:cs="宋体"/>
                <w:bCs/>
                <w:sz w:val="21"/>
                <w:szCs w:val="21"/>
                <w:lang w:val="en-US" w:eastAsia="zh-CN"/>
              </w:rPr>
              <w:t>304</w:t>
            </w:r>
            <w:r>
              <w:rPr>
                <w:rFonts w:hint="eastAsia" w:ascii="宋体" w:hAnsi="宋体" w:eastAsia="宋体" w:cs="宋体"/>
                <w:bCs/>
                <w:sz w:val="21"/>
                <w:szCs w:val="21"/>
                <w:lang w:val="en-US" w:eastAsia="zh-CN"/>
              </w:rPr>
              <w:t>不锈钢锻造</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表面金属汽车漆、LED亮化效果</w:t>
            </w:r>
          </w:p>
        </w:tc>
        <w:tc>
          <w:tcPr>
            <w:tcW w:w="391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满足整体景观风格，体现出</w:t>
            </w:r>
            <w:r>
              <w:rPr>
                <w:rFonts w:hint="eastAsia" w:ascii="宋体" w:hAnsi="宋体" w:cs="宋体"/>
                <w:bCs/>
                <w:sz w:val="21"/>
                <w:szCs w:val="21"/>
                <w:lang w:val="en-US" w:eastAsia="zh-CN"/>
              </w:rPr>
              <w:t>九亩及山川</w:t>
            </w:r>
            <w:r>
              <w:rPr>
                <w:rFonts w:hint="eastAsia" w:ascii="宋体" w:hAnsi="宋体" w:eastAsia="宋体" w:cs="宋体"/>
                <w:bCs/>
                <w:sz w:val="21"/>
                <w:szCs w:val="21"/>
                <w:lang w:val="en-US" w:eastAsia="zh-CN"/>
              </w:rPr>
              <w:t>主题特色文化，与周边环境相互融洽</w:t>
            </w:r>
            <w:r>
              <w:rPr>
                <w:rFonts w:hint="eastAsia" w:ascii="宋体" w:hAnsi="宋体" w:cs="宋体"/>
                <w:bCs/>
                <w:sz w:val="21"/>
                <w:szCs w:val="21"/>
                <w:lang w:val="en-US" w:eastAsia="zh-CN"/>
              </w:rPr>
              <w:t>。</w:t>
            </w:r>
          </w:p>
        </w:tc>
      </w:tr>
    </w:tbl>
    <w:p>
      <w:pPr>
        <w:keepNext w:val="0"/>
        <w:keepLines w:val="0"/>
        <w:pageBreakBefore w:val="0"/>
        <w:kinsoku/>
        <w:overflowPunct/>
        <w:topLinePunct w:val="0"/>
        <w:bidi w:val="0"/>
        <w:spacing w:line="440" w:lineRule="exact"/>
        <w:textAlignment w:val="auto"/>
        <w:rPr>
          <w:rFonts w:hint="default"/>
          <w:sz w:val="21"/>
          <w:szCs w:val="21"/>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jc w:val="lef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内容及要求</w:t>
      </w:r>
    </w:p>
    <w:bookmarkEnd w:id="34"/>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bookmarkStart w:id="38" w:name="_Toc13960"/>
      <w:bookmarkStart w:id="39" w:name="_Toc4739"/>
      <w:bookmarkStart w:id="40" w:name="_Toc29429"/>
      <w:bookmarkStart w:id="41" w:name="_Toc4239"/>
      <w:bookmarkStart w:id="42" w:name="_Toc20559"/>
      <w:r>
        <w:rPr>
          <w:rFonts w:hint="eastAsia" w:ascii="宋体" w:hAnsi="宋体" w:eastAsia="宋体" w:cs="宋体"/>
          <w:kern w:val="0"/>
          <w:sz w:val="21"/>
          <w:szCs w:val="21"/>
        </w:rPr>
        <w:t>1、内容</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公共艺术的方案设计、方案优化</w:t>
      </w:r>
      <w:r>
        <w:rPr>
          <w:rFonts w:hint="eastAsia" w:ascii="宋体" w:hAnsi="宋体" w:cs="宋体"/>
          <w:kern w:val="0"/>
          <w:sz w:val="21"/>
          <w:szCs w:val="21"/>
          <w:lang w:eastAsia="zh-CN"/>
        </w:rPr>
        <w:t>、</w:t>
      </w:r>
      <w:r>
        <w:rPr>
          <w:rFonts w:hint="eastAsia" w:ascii="宋体" w:hAnsi="宋体" w:eastAsia="宋体" w:cs="宋体"/>
          <w:kern w:val="0"/>
          <w:sz w:val="21"/>
          <w:szCs w:val="21"/>
        </w:rPr>
        <w:t>基础施工图设计</w:t>
      </w:r>
      <w:r>
        <w:rPr>
          <w:rFonts w:hint="eastAsia" w:ascii="宋体" w:hAnsi="宋体" w:cs="宋体"/>
          <w:kern w:val="0"/>
          <w:sz w:val="21"/>
          <w:szCs w:val="21"/>
          <w:lang w:val="en-US" w:eastAsia="zh-CN"/>
        </w:rPr>
        <w:t>及后期施工制作安装调试至项目验收合格</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2、设计要求</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（1）设计要求：</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山川公共艺术的设计（设计方案经采购人最终确认后，须提供样品供采购人认可后方可制作）、加工、制造、供货、安装。</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（2）材质：</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在制作前需与采购人确认所用材质。</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cs="宋体"/>
          <w:kern w:val="0"/>
          <w:sz w:val="21"/>
          <w:szCs w:val="21"/>
          <w:lang w:val="en-US" w:eastAsia="zh-CN"/>
        </w:rPr>
        <w:t>公共艺术</w:t>
      </w:r>
      <w:r>
        <w:rPr>
          <w:rFonts w:hint="eastAsia" w:ascii="宋体" w:hAnsi="宋体" w:eastAsia="宋体" w:cs="宋体"/>
          <w:kern w:val="0"/>
          <w:sz w:val="21"/>
          <w:szCs w:val="21"/>
        </w:rPr>
        <w:t>规格：</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在制作前需与采购人确认所用材质的</w:t>
      </w:r>
      <w:r>
        <w:rPr>
          <w:rFonts w:hint="eastAsia" w:ascii="宋体" w:hAnsi="宋体" w:cs="宋体"/>
          <w:kern w:val="0"/>
          <w:sz w:val="21"/>
          <w:szCs w:val="21"/>
          <w:lang w:val="en-US" w:eastAsia="zh-CN"/>
        </w:rPr>
        <w:t>规格</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3、设计质量目标：</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按行业及国家技术规范、标准及规程，达到施工图设计深度。</w:t>
      </w:r>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4、供应商在投标时提供的设计方案，采购人有提出修改的权利，成交供应商必须无条件服从。在公共艺术体量及材料没有较大程度变化的情况下，成交总价不变。</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jc w:val="left"/>
        <w:textAlignment w:val="auto"/>
        <w:outlineLvl w:val="1"/>
        <w:rPr>
          <w:rFonts w:hint="eastAsia" w:ascii="宋体" w:hAnsi="宋体" w:cs="宋体"/>
          <w:b/>
          <w:color w:val="auto"/>
          <w:sz w:val="21"/>
          <w:szCs w:val="21"/>
          <w:highlight w:val="none"/>
          <w:lang w:val="en-US" w:eastAsia="zh-CN"/>
        </w:rPr>
      </w:pPr>
      <w:bookmarkStart w:id="43" w:name="_Toc13690"/>
      <w:bookmarkStart w:id="44" w:name="_Toc4575"/>
      <w:bookmarkStart w:id="45" w:name="_Toc525991209"/>
      <w:bookmarkStart w:id="46" w:name="_Toc9123"/>
      <w:r>
        <w:rPr>
          <w:rFonts w:hint="eastAsia" w:ascii="宋体" w:hAnsi="宋体" w:cs="宋体"/>
          <w:b/>
          <w:color w:val="auto"/>
          <w:sz w:val="21"/>
          <w:szCs w:val="21"/>
          <w:highlight w:val="none"/>
          <w:lang w:val="en-US" w:eastAsia="zh-CN"/>
        </w:rPr>
        <w:t>制造、供货、施工、安装</w:t>
      </w:r>
      <w:bookmarkEnd w:id="43"/>
      <w:bookmarkEnd w:id="44"/>
      <w:bookmarkEnd w:id="45"/>
      <w:bookmarkEnd w:id="46"/>
    </w:p>
    <w:p>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lang w:eastAsia="zh-CN"/>
        </w:rPr>
        <w:t>供应商</w:t>
      </w:r>
      <w:r>
        <w:rPr>
          <w:rFonts w:hint="eastAsia" w:ascii="宋体" w:hAnsi="宋体" w:eastAsia="宋体" w:cs="宋体"/>
          <w:bCs/>
          <w:sz w:val="21"/>
          <w:szCs w:val="21"/>
        </w:rPr>
        <w:t>需按</w:t>
      </w:r>
      <w:r>
        <w:rPr>
          <w:rFonts w:hint="eastAsia" w:ascii="宋体" w:hAnsi="宋体" w:eastAsia="宋体" w:cs="宋体"/>
          <w:bCs/>
          <w:sz w:val="21"/>
          <w:szCs w:val="21"/>
          <w:lang w:eastAsia="zh-CN"/>
        </w:rPr>
        <w:t>采购文件</w:t>
      </w:r>
      <w:r>
        <w:rPr>
          <w:rFonts w:hint="eastAsia" w:ascii="宋体" w:hAnsi="宋体" w:eastAsia="宋体" w:cs="宋体"/>
          <w:bCs/>
          <w:sz w:val="21"/>
          <w:szCs w:val="21"/>
        </w:rPr>
        <w:t>及采购人要求完成本项目的设计、</w:t>
      </w:r>
      <w:r>
        <w:rPr>
          <w:rFonts w:hint="eastAsia" w:ascii="宋体" w:hAnsi="宋体" w:eastAsia="宋体" w:cs="宋体"/>
          <w:kern w:val="0"/>
          <w:sz w:val="21"/>
          <w:szCs w:val="21"/>
        </w:rPr>
        <w:t>制作及运输装卸、施工及安装调试、验收以及售后服务等所有内容。</w:t>
      </w:r>
      <w:r>
        <w:rPr>
          <w:rFonts w:hint="eastAsia" w:ascii="宋体" w:hAnsi="宋体" w:eastAsia="宋体" w:cs="宋体"/>
          <w:sz w:val="21"/>
          <w:szCs w:val="21"/>
        </w:rPr>
        <w:t>包括以下工作服务但不仅限于以下：</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1、公共艺术的制作</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按照最终确定的设计文件进行公共艺术制作，包括公共艺术小样及放大、翻模以及成品制作。</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2、公共艺术的防护、包装及供货</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所有货物表面应洁净。</w:t>
      </w:r>
      <w:r>
        <w:rPr>
          <w:rFonts w:hint="eastAsia" w:ascii="宋体" w:hAnsi="宋体" w:eastAsia="宋体" w:cs="宋体"/>
          <w:bCs/>
          <w:sz w:val="21"/>
          <w:szCs w:val="21"/>
          <w:lang w:eastAsia="zh-CN"/>
        </w:rPr>
        <w:t>成交供应商</w:t>
      </w:r>
      <w:r>
        <w:rPr>
          <w:rFonts w:hint="eastAsia" w:ascii="宋体" w:hAnsi="宋体" w:eastAsia="宋体" w:cs="宋体"/>
          <w:bCs/>
          <w:sz w:val="21"/>
          <w:szCs w:val="21"/>
        </w:rPr>
        <w:t>在</w:t>
      </w:r>
      <w:r>
        <w:rPr>
          <w:rFonts w:hint="eastAsia" w:ascii="宋体" w:hAnsi="宋体" w:eastAsia="宋体" w:cs="宋体"/>
          <w:bCs/>
          <w:sz w:val="21"/>
          <w:szCs w:val="21"/>
          <w:lang w:eastAsia="zh-CN"/>
        </w:rPr>
        <w:t>投标时</w:t>
      </w:r>
      <w:r>
        <w:rPr>
          <w:rFonts w:hint="eastAsia" w:ascii="宋体" w:hAnsi="宋体" w:eastAsia="宋体" w:cs="宋体"/>
          <w:bCs/>
          <w:sz w:val="21"/>
          <w:szCs w:val="21"/>
        </w:rPr>
        <w:t>须提具体防护措施供采购人认可，并对此工作负责。</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所有货物应合理、有效包装，以使其有效防止各种损坏，如受潮、受热、剥落、腐蚀、变形等。</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成交供应商</w:t>
      </w:r>
      <w:r>
        <w:rPr>
          <w:rFonts w:hint="eastAsia" w:ascii="宋体" w:hAnsi="宋体" w:eastAsia="宋体" w:cs="宋体"/>
          <w:bCs/>
          <w:sz w:val="21"/>
          <w:szCs w:val="21"/>
        </w:rPr>
        <w:t>负责将所有货物运输至采购人指定地点、并负责卸货，并由</w:t>
      </w:r>
      <w:r>
        <w:rPr>
          <w:rFonts w:hint="eastAsia" w:ascii="宋体" w:hAnsi="宋体" w:eastAsia="宋体" w:cs="宋体"/>
          <w:bCs/>
          <w:sz w:val="21"/>
          <w:szCs w:val="21"/>
          <w:lang w:eastAsia="zh-CN"/>
        </w:rPr>
        <w:t>成交供应商</w:t>
      </w:r>
      <w:r>
        <w:rPr>
          <w:rFonts w:hint="eastAsia" w:ascii="宋体" w:hAnsi="宋体" w:eastAsia="宋体" w:cs="宋体"/>
          <w:bCs/>
          <w:sz w:val="21"/>
          <w:szCs w:val="21"/>
        </w:rPr>
        <w:t>自行负责解决仓储、安全问题，采购人进行配合协助，以上所有费用包含在</w:t>
      </w:r>
      <w:r>
        <w:rPr>
          <w:rFonts w:hint="eastAsia" w:ascii="宋体" w:hAnsi="宋体" w:eastAsia="宋体" w:cs="宋体"/>
          <w:bCs/>
          <w:sz w:val="21"/>
          <w:szCs w:val="21"/>
          <w:lang w:eastAsia="zh-CN"/>
        </w:rPr>
        <w:t>成交总价</w:t>
      </w:r>
      <w:r>
        <w:rPr>
          <w:rFonts w:hint="eastAsia" w:ascii="宋体" w:hAnsi="宋体" w:eastAsia="宋体" w:cs="宋体"/>
          <w:bCs/>
          <w:sz w:val="21"/>
          <w:szCs w:val="21"/>
        </w:rPr>
        <w:t>中。</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3、基础施工图设计及施工</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sz w:val="21"/>
          <w:szCs w:val="21"/>
        </w:rPr>
      </w:pPr>
      <w:r>
        <w:rPr>
          <w:rFonts w:hint="eastAsia" w:ascii="宋体" w:hAnsi="宋体" w:eastAsia="宋体" w:cs="宋体"/>
          <w:sz w:val="21"/>
          <w:szCs w:val="21"/>
        </w:rPr>
        <w:t xml:space="preserve">    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负责设计基础图纸。</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4、安装及施工管理</w:t>
      </w:r>
    </w:p>
    <w:p>
      <w:pPr>
        <w:keepNext w:val="0"/>
        <w:keepLines w:val="0"/>
        <w:pageBreakBefore w:val="0"/>
        <w:widowControl w:val="0"/>
        <w:kinsoku/>
        <w:wordWrap/>
        <w:overflowPunct/>
        <w:topLinePunct w:val="0"/>
        <w:bidi w:val="0"/>
        <w:adjustRightInd w:val="0"/>
        <w:snapToGrid w:val="0"/>
        <w:spacing w:line="44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成交供应商</w:t>
      </w:r>
      <w:r>
        <w:rPr>
          <w:rFonts w:hint="eastAsia" w:ascii="宋体" w:hAnsi="宋体" w:eastAsia="宋体" w:cs="宋体"/>
          <w:b/>
          <w:sz w:val="21"/>
          <w:szCs w:val="21"/>
        </w:rPr>
        <w:t>须提供相适应的安装及施工计划，并须由采购人认可。</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4.1 </w:t>
      </w:r>
      <w:r>
        <w:rPr>
          <w:rFonts w:hint="eastAsia" w:ascii="宋体" w:hAnsi="宋体" w:eastAsia="宋体" w:cs="宋体"/>
          <w:sz w:val="21"/>
          <w:szCs w:val="21"/>
          <w:lang w:eastAsia="zh-CN"/>
        </w:rPr>
        <w:t>成交供应商</w:t>
      </w:r>
      <w:r>
        <w:rPr>
          <w:rFonts w:hint="eastAsia" w:ascii="宋体" w:hAnsi="宋体" w:eastAsia="宋体" w:cs="宋体"/>
          <w:sz w:val="21"/>
          <w:szCs w:val="21"/>
        </w:rPr>
        <w:t>须派有五年以上工作经验的工程师负责安装监督，并需在安装期内提交他们的工作报告。采购人保留有变更安装及管理人员的权力。</w:t>
      </w:r>
      <w:r>
        <w:rPr>
          <w:rFonts w:hint="eastAsia" w:ascii="宋体" w:hAnsi="宋体" w:eastAsia="宋体" w:cs="宋体"/>
          <w:bCs/>
          <w:sz w:val="21"/>
          <w:szCs w:val="21"/>
          <w:lang w:eastAsia="zh-CN"/>
        </w:rPr>
        <w:t>响应文件</w:t>
      </w:r>
      <w:r>
        <w:rPr>
          <w:rFonts w:hint="eastAsia" w:ascii="宋体" w:hAnsi="宋体" w:eastAsia="宋体" w:cs="宋体"/>
          <w:bCs/>
          <w:sz w:val="21"/>
          <w:szCs w:val="21"/>
        </w:rPr>
        <w:t>中须明确负责此项目公共艺术安装的人员名单及工作经历、工作业绩</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 xml:space="preserve">4.2 </w:t>
      </w:r>
      <w:r>
        <w:rPr>
          <w:rFonts w:hint="eastAsia" w:ascii="宋体" w:hAnsi="宋体" w:eastAsia="宋体" w:cs="宋体"/>
          <w:sz w:val="21"/>
          <w:szCs w:val="21"/>
        </w:rPr>
        <w:t>现场施工安装须符合国家的相关条例，服从采购人的管理及检查。在安装期间，</w:t>
      </w:r>
      <w:r>
        <w:rPr>
          <w:rFonts w:hint="eastAsia" w:ascii="宋体" w:hAnsi="宋体" w:eastAsia="宋体" w:cs="宋体"/>
          <w:sz w:val="21"/>
          <w:szCs w:val="21"/>
          <w:lang w:eastAsia="zh-CN"/>
        </w:rPr>
        <w:t>成交供应商</w:t>
      </w:r>
      <w:r>
        <w:rPr>
          <w:rFonts w:hint="eastAsia" w:ascii="宋体" w:hAnsi="宋体" w:eastAsia="宋体" w:cs="宋体"/>
          <w:sz w:val="21"/>
          <w:szCs w:val="21"/>
        </w:rPr>
        <w:t>应遵守有关部门的管理，并遵照相关规定。</w:t>
      </w:r>
    </w:p>
    <w:p>
      <w:pPr>
        <w:keepNext w:val="0"/>
        <w:keepLines w:val="0"/>
        <w:pageBreakBefore w:val="0"/>
        <w:widowControl w:val="0"/>
        <w:kinsoku/>
        <w:wordWrap/>
        <w:overflowPunct/>
        <w:topLinePunct w:val="0"/>
        <w:bidi w:val="0"/>
        <w:adjustRightInd w:val="0"/>
        <w:snapToGrid w:val="0"/>
        <w:spacing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4.4 在施工安装期间，</w:t>
      </w:r>
      <w:r>
        <w:rPr>
          <w:rFonts w:hint="eastAsia" w:ascii="宋体" w:hAnsi="宋体" w:eastAsia="宋体" w:cs="宋体"/>
          <w:sz w:val="21"/>
          <w:szCs w:val="21"/>
          <w:lang w:eastAsia="zh-CN"/>
        </w:rPr>
        <w:t>成交供应商</w:t>
      </w:r>
      <w:r>
        <w:rPr>
          <w:rFonts w:hint="eastAsia" w:ascii="宋体" w:hAnsi="宋体" w:eastAsia="宋体" w:cs="宋体"/>
          <w:sz w:val="21"/>
          <w:szCs w:val="21"/>
        </w:rPr>
        <w:t>负责所需的起重、运输、施工机械等辅助设施设备，所有设施设备都须符合安全作业要求。</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4.5临时设施、脚手架搭设、垂直运输等费用均含在</w:t>
      </w:r>
      <w:r>
        <w:rPr>
          <w:rFonts w:hint="eastAsia" w:ascii="宋体" w:hAnsi="宋体" w:eastAsia="宋体" w:cs="宋体"/>
          <w:sz w:val="21"/>
          <w:szCs w:val="21"/>
          <w:lang w:eastAsia="zh-CN"/>
        </w:rPr>
        <w:t>本次投标报价内</w:t>
      </w:r>
      <w:r>
        <w:rPr>
          <w:rFonts w:hint="eastAsia" w:ascii="宋体" w:hAnsi="宋体" w:eastAsia="宋体" w:cs="宋体"/>
          <w:sz w:val="21"/>
          <w:szCs w:val="21"/>
        </w:rPr>
        <w:t>，今后不另行增加。</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4.6公共艺术安装材料、人工等均包含在</w:t>
      </w:r>
      <w:r>
        <w:rPr>
          <w:rFonts w:hint="eastAsia" w:ascii="宋体" w:hAnsi="宋体" w:eastAsia="宋体" w:cs="宋体"/>
          <w:sz w:val="21"/>
          <w:szCs w:val="21"/>
          <w:lang w:eastAsia="zh-CN"/>
        </w:rPr>
        <w:t>投标报价中</w:t>
      </w:r>
      <w:r>
        <w:rPr>
          <w:rFonts w:hint="eastAsia" w:ascii="宋体" w:hAnsi="宋体" w:eastAsia="宋体" w:cs="宋体"/>
          <w:sz w:val="21"/>
          <w:szCs w:val="21"/>
        </w:rPr>
        <w:t>，今后不另行增加。</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4.7水、电等施工的总接入点由采购人提供，用水用电费用及其他临时线路的铺设和维护费用由</w:t>
      </w:r>
      <w:r>
        <w:rPr>
          <w:rFonts w:hint="eastAsia" w:ascii="宋体" w:hAnsi="宋体" w:eastAsia="宋体" w:cs="宋体"/>
          <w:sz w:val="21"/>
          <w:szCs w:val="21"/>
          <w:lang w:eastAsia="zh-CN"/>
        </w:rPr>
        <w:t>成交供应商</w:t>
      </w:r>
      <w:r>
        <w:rPr>
          <w:rFonts w:hint="eastAsia" w:ascii="宋体" w:hAnsi="宋体" w:eastAsia="宋体" w:cs="宋体"/>
          <w:sz w:val="21"/>
          <w:szCs w:val="21"/>
        </w:rPr>
        <w:t>自行负责。所有费用均含在</w:t>
      </w:r>
      <w:r>
        <w:rPr>
          <w:rFonts w:hint="eastAsia" w:ascii="宋体" w:hAnsi="宋体" w:eastAsia="宋体" w:cs="宋体"/>
          <w:sz w:val="21"/>
          <w:szCs w:val="21"/>
          <w:lang w:eastAsia="zh-CN"/>
        </w:rPr>
        <w:t>本次报价内</w:t>
      </w:r>
      <w:r>
        <w:rPr>
          <w:rFonts w:hint="eastAsia" w:ascii="宋体" w:hAnsi="宋体" w:eastAsia="宋体" w:cs="宋体"/>
          <w:sz w:val="21"/>
          <w:szCs w:val="21"/>
        </w:rPr>
        <w:t>，一次性包干，今后不予调整。</w:t>
      </w:r>
    </w:p>
    <w:p>
      <w:pPr>
        <w:keepNext w:val="0"/>
        <w:keepLines w:val="0"/>
        <w:pageBreakBefore w:val="0"/>
        <w:widowControl w:val="0"/>
        <w:numPr>
          <w:ilvl w:val="0"/>
          <w:numId w:val="16"/>
        </w:numPr>
        <w:kinsoku/>
        <w:wordWrap/>
        <w:overflowPunct/>
        <w:topLinePunct w:val="0"/>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其他交钥匙工程方式所需完成的各项工作。</w:t>
      </w:r>
    </w:p>
    <w:p>
      <w:pPr>
        <w:keepNext w:val="0"/>
        <w:keepLines w:val="0"/>
        <w:pageBreakBefore w:val="0"/>
        <w:widowControl w:val="0"/>
        <w:numPr>
          <w:ilvl w:val="0"/>
          <w:numId w:val="16"/>
        </w:numPr>
        <w:kinsoku/>
        <w:wordWrap/>
        <w:overflowPunct/>
        <w:topLinePunct w:val="0"/>
        <w:bidi w:val="0"/>
        <w:adjustRightInd w:val="0"/>
        <w:snapToGrid w:val="0"/>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本项目公共艺术成品安装后，如需更换安放场地，中标人提供一次免费拆装及搬运服务。</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jc w:val="left"/>
        <w:textAlignment w:val="auto"/>
        <w:outlineLvl w:val="1"/>
        <w:rPr>
          <w:rFonts w:hint="eastAsia" w:ascii="宋体" w:hAnsi="宋体" w:cs="宋体"/>
          <w:b/>
          <w:color w:val="auto"/>
          <w:sz w:val="21"/>
          <w:szCs w:val="21"/>
          <w:highlight w:val="none"/>
          <w:lang w:val="en-US" w:eastAsia="zh-CN"/>
        </w:rPr>
      </w:pPr>
      <w:bookmarkStart w:id="47" w:name="_Toc28825"/>
      <w:bookmarkStart w:id="48" w:name="_Toc525991210"/>
      <w:bookmarkStart w:id="49" w:name="_Toc30862"/>
      <w:bookmarkStart w:id="50" w:name="_Toc5666"/>
      <w:r>
        <w:rPr>
          <w:rFonts w:hint="eastAsia" w:ascii="宋体" w:hAnsi="宋体" w:cs="宋体"/>
          <w:b/>
          <w:color w:val="auto"/>
          <w:sz w:val="21"/>
          <w:szCs w:val="21"/>
          <w:highlight w:val="none"/>
          <w:lang w:val="en-US" w:eastAsia="zh-CN"/>
        </w:rPr>
        <w:t>验收</w:t>
      </w:r>
      <w:bookmarkEnd w:id="47"/>
      <w:bookmarkEnd w:id="48"/>
      <w:bookmarkEnd w:id="49"/>
      <w:bookmarkEnd w:id="50"/>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需按采购人的要求和认可负责公共艺术就位、安装，直至通过验收。</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成交供应商</w:t>
      </w:r>
      <w:r>
        <w:rPr>
          <w:rFonts w:hint="eastAsia" w:ascii="宋体" w:hAnsi="宋体" w:eastAsia="宋体" w:cs="宋体"/>
          <w:sz w:val="21"/>
          <w:szCs w:val="21"/>
        </w:rPr>
        <w:t>提供的公共艺术小样、材质供采购人确认后，进行公共艺术实物创作。</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成交供应商</w:t>
      </w:r>
      <w:r>
        <w:rPr>
          <w:rFonts w:hint="eastAsia" w:ascii="宋体" w:hAnsi="宋体" w:eastAsia="宋体" w:cs="宋体"/>
          <w:sz w:val="21"/>
          <w:szCs w:val="21"/>
        </w:rPr>
        <w:t>在成品完成时应通知采购人确认效果，采购人认为必要时可随时在其制作和安装过程中进行合理的检验或审查，</w:t>
      </w:r>
      <w:r>
        <w:rPr>
          <w:rFonts w:hint="eastAsia" w:ascii="宋体" w:hAnsi="宋体" w:eastAsia="宋体" w:cs="宋体"/>
          <w:sz w:val="21"/>
          <w:szCs w:val="21"/>
          <w:lang w:eastAsia="zh-CN"/>
        </w:rPr>
        <w:t>成交供应商</w:t>
      </w:r>
      <w:r>
        <w:rPr>
          <w:rFonts w:hint="eastAsia" w:ascii="宋体" w:hAnsi="宋体" w:eastAsia="宋体" w:cs="宋体"/>
          <w:sz w:val="21"/>
          <w:szCs w:val="21"/>
        </w:rPr>
        <w:t>应就采购人的监督或审查提供合理的便利，采购人有进场监制的权利。成品制作和安装应经过采购人认可，以上可能产生的所有费用由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负责，费用包含在</w:t>
      </w:r>
      <w:r>
        <w:rPr>
          <w:rFonts w:hint="eastAsia" w:ascii="宋体" w:hAnsi="宋体" w:eastAsia="宋体" w:cs="宋体"/>
          <w:sz w:val="21"/>
          <w:szCs w:val="21"/>
          <w:lang w:eastAsia="zh-CN"/>
        </w:rPr>
        <w:t>投标报价中</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3、公共艺术安装完毕、所有配套设施施工安装完毕，由采购人组织相关部门及专家进行竣工验收。</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4、验收合格条件</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按国家现行相关专业质量验收规范验收达到合格标准。</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jc w:val="left"/>
        <w:textAlignment w:val="auto"/>
        <w:outlineLvl w:val="1"/>
        <w:rPr>
          <w:rFonts w:hint="eastAsia" w:ascii="宋体" w:hAnsi="宋体" w:cs="宋体"/>
          <w:b/>
          <w:color w:val="auto"/>
          <w:sz w:val="21"/>
          <w:szCs w:val="21"/>
          <w:highlight w:val="none"/>
          <w:lang w:val="en-US" w:eastAsia="zh-CN"/>
        </w:rPr>
      </w:pPr>
      <w:bookmarkStart w:id="51" w:name="_Toc14187"/>
      <w:bookmarkStart w:id="52" w:name="_Toc9236"/>
      <w:bookmarkStart w:id="53" w:name="_Toc525991211"/>
      <w:bookmarkStart w:id="54" w:name="_Toc20188"/>
      <w:r>
        <w:rPr>
          <w:rFonts w:hint="eastAsia" w:ascii="宋体" w:hAnsi="宋体" w:cs="宋体"/>
          <w:b/>
          <w:color w:val="auto"/>
          <w:sz w:val="21"/>
          <w:szCs w:val="21"/>
          <w:highlight w:val="none"/>
          <w:lang w:val="en-US" w:eastAsia="zh-CN"/>
        </w:rPr>
        <w:t>施工质量目标</w:t>
      </w:r>
      <w:bookmarkEnd w:id="51"/>
      <w:bookmarkEnd w:id="52"/>
      <w:bookmarkEnd w:id="53"/>
      <w:bookmarkEnd w:id="54"/>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按行业及国家验收规范一次性验收合格。</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jc w:val="left"/>
        <w:textAlignment w:val="auto"/>
        <w:outlineLvl w:val="1"/>
        <w:rPr>
          <w:rFonts w:hint="eastAsia" w:ascii="宋体" w:hAnsi="宋体" w:cs="宋体"/>
          <w:b/>
          <w:color w:val="auto"/>
          <w:sz w:val="21"/>
          <w:szCs w:val="21"/>
          <w:highlight w:val="none"/>
          <w:lang w:val="en-US" w:eastAsia="zh-CN"/>
        </w:rPr>
      </w:pPr>
      <w:bookmarkStart w:id="55" w:name="_Toc525991212"/>
      <w:bookmarkStart w:id="56" w:name="_Toc10337"/>
      <w:bookmarkStart w:id="57" w:name="_Toc28899"/>
      <w:bookmarkStart w:id="58" w:name="_Toc26376"/>
      <w:r>
        <w:rPr>
          <w:rFonts w:hint="eastAsia" w:ascii="宋体" w:hAnsi="宋体" w:cs="宋体"/>
          <w:b/>
          <w:color w:val="auto"/>
          <w:sz w:val="21"/>
          <w:szCs w:val="21"/>
          <w:highlight w:val="none"/>
          <w:lang w:val="en-US" w:eastAsia="zh-CN"/>
        </w:rPr>
        <w:t>安全要求</w:t>
      </w:r>
      <w:bookmarkEnd w:id="55"/>
      <w:bookmarkEnd w:id="56"/>
      <w:bookmarkEnd w:id="57"/>
      <w:bookmarkEnd w:id="58"/>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1、总体安全要求合格。</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2、因</w:t>
      </w:r>
      <w:r>
        <w:rPr>
          <w:rFonts w:hint="eastAsia" w:ascii="宋体" w:hAnsi="宋体" w:eastAsia="宋体" w:cs="宋体"/>
          <w:sz w:val="21"/>
          <w:szCs w:val="21"/>
          <w:lang w:eastAsia="zh-CN"/>
        </w:rPr>
        <w:t>成交供应商</w:t>
      </w:r>
      <w:r>
        <w:rPr>
          <w:rFonts w:hint="eastAsia" w:ascii="宋体" w:hAnsi="宋体" w:eastAsia="宋体" w:cs="宋体"/>
          <w:sz w:val="21"/>
          <w:szCs w:val="21"/>
        </w:rPr>
        <w:t>设计制作原因造成的安全责任事故责任由</w:t>
      </w:r>
      <w:r>
        <w:rPr>
          <w:rFonts w:hint="eastAsia" w:ascii="宋体" w:hAnsi="宋体" w:eastAsia="宋体" w:cs="宋体"/>
          <w:sz w:val="21"/>
          <w:szCs w:val="21"/>
          <w:lang w:eastAsia="zh-CN"/>
        </w:rPr>
        <w:t>成交供应商</w:t>
      </w:r>
      <w:r>
        <w:rPr>
          <w:rFonts w:hint="eastAsia" w:ascii="宋体" w:hAnsi="宋体" w:eastAsia="宋体" w:cs="宋体"/>
          <w:sz w:val="21"/>
          <w:szCs w:val="21"/>
        </w:rPr>
        <w:t>自行承担，采购人对此不承担任何责任。本项目施工安装过程所有安全责任均由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负责，采购人对此不承担任何责任。</w:t>
      </w:r>
    </w:p>
    <w:p>
      <w:pPr>
        <w:keepNext w:val="0"/>
        <w:keepLines w:val="0"/>
        <w:pageBreakBefore w:val="0"/>
        <w:widowControl w:val="0"/>
        <w:numPr>
          <w:ilvl w:val="0"/>
          <w:numId w:val="0"/>
        </w:numPr>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3、在整个设计使用年限中，</w:t>
      </w:r>
      <w:r>
        <w:rPr>
          <w:rFonts w:hint="eastAsia" w:ascii="宋体" w:hAnsi="宋体" w:eastAsia="宋体" w:cs="宋体"/>
          <w:sz w:val="21"/>
          <w:szCs w:val="21"/>
          <w:lang w:eastAsia="zh-CN"/>
        </w:rPr>
        <w:t>成交供应商</w:t>
      </w:r>
      <w:r>
        <w:rPr>
          <w:rFonts w:hint="eastAsia" w:ascii="宋体" w:hAnsi="宋体" w:eastAsia="宋体" w:cs="宋体"/>
          <w:sz w:val="21"/>
          <w:szCs w:val="21"/>
        </w:rPr>
        <w:t>应确保公共艺术的安全、稳定和牢固。当项目现场情况发生改变时，</w:t>
      </w:r>
      <w:r>
        <w:rPr>
          <w:rFonts w:hint="eastAsia" w:ascii="宋体" w:hAnsi="宋体" w:eastAsia="宋体" w:cs="宋体"/>
          <w:sz w:val="21"/>
          <w:szCs w:val="21"/>
          <w:lang w:eastAsia="zh-CN"/>
        </w:rPr>
        <w:t>成交供应商</w:t>
      </w:r>
      <w:r>
        <w:rPr>
          <w:rFonts w:hint="eastAsia" w:ascii="宋体" w:hAnsi="宋体" w:eastAsia="宋体" w:cs="宋体"/>
          <w:sz w:val="21"/>
          <w:szCs w:val="21"/>
        </w:rPr>
        <w:t>应及时进行现场勘测，并就安全性能等向采购人提供书面意见。</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jc w:val="left"/>
        <w:textAlignment w:val="auto"/>
        <w:outlineLvl w:val="1"/>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商务要求表</w:t>
      </w:r>
    </w:p>
    <w:tbl>
      <w:tblPr>
        <w:tblStyle w:val="61"/>
        <w:tblW w:w="9364"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质量保修期</w:t>
            </w:r>
          </w:p>
        </w:tc>
        <w:tc>
          <w:tcPr>
            <w:tcW w:w="7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质量保修期为</w:t>
            </w:r>
            <w:r>
              <w:rPr>
                <w:rFonts w:hint="eastAsia" w:ascii="宋体" w:hAnsi="宋体" w:eastAsia="宋体" w:cs="宋体"/>
                <w:sz w:val="21"/>
                <w:szCs w:val="21"/>
                <w:lang w:val="en-US" w:eastAsia="zh-CN"/>
              </w:rPr>
              <w:t>1</w:t>
            </w:r>
            <w:r>
              <w:rPr>
                <w:rFonts w:hint="eastAsia" w:ascii="宋体" w:hAnsi="宋体" w:eastAsia="宋体" w:cs="宋体"/>
                <w:sz w:val="21"/>
                <w:szCs w:val="21"/>
              </w:rPr>
              <w:t>年，质量保修期自竣工验收合格之日起计。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sz w:val="21"/>
                <w:szCs w:val="21"/>
              </w:rPr>
            </w:pPr>
            <w:r>
              <w:rPr>
                <w:rFonts w:hint="eastAsia" w:ascii="宋体" w:hAnsi="宋体" w:eastAsia="宋体" w:cs="宋体"/>
                <w:b/>
                <w:sz w:val="21"/>
                <w:szCs w:val="21"/>
              </w:rPr>
              <w:t>售后服务</w:t>
            </w:r>
            <w:bookmarkStart w:id="59" w:name="_Toc170792779"/>
            <w:r>
              <w:rPr>
                <w:rFonts w:hint="eastAsia" w:ascii="宋体" w:hAnsi="宋体" w:eastAsia="宋体" w:cs="宋体"/>
                <w:b/>
                <w:sz w:val="21"/>
                <w:szCs w:val="21"/>
              </w:rPr>
              <w:t>要求</w:t>
            </w:r>
            <w:bookmarkEnd w:id="59"/>
          </w:p>
        </w:tc>
        <w:tc>
          <w:tcPr>
            <w:tcW w:w="7667" w:type="dxa"/>
            <w:noWrap w:val="0"/>
            <w:vAlign w:val="top"/>
          </w:tcPr>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40" w:lineRule="exact"/>
              <w:ind w:left="0" w:firstLine="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质量保修期内免费提供维修服务和所需的材料，及时修复破损</w:t>
            </w:r>
            <w:r>
              <w:rPr>
                <w:rFonts w:hint="eastAsia" w:ascii="宋体" w:hAnsi="宋体" w:cs="宋体"/>
                <w:sz w:val="21"/>
                <w:szCs w:val="21"/>
                <w:lang w:eastAsia="zh-CN"/>
              </w:rPr>
              <w:t>公共艺术</w:t>
            </w:r>
            <w:r>
              <w:rPr>
                <w:rFonts w:hint="eastAsia" w:ascii="宋体" w:hAnsi="宋体" w:eastAsia="宋体" w:cs="宋体"/>
                <w:sz w:val="21"/>
                <w:szCs w:val="21"/>
              </w:rPr>
              <w:t>，确保整体安全、清洁；质量保修期满后，以成本价提供终生维修服务和所需的材料。</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40" w:lineRule="exact"/>
              <w:ind w:left="0" w:firstLine="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负责运输、现场安装调试直至验收合格为止。</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40" w:lineRule="exact"/>
              <w:ind w:left="0" w:firstLine="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）成交供应商</w:t>
            </w:r>
            <w:r>
              <w:rPr>
                <w:rFonts w:hint="eastAsia" w:ascii="宋体" w:hAnsi="宋体" w:eastAsia="宋体" w:cs="宋体"/>
                <w:sz w:val="21"/>
                <w:szCs w:val="21"/>
              </w:rPr>
              <w:t>应提供良好、快速的售后服务和技术支持。售后服务响应时间不得超过24小时。</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货物交付完毕后，需对业主单位人员进行</w:t>
            </w:r>
            <w:r>
              <w:rPr>
                <w:rFonts w:hint="eastAsia" w:ascii="宋体" w:hAnsi="宋体" w:cs="宋体"/>
                <w:sz w:val="21"/>
                <w:szCs w:val="21"/>
                <w:lang w:eastAsia="zh-CN"/>
              </w:rPr>
              <w:t>公共艺术</w:t>
            </w:r>
            <w:r>
              <w:rPr>
                <w:rFonts w:hint="eastAsia" w:ascii="宋体" w:hAnsi="宋体" w:eastAsia="宋体" w:cs="宋体"/>
                <w:sz w:val="21"/>
                <w:szCs w:val="21"/>
              </w:rPr>
              <w:t>的维护保养及结构原理等方面的培训，并提供详细的书面资料。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▲工期及施工地点</w:t>
            </w:r>
          </w:p>
        </w:tc>
        <w:tc>
          <w:tcPr>
            <w:tcW w:w="7667" w:type="dxa"/>
            <w:noWrap w:val="0"/>
            <w:vAlign w:val="top"/>
          </w:tcPr>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工期：中标后15个日历天</w:t>
            </w:r>
            <w:r>
              <w:rPr>
                <w:rFonts w:hint="eastAsia" w:ascii="宋体" w:hAnsi="宋体" w:eastAsia="宋体" w:cs="宋体"/>
                <w:sz w:val="21"/>
                <w:szCs w:val="21"/>
                <w:highlight w:val="none"/>
                <w:lang w:val="en-US" w:eastAsia="zh-CN"/>
              </w:rPr>
              <w:t>内完成</w:t>
            </w:r>
            <w:r>
              <w:rPr>
                <w:rFonts w:hint="eastAsia" w:ascii="宋体" w:hAnsi="宋体" w:eastAsia="宋体" w:cs="宋体"/>
                <w:sz w:val="21"/>
                <w:szCs w:val="21"/>
                <w:highlight w:val="none"/>
              </w:rPr>
              <w:t>方案优化及施工图设计，施工总承包工期（含设计周期）为75个日历天，具体情况满足采购人进度需要。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▲付款条件</w:t>
            </w:r>
          </w:p>
        </w:tc>
        <w:tc>
          <w:tcPr>
            <w:tcW w:w="7667" w:type="dxa"/>
            <w:noWrap w:val="0"/>
            <w:vAlign w:val="top"/>
          </w:tcPr>
          <w:p>
            <w:pPr>
              <w:keepNext w:val="0"/>
              <w:keepLines w:val="0"/>
              <w:pageBreakBefore w:val="0"/>
              <w:widowControl w:val="0"/>
              <w:numPr>
                <w:ilvl w:val="0"/>
                <w:numId w:val="17"/>
              </w:numPr>
              <w:kinsoku/>
              <w:wordWrap/>
              <w:overflowPunct/>
              <w:topLinePunct w:val="0"/>
              <w:autoSpaceDE/>
              <w:autoSpaceDN/>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合同生效并具备实施条件后 7 个工作日内,支付合同价款的 40%；</w:t>
            </w:r>
          </w:p>
          <w:p>
            <w:pPr>
              <w:keepNext w:val="0"/>
              <w:keepLines w:val="0"/>
              <w:pageBreakBefore w:val="0"/>
              <w:widowControl w:val="0"/>
              <w:numPr>
                <w:ilvl w:val="0"/>
                <w:numId w:val="17"/>
              </w:numPr>
              <w:kinsoku/>
              <w:wordWrap/>
              <w:overflowPunct/>
              <w:topLinePunct w:val="0"/>
              <w:autoSpaceDE/>
              <w:autoSpaceDN/>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公共艺术</w:t>
            </w:r>
            <w:r>
              <w:rPr>
                <w:rFonts w:hint="eastAsia" w:ascii="宋体" w:hAnsi="宋体" w:eastAsia="宋体" w:cs="宋体"/>
                <w:sz w:val="21"/>
                <w:szCs w:val="21"/>
              </w:rPr>
              <w:t>制作完毕运输至现场后支付合同价款的40%；</w:t>
            </w:r>
          </w:p>
          <w:p>
            <w:pPr>
              <w:keepNext w:val="0"/>
              <w:keepLines w:val="0"/>
              <w:pageBreakBefore w:val="0"/>
              <w:widowControl w:val="0"/>
              <w:numPr>
                <w:ilvl w:val="0"/>
                <w:numId w:val="17"/>
              </w:numPr>
              <w:kinsoku/>
              <w:wordWrap/>
              <w:overflowPunct/>
              <w:topLinePunct w:val="0"/>
              <w:autoSpaceDE/>
              <w:autoSpaceDN/>
              <w:bidi w:val="0"/>
              <w:adjustRightInd w:val="0"/>
              <w:snapToGrid w:val="0"/>
              <w:spacing w:line="440" w:lineRule="exact"/>
              <w:textAlignment w:val="auto"/>
              <w:rPr>
                <w:rFonts w:hint="eastAsia" w:ascii="宋体" w:hAnsi="宋体" w:eastAsia="宋体" w:cs="宋体"/>
                <w:sz w:val="21"/>
                <w:szCs w:val="21"/>
              </w:rPr>
            </w:pPr>
            <w:r>
              <w:rPr>
                <w:rFonts w:hint="eastAsia" w:ascii="宋体" w:hAnsi="宋体" w:eastAsia="宋体" w:cs="宋体"/>
                <w:b w:val="0"/>
                <w:kern w:val="2"/>
                <w:sz w:val="21"/>
                <w:szCs w:val="21"/>
                <w:lang w:val="en-US" w:eastAsia="zh-CN" w:bidi="ar-SA"/>
              </w:rPr>
              <w:t>项目完成，余款在验收合格后一次性付清。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▲履约保证金</w:t>
            </w:r>
          </w:p>
        </w:tc>
        <w:tc>
          <w:tcPr>
            <w:tcW w:w="7667" w:type="dxa"/>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highlight w:val="yellow"/>
              </w:rPr>
            </w:pPr>
            <w:r>
              <w:rPr>
                <w:rFonts w:hint="eastAsia" w:ascii="宋体" w:hAnsi="宋体" w:eastAsia="宋体" w:cs="宋体"/>
                <w:bCs/>
                <w:sz w:val="21"/>
                <w:szCs w:val="21"/>
              </w:rPr>
              <w:t>成交供应商应在合同签订前，向采购人提交按合同总价</w:t>
            </w:r>
            <w:r>
              <w:rPr>
                <w:rFonts w:hint="eastAsia" w:ascii="宋体" w:hAnsi="宋体" w:eastAsia="宋体" w:cs="宋体"/>
                <w:bCs/>
                <w:sz w:val="21"/>
                <w:szCs w:val="21"/>
                <w:lang w:val="en-US" w:eastAsia="zh-CN"/>
              </w:rPr>
              <w:t>1</w:t>
            </w:r>
            <w:r>
              <w:rPr>
                <w:rFonts w:hint="eastAsia" w:ascii="宋体" w:hAnsi="宋体" w:eastAsia="宋体" w:cs="宋体"/>
                <w:bCs/>
                <w:sz w:val="21"/>
                <w:szCs w:val="21"/>
              </w:rPr>
              <w:t>%的履约保证金，</w:t>
            </w:r>
            <w:r>
              <w:rPr>
                <w:rFonts w:hint="eastAsia" w:ascii="宋体" w:hAnsi="宋体" w:eastAsia="宋体" w:cs="宋体"/>
                <w:bCs/>
                <w:sz w:val="21"/>
                <w:szCs w:val="21"/>
                <w:lang w:eastAsia="zh-CN"/>
              </w:rPr>
              <w:t>竣工验收合格</w:t>
            </w:r>
            <w:r>
              <w:rPr>
                <w:rFonts w:hint="eastAsia" w:ascii="宋体" w:hAnsi="宋体" w:eastAsia="宋体" w:cs="宋体"/>
                <w:bCs/>
                <w:sz w:val="21"/>
                <w:szCs w:val="21"/>
              </w:rPr>
              <w:t>后履约保证金于20日内由采购人无息退还。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1"/>
                <w:szCs w:val="21"/>
              </w:rPr>
            </w:pPr>
            <w:r>
              <w:rPr>
                <w:rFonts w:hint="eastAsia" w:ascii="宋体" w:hAnsi="宋体" w:eastAsia="宋体" w:cs="宋体"/>
                <w:b/>
                <w:sz w:val="21"/>
                <w:szCs w:val="21"/>
              </w:rPr>
              <w:t>专利及知识产权</w:t>
            </w:r>
          </w:p>
        </w:tc>
        <w:tc>
          <w:tcPr>
            <w:tcW w:w="7667"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供应商需对设计方案的著作权、产品的专利等知识产权负责，并保证不伤害采购人的利益。在法律范围内，所有文字、商标和技术侵权造成的相关费用，采购人概不负责。</w:t>
            </w:r>
          </w:p>
        </w:tc>
      </w:tr>
    </w:tbl>
    <w:p>
      <w:pPr>
        <w:keepNext w:val="0"/>
        <w:keepLines w:val="0"/>
        <w:pageBreakBefore w:val="0"/>
        <w:widowControl w:val="0"/>
        <w:numPr>
          <w:numId w:val="0"/>
        </w:numPr>
        <w:kinsoku/>
        <w:wordWrap/>
        <w:overflowPunct/>
        <w:topLinePunct w:val="0"/>
        <w:autoSpaceDE/>
        <w:autoSpaceDN/>
        <w:bidi w:val="0"/>
        <w:adjustRightInd/>
        <w:spacing w:line="440" w:lineRule="exact"/>
        <w:ind w:left="210" w:leftChars="0"/>
        <w:jc w:val="both"/>
        <w:textAlignment w:val="auto"/>
        <w:rPr>
          <w:rFonts w:hint="eastAsia" w:ascii="宋体" w:hAnsi="宋体" w:eastAsia="宋体" w:cs="宋体"/>
          <w:b/>
          <w:kern w:val="0"/>
          <w:sz w:val="21"/>
          <w:szCs w:val="21"/>
          <w:lang w:val="en-US" w:eastAsia="zh-CN" w:bidi="ar-SA"/>
        </w:rPr>
      </w:pPr>
      <w:bookmarkStart w:id="60" w:name="_Toc21981"/>
      <w:bookmarkStart w:id="61" w:name="_Toc280"/>
      <w:r>
        <w:rPr>
          <w:rFonts w:hint="eastAsia" w:ascii="宋体" w:hAnsi="宋体" w:cs="宋体"/>
          <w:b/>
          <w:color w:val="auto"/>
          <w:sz w:val="21"/>
          <w:szCs w:val="21"/>
          <w:highlight w:val="none"/>
          <w:lang w:val="en-US" w:eastAsia="zh-CN"/>
        </w:rPr>
        <w:t>八、其他要求</w:t>
      </w:r>
      <w:bookmarkEnd w:id="60"/>
      <w:bookmarkEnd w:id="61"/>
      <w:r>
        <w:rPr>
          <w:rFonts w:hint="eastAsia" w:ascii="宋体" w:hAnsi="宋体" w:eastAsia="宋体" w:cs="宋体"/>
          <w:b/>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w:t>
      </w:r>
      <w:r>
        <w:rPr>
          <w:rFonts w:hint="eastAsia" w:ascii="宋体" w:hAnsi="宋体" w:eastAsia="宋体" w:cs="宋体"/>
          <w:sz w:val="21"/>
          <w:szCs w:val="21"/>
          <w:lang w:eastAsia="zh-CN"/>
        </w:rPr>
        <w:t>采购文件</w:t>
      </w:r>
      <w:r>
        <w:rPr>
          <w:rFonts w:hint="eastAsia" w:ascii="宋体" w:hAnsi="宋体" w:eastAsia="宋体" w:cs="宋体"/>
          <w:sz w:val="21"/>
          <w:szCs w:val="21"/>
        </w:rPr>
        <w:t>所提出的是最低限度的技术要求，并未对所有技术细节作规定，也未充分引述有关规范和标准的相关条款，</w:t>
      </w:r>
      <w:r>
        <w:rPr>
          <w:rFonts w:hint="eastAsia" w:ascii="宋体" w:hAnsi="宋体" w:eastAsia="宋体" w:cs="宋体"/>
          <w:sz w:val="21"/>
          <w:szCs w:val="21"/>
          <w:lang w:eastAsia="zh-CN"/>
        </w:rPr>
        <w:t>供应商</w:t>
      </w:r>
      <w:r>
        <w:rPr>
          <w:rFonts w:hint="eastAsia" w:ascii="宋体" w:hAnsi="宋体" w:eastAsia="宋体" w:cs="宋体"/>
          <w:sz w:val="21"/>
          <w:szCs w:val="21"/>
        </w:rPr>
        <w:t>应保证提供符合本</w:t>
      </w:r>
      <w:r>
        <w:rPr>
          <w:rFonts w:hint="eastAsia" w:ascii="宋体" w:hAnsi="宋体" w:eastAsia="宋体" w:cs="宋体"/>
          <w:sz w:val="21"/>
          <w:szCs w:val="21"/>
          <w:lang w:eastAsia="zh-CN"/>
        </w:rPr>
        <w:t>采购文件</w:t>
      </w:r>
      <w:r>
        <w:rPr>
          <w:rFonts w:hint="eastAsia" w:ascii="宋体" w:hAnsi="宋体" w:eastAsia="宋体" w:cs="宋体"/>
          <w:sz w:val="21"/>
          <w:szCs w:val="21"/>
        </w:rPr>
        <w:t>和国家有关标准要求的优质产品和服务。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成交供应商</w:t>
      </w:r>
      <w:r>
        <w:rPr>
          <w:rFonts w:hint="eastAsia" w:ascii="宋体" w:hAnsi="宋体" w:eastAsia="宋体" w:cs="宋体"/>
          <w:sz w:val="21"/>
          <w:szCs w:val="21"/>
        </w:rPr>
        <w:t>应承担招标范围内所有工作的一切费用和风险。</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成交供应商</w:t>
      </w:r>
      <w:r>
        <w:rPr>
          <w:rFonts w:hint="eastAsia" w:ascii="宋体" w:hAnsi="宋体" w:eastAsia="宋体" w:cs="宋体"/>
          <w:sz w:val="21"/>
          <w:szCs w:val="21"/>
        </w:rPr>
        <w:t>的成交价格是一次性总价包干，除采购人提出的较大程度的外观或材质设计变更外，合同总价一律不得增加。因采购人提出的较大程度的外观或材质设计变更引起的合同价格增加，其增加额度不得超过原合同金额的10%。</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、采购人在具体实施过程中有权对</w:t>
      </w:r>
      <w:r>
        <w:rPr>
          <w:rFonts w:hint="eastAsia" w:ascii="宋体" w:hAnsi="宋体" w:eastAsia="宋体" w:cs="宋体"/>
          <w:sz w:val="21"/>
          <w:szCs w:val="21"/>
          <w:lang w:eastAsia="zh-CN"/>
        </w:rPr>
        <w:t>成交供应商</w:t>
      </w:r>
      <w:r>
        <w:rPr>
          <w:rFonts w:hint="eastAsia" w:ascii="宋体" w:hAnsi="宋体" w:eastAsia="宋体" w:cs="宋体"/>
          <w:sz w:val="21"/>
          <w:szCs w:val="21"/>
        </w:rPr>
        <w:t>的设计方案进行优化，但</w:t>
      </w:r>
      <w:r>
        <w:rPr>
          <w:rFonts w:hint="eastAsia" w:ascii="宋体" w:hAnsi="宋体" w:eastAsia="宋体" w:cs="宋体"/>
          <w:sz w:val="21"/>
          <w:szCs w:val="21"/>
          <w:lang w:eastAsia="zh-CN"/>
        </w:rPr>
        <w:t>成交价</w:t>
      </w:r>
      <w:r>
        <w:rPr>
          <w:rFonts w:hint="eastAsia" w:ascii="宋体" w:hAnsi="宋体" w:eastAsia="宋体" w:cs="宋体"/>
          <w:sz w:val="21"/>
          <w:szCs w:val="21"/>
        </w:rPr>
        <w:t>格不作调整。</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、全部材料应说明名称、规格、数量、单价、总价等。</w:t>
      </w:r>
      <w:r>
        <w:rPr>
          <w:rFonts w:hint="eastAsia" w:ascii="宋体" w:hAnsi="宋体" w:eastAsia="宋体" w:cs="宋体"/>
          <w:sz w:val="21"/>
          <w:szCs w:val="21"/>
          <w:lang w:eastAsia="zh-CN"/>
        </w:rPr>
        <w:t>成交供应商</w:t>
      </w:r>
      <w:r>
        <w:rPr>
          <w:rFonts w:hint="eastAsia" w:ascii="宋体" w:hAnsi="宋体" w:eastAsia="宋体" w:cs="宋体"/>
          <w:sz w:val="21"/>
          <w:szCs w:val="21"/>
        </w:rPr>
        <w:t>按要求应列入而未列入公共艺术材料清单的配件及材料，均认为已含在其公共艺术材料清单中。</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每个</w:t>
      </w:r>
      <w:r>
        <w:rPr>
          <w:rFonts w:hint="eastAsia" w:ascii="宋体" w:hAnsi="宋体" w:eastAsia="宋体" w:cs="宋体"/>
          <w:sz w:val="21"/>
          <w:szCs w:val="21"/>
          <w:lang w:eastAsia="zh-CN"/>
        </w:rPr>
        <w:t>供应商</w:t>
      </w:r>
      <w:r>
        <w:rPr>
          <w:rFonts w:hint="eastAsia" w:ascii="宋体" w:hAnsi="宋体" w:eastAsia="宋体" w:cs="宋体"/>
          <w:sz w:val="21"/>
          <w:szCs w:val="21"/>
        </w:rPr>
        <w:t>只允许提交一种</w:t>
      </w:r>
      <w:r>
        <w:rPr>
          <w:rFonts w:hint="eastAsia" w:ascii="宋体" w:hAnsi="宋体" w:eastAsia="宋体" w:cs="宋体"/>
          <w:sz w:val="21"/>
          <w:szCs w:val="21"/>
          <w:lang w:eastAsia="zh-CN"/>
        </w:rPr>
        <w:t>设计方案及</w:t>
      </w:r>
      <w:r>
        <w:rPr>
          <w:rFonts w:hint="eastAsia" w:ascii="宋体" w:hAnsi="宋体" w:eastAsia="宋体" w:cs="宋体"/>
          <w:sz w:val="21"/>
          <w:szCs w:val="21"/>
        </w:rPr>
        <w:t>一种报价，任何情况下有选择的</w:t>
      </w:r>
      <w:r>
        <w:rPr>
          <w:rFonts w:hint="eastAsia" w:ascii="宋体" w:hAnsi="宋体" w:eastAsia="宋体" w:cs="宋体"/>
          <w:sz w:val="21"/>
          <w:szCs w:val="21"/>
          <w:lang w:eastAsia="zh-CN"/>
        </w:rPr>
        <w:t>方案或</w:t>
      </w:r>
      <w:r>
        <w:rPr>
          <w:rFonts w:hint="eastAsia" w:ascii="宋体" w:hAnsi="宋体" w:eastAsia="宋体" w:cs="宋体"/>
          <w:sz w:val="21"/>
          <w:szCs w:val="21"/>
        </w:rPr>
        <w:t>报价将不予接受。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本</w:t>
      </w:r>
      <w:r>
        <w:rPr>
          <w:rFonts w:hint="eastAsia" w:ascii="宋体" w:hAnsi="宋体" w:eastAsia="宋体" w:cs="宋体"/>
          <w:sz w:val="21"/>
          <w:szCs w:val="21"/>
          <w:lang w:eastAsia="zh-CN"/>
        </w:rPr>
        <w:t>采购文件</w:t>
      </w:r>
      <w:r>
        <w:rPr>
          <w:rFonts w:hint="eastAsia" w:ascii="宋体" w:hAnsi="宋体" w:eastAsia="宋体" w:cs="宋体"/>
          <w:sz w:val="21"/>
          <w:szCs w:val="21"/>
        </w:rPr>
        <w:t>中带“▲”的条款为主要条款，</w:t>
      </w:r>
      <w:r>
        <w:rPr>
          <w:rFonts w:hint="eastAsia" w:ascii="宋体" w:hAnsi="宋体" w:eastAsia="宋体" w:cs="宋体"/>
          <w:sz w:val="21"/>
          <w:szCs w:val="21"/>
          <w:lang w:eastAsia="zh-CN"/>
        </w:rPr>
        <w:t>供应商</w:t>
      </w:r>
      <w:r>
        <w:rPr>
          <w:rFonts w:hint="eastAsia" w:ascii="宋体" w:hAnsi="宋体" w:eastAsia="宋体" w:cs="宋体"/>
          <w:sz w:val="21"/>
          <w:szCs w:val="21"/>
        </w:rPr>
        <w:t>必须在</w:t>
      </w:r>
      <w:r>
        <w:rPr>
          <w:rFonts w:hint="eastAsia" w:ascii="宋体" w:hAnsi="宋体" w:eastAsia="宋体" w:cs="宋体"/>
          <w:sz w:val="21"/>
          <w:szCs w:val="21"/>
          <w:lang w:eastAsia="zh-CN"/>
        </w:rPr>
        <w:t>响应文件</w:t>
      </w:r>
      <w:r>
        <w:rPr>
          <w:rFonts w:hint="eastAsia" w:ascii="宋体" w:hAnsi="宋体" w:eastAsia="宋体" w:cs="宋体"/>
          <w:sz w:val="21"/>
          <w:szCs w:val="21"/>
        </w:rPr>
        <w:t>中全部</w:t>
      </w:r>
      <w:r>
        <w:rPr>
          <w:rFonts w:hint="eastAsia" w:ascii="宋体" w:hAnsi="宋体" w:eastAsia="宋体" w:cs="宋体"/>
          <w:sz w:val="21"/>
          <w:szCs w:val="21"/>
          <w:lang w:eastAsia="zh-CN"/>
        </w:rPr>
        <w:t>作出响应，否则将作无效标处理。</w:t>
      </w:r>
    </w:p>
    <w:p>
      <w:pPr>
        <w:keepNext w:val="0"/>
        <w:keepLines w:val="0"/>
        <w:pageBreakBefore w:val="0"/>
        <w:widowControl w:val="0"/>
        <w:kinsoku/>
        <w:overflowPunct/>
        <w:topLinePunct w:val="0"/>
        <w:bidi w:val="0"/>
        <w:spacing w:line="400" w:lineRule="exact"/>
        <w:ind w:left="317"/>
        <w:jc w:val="center"/>
        <w:textAlignment w:val="baseline"/>
        <w:outlineLvl w:val="0"/>
        <w:rPr>
          <w:rFonts w:hint="eastAsia" w:ascii="宋体"/>
          <w:b/>
          <w:bCs/>
          <w:color w:val="auto"/>
          <w:sz w:val="32"/>
          <w:szCs w:val="30"/>
          <w:highlight w:val="none"/>
        </w:rPr>
      </w:pPr>
    </w:p>
    <w:p>
      <w:pPr>
        <w:pStyle w:val="70"/>
        <w:ind w:left="0" w:leftChars="0" w:firstLine="0" w:firstLineChars="0"/>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rPr>
          <w:rFonts w:hint="eastAsia" w:ascii="宋体"/>
          <w:b/>
          <w:bCs/>
          <w:color w:val="auto"/>
          <w:sz w:val="32"/>
          <w:szCs w:val="30"/>
          <w:highlight w:val="none"/>
        </w:rPr>
      </w:pPr>
    </w:p>
    <w:p>
      <w:pPr>
        <w:pStyle w:val="2"/>
        <w:rPr>
          <w:rFonts w:hint="eastAsia" w:ascii="宋体"/>
          <w:b/>
          <w:bCs/>
          <w:color w:val="auto"/>
          <w:sz w:val="32"/>
          <w:szCs w:val="30"/>
          <w:highlight w:val="none"/>
        </w:rPr>
      </w:pPr>
    </w:p>
    <w:p>
      <w:pPr>
        <w:pStyle w:val="2"/>
        <w:rPr>
          <w:rFonts w:hint="eastAsia"/>
        </w:rPr>
      </w:pPr>
      <w:bookmarkStart w:id="317" w:name="_GoBack"/>
      <w:bookmarkEnd w:id="317"/>
    </w:p>
    <w:p>
      <w:pPr>
        <w:pStyle w:val="2"/>
        <w:rPr>
          <w:rFonts w:hint="eastAsia"/>
        </w:rPr>
      </w:pPr>
    </w:p>
    <w:p>
      <w:pPr>
        <w:rPr>
          <w:rFonts w:hint="eastAsia"/>
          <w:color w:val="auto"/>
          <w:highlight w:val="none"/>
        </w:rPr>
      </w:pPr>
    </w:p>
    <w:p>
      <w:pPr>
        <w:keepNext w:val="0"/>
        <w:keepLines w:val="0"/>
        <w:pageBreakBefore w:val="0"/>
        <w:widowControl w:val="0"/>
        <w:kinsoku/>
        <w:overflowPunct/>
        <w:topLinePunct w:val="0"/>
        <w:bidi w:val="0"/>
        <w:spacing w:line="400" w:lineRule="exact"/>
        <w:ind w:left="317"/>
        <w:jc w:val="center"/>
        <w:textAlignment w:val="baseline"/>
        <w:outlineLvl w:val="0"/>
        <w:rPr>
          <w:rFonts w:ascii="宋体"/>
          <w:b/>
          <w:bCs/>
          <w:color w:val="auto"/>
          <w:sz w:val="32"/>
          <w:szCs w:val="30"/>
          <w:highlight w:val="none"/>
        </w:rPr>
      </w:pPr>
      <w:r>
        <w:rPr>
          <w:rFonts w:hint="eastAsia" w:ascii="宋体"/>
          <w:b/>
          <w:bCs/>
          <w:color w:val="auto"/>
          <w:sz w:val="32"/>
          <w:szCs w:val="30"/>
          <w:highlight w:val="none"/>
        </w:rPr>
        <w:t>第三章、投标人须知</w:t>
      </w:r>
      <w:bookmarkEnd w:id="22"/>
      <w:bookmarkEnd w:id="23"/>
      <w:bookmarkEnd w:id="24"/>
      <w:bookmarkEnd w:id="25"/>
      <w:bookmarkEnd w:id="26"/>
      <w:bookmarkEnd w:id="35"/>
      <w:bookmarkEnd w:id="36"/>
      <w:bookmarkEnd w:id="37"/>
      <w:bookmarkEnd w:id="38"/>
      <w:bookmarkEnd w:id="39"/>
      <w:bookmarkEnd w:id="40"/>
      <w:bookmarkEnd w:id="41"/>
      <w:bookmarkEnd w:id="42"/>
    </w:p>
    <w:p>
      <w:pPr>
        <w:keepNext w:val="0"/>
        <w:keepLines w:val="0"/>
        <w:pageBreakBefore w:val="0"/>
        <w:widowControl w:val="0"/>
        <w:kinsoku/>
        <w:overflowPunct/>
        <w:topLinePunct w:val="0"/>
        <w:bidi w:val="0"/>
        <w:spacing w:line="400" w:lineRule="exact"/>
        <w:jc w:val="center"/>
        <w:rPr>
          <w:rFonts w:ascii="宋体"/>
          <w:b/>
          <w:color w:val="auto"/>
          <w:szCs w:val="21"/>
          <w:highlight w:val="none"/>
        </w:rPr>
      </w:pPr>
      <w:bookmarkStart w:id="62" w:name="_Toc424544811"/>
      <w:bookmarkStart w:id="63" w:name="_Toc293917016"/>
      <w:bookmarkStart w:id="64" w:name="_Toc177870535"/>
      <w:bookmarkStart w:id="65" w:name="_Toc293916870"/>
      <w:bookmarkStart w:id="66" w:name="_Toc293916001"/>
      <w:bookmarkStart w:id="67" w:name="_Toc32363"/>
      <w:bookmarkStart w:id="68" w:name="_Toc8586"/>
      <w:bookmarkStart w:id="69" w:name="_Toc28344"/>
      <w:bookmarkStart w:id="70" w:name="_Toc5456"/>
      <w:bookmarkStart w:id="71" w:name="_Toc19160"/>
      <w:bookmarkStart w:id="72" w:name="_Toc424544532"/>
      <w:bookmarkStart w:id="73" w:name="_Toc293916352"/>
      <w:bookmarkStart w:id="74" w:name="_Toc31589"/>
      <w:r>
        <w:rPr>
          <w:rFonts w:hint="eastAsia" w:ascii="宋体"/>
          <w:b/>
          <w:color w:val="auto"/>
          <w:szCs w:val="21"/>
          <w:highlight w:val="none"/>
        </w:rPr>
        <w:t>投标须知前附表</w:t>
      </w:r>
      <w:bookmarkEnd w:id="62"/>
      <w:bookmarkEnd w:id="63"/>
      <w:bookmarkEnd w:id="64"/>
      <w:bookmarkEnd w:id="65"/>
      <w:bookmarkEnd w:id="66"/>
      <w:bookmarkEnd w:id="67"/>
      <w:bookmarkEnd w:id="68"/>
      <w:bookmarkEnd w:id="69"/>
      <w:bookmarkEnd w:id="70"/>
      <w:bookmarkEnd w:id="71"/>
      <w:bookmarkEnd w:id="72"/>
      <w:bookmarkEnd w:id="73"/>
      <w:bookmarkEnd w:id="74"/>
    </w:p>
    <w:tbl>
      <w:tblPr>
        <w:tblStyle w:val="61"/>
        <w:tblW w:w="86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8"/>
        <w:gridCol w:w="8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浪漫山川旅游度假区基础设施一期建设工程之浪漫山川全域智慧旅游系统（标识标牌、智慧驿站）设计建设项目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rPr>
            </w:pPr>
            <w:r>
              <w:rPr>
                <w:rFonts w:hint="eastAsia"/>
              </w:rPr>
              <w:t>投标报价及费用：</w:t>
            </w:r>
          </w:p>
          <w:p>
            <w:pPr>
              <w:keepNext w:val="0"/>
              <w:keepLines w:val="0"/>
              <w:pageBreakBefore w:val="0"/>
              <w:widowControl w:val="0"/>
              <w:kinsoku/>
              <w:wordWrap/>
              <w:overflowPunct/>
              <w:topLinePunct w:val="0"/>
              <w:bidi w:val="0"/>
              <w:adjustRightInd w:val="0"/>
              <w:snapToGrid w:val="0"/>
              <w:spacing w:line="400" w:lineRule="exact"/>
              <w:rPr>
                <w:rFonts w:hint="eastAsia"/>
              </w:rPr>
            </w:pPr>
            <w:r>
              <w:rPr>
                <w:rFonts w:hint="eastAsia"/>
              </w:rPr>
              <w:t>1、本项目投标应以人民币报价；</w:t>
            </w:r>
          </w:p>
          <w:p>
            <w:pPr>
              <w:keepNext w:val="0"/>
              <w:keepLines w:val="0"/>
              <w:pageBreakBefore w:val="0"/>
              <w:widowControl w:val="0"/>
              <w:kinsoku/>
              <w:wordWrap/>
              <w:overflowPunct/>
              <w:topLinePunct w:val="0"/>
              <w:bidi w:val="0"/>
              <w:adjustRightInd w:val="0"/>
              <w:snapToGrid w:val="0"/>
              <w:spacing w:line="400" w:lineRule="exact"/>
              <w:rPr>
                <w:rFonts w:hint="eastAsia"/>
              </w:rPr>
            </w:pPr>
            <w:r>
              <w:rPr>
                <w:rFonts w:hint="eastAsia"/>
              </w:rPr>
              <w:t>2、不论投标结果如何，投标人均应自行承担所有与投标有关的全部费用；</w:t>
            </w:r>
          </w:p>
          <w:p>
            <w:pPr>
              <w:keepNext w:val="0"/>
              <w:keepLines w:val="0"/>
              <w:pageBreakBefore w:val="0"/>
              <w:widowControl w:val="0"/>
              <w:kinsoku/>
              <w:wordWrap/>
              <w:overflowPunct/>
              <w:topLinePunct w:val="0"/>
              <w:bidi w:val="0"/>
              <w:spacing w:line="400" w:lineRule="exact"/>
              <w:rPr>
                <w:rFonts w:hint="eastAsia"/>
              </w:rPr>
            </w:pPr>
            <w:r>
              <w:rPr>
                <w:rFonts w:hint="eastAsia"/>
              </w:rPr>
              <w:t>3、招标代理费用由各标项的中标单位支付按中标金额支付，100万以内按1.5%</w:t>
            </w:r>
            <w:r>
              <w:rPr>
                <w:rFonts w:hint="eastAsia"/>
                <w:lang w:val="en-US" w:eastAsia="zh-CN"/>
              </w:rPr>
              <w:t>，</w:t>
            </w:r>
            <w:r>
              <w:rPr>
                <w:rFonts w:hint="eastAsia"/>
              </w:rPr>
              <w:t>100-500万按1.1%，</w:t>
            </w:r>
            <w:r>
              <w:rPr>
                <w:rFonts w:hint="eastAsia"/>
                <w:lang w:val="en-US" w:eastAsia="zh-CN"/>
              </w:rPr>
              <w:t>500-1000万</w:t>
            </w:r>
            <w:r>
              <w:rPr>
                <w:rFonts w:hint="eastAsia"/>
              </w:rPr>
              <w:t>按</w:t>
            </w:r>
            <w:r>
              <w:rPr>
                <w:rFonts w:hint="eastAsia"/>
                <w:lang w:val="en-US" w:eastAsia="zh-CN"/>
              </w:rPr>
              <w:t>0.8</w:t>
            </w:r>
            <w:r>
              <w:rPr>
                <w:rFonts w:hint="eastAsia"/>
              </w:rPr>
              <w:t>%</w:t>
            </w:r>
            <w:r>
              <w:rPr>
                <w:rFonts w:hint="eastAsia"/>
                <w:lang w:eastAsia="zh-CN"/>
              </w:rPr>
              <w:t>，</w:t>
            </w:r>
            <w:r>
              <w:rPr>
                <w:rFonts w:hint="eastAsia"/>
              </w:rPr>
              <w:t>差额定律累进法计算。</w:t>
            </w:r>
          </w:p>
          <w:p>
            <w:pPr>
              <w:spacing w:line="440" w:lineRule="exact"/>
              <w:ind w:firstLine="560"/>
              <w:rPr>
                <w:rFonts w:hint="eastAsia" w:ascii="宋体" w:hAnsi="宋体" w:eastAsia="宋体" w:cs="宋体"/>
                <w:color w:val="000000"/>
                <w:kern w:val="0"/>
                <w:szCs w:val="21"/>
              </w:rPr>
            </w:pPr>
            <w:r>
              <w:rPr>
                <w:rFonts w:hint="eastAsia" w:ascii="宋体" w:hAnsi="宋体" w:eastAsia="宋体" w:cs="宋体"/>
                <w:color w:val="000000"/>
                <w:kern w:val="0"/>
                <w:szCs w:val="21"/>
              </w:rPr>
              <w:t>账户名称：杭州建设工程造价咨询有限公司安吉分公司</w:t>
            </w:r>
          </w:p>
          <w:p>
            <w:pPr>
              <w:spacing w:line="440" w:lineRule="exact"/>
              <w:ind w:firstLine="560"/>
              <w:rPr>
                <w:rFonts w:hint="eastAsia" w:ascii="宋体" w:hAnsi="宋体" w:eastAsia="宋体" w:cs="宋体"/>
                <w:color w:val="000000"/>
                <w:kern w:val="0"/>
                <w:szCs w:val="21"/>
              </w:rPr>
            </w:pPr>
            <w:r>
              <w:rPr>
                <w:rFonts w:hint="eastAsia" w:ascii="宋体" w:hAnsi="宋体" w:eastAsia="宋体" w:cs="宋体"/>
                <w:color w:val="000000"/>
                <w:kern w:val="0"/>
                <w:szCs w:val="21"/>
              </w:rPr>
              <w:t>开户银行：中国建行股份有限公司安吉支行营业部</w:t>
            </w:r>
          </w:p>
          <w:p>
            <w:pPr>
              <w:spacing w:line="440" w:lineRule="exact"/>
              <w:ind w:firstLine="560"/>
              <w:rPr>
                <w:rFonts w:hint="eastAsia"/>
              </w:rPr>
            </w:pPr>
            <w:r>
              <w:rPr>
                <w:rFonts w:hint="eastAsia" w:ascii="宋体" w:hAnsi="宋体" w:eastAsia="宋体" w:cs="宋体"/>
                <w:color w:val="000000"/>
                <w:kern w:val="0"/>
                <w:szCs w:val="21"/>
              </w:rPr>
              <w:t>银行账号：3305 0164 7127 0000 1509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015" w:type="dxa"/>
            <w:vAlign w:val="center"/>
          </w:tcPr>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现场踏勘：投标人自行联系采购人对项目现场和周围环境进行踏勘，踏勘现场所发生的费用由投标人自己承担。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015" w:type="dxa"/>
            <w:vAlign w:val="center"/>
          </w:tcPr>
          <w:p>
            <w:pPr>
              <w:keepNext w:val="0"/>
              <w:keepLines w:val="0"/>
              <w:pageBreakBefore w:val="0"/>
              <w:widowControl w:val="0"/>
              <w:kinsoku/>
              <w:wordWrap/>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答疑与澄清：</w:t>
            </w:r>
          </w:p>
          <w:p>
            <w:pPr>
              <w:keepNext w:val="0"/>
              <w:keepLines w:val="0"/>
              <w:pageBreakBefore w:val="0"/>
              <w:widowControl w:val="0"/>
              <w:kinsoku/>
              <w:wordWrap/>
              <w:overflowPunct/>
              <w:topLinePunct w:val="0"/>
              <w:bidi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认为招标文件、采购过程、中标或者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bidi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2、质疑和投诉按照《政府采购质疑和投诉办法》（财政部令第94号）规定，范本在《浙江政府采购网》中“下载专区”内下载。质疑时要求供应商在法定质疑期内一次性提出针对同一采购程序环节的质疑。</w:t>
            </w:r>
          </w:p>
          <w:p>
            <w:pPr>
              <w:keepNext w:val="0"/>
              <w:keepLines w:val="0"/>
              <w:pageBreakBefore w:val="0"/>
              <w:widowControl w:val="0"/>
              <w:kinsoku/>
              <w:wordWrap/>
              <w:overflowPunct/>
              <w:topLinePunct w:val="0"/>
              <w:bidi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出质疑的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pPr>
              <w:keepNext w:val="0"/>
              <w:keepLines w:val="0"/>
              <w:pageBreakBefore w:val="0"/>
              <w:widowControl w:val="0"/>
              <w:kinsoku/>
              <w:wordWrap/>
              <w:overflowPunct/>
              <w:topLinePunct w:val="0"/>
              <w:bidi w:val="0"/>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4、质疑受理：</w:t>
            </w:r>
          </w:p>
          <w:p>
            <w:pPr>
              <w:keepNext w:val="0"/>
              <w:keepLines w:val="0"/>
              <w:pageBreakBefore w:val="0"/>
              <w:widowControl w:val="0"/>
              <w:kinsoku/>
              <w:wordWrap/>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质疑受理人：沈女士，联系方式：18057255582，邮箱：3317971962@qq.com，供应商须将书面质疑函邮寄至安吉县灵芝东路递二社区综合楼二楼杭州建设工程造价咨询有限公司安吉分公司，并将质疑函扫描件发送至受理人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0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投标文件组成：</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投标文件组成：</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资格证明文件、商务技术文件、报价文件。</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投标文件编制：</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供应商应先安装“政采云电子交易客户端”，并按照本采购文件和“政采云平台”的要求，通过“政采云电子交易客户端”编制并加密投标文件。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投标文件的形式：</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☑电子投标文件（包括“电子加密投标文件”和“备份投标文件”，在投标文件编制完成后同时生成），纸质响应文件。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Cs/>
                <w:color w:val="auto"/>
                <w:szCs w:val="21"/>
                <w:highlight w:val="none"/>
              </w:rPr>
              <w:t>投标文件份数：</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“电子加密投标文件”(必须提交）：在线上传递交一份。</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份投标文件”、“纸质响应文件”（不强制提交）：密封包装后在投标截止时间前邮寄至安吉县灵芝东路递二社区综合楼二楼杭州建设工程造价咨询有限公司安吉分公司，联系人：汪先生，联系电话：15957222451，数量为U盘一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015"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投标文件的上传和递交：</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（1）“电子加密投标文件”的上传、递交：</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供应商应在投标截止时间前将“电子加密投标文件”成功上传递交至“政采云平台”，否则投标无效。</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“电子加密投标文件”成功上传递交后，供应商可自行打印投标文件接收回执。</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（2）“备份投标文件”的密封包装、递交：</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供应商在“政采云平台”完成“电子加密投标文件”的上传递交后，还可以在投标截止时间前递交以介质（U盘）存储的 “备份投标文件”（一份）；</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“备份投标文件”应当密封包装，并在包装上标注投标项目名称、投标单位名称并加盖公章。没有密封包装或者逾期送达的“备份投标文件”无效；</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rPr>
            </w:pPr>
            <w:r>
              <w:rPr>
                <w:rFonts w:hint="eastAsia"/>
              </w:rPr>
              <w:t>通过“政府采购云平台”成功上传递交的“电子加密投标文件”已按时解密的，“备份投标文件”自动失效。投标截止时间前，供应商仅递交了“备份投标文件”而未将“电子加密投标文件”成功上传至“政采云平台”的，投标无效。</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（3）“纸质响应文件”的密封包装、递交：（不强制提交）</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供应商在“政府采购云平台”完成“电子加密响应文件”的上传递交后，在投标截止时间前递交“纸质响应文件”（一份）；</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“纸质响应文件”应当密封包装，并在包装上标注项目名称、供应商名称并加盖公章。没有密封包装或者逾期送达至投标地点的“纸质响应文件”将不予接收；</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rPr>
            </w:pPr>
            <w:r>
              <w:rPr>
                <w:rFonts w:hint="eastAsia"/>
              </w:rPr>
              <w:t>通过“政府采购云平台”成功上传递交的“电子加密响应文件”已按时解密的，“纸质响应文件”自动失效。投标截止时间前，投标供应商仅递交了“纸质响应文件”而未将“电子加密响应文件”成功上传至“政府采购云平台”的，投标无效。</w:t>
            </w:r>
          </w:p>
          <w:p>
            <w:pPr>
              <w:pStyle w:val="2"/>
              <w:rPr>
                <w:rFonts w:hint="eastAsia"/>
              </w:rPr>
            </w:pPr>
            <w:r>
              <w:rPr>
                <w:rFonts w:hint="eastAsia"/>
              </w:rPr>
              <w:t>样品递交：</w:t>
            </w:r>
          </w:p>
          <w:p>
            <w:pPr>
              <w:pStyle w:val="2"/>
              <w:rPr>
                <w:rFonts w:hint="eastAsia"/>
              </w:rPr>
            </w:pPr>
            <w:r>
              <w:rPr>
                <w:rFonts w:hint="eastAsia"/>
              </w:rPr>
              <w:t>（1）样品：单层双穴完整样品一组</w:t>
            </w:r>
          </w:p>
          <w:p>
            <w:pPr>
              <w:pStyle w:val="2"/>
              <w:rPr>
                <w:rFonts w:hint="eastAsia"/>
              </w:rPr>
            </w:pPr>
            <w:r>
              <w:rPr>
                <w:rFonts w:hint="eastAsia"/>
              </w:rPr>
              <w:t>（2）样品制作的标准和要求：详见采购内容及设备参数要求；</w:t>
            </w:r>
          </w:p>
          <w:p>
            <w:pPr>
              <w:pStyle w:val="2"/>
              <w:rPr>
                <w:rFonts w:hint="eastAsia"/>
              </w:rPr>
            </w:pPr>
            <w:r>
              <w:rPr>
                <w:rFonts w:hint="eastAsia"/>
              </w:rPr>
              <w:t>（3）样品的评审方法以及评审标准：详见评标办法；</w:t>
            </w:r>
          </w:p>
          <w:p>
            <w:pPr>
              <w:pStyle w:val="2"/>
              <w:rPr>
                <w:rFonts w:hint="eastAsia"/>
              </w:rPr>
            </w:pPr>
            <w:r>
              <w:rPr>
                <w:rFonts w:hint="eastAsia"/>
              </w:rPr>
              <w:t>（4）是否需要随样品提交检测报告：否</w:t>
            </w:r>
          </w:p>
          <w:p>
            <w:pPr>
              <w:pStyle w:val="2"/>
              <w:rPr>
                <w:rFonts w:hint="eastAsia"/>
              </w:rPr>
            </w:pPr>
            <w:r>
              <w:rPr>
                <w:rFonts w:hint="eastAsia"/>
              </w:rPr>
              <w:t>（5）提供样品的时间：投标人必须在2022年7月21日14时00分前，将样品递交至安吉县公共资源交易中心样品间（浙江省安吉县天荒坪南路99号商会大厦A座8楼），投标人原则上仅限派1名代表到场递交样品，递交完毕后立即离场。（联系电话：15957222451）。拒绝接收逾期送达的样品。请投标人在上述时间内提供样品。超过截止时间的，采购人或采购代理机构将不予接收，并将清场并封闭样品现场。</w:t>
            </w:r>
          </w:p>
          <w:p>
            <w:pPr>
              <w:pStyle w:val="2"/>
              <w:rPr>
                <w:rFonts w:hint="eastAsia"/>
              </w:rPr>
            </w:pPr>
            <w:r>
              <w:rPr>
                <w:rFonts w:hint="eastAsia"/>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2"/>
              <w:rPr>
                <w:rFonts w:hint="eastAsia"/>
              </w:rPr>
            </w:pPr>
            <w:r>
              <w:rPr>
                <w:rFonts w:hint="eastAsia"/>
              </w:rPr>
              <w:t>（7）制作、运输、安装和保管样品所发生的一切费用由投标人自理。</w:t>
            </w:r>
          </w:p>
          <w:p>
            <w:pPr>
              <w:pStyle w:val="2"/>
              <w:rPr>
                <w:rFonts w:hint="eastAsia"/>
              </w:rPr>
            </w:pPr>
            <w:r>
              <w:rPr>
                <w:rFonts w:hint="eastAsia"/>
              </w:rPr>
              <w:t>（8）本项目样品采用暗标评审的方式；</w:t>
            </w:r>
          </w:p>
          <w:p>
            <w:pPr>
              <w:pStyle w:val="2"/>
              <w:rPr>
                <w:rFonts w:hint="eastAsia"/>
              </w:rPr>
            </w:pPr>
            <w:r>
              <w:rPr>
                <w:rFonts w:hint="eastAsia"/>
              </w:rPr>
              <w:t>（9）投标人不提供样品则视其投标无效，样品提供不全或样品中出现投标单位名称或厂家名称或厂家LOGO或品牌LOGO等体现投标人和厂家信息情况的或外观尺寸或技术参数明显不符合招标文件要求的则样品分为0分。样品递交：</w:t>
            </w:r>
          </w:p>
          <w:p>
            <w:pPr>
              <w:pStyle w:val="2"/>
              <w:rPr>
                <w:rFonts w:hint="eastAsia"/>
              </w:rPr>
            </w:pPr>
            <w:r>
              <w:rPr>
                <w:rFonts w:hint="eastAsia"/>
              </w:rPr>
              <w:t>（1）样品：单层双穴完整样品一组</w:t>
            </w:r>
          </w:p>
          <w:p>
            <w:pPr>
              <w:pStyle w:val="2"/>
              <w:rPr>
                <w:rFonts w:hint="eastAsia"/>
              </w:rPr>
            </w:pPr>
            <w:r>
              <w:rPr>
                <w:rFonts w:hint="eastAsia"/>
              </w:rPr>
              <w:t>（2）样品制作的标准和要求：详见采购内容及设备参数要求；</w:t>
            </w:r>
          </w:p>
          <w:p>
            <w:pPr>
              <w:pStyle w:val="2"/>
              <w:rPr>
                <w:rFonts w:hint="eastAsia"/>
              </w:rPr>
            </w:pPr>
            <w:r>
              <w:rPr>
                <w:rFonts w:hint="eastAsia"/>
              </w:rPr>
              <w:t>（3）样品的评审方法以及评审标准：详见评标办法；</w:t>
            </w:r>
          </w:p>
          <w:p>
            <w:pPr>
              <w:pStyle w:val="2"/>
              <w:rPr>
                <w:rFonts w:hint="eastAsia"/>
              </w:rPr>
            </w:pPr>
            <w:r>
              <w:rPr>
                <w:rFonts w:hint="eastAsia"/>
              </w:rPr>
              <w:t>（4）是否需要随样品提交检测报告：否</w:t>
            </w:r>
          </w:p>
          <w:p>
            <w:pPr>
              <w:pStyle w:val="2"/>
              <w:rPr>
                <w:rFonts w:hint="eastAsia"/>
              </w:rPr>
            </w:pPr>
            <w:r>
              <w:rPr>
                <w:rFonts w:hint="eastAsia"/>
              </w:rPr>
              <w:t>（5）提供样品的时间：投标人必须在2022年7月21日14时00分前，将样品递交至安吉县公共资源交易中心样品间（浙江省安吉县天荒坪南路99号商会大厦A座8楼），投标人原则上仅限派1名代表到场递交样品，递交完毕后立即离场。（联系电话：15957222451）。拒绝接收逾期送达的样品。请投标人在上述时间内提供样品。超过截止时间的，采购人或采购代理机构将不予接收，并将清场并封闭样品现场。</w:t>
            </w:r>
          </w:p>
          <w:p>
            <w:pPr>
              <w:pStyle w:val="2"/>
              <w:rPr>
                <w:rFonts w:hint="eastAsia"/>
              </w:rPr>
            </w:pPr>
            <w:r>
              <w:rPr>
                <w:rFonts w:hint="eastAsia"/>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2"/>
              <w:rPr>
                <w:rFonts w:hint="eastAsia"/>
              </w:rPr>
            </w:pPr>
            <w:r>
              <w:rPr>
                <w:rFonts w:hint="eastAsia"/>
              </w:rPr>
              <w:t>（7）制作、运输、安装和保管样品所发生的一切费用由投标人自理。</w:t>
            </w:r>
          </w:p>
          <w:p>
            <w:pPr>
              <w:pStyle w:val="2"/>
              <w:rPr>
                <w:rFonts w:hint="eastAsia"/>
              </w:rPr>
            </w:pPr>
            <w:r>
              <w:rPr>
                <w:rFonts w:hint="eastAsia"/>
              </w:rPr>
              <w:t>（8）本项目样品采用暗标评审的方式；</w:t>
            </w:r>
          </w:p>
          <w:p>
            <w:pPr>
              <w:pStyle w:val="2"/>
              <w:rPr>
                <w:rFonts w:hint="eastAsia"/>
              </w:rPr>
            </w:pPr>
            <w:r>
              <w:rPr>
                <w:rFonts w:hint="eastAsia"/>
              </w:rPr>
              <w:t>（9）投标人不提供样品则视其投标无效，样品提供不全或样品中出现投标单位名称或厂家名称或厂家LOGO或品牌LOGO等体现投标人和厂家信息情况的或外观尺寸或技术参数明显不符合招标文件要求的则样品分为0分。样品递交：</w:t>
            </w:r>
          </w:p>
          <w:p>
            <w:pPr>
              <w:pStyle w:val="2"/>
              <w:rPr>
                <w:rFonts w:hint="eastAsia"/>
              </w:rPr>
            </w:pPr>
            <w:r>
              <w:rPr>
                <w:rFonts w:hint="eastAsia"/>
              </w:rPr>
              <w:t>（1）样品：单层双穴完整样品一组</w:t>
            </w:r>
          </w:p>
          <w:p>
            <w:pPr>
              <w:pStyle w:val="2"/>
              <w:rPr>
                <w:rFonts w:hint="eastAsia"/>
              </w:rPr>
            </w:pPr>
            <w:r>
              <w:rPr>
                <w:rFonts w:hint="eastAsia"/>
              </w:rPr>
              <w:t>（2）样品制作的标准和要求：详见采购内容及设备参数要求；</w:t>
            </w:r>
          </w:p>
          <w:p>
            <w:pPr>
              <w:pStyle w:val="2"/>
              <w:rPr>
                <w:rFonts w:hint="eastAsia"/>
              </w:rPr>
            </w:pPr>
            <w:r>
              <w:rPr>
                <w:rFonts w:hint="eastAsia"/>
              </w:rPr>
              <w:t>（3）样品的评审方法以及评审标准：详见评标办法；</w:t>
            </w:r>
          </w:p>
          <w:p>
            <w:pPr>
              <w:pStyle w:val="2"/>
              <w:rPr>
                <w:rFonts w:hint="eastAsia"/>
              </w:rPr>
            </w:pPr>
            <w:r>
              <w:rPr>
                <w:rFonts w:hint="eastAsia"/>
              </w:rPr>
              <w:t>（4）是否需要随样品提交检测报告：否</w:t>
            </w:r>
          </w:p>
          <w:p>
            <w:pPr>
              <w:pStyle w:val="2"/>
              <w:rPr>
                <w:rFonts w:hint="eastAsia"/>
              </w:rPr>
            </w:pPr>
            <w:r>
              <w:rPr>
                <w:rFonts w:hint="eastAsia"/>
              </w:rPr>
              <w:t>（5）提供样品的时间：投标人必须在2022年7月21日14时00分前，将样品递交至安吉县公共资源交易中心样品间（浙江省安吉县天荒坪南路99号商会大厦A座8楼），投标人原则上仅限派1名代表到场递交样品，递交完毕后立即离场。（联系电话：15957222451）。拒绝接收逾期送达的样品。请投标人在上述时间内提供样品。超过截止时间的，采购人或采购代理机构将不予接收，并将清场并封闭样品现场。</w:t>
            </w:r>
          </w:p>
          <w:p>
            <w:pPr>
              <w:pStyle w:val="2"/>
              <w:rPr>
                <w:rFonts w:hint="eastAsia"/>
              </w:rPr>
            </w:pPr>
            <w:r>
              <w:rPr>
                <w:rFonts w:hint="eastAsia"/>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2"/>
              <w:rPr>
                <w:rFonts w:hint="eastAsia"/>
              </w:rPr>
            </w:pPr>
            <w:r>
              <w:rPr>
                <w:rFonts w:hint="eastAsia"/>
              </w:rPr>
              <w:t>（7）制作、运输、安装和保管样品所发生的一切费用由投标人自理。</w:t>
            </w:r>
          </w:p>
          <w:p>
            <w:pPr>
              <w:pStyle w:val="2"/>
              <w:rPr>
                <w:rFonts w:hint="eastAsia"/>
              </w:rPr>
            </w:pPr>
            <w:r>
              <w:rPr>
                <w:rFonts w:hint="eastAsia"/>
              </w:rPr>
              <w:t>（8）本项目样品采用暗标评审的方式；</w:t>
            </w:r>
          </w:p>
          <w:p>
            <w:pPr>
              <w:pStyle w:val="2"/>
              <w:rPr>
                <w:rFonts w:hint="eastAsia"/>
              </w:rPr>
            </w:pPr>
            <w:r>
              <w:rPr>
                <w:rFonts w:hint="eastAsia"/>
              </w:rPr>
              <w:t>（9）投标人不提供样品则视其投标无效，样品提供不全或样品中出现投标单位名称或厂家名称或厂家LOGO或品牌LOGO等体现投标人和厂家信息情况的或外观尺寸或技术参数明显不符合招标文件要求的则样品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投标截止时间及地点：</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地点</w:t>
            </w:r>
            <w:r>
              <w:rPr>
                <w:rFonts w:hint="eastAsia" w:ascii="宋体" w:hAnsi="宋体" w:eastAsia="宋体" w:cs="宋体"/>
                <w:color w:val="auto"/>
                <w:szCs w:val="21"/>
                <w:highlight w:val="none"/>
              </w:rPr>
              <w:t>：通过“政采云平台（www.zcygov.cn）”实行在线投标响应</w:t>
            </w:r>
          </w:p>
          <w:p>
            <w:pPr>
              <w:pStyle w:val="109"/>
              <w:keepNext w:val="0"/>
              <w:keepLines w:val="0"/>
              <w:pageBreakBefore w:val="0"/>
              <w:widowControl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lang w:val="zh-CN"/>
              </w:rPr>
              <w:t>时间：</w:t>
            </w:r>
            <w:r>
              <w:rPr>
                <w:rFonts w:hint="eastAsia" w:ascii="宋体" w:hAnsi="宋体" w:cs="宋体"/>
                <w:color w:val="auto"/>
                <w:kern w:val="0"/>
                <w:szCs w:val="21"/>
                <w:highlight w:val="none"/>
                <w:lang w:eastAsia="zh-CN"/>
              </w:rPr>
              <w:t>2023年06月01日下午14:00</w:t>
            </w:r>
            <w:r>
              <w:rPr>
                <w:rFonts w:hint="eastAsia" w:ascii="宋体" w:hAnsi="宋体" w:cs="宋体"/>
                <w:color w:val="auto"/>
                <w:kern w:val="0"/>
                <w:szCs w:val="21"/>
                <w:highlight w:val="none"/>
              </w:rPr>
              <w:t>（北京时间）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开标时间及地点：</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地点</w:t>
            </w:r>
            <w:r>
              <w:rPr>
                <w:rFonts w:hint="eastAsia" w:ascii="宋体" w:hAnsi="宋体" w:eastAsia="宋体" w:cs="宋体"/>
                <w:color w:val="auto"/>
                <w:szCs w:val="21"/>
                <w:highlight w:val="none"/>
              </w:rPr>
              <w:t>：通过“政采云平台（www.zcygov.cn）”实行在线投标响应</w:t>
            </w:r>
          </w:p>
          <w:p>
            <w:pPr>
              <w:pStyle w:val="109"/>
              <w:keepNext w:val="0"/>
              <w:keepLines w:val="0"/>
              <w:pageBreakBefore w:val="0"/>
              <w:widowControl w:val="0"/>
              <w:kinsoku/>
              <w:wordWrap/>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lang w:val="zh-CN"/>
              </w:rPr>
              <w:t>时间：</w:t>
            </w:r>
            <w:r>
              <w:rPr>
                <w:rFonts w:hint="eastAsia" w:ascii="宋体" w:hAnsi="宋体" w:cs="宋体"/>
                <w:color w:val="auto"/>
                <w:kern w:val="0"/>
                <w:szCs w:val="21"/>
                <w:highlight w:val="none"/>
                <w:lang w:eastAsia="zh-CN"/>
              </w:rPr>
              <w:t>2023年06月01日下午14:00</w:t>
            </w:r>
            <w:r>
              <w:rPr>
                <w:rFonts w:hint="eastAsia" w:ascii="宋体" w:hAnsi="宋体" w:cs="宋体"/>
                <w:color w:val="auto"/>
                <w:kern w:val="0"/>
                <w:szCs w:val="21"/>
                <w:highlight w:val="none"/>
              </w:rPr>
              <w:t>（北京时间）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015" w:type="dxa"/>
            <w:vAlign w:val="center"/>
          </w:tcPr>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电子加密投标文件的解密和异常情况处理：</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（1）开标后，采购组织机构将向各供应商发出“电子加密投标文件”的解密通知，各供应商代表应当在接到解密通知后30分钟内自行完成“电子加密投标文件”的在线解密。</w:t>
            </w:r>
          </w:p>
          <w:p>
            <w:pPr>
              <w:keepNext w:val="0"/>
              <w:keepLines w:val="0"/>
              <w:pageBreakBefore w:val="0"/>
              <w:widowControl w:val="0"/>
              <w:kinsoku/>
              <w:wordWrap/>
              <w:overflowPunct/>
              <w:topLinePunct w:val="0"/>
              <w:autoSpaceDE w:val="0"/>
              <w:autoSpaceDN w:val="0"/>
              <w:bidi w:val="0"/>
              <w:adjustRightIn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过“政采云平台”成功上传递交的“电子加密投标文件”无法按时解密的，供应商如按规定递交了“备份投标文件”的，以“备份投标文件”为依据（由采购组织机构按“政采云平台”操作规范将“备份投标文件”上传至“政采云平台”，上传成功后，“电子加密投标文件”自动失效），否则视为投标文件撤回。</w:t>
            </w:r>
          </w:p>
          <w:p>
            <w:pPr>
              <w:pStyle w:val="23"/>
              <w:keepNext w:val="0"/>
              <w:keepLines w:val="0"/>
              <w:pageBreakBefore w:val="0"/>
              <w:widowControl w:val="0"/>
              <w:kinsoku/>
              <w:wordWrap/>
              <w:overflowPunct/>
              <w:topLinePunct w:val="0"/>
              <w:bidi w:val="0"/>
              <w:spacing w:line="400" w:lineRule="exact"/>
              <w:ind w:firstLine="0"/>
              <w:rPr>
                <w:rFonts w:hint="eastAsia" w:ascii="宋体" w:hAnsi="宋体" w:eastAsia="宋体" w:cs="宋体"/>
                <w:color w:val="auto"/>
                <w:highlight w:val="none"/>
              </w:rPr>
            </w:pPr>
            <w:r>
              <w:rPr>
                <w:rFonts w:hint="eastAsia" w:ascii="宋体" w:hAnsi="宋体" w:eastAsia="宋体" w:cs="宋体"/>
                <w:color w:val="auto"/>
                <w:sz w:val="21"/>
                <w:szCs w:val="24"/>
                <w:highlight w:val="none"/>
              </w:rPr>
              <w:t>（3）若由于电子交易平台发生故障而无法登录访问等解密异常情况无法在线解密全部供应商的“电子加密响应文件”及“备份响应文件”时，经采购人、采购代理机构、监管人员认定后以纸质响应文件为准进行线下投标。</w:t>
            </w:r>
          </w:p>
          <w:p>
            <w:pPr>
              <w:pStyle w:val="109"/>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（4）投标截止时间前，供应商仅递交了“备份投标文件”、</w:t>
            </w:r>
            <w:r>
              <w:rPr>
                <w:rFonts w:hint="eastAsia" w:ascii="宋体" w:hAnsi="宋体" w:eastAsia="宋体" w:cs="宋体"/>
                <w:color w:val="auto"/>
                <w:highlight w:val="none"/>
              </w:rPr>
              <w:t>“纸质响应文件”</w:t>
            </w:r>
            <w:r>
              <w:rPr>
                <w:rFonts w:hint="eastAsia" w:ascii="宋体" w:hAnsi="宋体" w:eastAsia="宋体" w:cs="宋体"/>
                <w:color w:val="auto"/>
                <w:szCs w:val="21"/>
                <w:highlight w:val="none"/>
              </w:rPr>
              <w:t>而未将电子加密投标文件上传至“政府采购云平台”的，投标无效。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015" w:type="dxa"/>
            <w:vAlign w:val="center"/>
          </w:tcPr>
          <w:p>
            <w:pPr>
              <w:pStyle w:val="5"/>
              <w:keepNext w:val="0"/>
              <w:keepLines w:val="0"/>
              <w:pageBreakBefore w:val="0"/>
              <w:widowControl w:val="0"/>
              <w:kinsoku/>
              <w:wordWrap/>
              <w:overflowPunct/>
              <w:topLinePunct w:val="0"/>
              <w:bidi w:val="0"/>
              <w:spacing w:line="400" w:lineRule="exact"/>
              <w:ind w:left="0" w:firstLine="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可中止电子交易活动的情形：</w:t>
            </w:r>
          </w:p>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pPr>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w:t>
            </w:r>
          </w:p>
          <w:p>
            <w:pPr>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pPr>
              <w:pStyle w:val="109"/>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0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0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中标公告及中标通知书：评标结束后，中标公告发布于</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Cs w:val="21"/>
                <w:highlight w:val="none"/>
              </w:rPr>
              <w:t>http：//www.zjzfcg.gov.cn</w:t>
            </w:r>
            <w:r>
              <w:rPr>
                <w:rStyle w:val="6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安吉县公共资源交易网站（http://ggzy.anji.gov.cn/）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0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签订合同：成交通知书发出后30天内，成交供应商和安吉县山川乡人民政府、安吉山川振兴旅游投资有限公司签订政府采购合同。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0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采购资金来源：政府投资，财政统筹，已落实。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付款方式：采购人自行支付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解释：本招标文件的解释权属于招标采购单位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宋体" w:hAnsi="宋体" w:eastAsia="宋体" w:cs="宋体"/>
                <w:color w:val="auto"/>
                <w:szCs w:val="21"/>
                <w:highlight w:val="none"/>
                <w:lang w:val="en-US" w:eastAsia="zh-CN"/>
              </w:rPr>
            </w:pPr>
            <w:bookmarkStart w:id="75" w:name="_Toc17241"/>
            <w:bookmarkStart w:id="76" w:name="_Toc293916353"/>
            <w:bookmarkStart w:id="77" w:name="_Toc188"/>
            <w:bookmarkStart w:id="78" w:name="_Toc293916871"/>
            <w:bookmarkStart w:id="79" w:name="_Toc27357"/>
            <w:bookmarkStart w:id="80" w:name="_Toc424544533"/>
            <w:bookmarkStart w:id="81" w:name="_Toc293917017"/>
            <w:bookmarkStart w:id="82" w:name="_Toc424544812"/>
            <w:bookmarkStart w:id="83" w:name="_Toc177870536"/>
            <w:bookmarkStart w:id="84" w:name="_Toc293916002"/>
            <w:bookmarkStart w:id="85" w:name="_Toc16816"/>
            <w:bookmarkStart w:id="86" w:name="_Toc6354"/>
            <w:bookmarkStart w:id="87" w:name="_Toc25726"/>
            <w:r>
              <w:rPr>
                <w:rFonts w:hint="eastAsia" w:ascii="宋体" w:hAnsi="宋体" w:cs="宋体"/>
                <w:color w:val="auto"/>
                <w:szCs w:val="21"/>
                <w:highlight w:val="none"/>
                <w:lang w:val="en-US" w:eastAsia="zh-CN"/>
              </w:rPr>
              <w:t>样品递交</w:t>
            </w:r>
          </w:p>
        </w:tc>
        <w:tc>
          <w:tcPr>
            <w:tcW w:w="8015" w:type="dxa"/>
            <w:vAlign w:val="center"/>
          </w:tcPr>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样品递交：</w:t>
            </w:r>
          </w:p>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）样品制作的标准和要求：详见采购内容参数要求</w:t>
            </w:r>
            <w:r>
              <w:rPr>
                <w:rFonts w:hint="eastAsia" w:ascii="宋体" w:hAnsi="宋体" w:cs="宋体"/>
                <w:color w:val="auto"/>
                <w:szCs w:val="21"/>
                <w:highlight w:val="none"/>
                <w:lang w:val="en-US" w:eastAsia="zh-CN"/>
              </w:rPr>
              <w:t>及评标办法</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）样品的评审方法以及评审标准：</w:t>
            </w:r>
            <w:r>
              <w:rPr>
                <w:rFonts w:hint="eastAsia" w:ascii="宋体" w:hAnsi="宋体" w:cs="宋体"/>
                <w:color w:val="auto"/>
                <w:szCs w:val="21"/>
                <w:highlight w:val="none"/>
                <w:lang w:val="en-US" w:eastAsia="zh-CN"/>
              </w:rPr>
              <w:t>明标，标准</w:t>
            </w:r>
            <w:r>
              <w:rPr>
                <w:rFonts w:hint="eastAsia" w:ascii="宋体" w:hAnsi="宋体" w:eastAsia="宋体" w:cs="宋体"/>
                <w:color w:val="auto"/>
                <w:szCs w:val="21"/>
                <w:highlight w:val="none"/>
              </w:rPr>
              <w:t>详见评标办法；</w:t>
            </w:r>
          </w:p>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）是否需要随样品提交检测报告：否</w:t>
            </w:r>
          </w:p>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）提供样品的时间：投标人必须在202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日14时00分前，将样品递交至安吉县公共资源交易中心样品间（浙江省安吉县天荒坪南路99号商会大厦A座8楼），投标人原则上仅限派1名代表到场递交样品，递交完毕后立即离场。（联系电话：15957222451）。拒绝接收逾期送达的样品。请投标人在上述时间内提供样品。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）制作、运输、安装和保管样品所发生的一切费用由投标人自理。</w:t>
            </w:r>
          </w:p>
        </w:tc>
      </w:tr>
    </w:tbl>
    <w:p>
      <w:pPr>
        <w:keepNext w:val="0"/>
        <w:keepLines w:val="0"/>
        <w:pageBreakBefore w:val="0"/>
        <w:widowControl w:val="0"/>
        <w:kinsoku/>
        <w:overflowPunct/>
        <w:topLinePunct w:val="0"/>
        <w:bidi w:val="0"/>
        <w:spacing w:line="400" w:lineRule="exact"/>
        <w:outlineLvl w:val="1"/>
        <w:rPr>
          <w:rFonts w:ascii="宋体"/>
          <w:b/>
          <w:bCs/>
          <w:color w:val="auto"/>
          <w:sz w:val="24"/>
          <w:highlight w:val="none"/>
        </w:rPr>
      </w:pPr>
      <w:r>
        <w:rPr>
          <w:rFonts w:hint="eastAsia" w:ascii="宋体"/>
          <w:b/>
          <w:bCs/>
          <w:color w:val="auto"/>
          <w:sz w:val="24"/>
          <w:highlight w:val="none"/>
        </w:rPr>
        <w:t>一、总则</w:t>
      </w:r>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88" w:name="_Toc177824939"/>
      <w:bookmarkStart w:id="89" w:name="_Toc293916003"/>
      <w:bookmarkStart w:id="90" w:name="_Toc293916354"/>
      <w:bookmarkStart w:id="91" w:name="_Toc177824872"/>
      <w:bookmarkStart w:id="92" w:name="_Toc177825120"/>
      <w:bookmarkStart w:id="93" w:name="_Toc177870537"/>
      <w:r>
        <w:rPr>
          <w:rFonts w:hint="eastAsia" w:ascii="宋体"/>
          <w:b/>
          <w:color w:val="auto"/>
          <w:szCs w:val="21"/>
          <w:highlight w:val="none"/>
        </w:rPr>
        <w:t>（一）适用范围</w:t>
      </w:r>
      <w:bookmarkEnd w:id="88"/>
      <w:bookmarkEnd w:id="89"/>
      <w:bookmarkEnd w:id="90"/>
      <w:bookmarkEnd w:id="91"/>
      <w:bookmarkEnd w:id="92"/>
      <w:bookmarkEnd w:id="93"/>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本招标文件适用于</w:t>
      </w:r>
      <w:r>
        <w:rPr>
          <w:rFonts w:hint="eastAsia" w:ascii="宋体"/>
          <w:color w:val="auto"/>
          <w:szCs w:val="21"/>
          <w:highlight w:val="none"/>
          <w:lang w:eastAsia="zh-CN"/>
        </w:rPr>
        <w:t>浪漫山川旅游度假区基础设施一期建设工程之浪漫山川全域智慧旅游系统（标识标牌、智慧驿站）设计建设项目</w:t>
      </w:r>
      <w:r>
        <w:rPr>
          <w:rFonts w:hint="eastAsia" w:ascii="宋体"/>
          <w:color w:val="auto"/>
          <w:szCs w:val="21"/>
          <w:highlight w:val="none"/>
        </w:rPr>
        <w:t>的招标、评标、定标、验收、合同履约、付款等（法律、法规另有规定的，从其规定）。</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94" w:name="_Toc177870538"/>
      <w:bookmarkStart w:id="95" w:name="_Toc293916355"/>
      <w:bookmarkStart w:id="96" w:name="_Toc293916004"/>
      <w:bookmarkStart w:id="97" w:name="_Toc177825121"/>
      <w:bookmarkStart w:id="98" w:name="_Toc177824940"/>
      <w:bookmarkStart w:id="99" w:name="_Toc177824873"/>
      <w:r>
        <w:rPr>
          <w:rFonts w:hint="eastAsia" w:ascii="宋体"/>
          <w:b/>
          <w:color w:val="auto"/>
          <w:szCs w:val="21"/>
          <w:highlight w:val="none"/>
        </w:rPr>
        <w:t>（二）定义</w:t>
      </w:r>
      <w:bookmarkEnd w:id="94"/>
      <w:bookmarkEnd w:id="95"/>
      <w:bookmarkEnd w:id="96"/>
      <w:bookmarkEnd w:id="97"/>
      <w:bookmarkEnd w:id="98"/>
      <w:bookmarkEnd w:id="99"/>
    </w:p>
    <w:p>
      <w:pPr>
        <w:keepNext w:val="0"/>
        <w:keepLines w:val="0"/>
        <w:pageBreakBefore w:val="0"/>
        <w:widowControl w:val="0"/>
        <w:kinsoku/>
        <w:overflowPunct/>
        <w:topLinePunct w:val="0"/>
        <w:bidi w:val="0"/>
        <w:adjustRightInd w:val="0"/>
        <w:snapToGrid w:val="0"/>
        <w:spacing w:line="400" w:lineRule="exact"/>
        <w:ind w:firstLine="411" w:firstLineChars="196"/>
        <w:jc w:val="left"/>
        <w:rPr>
          <w:rFonts w:ascii="宋体"/>
          <w:b/>
          <w:color w:val="auto"/>
          <w:szCs w:val="21"/>
          <w:highlight w:val="none"/>
        </w:rPr>
      </w:pPr>
      <w:bookmarkStart w:id="100" w:name="_Toc293916005"/>
      <w:bookmarkStart w:id="101" w:name="_Toc293916356"/>
      <w:r>
        <w:rPr>
          <w:rFonts w:hint="eastAsia" w:ascii="宋体"/>
          <w:color w:val="auto"/>
          <w:szCs w:val="21"/>
          <w:highlight w:val="none"/>
        </w:rPr>
        <w:t>1、“招标采购单位”系指组织本次采购的采购人（“招标人”）和代理机构。</w:t>
      </w:r>
      <w:bookmarkEnd w:id="100"/>
      <w:bookmarkEnd w:id="101"/>
    </w:p>
    <w:p>
      <w:pPr>
        <w:keepNext w:val="0"/>
        <w:keepLines w:val="0"/>
        <w:pageBreakBefore w:val="0"/>
        <w:widowControl w:val="0"/>
        <w:kinsoku/>
        <w:overflowPunct/>
        <w:topLinePunct w:val="0"/>
        <w:bidi w:val="0"/>
        <w:adjustRightInd w:val="0"/>
        <w:snapToGrid w:val="0"/>
        <w:spacing w:line="400" w:lineRule="exact"/>
        <w:ind w:firstLine="411" w:firstLineChars="196"/>
        <w:jc w:val="left"/>
        <w:rPr>
          <w:rFonts w:ascii="宋体"/>
          <w:b/>
          <w:color w:val="auto"/>
          <w:szCs w:val="21"/>
          <w:highlight w:val="none"/>
        </w:rPr>
      </w:pPr>
      <w:bookmarkStart w:id="102" w:name="_Toc293916357"/>
      <w:bookmarkStart w:id="103" w:name="_Toc293916006"/>
      <w:r>
        <w:rPr>
          <w:rFonts w:hint="eastAsia" w:ascii="宋体"/>
          <w:color w:val="auto"/>
          <w:szCs w:val="21"/>
          <w:highlight w:val="none"/>
        </w:rPr>
        <w:t>2、“投标人”系指向招标采购单位提交投标文件的单位。</w:t>
      </w:r>
      <w:bookmarkEnd w:id="102"/>
      <w:bookmarkEnd w:id="103"/>
    </w:p>
    <w:p>
      <w:pPr>
        <w:keepNext w:val="0"/>
        <w:keepLines w:val="0"/>
        <w:pageBreakBefore w:val="0"/>
        <w:widowControl w:val="0"/>
        <w:kinsoku/>
        <w:overflowPunct/>
        <w:topLinePunct w:val="0"/>
        <w:bidi w:val="0"/>
        <w:adjustRightInd w:val="0"/>
        <w:snapToGrid w:val="0"/>
        <w:spacing w:line="400" w:lineRule="exact"/>
        <w:ind w:firstLine="411" w:firstLineChars="196"/>
        <w:jc w:val="left"/>
        <w:rPr>
          <w:rFonts w:ascii="宋体"/>
          <w:b/>
          <w:color w:val="auto"/>
          <w:szCs w:val="21"/>
          <w:highlight w:val="none"/>
        </w:rPr>
      </w:pPr>
      <w:bookmarkStart w:id="104" w:name="_Toc293916358"/>
      <w:bookmarkStart w:id="105" w:name="_Toc293916007"/>
      <w:r>
        <w:rPr>
          <w:rFonts w:hint="eastAsia" w:ascii="宋体"/>
          <w:color w:val="auto"/>
          <w:szCs w:val="21"/>
          <w:highlight w:val="none"/>
        </w:rPr>
        <w:t>3、“产品”系指供方按招标文件规定，须向采购人提供的一切设备、保险、税金、备品备件、工具、手册及其它有关技术资料和材料。</w:t>
      </w:r>
      <w:bookmarkEnd w:id="104"/>
      <w:bookmarkEnd w:id="105"/>
    </w:p>
    <w:p>
      <w:pPr>
        <w:keepNext w:val="0"/>
        <w:keepLines w:val="0"/>
        <w:pageBreakBefore w:val="0"/>
        <w:widowControl w:val="0"/>
        <w:kinsoku/>
        <w:overflowPunct/>
        <w:topLinePunct w:val="0"/>
        <w:bidi w:val="0"/>
        <w:adjustRightInd w:val="0"/>
        <w:snapToGrid w:val="0"/>
        <w:spacing w:line="400" w:lineRule="exact"/>
        <w:ind w:firstLine="411" w:firstLineChars="196"/>
        <w:jc w:val="left"/>
        <w:rPr>
          <w:rFonts w:ascii="宋体"/>
          <w:b/>
          <w:color w:val="auto"/>
          <w:szCs w:val="21"/>
          <w:highlight w:val="none"/>
        </w:rPr>
      </w:pPr>
      <w:bookmarkStart w:id="106" w:name="_Toc293916008"/>
      <w:bookmarkStart w:id="107" w:name="_Toc293916359"/>
      <w:r>
        <w:rPr>
          <w:rFonts w:hint="eastAsia" w:ascii="宋体"/>
          <w:color w:val="auto"/>
          <w:szCs w:val="21"/>
          <w:highlight w:val="none"/>
        </w:rPr>
        <w:t>4、“服务”系指招标文件规定投标人须承担的安装、调试、技术协助、校准、培训、技术指导以及其他类似的义务。</w:t>
      </w:r>
      <w:bookmarkEnd w:id="106"/>
      <w:bookmarkEnd w:id="107"/>
    </w:p>
    <w:p>
      <w:pPr>
        <w:keepNext w:val="0"/>
        <w:keepLines w:val="0"/>
        <w:pageBreakBefore w:val="0"/>
        <w:widowControl w:val="0"/>
        <w:kinsoku/>
        <w:overflowPunct/>
        <w:topLinePunct w:val="0"/>
        <w:bidi w:val="0"/>
        <w:adjustRightInd w:val="0"/>
        <w:snapToGrid w:val="0"/>
        <w:spacing w:line="400" w:lineRule="exact"/>
        <w:ind w:firstLine="411" w:firstLineChars="196"/>
        <w:jc w:val="left"/>
        <w:rPr>
          <w:rFonts w:ascii="宋体"/>
          <w:b/>
          <w:color w:val="auto"/>
          <w:szCs w:val="21"/>
          <w:highlight w:val="none"/>
        </w:rPr>
      </w:pPr>
      <w:bookmarkStart w:id="108" w:name="_Toc293916360"/>
      <w:bookmarkStart w:id="109" w:name="_Toc293916009"/>
      <w:r>
        <w:rPr>
          <w:rFonts w:hint="eastAsia" w:ascii="宋体"/>
          <w:color w:val="auto"/>
          <w:szCs w:val="21"/>
          <w:highlight w:val="none"/>
        </w:rPr>
        <w:t>5、“项目”系指投标人按招标文件规定向采购人提供的产品和服务。</w:t>
      </w:r>
      <w:bookmarkEnd w:id="108"/>
      <w:bookmarkEnd w:id="109"/>
    </w:p>
    <w:p>
      <w:pPr>
        <w:keepNext w:val="0"/>
        <w:keepLines w:val="0"/>
        <w:pageBreakBefore w:val="0"/>
        <w:widowControl w:val="0"/>
        <w:kinsoku/>
        <w:overflowPunct/>
        <w:topLinePunct w:val="0"/>
        <w:bidi w:val="0"/>
        <w:adjustRightInd w:val="0"/>
        <w:snapToGrid w:val="0"/>
        <w:spacing w:line="400" w:lineRule="exact"/>
        <w:ind w:firstLine="411" w:firstLineChars="196"/>
        <w:jc w:val="left"/>
        <w:rPr>
          <w:rFonts w:ascii="宋体"/>
          <w:b/>
          <w:color w:val="auto"/>
          <w:szCs w:val="21"/>
          <w:highlight w:val="none"/>
        </w:rPr>
      </w:pPr>
      <w:bookmarkStart w:id="110" w:name="_Toc293916010"/>
      <w:bookmarkStart w:id="111" w:name="_Toc293916361"/>
      <w:r>
        <w:rPr>
          <w:rFonts w:hint="eastAsia" w:ascii="宋体"/>
          <w:color w:val="auto"/>
          <w:szCs w:val="21"/>
          <w:highlight w:val="none"/>
        </w:rPr>
        <w:t>6、“书面形式”包括信函、传真、电子文档等。</w:t>
      </w:r>
      <w:bookmarkEnd w:id="110"/>
      <w:bookmarkEnd w:id="111"/>
    </w:p>
    <w:p>
      <w:pPr>
        <w:keepNext w:val="0"/>
        <w:keepLines w:val="0"/>
        <w:pageBreakBefore w:val="0"/>
        <w:widowControl w:val="0"/>
        <w:kinsoku/>
        <w:overflowPunct/>
        <w:topLinePunct w:val="0"/>
        <w:bidi w:val="0"/>
        <w:adjustRightInd w:val="0"/>
        <w:snapToGrid w:val="0"/>
        <w:spacing w:line="400" w:lineRule="exact"/>
        <w:ind w:firstLine="411" w:firstLineChars="196"/>
        <w:jc w:val="left"/>
        <w:rPr>
          <w:rFonts w:ascii="宋体"/>
          <w:b/>
          <w:color w:val="auto"/>
          <w:szCs w:val="21"/>
          <w:highlight w:val="none"/>
        </w:rPr>
      </w:pPr>
      <w:bookmarkStart w:id="112" w:name="_Toc293916011"/>
      <w:bookmarkStart w:id="113" w:name="_Toc293916362"/>
      <w:r>
        <w:rPr>
          <w:rFonts w:hint="eastAsia" w:ascii="宋体"/>
          <w:color w:val="auto"/>
          <w:szCs w:val="21"/>
          <w:highlight w:val="none"/>
        </w:rPr>
        <w:t>7、“▲”系指实质性要求条款。</w:t>
      </w:r>
      <w:bookmarkEnd w:id="112"/>
      <w:bookmarkEnd w:id="113"/>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114" w:name="_Toc177870539"/>
      <w:bookmarkStart w:id="115" w:name="_Toc293916363"/>
      <w:bookmarkStart w:id="116" w:name="_Toc293916012"/>
      <w:r>
        <w:rPr>
          <w:rFonts w:hint="eastAsia" w:ascii="宋体"/>
          <w:b/>
          <w:color w:val="auto"/>
          <w:szCs w:val="21"/>
          <w:highlight w:val="none"/>
        </w:rPr>
        <w:t>（三）招标方式</w:t>
      </w:r>
      <w:bookmarkEnd w:id="114"/>
      <w:bookmarkEnd w:id="115"/>
      <w:bookmarkEnd w:id="116"/>
      <w:r>
        <w:rPr>
          <w:rFonts w:hint="eastAsia" w:ascii="宋体"/>
          <w:b/>
          <w:color w:val="auto"/>
          <w:szCs w:val="21"/>
          <w:highlight w:val="none"/>
        </w:rPr>
        <w:t>：</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1、本次招标采用公开招标方式进行。</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2、本次招标设定预算价，预算价由采购人确定并在招标文件中明确。</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117" w:name="_Toc293916013"/>
      <w:bookmarkStart w:id="118" w:name="_Toc293916364"/>
      <w:bookmarkStart w:id="119" w:name="_Toc177824874"/>
      <w:bookmarkStart w:id="120" w:name="_Toc177870540"/>
      <w:bookmarkStart w:id="121" w:name="_Toc177824941"/>
      <w:bookmarkStart w:id="122" w:name="_Toc177825122"/>
      <w:r>
        <w:rPr>
          <w:rFonts w:hint="eastAsia" w:ascii="宋体"/>
          <w:b/>
          <w:color w:val="auto"/>
          <w:szCs w:val="21"/>
          <w:highlight w:val="none"/>
        </w:rPr>
        <w:t>（四）投标委托</w:t>
      </w:r>
      <w:bookmarkEnd w:id="117"/>
      <w:bookmarkEnd w:id="118"/>
      <w:bookmarkEnd w:id="119"/>
      <w:bookmarkEnd w:id="120"/>
      <w:bookmarkEnd w:id="121"/>
      <w:bookmarkEnd w:id="122"/>
    </w:p>
    <w:p>
      <w:pPr>
        <w:pStyle w:val="23"/>
        <w:keepNext w:val="0"/>
        <w:keepLines w:val="0"/>
        <w:pageBreakBefore w:val="0"/>
        <w:widowControl w:val="0"/>
        <w:kinsoku/>
        <w:overflowPunct/>
        <w:topLinePunct w:val="0"/>
        <w:bidi w:val="0"/>
        <w:adjustRightInd w:val="0"/>
        <w:snapToGrid w:val="0"/>
        <w:spacing w:line="400" w:lineRule="exact"/>
        <w:ind w:firstLine="420" w:firstLineChars="200"/>
        <w:jc w:val="left"/>
        <w:rPr>
          <w:rFonts w:hint="default" w:eastAsia="宋体"/>
          <w:color w:val="auto"/>
          <w:spacing w:val="0"/>
          <w:sz w:val="21"/>
          <w:szCs w:val="21"/>
          <w:highlight w:val="none"/>
          <w:lang w:val="en-US" w:eastAsia="zh-CN"/>
        </w:rPr>
      </w:pPr>
      <w:r>
        <w:rPr>
          <w:rFonts w:hint="eastAsia"/>
          <w:color w:val="auto"/>
          <w:spacing w:val="0"/>
          <w:sz w:val="21"/>
          <w:szCs w:val="21"/>
          <w:highlight w:val="none"/>
        </w:rPr>
        <w:t>投标人代表须携带居民身份证。如投标人代表不是法定代表人，须有法定代表人出具的授权委托书（正本用原件，副本用复印件，格式见第六章）。</w:t>
      </w:r>
      <w:r>
        <w:rPr>
          <w:rFonts w:hint="eastAsia"/>
          <w:color w:val="auto"/>
          <w:spacing w:val="0"/>
          <w:sz w:val="21"/>
          <w:szCs w:val="21"/>
          <w:highlight w:val="none"/>
          <w:lang w:val="en-US" w:eastAsia="zh-CN"/>
        </w:rPr>
        <w:t>本项目为不见面电子开标。</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123" w:name="_Toc293916365"/>
      <w:bookmarkStart w:id="124" w:name="_Toc293916014"/>
      <w:bookmarkStart w:id="125" w:name="_Toc177825123"/>
      <w:bookmarkStart w:id="126" w:name="_Toc177824942"/>
      <w:bookmarkStart w:id="127" w:name="_Toc177824875"/>
      <w:bookmarkStart w:id="128" w:name="_Toc177870541"/>
      <w:r>
        <w:rPr>
          <w:rFonts w:hint="eastAsia" w:ascii="宋体"/>
          <w:b/>
          <w:color w:val="auto"/>
          <w:szCs w:val="21"/>
          <w:highlight w:val="none"/>
        </w:rPr>
        <w:t>（五）投标费用</w:t>
      </w:r>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不论投标结果如何，投标人均应自行承担所有与投标有关的全部费用。</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（六）合格投标人的资格要求</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符合第一章第</w:t>
      </w:r>
      <w:r>
        <w:rPr>
          <w:rFonts w:hint="eastAsia" w:ascii="宋体" w:cs="Arial"/>
          <w:color w:val="auto"/>
          <w:szCs w:val="21"/>
          <w:highlight w:val="none"/>
        </w:rPr>
        <w:t>四</w:t>
      </w:r>
      <w:r>
        <w:rPr>
          <w:rFonts w:hint="eastAsia" w:ascii="宋体"/>
          <w:color w:val="auto"/>
          <w:szCs w:val="21"/>
          <w:highlight w:val="none"/>
        </w:rPr>
        <w:t>条的规定。</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（七）转包与分包</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本项目不允许转包或分包。</w:t>
      </w:r>
    </w:p>
    <w:p>
      <w:pPr>
        <w:keepNext w:val="0"/>
        <w:keepLines w:val="0"/>
        <w:pageBreakBefore w:val="0"/>
        <w:widowControl w:val="0"/>
        <w:kinsoku/>
        <w:overflowPunct/>
        <w:topLinePunct w:val="0"/>
        <w:bidi w:val="0"/>
        <w:adjustRightInd w:val="0"/>
        <w:snapToGrid w:val="0"/>
        <w:spacing w:line="400" w:lineRule="exact"/>
        <w:rPr>
          <w:rFonts w:ascii="宋体"/>
          <w:b/>
          <w:color w:val="auto"/>
          <w:szCs w:val="21"/>
          <w:highlight w:val="none"/>
        </w:rPr>
      </w:pPr>
      <w:r>
        <w:rPr>
          <w:rFonts w:hint="eastAsia" w:ascii="宋体"/>
          <w:b/>
          <w:color w:val="auto"/>
          <w:szCs w:val="21"/>
          <w:highlight w:val="none"/>
        </w:rPr>
        <w:t>（</w:t>
      </w:r>
      <w:r>
        <w:rPr>
          <w:rFonts w:hint="eastAsia" w:ascii="宋体" w:cs="宋体"/>
          <w:b/>
          <w:color w:val="auto"/>
          <w:kern w:val="0"/>
          <w:szCs w:val="21"/>
          <w:highlight w:val="none"/>
        </w:rPr>
        <w:t>八</w:t>
      </w:r>
      <w:r>
        <w:rPr>
          <w:rFonts w:hint="eastAsia" w:ascii="宋体"/>
          <w:b/>
          <w:color w:val="auto"/>
          <w:szCs w:val="21"/>
          <w:highlight w:val="none"/>
        </w:rPr>
        <w:t>）</w:t>
      </w:r>
      <w:bookmarkStart w:id="129" w:name="_Toc177870542"/>
      <w:r>
        <w:rPr>
          <w:rFonts w:hint="eastAsia" w:ascii="宋体"/>
          <w:b/>
          <w:color w:val="auto"/>
          <w:szCs w:val="21"/>
          <w:highlight w:val="none"/>
        </w:rPr>
        <w:t>特别说明</w:t>
      </w:r>
      <w:bookmarkEnd w:id="129"/>
      <w:r>
        <w:rPr>
          <w:rFonts w:hint="eastAsia" w:ascii="宋体"/>
          <w:b/>
          <w:color w:val="auto"/>
          <w:szCs w:val="21"/>
          <w:highlight w:val="none"/>
        </w:rPr>
        <w:t>：</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多家供应商参加投标，如其中两家或两家以上供应商的法定代表人为同一人或相互之间存在投资关系且达到控股的，同时提供的是同一品牌产品的，应当按一个供应商认定。评审时，取其中通过资格审查后的报价最低的一家为有效供应商；当报价相同时，则以技术标最优一家为有效供应商；均相同时，由评标委员会集体决定。</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多家代理商或经销商参加投标，如其中两家或两家以上供应商存在分级代理或代销关系，且提供的是其所代理品牌产品的，评审时，按上述规定确定其中一家为有效供应商。</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同一家原生产厂商授权多家代理商参加投标的，评审时，按上述规定确定其中一家为有效供应商。</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2、投标人投标所使用的采购项目实施人员必须为本法人员工（或必须为本法人或控股公司正式员工）。</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3、</w:t>
      </w:r>
      <w:r>
        <w:rPr>
          <w:rFonts w:hint="eastAsia" w:ascii="宋体"/>
          <w:b/>
          <w:color w:val="auto"/>
          <w:szCs w:val="21"/>
          <w:highlight w:val="none"/>
        </w:rPr>
        <w:t>投标人在投标活动中提供任何虚假材料或从事其他违法活动的，其投标无效，并报监管部门查处；</w:t>
      </w:r>
      <w:r>
        <w:rPr>
          <w:rFonts w:hint="eastAsia" w:ascii="宋体"/>
          <w:color w:val="auto"/>
          <w:szCs w:val="21"/>
          <w:highlight w:val="none"/>
        </w:rPr>
        <w:t>中标后发现的，中标人须依照《中华人民共和国消费者权益保护法》第49条之规定双倍赔偿采购人，且民事赔偿并不免除违法投标人的行政与刑事责任。</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4、投标人应仔细阅读招标文件所有内容，对招标文件的要求作出实质性响应，按照招标文件的要求提交投标文件，并对所提供的全部资料的真实性承担法律责任。</w:t>
      </w:r>
      <w:bookmarkStart w:id="130" w:name="_Toc177870543"/>
    </w:p>
    <w:p>
      <w:pPr>
        <w:keepNext w:val="0"/>
        <w:keepLines w:val="0"/>
        <w:pageBreakBefore w:val="0"/>
        <w:widowControl w:val="0"/>
        <w:kinsoku/>
        <w:overflowPunct/>
        <w:topLinePunct w:val="0"/>
        <w:bidi w:val="0"/>
        <w:adjustRightInd w:val="0"/>
        <w:snapToGrid w:val="0"/>
        <w:spacing w:line="400" w:lineRule="exact"/>
        <w:rPr>
          <w:rFonts w:ascii="宋体"/>
          <w:b/>
          <w:bCs/>
          <w:color w:val="auto"/>
          <w:szCs w:val="21"/>
          <w:highlight w:val="none"/>
        </w:rPr>
      </w:pPr>
      <w:r>
        <w:rPr>
          <w:rFonts w:hint="eastAsia" w:ascii="宋体" w:cs="宋体"/>
          <w:b/>
          <w:color w:val="auto"/>
          <w:kern w:val="0"/>
          <w:szCs w:val="21"/>
          <w:highlight w:val="none"/>
        </w:rPr>
        <w:t>（九）</w:t>
      </w:r>
      <w:r>
        <w:rPr>
          <w:rFonts w:hint="eastAsia" w:ascii="宋体"/>
          <w:b/>
          <w:bCs/>
          <w:color w:val="auto"/>
          <w:szCs w:val="21"/>
          <w:highlight w:val="none"/>
        </w:rPr>
        <w:t>质疑</w:t>
      </w:r>
      <w:bookmarkEnd w:id="130"/>
      <w:r>
        <w:rPr>
          <w:rFonts w:hint="eastAsia" w:ascii="宋体"/>
          <w:b/>
          <w:bCs/>
          <w:color w:val="auto"/>
          <w:szCs w:val="21"/>
          <w:highlight w:val="none"/>
        </w:rPr>
        <w:t>和投诉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投标人认为招标文件、招标过程和中标结果使自己的合法权益受到损害的，应当在知道或者应知其权益受到损害之日起7个工作日内，以书面形式向招标采购单位提出质疑。投标人对招标采购单位的质疑答复不满意或者招标采购单位未在规定时间内作出答复的，可以在答复期满后15个工作日内向同级政府采购监管部门投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质疑、投诉应当采用书面形式，质疑书、投诉书均应明确阐述招标文件、招标过程和中标结果中使自己合法权益受到损害的实质性内容，提供相关事实、依据和证据及其来源或线索，便于有关单位调查、答复和处理。</w:t>
      </w:r>
      <w:bookmarkStart w:id="131" w:name="_Toc293916015"/>
      <w:bookmarkStart w:id="132" w:name="_Toc293917018"/>
      <w:bookmarkStart w:id="133" w:name="_Toc177870544"/>
      <w:bookmarkStart w:id="134" w:name="_Toc293916872"/>
      <w:bookmarkStart w:id="135" w:name="_Toc293916366"/>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3、质疑和投诉按照《政府采购质疑和投诉办法》（财政部令第94号）规定，范本在《浙江政府采购网》中“下载专区”内下载。质疑时要求供应商在法定质疑期内一次性提出针对同一采购程序环节的质疑。</w:t>
      </w:r>
    </w:p>
    <w:p>
      <w:pPr>
        <w:keepNext w:val="0"/>
        <w:keepLines w:val="0"/>
        <w:pageBreakBefore w:val="0"/>
        <w:widowControl w:val="0"/>
        <w:kinsoku/>
        <w:overflowPunct/>
        <w:topLinePunct w:val="0"/>
        <w:bidi w:val="0"/>
        <w:spacing w:line="400" w:lineRule="exact"/>
        <w:outlineLvl w:val="1"/>
        <w:rPr>
          <w:rFonts w:ascii="宋体"/>
          <w:b/>
          <w:bCs/>
          <w:color w:val="auto"/>
          <w:sz w:val="24"/>
          <w:highlight w:val="none"/>
        </w:rPr>
      </w:pPr>
      <w:bookmarkStart w:id="136" w:name="_Toc424544813"/>
      <w:bookmarkStart w:id="137" w:name="_Toc14313"/>
      <w:bookmarkStart w:id="138" w:name="_Toc1418"/>
      <w:bookmarkStart w:id="139" w:name="_Toc16060"/>
      <w:bookmarkStart w:id="140" w:name="_Toc2452"/>
      <w:bookmarkStart w:id="141" w:name="_Toc30909"/>
      <w:bookmarkStart w:id="142" w:name="_Toc270"/>
      <w:bookmarkStart w:id="143" w:name="_Toc424544534"/>
      <w:r>
        <w:rPr>
          <w:rFonts w:hint="eastAsia" w:ascii="宋体"/>
          <w:b/>
          <w:bCs/>
          <w:color w:val="auto"/>
          <w:sz w:val="24"/>
          <w:highlight w:val="none"/>
        </w:rPr>
        <w:t>二、招标文件</w:t>
      </w:r>
      <w:bookmarkEnd w:id="131"/>
      <w:bookmarkEnd w:id="132"/>
      <w:bookmarkEnd w:id="133"/>
      <w:bookmarkEnd w:id="134"/>
      <w:bookmarkEnd w:id="135"/>
      <w:bookmarkEnd w:id="136"/>
      <w:bookmarkEnd w:id="137"/>
      <w:bookmarkEnd w:id="138"/>
      <w:bookmarkEnd w:id="139"/>
      <w:bookmarkEnd w:id="140"/>
      <w:bookmarkEnd w:id="141"/>
      <w:bookmarkEnd w:id="142"/>
      <w:bookmarkEnd w:id="143"/>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（一）招标文件的构成。本招标文件由以下部份组成：</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1、招标公告；</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2、招标需求；</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3、投标人须知；</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4、评标办法及标准；</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5、合同主要条款；</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6、投标文件格式；</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7、本项目招标文件的澄清、答复、修改、补充的内容。</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（二）投标人的风险</w:t>
      </w: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color w:val="auto"/>
          <w:szCs w:val="21"/>
          <w:highlight w:val="none"/>
        </w:rPr>
      </w:pPr>
      <w:r>
        <w:rPr>
          <w:rFonts w:hint="eastAsia" w:ascii="宋体"/>
          <w:color w:val="auto"/>
          <w:szCs w:val="21"/>
          <w:highlight w:val="none"/>
        </w:rPr>
        <w:t>投标人没有按照招标文件要求提供全部资料，或者投标人没有对招标文件在各方面作出实质性响应是投标人的风险，并可能导致其投标被拒绝。</w:t>
      </w:r>
    </w:p>
    <w:p>
      <w:pPr>
        <w:pStyle w:val="13"/>
        <w:keepNext w:val="0"/>
        <w:keepLines w:val="0"/>
        <w:pageBreakBefore w:val="0"/>
        <w:widowControl w:val="0"/>
        <w:numPr>
          <w:ilvl w:val="0"/>
          <w:numId w:val="0"/>
        </w:numPr>
        <w:kinsoku/>
        <w:overflowPunct/>
        <w:topLinePunct w:val="0"/>
        <w:bidi w:val="0"/>
        <w:adjustRightInd w:val="0"/>
        <w:snapToGrid w:val="0"/>
        <w:spacing w:afterLines="0" w:line="400" w:lineRule="exact"/>
        <w:rPr>
          <w:rFonts w:ascii="宋体"/>
          <w:b/>
          <w:color w:val="auto"/>
          <w:sz w:val="21"/>
          <w:szCs w:val="21"/>
          <w:highlight w:val="none"/>
        </w:rPr>
      </w:pPr>
      <w:r>
        <w:rPr>
          <w:rFonts w:hint="eastAsia" w:ascii="宋体"/>
          <w:b/>
          <w:color w:val="auto"/>
          <w:sz w:val="21"/>
          <w:szCs w:val="21"/>
          <w:highlight w:val="none"/>
        </w:rPr>
        <w:t xml:space="preserve">（三）招标文件的澄清与修改 </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kern w:val="0"/>
          <w:sz w:val="21"/>
          <w:szCs w:val="21"/>
          <w:highlight w:val="none"/>
        </w:rPr>
      </w:pPr>
      <w:r>
        <w:rPr>
          <w:rFonts w:hint="eastAsia"/>
          <w:color w:val="auto"/>
          <w:kern w:val="0"/>
          <w:sz w:val="21"/>
          <w:szCs w:val="21"/>
          <w:highlight w:val="none"/>
        </w:rPr>
        <w:t>1、投标人应认真阅读本招标文件，发现其中有误或有不合理要求的，投标人必须在招标公告规定的时间前以书面形式要求招标采购单位澄清，</w:t>
      </w:r>
      <w:r>
        <w:rPr>
          <w:color w:val="auto"/>
          <w:highlight w:val="none"/>
        </w:rPr>
        <w:fldChar w:fldCharType="begin"/>
      </w:r>
      <w:r>
        <w:rPr>
          <w:color w:val="auto"/>
          <w:highlight w:val="none"/>
        </w:rPr>
        <w:instrText xml:space="preserve"> HYPERLINK "mailto:同时请将该书面文件的电子文档发送至2585075248@qq.com" </w:instrText>
      </w:r>
      <w:r>
        <w:rPr>
          <w:color w:val="auto"/>
          <w:highlight w:val="none"/>
        </w:rPr>
        <w:fldChar w:fldCharType="separate"/>
      </w:r>
      <w:r>
        <w:rPr>
          <w:rStyle w:val="68"/>
          <w:rFonts w:hint="eastAsia"/>
          <w:color w:val="auto"/>
          <w:kern w:val="0"/>
          <w:sz w:val="21"/>
          <w:szCs w:val="21"/>
          <w:highlight w:val="none"/>
        </w:rPr>
        <w:t>同时请将该书面文件的电子文档发送至3317971962@qq.com</w:t>
      </w:r>
      <w:r>
        <w:rPr>
          <w:rStyle w:val="68"/>
          <w:rFonts w:hint="eastAsia"/>
          <w:color w:val="auto"/>
          <w:kern w:val="0"/>
          <w:sz w:val="21"/>
          <w:szCs w:val="21"/>
          <w:highlight w:val="none"/>
        </w:rPr>
        <w:fldChar w:fldCharType="end"/>
      </w:r>
      <w:r>
        <w:rPr>
          <w:rFonts w:hint="eastAsia"/>
          <w:color w:val="auto"/>
          <w:kern w:val="0"/>
          <w:sz w:val="21"/>
          <w:szCs w:val="21"/>
          <w:highlight w:val="none"/>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kern w:val="0"/>
          <w:sz w:val="21"/>
          <w:szCs w:val="21"/>
          <w:highlight w:val="none"/>
        </w:rPr>
      </w:pPr>
      <w:r>
        <w:rPr>
          <w:rFonts w:hint="eastAsia"/>
          <w:color w:val="auto"/>
          <w:kern w:val="0"/>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kern w:val="0"/>
          <w:sz w:val="21"/>
          <w:szCs w:val="21"/>
          <w:highlight w:val="none"/>
        </w:rPr>
      </w:pPr>
      <w:r>
        <w:rPr>
          <w:rFonts w:hint="eastAsia"/>
          <w:color w:val="auto"/>
          <w:kern w:val="0"/>
          <w:sz w:val="21"/>
          <w:szCs w:val="21"/>
          <w:highlight w:val="none"/>
        </w:rPr>
        <w:t>3、招标文件澄清、答复、修改、补充的内容为招标文件的组成部分。当招标文件与招标文件的答复、澄清、修改、补充通知就同一内容的表述不一致时，以最后发出的书面文件为准。</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kern w:val="0"/>
          <w:sz w:val="21"/>
          <w:szCs w:val="21"/>
          <w:highlight w:val="none"/>
        </w:rPr>
        <w:t>4、招标文件的澄清、答复、修改或补充都应该通过本代理机构以法定形式发布，采购人非通过本机构，不得擅自澄清、答复、修改或补充招标文件。</w:t>
      </w:r>
    </w:p>
    <w:p>
      <w:pPr>
        <w:keepNext w:val="0"/>
        <w:keepLines w:val="0"/>
        <w:pageBreakBefore w:val="0"/>
        <w:widowControl w:val="0"/>
        <w:kinsoku/>
        <w:overflowPunct/>
        <w:topLinePunct w:val="0"/>
        <w:bidi w:val="0"/>
        <w:spacing w:line="400" w:lineRule="exact"/>
        <w:outlineLvl w:val="1"/>
        <w:rPr>
          <w:rFonts w:ascii="宋体"/>
          <w:b/>
          <w:bCs/>
          <w:color w:val="auto"/>
          <w:sz w:val="24"/>
          <w:highlight w:val="none"/>
        </w:rPr>
      </w:pPr>
      <w:bookmarkStart w:id="144" w:name="_Toc177870545"/>
      <w:bookmarkStart w:id="145" w:name="_Toc10356"/>
      <w:bookmarkStart w:id="146" w:name="_Toc424544535"/>
      <w:bookmarkStart w:id="147" w:name="_Toc293916875"/>
      <w:bookmarkStart w:id="148" w:name="_Toc293916016"/>
      <w:bookmarkStart w:id="149" w:name="_Toc293916367"/>
      <w:bookmarkStart w:id="150" w:name="_Toc13244"/>
      <w:bookmarkStart w:id="151" w:name="_Toc293917019"/>
      <w:bookmarkStart w:id="152" w:name="_Toc5756"/>
      <w:bookmarkStart w:id="153" w:name="_Toc542"/>
      <w:bookmarkStart w:id="154" w:name="_Toc16104"/>
      <w:bookmarkStart w:id="155" w:name="_Toc10650"/>
      <w:bookmarkStart w:id="156" w:name="_Toc424544814"/>
      <w:r>
        <w:rPr>
          <w:rFonts w:hint="eastAsia" w:ascii="宋体"/>
          <w:b/>
          <w:bCs/>
          <w:color w:val="auto"/>
          <w:sz w:val="24"/>
          <w:highlight w:val="none"/>
        </w:rPr>
        <w:t>三、投标文件</w:t>
      </w:r>
      <w:bookmarkEnd w:id="144"/>
      <w:r>
        <w:rPr>
          <w:rFonts w:hint="eastAsia" w:ascii="宋体"/>
          <w:b/>
          <w:bCs/>
          <w:color w:val="auto"/>
          <w:sz w:val="24"/>
          <w:highlight w:val="none"/>
        </w:rPr>
        <w:t>的编制</w:t>
      </w:r>
      <w:bookmarkEnd w:id="145"/>
      <w:bookmarkEnd w:id="146"/>
      <w:bookmarkEnd w:id="147"/>
      <w:bookmarkEnd w:id="148"/>
      <w:bookmarkEnd w:id="149"/>
      <w:bookmarkEnd w:id="150"/>
      <w:bookmarkEnd w:id="151"/>
      <w:bookmarkEnd w:id="152"/>
      <w:bookmarkEnd w:id="153"/>
      <w:bookmarkEnd w:id="154"/>
      <w:bookmarkEnd w:id="155"/>
      <w:bookmarkEnd w:id="156"/>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157" w:name="_Toc177824943"/>
      <w:bookmarkStart w:id="158" w:name="_Toc177824876"/>
      <w:bookmarkStart w:id="159" w:name="_Toc177825124"/>
      <w:bookmarkStart w:id="160" w:name="_Toc293916368"/>
      <w:bookmarkStart w:id="161" w:name="_Toc293916017"/>
      <w:bookmarkStart w:id="162" w:name="_Toc177870546"/>
      <w:r>
        <w:rPr>
          <w:rFonts w:hint="eastAsia" w:ascii="宋体"/>
          <w:b/>
          <w:color w:val="auto"/>
          <w:szCs w:val="21"/>
          <w:highlight w:val="none"/>
        </w:rPr>
        <w:t>（</w:t>
      </w:r>
      <w:r>
        <w:rPr>
          <w:rFonts w:hint="eastAsia" w:ascii="宋体"/>
          <w:color w:val="auto"/>
          <w:szCs w:val="21"/>
          <w:highlight w:val="none"/>
        </w:rPr>
        <w:t>一</w:t>
      </w:r>
      <w:r>
        <w:rPr>
          <w:rFonts w:hint="eastAsia" w:ascii="宋体"/>
          <w:b/>
          <w:color w:val="auto"/>
          <w:szCs w:val="21"/>
          <w:highlight w:val="none"/>
        </w:rPr>
        <w:t>）投标文件的组成</w:t>
      </w:r>
      <w:bookmarkEnd w:id="157"/>
      <w:bookmarkEnd w:id="158"/>
      <w:bookmarkEnd w:id="159"/>
      <w:bookmarkEnd w:id="160"/>
      <w:bookmarkEnd w:id="161"/>
      <w:bookmarkEnd w:id="162"/>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b/>
          <w:color w:val="auto"/>
          <w:szCs w:val="21"/>
          <w:highlight w:val="none"/>
          <w:u w:val="single"/>
        </w:rPr>
      </w:pPr>
      <w:r>
        <w:rPr>
          <w:rFonts w:hint="eastAsia" w:ascii="宋体"/>
          <w:color w:val="auto"/>
          <w:szCs w:val="21"/>
          <w:highlight w:val="none"/>
        </w:rPr>
        <w:t>投标文件由</w:t>
      </w:r>
      <w:r>
        <w:rPr>
          <w:rFonts w:hint="eastAsia" w:ascii="宋体"/>
          <w:b/>
          <w:color w:val="auto"/>
          <w:szCs w:val="21"/>
          <w:highlight w:val="none"/>
        </w:rPr>
        <w:t>资格证明文件、商务文件、技术文件和报价文件</w:t>
      </w:r>
      <w:r>
        <w:rPr>
          <w:rFonts w:hint="eastAsia" w:ascii="宋体"/>
          <w:color w:val="auto"/>
          <w:szCs w:val="21"/>
          <w:highlight w:val="none"/>
        </w:rPr>
        <w:t>四部分组成。《</w:t>
      </w:r>
      <w:r>
        <w:rPr>
          <w:rFonts w:hint="eastAsia" w:ascii="宋体"/>
          <w:b/>
          <w:color w:val="auto"/>
          <w:szCs w:val="21"/>
          <w:highlight w:val="none"/>
        </w:rPr>
        <w:t>资格证明文件</w:t>
      </w:r>
      <w:r>
        <w:rPr>
          <w:rFonts w:hint="eastAsia" w:ascii="宋体"/>
          <w:color w:val="auto"/>
          <w:szCs w:val="21"/>
          <w:highlight w:val="none"/>
        </w:rPr>
        <w:t>》</w:t>
      </w:r>
      <w:r>
        <w:rPr>
          <w:rFonts w:hint="eastAsia" w:ascii="宋体"/>
          <w:b/>
          <w:color w:val="auto"/>
          <w:szCs w:val="21"/>
          <w:highlight w:val="none"/>
          <w:u w:val="single"/>
        </w:rPr>
        <w:t>装订成一册，《商务文件》和《技术文件》两部分可装订成一册，《报价文件》装订成一册。</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1、资格证明文件包括：</w:t>
      </w:r>
    </w:p>
    <w:p>
      <w:pPr>
        <w:keepNext w:val="0"/>
        <w:keepLines w:val="0"/>
        <w:pageBreakBefore w:val="0"/>
        <w:widowControl w:val="0"/>
        <w:numPr>
          <w:ilvl w:val="0"/>
          <w:numId w:val="18"/>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符合参加政府采购活动应当具备的一般条件的承诺函（格式见附件）；</w:t>
      </w:r>
    </w:p>
    <w:p>
      <w:pPr>
        <w:keepNext w:val="0"/>
        <w:keepLines w:val="0"/>
        <w:pageBreakBefore w:val="0"/>
        <w:widowControl w:val="0"/>
        <w:numPr>
          <w:ilvl w:val="0"/>
          <w:numId w:val="18"/>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营业执照复印件；</w:t>
      </w:r>
    </w:p>
    <w:p>
      <w:pPr>
        <w:keepNext w:val="0"/>
        <w:keepLines w:val="0"/>
        <w:pageBreakBefore w:val="0"/>
        <w:widowControl w:val="0"/>
        <w:numPr>
          <w:ilvl w:val="0"/>
          <w:numId w:val="18"/>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中小企业声明函（格式见附件）；</w:t>
      </w:r>
    </w:p>
    <w:p>
      <w:pPr>
        <w:keepNext w:val="0"/>
        <w:keepLines w:val="0"/>
        <w:pageBreakBefore w:val="0"/>
        <w:widowControl w:val="0"/>
        <w:numPr>
          <w:ilvl w:val="0"/>
          <w:numId w:val="18"/>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法定代表人身份证明书和授权委托书（格式见附件）；</w:t>
      </w:r>
    </w:p>
    <w:p>
      <w:pPr>
        <w:keepNext w:val="0"/>
        <w:keepLines w:val="0"/>
        <w:pageBreakBefore w:val="0"/>
        <w:widowControl w:val="0"/>
        <w:kinsoku/>
        <w:overflowPunct/>
        <w:topLinePunct w:val="0"/>
        <w:bidi w:val="0"/>
        <w:adjustRightInd w:val="0"/>
        <w:snapToGrid w:val="0"/>
        <w:spacing w:line="400" w:lineRule="exact"/>
        <w:jc w:val="left"/>
        <w:rPr>
          <w:rFonts w:ascii="宋体"/>
          <w:color w:val="auto"/>
          <w:szCs w:val="21"/>
          <w:highlight w:val="none"/>
        </w:rPr>
      </w:pPr>
      <w:r>
        <w:rPr>
          <w:rFonts w:hint="eastAsia" w:ascii="宋体"/>
          <w:b/>
          <w:color w:val="auto"/>
          <w:szCs w:val="21"/>
          <w:highlight w:val="none"/>
        </w:rPr>
        <w:t>2、商务文件包括：</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color w:val="auto"/>
          <w:szCs w:val="21"/>
          <w:highlight w:val="none"/>
        </w:rPr>
      </w:pPr>
      <w:r>
        <w:rPr>
          <w:rFonts w:hint="eastAsia" w:ascii="宋体"/>
          <w:color w:val="auto"/>
          <w:szCs w:val="21"/>
          <w:highlight w:val="none"/>
        </w:rPr>
        <w:t>投标函（格式见附件）；</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color w:val="auto"/>
          <w:szCs w:val="21"/>
          <w:highlight w:val="none"/>
        </w:rPr>
      </w:pPr>
      <w:r>
        <w:rPr>
          <w:rFonts w:hint="eastAsia" w:ascii="宋体"/>
          <w:color w:val="auto"/>
          <w:szCs w:val="21"/>
          <w:highlight w:val="none"/>
        </w:rPr>
        <w:t>法定代表人身份证明书、法定代表人授权委托书（格式见附件）；</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color w:val="auto"/>
          <w:szCs w:val="21"/>
          <w:highlight w:val="none"/>
        </w:rPr>
      </w:pPr>
      <w:r>
        <w:rPr>
          <w:rFonts w:hint="eastAsia" w:ascii="宋体"/>
          <w:color w:val="auto"/>
          <w:szCs w:val="21"/>
          <w:highlight w:val="none"/>
        </w:rPr>
        <w:t>投标人情况一览表（格式见附件）；</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商务响应表（格式见附件）；</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成功案例及业绩（同类项目实施情况）（格式见附件）；</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rPr>
        <w:t>售后服务、培训及响应时间</w:t>
      </w:r>
      <w:r>
        <w:rPr>
          <w:rFonts w:hint="eastAsia" w:ascii="宋体" w:hAnsi="宋体" w:cs="宋体"/>
          <w:color w:val="auto"/>
          <w:szCs w:val="21"/>
          <w:highlight w:val="none"/>
        </w:rPr>
        <w:t>；</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权威认证；</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rPr>
        <w:t>荣誉证书</w:t>
      </w:r>
      <w:r>
        <w:rPr>
          <w:rFonts w:hint="eastAsia" w:ascii="宋体" w:hAnsi="宋体" w:cs="宋体"/>
          <w:color w:val="auto"/>
          <w:szCs w:val="21"/>
          <w:highlight w:val="none"/>
        </w:rPr>
        <w:t>；</w:t>
      </w:r>
    </w:p>
    <w:p>
      <w:pPr>
        <w:keepNext w:val="0"/>
        <w:keepLines w:val="0"/>
        <w:pageBreakBefore w:val="0"/>
        <w:widowControl w:val="0"/>
        <w:numPr>
          <w:ilvl w:val="0"/>
          <w:numId w:val="19"/>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投标人认为可以证明其能力或业绩的其他材料。 </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3、技术文件包括：</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项目实施方案； </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eastAsia="zh-CN"/>
        </w:rPr>
        <w:t>技术</w:t>
      </w:r>
      <w:r>
        <w:rPr>
          <w:rFonts w:hint="eastAsia" w:ascii="宋体" w:hAnsi="宋体" w:cs="宋体"/>
          <w:color w:val="auto"/>
          <w:szCs w:val="21"/>
          <w:highlight w:val="none"/>
        </w:rPr>
        <w:t>响应表（格式见附件）；</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 w:val="21"/>
          <w:szCs w:val="21"/>
          <w:highlight w:val="none"/>
          <w:lang w:val="en-US" w:eastAsia="zh-CN"/>
        </w:rPr>
        <w:t>整体</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bCs/>
          <w:color w:val="auto"/>
          <w:sz w:val="21"/>
          <w:szCs w:val="21"/>
          <w:highlight w:val="none"/>
          <w:lang w:eastAsia="zh-CN"/>
        </w:rPr>
        <w:t>工期计划</w:t>
      </w:r>
      <w:r>
        <w:rPr>
          <w:rFonts w:hint="eastAsia" w:ascii="宋体" w:hAnsi="宋体" w:cs="宋体"/>
          <w:color w:val="auto"/>
          <w:szCs w:val="21"/>
          <w:highlight w:val="none"/>
        </w:rPr>
        <w:t>；</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rPr>
        <w:t>质量保证措施</w:t>
      </w:r>
      <w:r>
        <w:rPr>
          <w:rFonts w:hint="eastAsia" w:ascii="宋体" w:hAnsi="宋体" w:cs="宋体"/>
          <w:color w:val="auto"/>
          <w:szCs w:val="21"/>
          <w:highlight w:val="none"/>
        </w:rPr>
        <w:t>；</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安全保障措施；</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投入本项目实施人员一览表（格式见附件）；</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rPr>
        <w:t>项目设计负责人</w:t>
      </w:r>
      <w:r>
        <w:rPr>
          <w:rFonts w:hint="eastAsia" w:ascii="宋体" w:hAnsi="宋体" w:eastAsia="宋体" w:cs="宋体"/>
          <w:color w:val="auto"/>
          <w:sz w:val="21"/>
          <w:szCs w:val="21"/>
          <w:highlight w:val="none"/>
          <w:lang w:eastAsia="zh-CN"/>
        </w:rPr>
        <w:t>业绩</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rPr>
        <w:t>项目施工负责人</w:t>
      </w:r>
      <w:r>
        <w:rPr>
          <w:rFonts w:hint="eastAsia" w:ascii="宋体" w:hAnsi="宋体" w:eastAsia="宋体" w:cs="宋体"/>
          <w:color w:val="auto"/>
          <w:sz w:val="21"/>
          <w:szCs w:val="21"/>
          <w:highlight w:val="none"/>
          <w:lang w:eastAsia="zh-CN"/>
        </w:rPr>
        <w:t>业绩</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2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投标人认为需要提供的其他技术资料。</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4、报价文件：</w:t>
      </w:r>
    </w:p>
    <w:p>
      <w:pPr>
        <w:keepNext w:val="0"/>
        <w:keepLines w:val="0"/>
        <w:pageBreakBefore w:val="0"/>
        <w:widowControl w:val="0"/>
        <w:numPr>
          <w:ilvl w:val="0"/>
          <w:numId w:val="21"/>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开标一览表（格式见附件）；</w:t>
      </w:r>
    </w:p>
    <w:p>
      <w:pPr>
        <w:keepNext w:val="0"/>
        <w:keepLines w:val="0"/>
        <w:pageBreakBefore w:val="0"/>
        <w:widowControl w:val="0"/>
        <w:numPr>
          <w:ilvl w:val="0"/>
          <w:numId w:val="21"/>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color w:val="auto"/>
          <w:szCs w:val="21"/>
          <w:highlight w:val="none"/>
        </w:rPr>
        <w:t>投标人</w:t>
      </w:r>
      <w:r>
        <w:rPr>
          <w:rFonts w:hint="eastAsia" w:ascii="宋体" w:hAnsi="宋体" w:cs="宋体"/>
          <w:color w:val="auto"/>
          <w:szCs w:val="21"/>
          <w:highlight w:val="none"/>
        </w:rPr>
        <w:t>针对报价需要说明的其他文件和说明（格式自拟）。</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163" w:name="_Toc177825125"/>
      <w:bookmarkStart w:id="164" w:name="_Toc177870547"/>
      <w:bookmarkStart w:id="165" w:name="_Toc177824877"/>
      <w:bookmarkStart w:id="166" w:name="_Toc177824944"/>
      <w:r>
        <w:rPr>
          <w:rFonts w:hint="eastAsia" w:ascii="宋体"/>
          <w:b/>
          <w:color w:val="auto"/>
          <w:szCs w:val="21"/>
          <w:highlight w:val="none"/>
        </w:rPr>
        <w:t>（二）投标文件的语言</w:t>
      </w:r>
      <w:bookmarkEnd w:id="163"/>
      <w:bookmarkEnd w:id="164"/>
      <w:bookmarkEnd w:id="165"/>
      <w:bookmarkEnd w:id="166"/>
      <w:r>
        <w:rPr>
          <w:rFonts w:hint="eastAsia" w:ascii="宋体"/>
          <w:b/>
          <w:color w:val="auto"/>
          <w:szCs w:val="21"/>
          <w:highlight w:val="none"/>
        </w:rPr>
        <w:t>及度量衡单位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b/>
          <w:color w:val="auto"/>
          <w:szCs w:val="21"/>
          <w:highlight w:val="none"/>
        </w:rPr>
      </w:pPr>
      <w:r>
        <w:rPr>
          <w:rFonts w:hint="eastAsia" w:ascii="宋体"/>
          <w:color w:val="auto"/>
          <w:szCs w:val="21"/>
          <w:highlight w:val="none"/>
        </w:rPr>
        <w:t>1、投标文件以及投标人与招标采购单位就有关投标事宜的所有来往函电，均应以中文书写。</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b/>
          <w:color w:val="auto"/>
          <w:szCs w:val="21"/>
          <w:highlight w:val="none"/>
        </w:rPr>
      </w:pPr>
      <w:r>
        <w:rPr>
          <w:rFonts w:hint="eastAsia" w:ascii="宋体"/>
          <w:color w:val="auto"/>
          <w:szCs w:val="21"/>
          <w:highlight w:val="none"/>
        </w:rPr>
        <w:t>2、投标文件所使用的度量衡单位，均采用我国法定计量单位。</w:t>
      </w:r>
      <w:bookmarkStart w:id="167" w:name="_Toc177870548"/>
      <w:bookmarkStart w:id="168" w:name="_Toc177825126"/>
      <w:bookmarkStart w:id="169" w:name="_Toc177824878"/>
      <w:bookmarkStart w:id="170" w:name="_Toc177824945"/>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（三）投标报价</w:t>
      </w:r>
      <w:bookmarkEnd w:id="167"/>
      <w:bookmarkEnd w:id="168"/>
      <w:bookmarkEnd w:id="169"/>
      <w:bookmarkEnd w:id="170"/>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1、投标报价应按招标文件中相关附表格式填写。</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▲2、</w:t>
      </w:r>
      <w:r>
        <w:rPr>
          <w:rFonts w:hint="eastAsia" w:ascii="宋体" w:hAnsi="宋体"/>
          <w:color w:val="auto"/>
          <w:szCs w:val="21"/>
          <w:highlight w:val="none"/>
        </w:rPr>
        <w:t>投标报价应包括</w:t>
      </w:r>
      <w:r>
        <w:rPr>
          <w:rFonts w:hint="eastAsia" w:ascii="宋体" w:hAnsi="宋体" w:cs="宋体"/>
          <w:color w:val="auto"/>
          <w:kern w:val="0"/>
          <w:szCs w:val="30"/>
          <w:highlight w:val="none"/>
        </w:rPr>
        <w:t>本项目设计、施工、成套设备采购供应（包括设计）、材料、安装、备品备件、障碍物迁移与场地准备、工程保险、检测费、采保费、办公及其他物品购置费、移交、人员培训、税费、调试</w:t>
      </w:r>
      <w:r>
        <w:rPr>
          <w:rFonts w:hint="eastAsia" w:ascii="宋体" w:hAnsi="宋体" w:cs="宋体"/>
          <w:color w:val="auto"/>
          <w:kern w:val="0"/>
          <w:szCs w:val="30"/>
          <w:highlight w:val="none"/>
          <w:lang w:eastAsia="zh-CN"/>
        </w:rPr>
        <w:t>、一</w:t>
      </w:r>
      <w:r>
        <w:rPr>
          <w:rFonts w:hint="eastAsia" w:ascii="宋体" w:hAnsi="宋体" w:cs="宋体"/>
          <w:color w:val="auto"/>
          <w:kern w:val="0"/>
          <w:szCs w:val="30"/>
          <w:highlight w:val="none"/>
        </w:rPr>
        <w:t>切临时设施</w:t>
      </w:r>
      <w:r>
        <w:rPr>
          <w:rFonts w:hint="eastAsia" w:ascii="宋体" w:hAnsi="宋体" w:cs="宋体"/>
          <w:color w:val="auto"/>
          <w:kern w:val="0"/>
          <w:szCs w:val="30"/>
          <w:highlight w:val="none"/>
          <w:lang w:eastAsia="zh-CN"/>
        </w:rPr>
        <w:t>、税金</w:t>
      </w:r>
      <w:r>
        <w:rPr>
          <w:rFonts w:hint="eastAsia" w:ascii="宋体" w:hAnsi="宋体" w:cs="宋体"/>
          <w:color w:val="auto"/>
          <w:kern w:val="0"/>
          <w:szCs w:val="30"/>
          <w:highlight w:val="none"/>
        </w:rPr>
        <w:t>等一切费用</w:t>
      </w:r>
      <w:r>
        <w:rPr>
          <w:rFonts w:hint="eastAsia" w:ascii="宋体" w:hAnsi="宋体" w:cs="微软雅黑"/>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3、招标采购单位不接受备选方案。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4、投标人应充分考虑因各种原因可能发生的费用。对没有填报的费用，采购人认为所有费用已包含在报价中，除合同条款另有规定外，不得进行调整。</w:t>
      </w:r>
    </w:p>
    <w:p>
      <w:pPr>
        <w:pStyle w:val="13"/>
        <w:keepNext w:val="0"/>
        <w:keepLines w:val="0"/>
        <w:pageBreakBefore w:val="0"/>
        <w:widowControl w:val="0"/>
        <w:numPr>
          <w:ilvl w:val="0"/>
          <w:numId w:val="0"/>
        </w:numPr>
        <w:kinsoku/>
        <w:overflowPunct/>
        <w:topLinePunct w:val="0"/>
        <w:bidi w:val="0"/>
        <w:adjustRightInd w:val="0"/>
        <w:snapToGrid w:val="0"/>
        <w:spacing w:afterLines="0" w:line="400" w:lineRule="exact"/>
        <w:rPr>
          <w:rFonts w:ascii="宋体"/>
          <w:b/>
          <w:color w:val="auto"/>
          <w:sz w:val="21"/>
          <w:szCs w:val="21"/>
          <w:highlight w:val="none"/>
        </w:rPr>
      </w:pPr>
      <w:r>
        <w:rPr>
          <w:rFonts w:hint="eastAsia" w:ascii="宋体"/>
          <w:b/>
          <w:color w:val="auto"/>
          <w:sz w:val="21"/>
          <w:szCs w:val="21"/>
          <w:highlight w:val="none"/>
        </w:rPr>
        <w:t>（四）投标文件的有效期</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1、自投标截止日起</w:t>
      </w:r>
      <w:r>
        <w:rPr>
          <w:rFonts w:hint="eastAsia" w:ascii="宋体"/>
          <w:color w:val="auto"/>
          <w:sz w:val="21"/>
          <w:szCs w:val="21"/>
          <w:highlight w:val="none"/>
          <w:u w:val="single"/>
        </w:rPr>
        <w:t>90</w:t>
      </w:r>
      <w:r>
        <w:rPr>
          <w:rFonts w:hint="eastAsia" w:ascii="宋体"/>
          <w:color w:val="auto"/>
          <w:sz w:val="21"/>
          <w:szCs w:val="21"/>
          <w:highlight w:val="none"/>
        </w:rPr>
        <w:t>天投标书应保持有效。有效期短于这个规定期限的投标将被拒绝。</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2、在特殊情况下，采购人可与投标人协商延长投标书的有效期，这种要求和答复均以书面形式进行。</w:t>
      </w:r>
      <w:bookmarkStart w:id="171" w:name="_Toc177870549"/>
      <w:bookmarkStart w:id="172" w:name="_Toc177825127"/>
      <w:bookmarkStart w:id="173" w:name="_Toc177824946"/>
      <w:bookmarkStart w:id="174" w:name="_Toc177824879"/>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ind w:firstLine="420" w:firstLineChars="200"/>
        <w:textAlignment w:val="auto"/>
        <w:rPr>
          <w:rFonts w:ascii="宋体"/>
          <w:b/>
          <w:color w:val="auto"/>
          <w:sz w:val="21"/>
          <w:szCs w:val="21"/>
          <w:highlight w:val="none"/>
        </w:rPr>
      </w:pPr>
      <w:r>
        <w:rPr>
          <w:rFonts w:hint="eastAsia" w:ascii="宋体"/>
          <w:color w:val="auto"/>
          <w:sz w:val="21"/>
          <w:szCs w:val="21"/>
          <w:highlight w:val="none"/>
        </w:rPr>
        <w:t>3、投标人可拒绝接受延期要求。同意延长有效期的投标人不能修改投标文件。</w:t>
      </w:r>
      <w:bookmarkEnd w:id="171"/>
      <w:bookmarkEnd w:id="172"/>
      <w:bookmarkEnd w:id="173"/>
      <w:bookmarkEnd w:id="174"/>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Lines="0" w:line="400" w:lineRule="exact"/>
        <w:ind w:firstLine="420" w:firstLineChars="200"/>
        <w:textAlignment w:val="auto"/>
        <w:rPr>
          <w:rFonts w:ascii="宋体"/>
          <w:color w:val="auto"/>
          <w:sz w:val="21"/>
          <w:szCs w:val="21"/>
          <w:highlight w:val="none"/>
        </w:rPr>
      </w:pPr>
      <w:r>
        <w:rPr>
          <w:rFonts w:hint="eastAsia" w:ascii="宋体"/>
          <w:color w:val="auto"/>
          <w:sz w:val="21"/>
          <w:szCs w:val="21"/>
          <w:highlight w:val="none"/>
        </w:rPr>
        <w:t>4、中标人的投标文件自开标之日起至合同履行完毕止均应保持有效。</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bookmarkStart w:id="175" w:name="_Toc177870551"/>
      <w:bookmarkStart w:id="176" w:name="_Toc177825129"/>
      <w:bookmarkStart w:id="177" w:name="_Toc177824948"/>
      <w:bookmarkStart w:id="178" w:name="_Toc293916019"/>
      <w:bookmarkStart w:id="179" w:name="_Toc177824881"/>
      <w:bookmarkStart w:id="180" w:name="_Toc293916370"/>
      <w:r>
        <w:rPr>
          <w:rFonts w:hint="eastAsia" w:ascii="宋体"/>
          <w:b/>
          <w:color w:val="auto"/>
          <w:szCs w:val="21"/>
          <w:highlight w:val="none"/>
        </w:rPr>
        <w:t>（五）投标文件的</w:t>
      </w:r>
      <w:bookmarkEnd w:id="175"/>
      <w:bookmarkEnd w:id="176"/>
      <w:bookmarkEnd w:id="177"/>
      <w:bookmarkEnd w:id="178"/>
      <w:bookmarkEnd w:id="179"/>
      <w:bookmarkEnd w:id="180"/>
      <w:r>
        <w:rPr>
          <w:rFonts w:hint="eastAsia" w:ascii="宋体"/>
          <w:b/>
          <w:color w:val="auto"/>
          <w:szCs w:val="21"/>
          <w:highlight w:val="none"/>
        </w:rPr>
        <w:t>编制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1、本项目通过“政采云平台（www.zcygov.cn）”实行在线投标响应（电子投标）。供应商应通过“政采云电子交易客户端”，并按照本采购文件和“政府采购云平台”的要求编制并加密投标文件。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2、供应商应当按照本章节 “投标文件的组成”规定的内容及顺序在“政采云电子交易客户端”编制投标文件。其中《资格证明文件》和《商务技术文件》中不得出现本项目投标报价，如因供应商原因提前泄露投标报价的，是供应商的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5、投标文件因字迹潦草或表达不清所引起的后果由供应商负责。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6、供应商没有按照本采购文件内 “投标文件的组成”要求提供全部资料，或者没有仔细阅读采购文件，或者没有对采购文件在各方面的要求作出实质性响应是供应商的风险，由此造成的一切后果由供应商自行承担。</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7、投标文件的签章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7.1 投标文件的签章见《前附表》；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7.2 投标文件应由供应商法定代表人或其授权代表签字（或盖章），并加盖供应商公章。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7.3 参与在线投标时如遇平台技术问题详询400-881-7190。</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8、投标文件的形式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8.1 投标文件的形式：见《前附表》；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8.2 “电子加密投标文件”：“电子加密投标文件”是指通过“政采云电子交易客户端”完成投标文件编制后生成并加密的数据电文形式的投标文件。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8.4</w:t>
      </w:r>
      <w:r>
        <w:rPr>
          <w:rFonts w:hint="eastAsia" w:ascii="宋体"/>
          <w:color w:val="auto"/>
          <w:szCs w:val="21"/>
          <w:highlight w:val="none"/>
          <w:lang w:val="en-US" w:eastAsia="zh-CN"/>
        </w:rPr>
        <w:t xml:space="preserve"> </w:t>
      </w:r>
      <w:r>
        <w:rPr>
          <w:rFonts w:hint="eastAsia" w:ascii="宋体"/>
          <w:color w:val="auto"/>
          <w:szCs w:val="21"/>
          <w:highlight w:val="none"/>
        </w:rPr>
        <w:t>“纸质响应文件”。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9、投标文件的份数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投标文件的份数：见《前附表》。</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（六）投标文件的递交</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bookmarkStart w:id="181" w:name="_Toc177870552"/>
      <w:r>
        <w:rPr>
          <w:rFonts w:hint="eastAsia" w:ascii="宋体"/>
          <w:color w:val="auto"/>
          <w:szCs w:val="21"/>
          <w:highlight w:val="none"/>
        </w:rPr>
        <w:t>1、投标文件的上传、递交</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投标文件”的上传、递交：见《前附表》。</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2、“电子加密投标文件”解密和异常情况处理</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“电子加密投标文件”解密：见《前附表》。</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3、投标文件的补充、修改或撤回</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3.1 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3.2 投标截止时间后，供应商不得撤回、修改《投标文件》。</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4、投标文件的备选方案</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供应商不得递交任何的投标备选（替代）方案，否则其投标文件将作无效标处理。与“电子加密投标文件”同时生成的“备份投标文件”不是投标备选方案。</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5、投标截止期</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5.1</w:t>
      </w:r>
      <w:r>
        <w:rPr>
          <w:rFonts w:hint="eastAsia" w:ascii="宋体"/>
          <w:color w:val="auto"/>
          <w:szCs w:val="21"/>
          <w:highlight w:val="none"/>
          <w:lang w:val="en-US" w:eastAsia="zh-CN"/>
        </w:rPr>
        <w:t xml:space="preserve"> </w:t>
      </w:r>
      <w:r>
        <w:rPr>
          <w:rFonts w:hint="eastAsia" w:ascii="宋体"/>
          <w:color w:val="auto"/>
          <w:szCs w:val="21"/>
          <w:highlight w:val="none"/>
        </w:rPr>
        <w:t>供应商应按前附表规定的时间、地点将投标文件递交给采购代理机构，采购代理机构将拒绝接受逾期送达的投标文件。</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Chars="200"/>
        <w:textAlignment w:val="auto"/>
        <w:rPr>
          <w:rFonts w:ascii="宋体"/>
          <w:color w:val="auto"/>
          <w:szCs w:val="21"/>
          <w:highlight w:val="none"/>
        </w:rPr>
      </w:pPr>
      <w:r>
        <w:rPr>
          <w:rFonts w:hint="eastAsia" w:ascii="宋体"/>
          <w:color w:val="auto"/>
          <w:szCs w:val="21"/>
          <w:highlight w:val="none"/>
        </w:rPr>
        <w:t>5.2 采购人可以按本须知规定以补充通知的方式，酌情延长递交投标文件的截止日期。在上述情况下，采购人与供应商以前在投标截止期方面的全部权利、责任和义务，将适用于延长至新的投标截止期</w:t>
      </w:r>
      <w:r>
        <w:rPr>
          <w:rFonts w:hint="eastAsia" w:ascii="宋体"/>
          <w:bCs/>
          <w:color w:val="auto"/>
          <w:szCs w:val="21"/>
          <w:highlight w:val="none"/>
        </w:rPr>
        <w:t>。</w:t>
      </w:r>
    </w:p>
    <w:p>
      <w:pPr>
        <w:keepNext w:val="0"/>
        <w:keepLines w:val="0"/>
        <w:pageBreakBefore w:val="0"/>
        <w:widowControl w:val="0"/>
        <w:kinsoku/>
        <w:overflowPunct/>
        <w:topLinePunct w:val="0"/>
        <w:bidi w:val="0"/>
        <w:adjustRightInd w:val="0"/>
        <w:snapToGrid w:val="0"/>
        <w:spacing w:line="400" w:lineRule="exact"/>
        <w:rPr>
          <w:rFonts w:ascii="宋体"/>
          <w:b/>
          <w:color w:val="auto"/>
          <w:szCs w:val="21"/>
          <w:highlight w:val="none"/>
        </w:rPr>
      </w:pPr>
      <w:r>
        <w:rPr>
          <w:rFonts w:hint="eastAsia" w:ascii="宋体"/>
          <w:b/>
          <w:color w:val="auto"/>
          <w:szCs w:val="21"/>
          <w:highlight w:val="none"/>
        </w:rPr>
        <w:t>（七）投标无效的情形</w:t>
      </w:r>
      <w:bookmarkEnd w:id="181"/>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bookmarkStart w:id="182" w:name="_Toc293916020"/>
      <w:bookmarkStart w:id="183" w:name="_Toc293917020"/>
      <w:bookmarkStart w:id="184" w:name="_Toc107820050"/>
      <w:bookmarkStart w:id="185" w:name="_Toc170792769"/>
      <w:bookmarkStart w:id="186" w:name="_Toc293916371"/>
      <w:bookmarkStart w:id="187" w:name="_Toc177870553"/>
      <w:bookmarkStart w:id="188" w:name="_Toc293916879"/>
      <w:r>
        <w:rPr>
          <w:rFonts w:hint="eastAsia" w:ascii="宋体"/>
          <w:color w:val="auto"/>
          <w:szCs w:val="21"/>
          <w:highlight w:val="none"/>
        </w:rPr>
        <w:t>实质上没有响应招标文件要求的投标将被视为无效投标。在评审时，如发现下列情形之一的，投标文件将被视为无效：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1、在资格审查时，如发现下列情形之一的，投标文件将被视为无效：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（1）资格证明文件不全的，或者不符合招标文件标明的资格要求的；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（2）投标人是采购人不具有独立法人资格的附属机构（单位）；</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（3）仅提供“备份投标文件”、“纸质响应文件”的；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（4）电子投标文件解密失败的，且未在规定时间内提交备份投标文件的；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s="微软雅黑"/>
          <w:color w:val="auto"/>
          <w:szCs w:val="21"/>
          <w:highlight w:val="none"/>
        </w:rPr>
      </w:pPr>
      <w:r>
        <w:rPr>
          <w:rFonts w:hint="eastAsia" w:ascii="宋体"/>
          <w:color w:val="auto"/>
          <w:szCs w:val="21"/>
          <w:highlight w:val="none"/>
        </w:rPr>
        <w:t>（5）</w:t>
      </w:r>
      <w:r>
        <w:rPr>
          <w:rFonts w:hint="eastAsia" w:ascii="宋体" w:cs="微软雅黑"/>
          <w:color w:val="auto"/>
          <w:szCs w:val="21"/>
          <w:highlight w:val="none"/>
        </w:rPr>
        <w:t>至本项目投标截止时间前，投标人在“信用中国”网站www.creditchina.gov.cn、“中国政府采购网”www.ccgp.gov.cn中被列入失信被执行人、重大税收违法案件当事人名单、政府采购严重违法失信行为记录名单的。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2、在符合性审查时，如发现下列情形之一的，投标文件将被视为无效：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（1）授权代理人未经有效授权的；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（2）投标文件未按照招标文件规定的要求签署、盖章的；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（3）投标有效期、交货期（服务期）、质保期等不能满足招标文件要求的；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（4）不响应或者擅自改变招标文件要求或者投标文件有采购人不能接受的附加条件的；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（5）未提供或未如实提供服务内容，或者虚假投标的；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3、在技术评审时，如发现下列情形之一的，投标文件将被视为无效：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（1）与招标文件中标“▲”的服务指标、主要服务要求发生实质性偏离的；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（2）投标项目方案不明确，存在一个或一个以上备选（替代）投标方案且未注明哪个有效的；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w:t>
      </w:r>
      <w:r>
        <w:rPr>
          <w:rFonts w:hint="eastAsia" w:ascii="宋体"/>
          <w:bCs/>
          <w:color w:val="auto"/>
          <w:szCs w:val="21"/>
          <w:highlight w:val="none"/>
        </w:rPr>
        <w:t>项目方案不符合项目需求或不具有操作性的</w:t>
      </w:r>
      <w:r>
        <w:rPr>
          <w:rFonts w:hint="eastAsia" w:asci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4、在价格评审时，如发现下列情形之一的，投标文件将被视为无效：</w:t>
      </w:r>
    </w:p>
    <w:p>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（1）未采用人民币报价或者未按照招标文件标明的币种报价的；</w:t>
      </w:r>
    </w:p>
    <w:p>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（2）报价超出采购预算金额或最高限价（自主创新产品除外）的；</w:t>
      </w:r>
    </w:p>
    <w:p>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（3）投标报价具有选择性，且未注明哪个有效的；</w:t>
      </w:r>
    </w:p>
    <w:p>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（4）投标报价出现前后不一致且不同意按照招标文件规定的方法进行修正的；</w:t>
      </w:r>
    </w:p>
    <w:p>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5、投标人串通投标的，投标无效。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投标人有以下情形之一的，视为投标人串通投标：</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（1）不同投标人的投标文件由同一单位或者个人编制；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（5）不同投标人的投标文件相互混装；</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color w:val="auto"/>
          <w:szCs w:val="21"/>
          <w:highlight w:val="none"/>
        </w:rPr>
      </w:pPr>
      <w:r>
        <w:rPr>
          <w:rFonts w:hint="eastAsia" w:ascii="宋体"/>
          <w:color w:val="auto"/>
          <w:szCs w:val="21"/>
          <w:highlight w:val="none"/>
        </w:rPr>
        <w:t>6、法律、法规和招标文件规定的其他无效标情形。</w:t>
      </w:r>
    </w:p>
    <w:p>
      <w:pPr>
        <w:keepNext w:val="0"/>
        <w:keepLines w:val="0"/>
        <w:pageBreakBefore w:val="0"/>
        <w:widowControl w:val="0"/>
        <w:kinsoku/>
        <w:overflowPunct/>
        <w:topLinePunct w:val="0"/>
        <w:bidi w:val="0"/>
        <w:spacing w:line="400" w:lineRule="exact"/>
        <w:rPr>
          <w:rFonts w:ascii="宋体"/>
          <w:b/>
          <w:bCs/>
          <w:color w:val="auto"/>
          <w:szCs w:val="21"/>
          <w:highlight w:val="none"/>
        </w:rPr>
      </w:pPr>
      <w:r>
        <w:rPr>
          <w:rFonts w:hint="eastAsia" w:ascii="宋体"/>
          <w:b/>
          <w:bCs/>
          <w:color w:val="auto"/>
          <w:szCs w:val="21"/>
          <w:highlight w:val="none"/>
        </w:rPr>
        <w:t>（八）废标的情形</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在招标采购中，出现下列情形之一的，应予废标：</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（1）符合专业条件的供应商或者对招标文件作实质性响应的供应商不足三家的；</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（2）出现影响采购公正的违法、违规行为的；</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（3）投标人的报价均超过了采购预算，采购人不能支付的；</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 xml:space="preserve">（4）因重大变故，采购任务取消的。 </w:t>
      </w:r>
    </w:p>
    <w:p>
      <w:pPr>
        <w:keepNext w:val="0"/>
        <w:keepLines w:val="0"/>
        <w:pageBreakBefore w:val="0"/>
        <w:widowControl w:val="0"/>
        <w:kinsoku/>
        <w:overflowPunct/>
        <w:topLinePunct w:val="0"/>
        <w:bidi w:val="0"/>
        <w:spacing w:line="400" w:lineRule="exact"/>
        <w:rPr>
          <w:rFonts w:ascii="宋体"/>
          <w:b/>
          <w:bCs/>
          <w:color w:val="auto"/>
          <w:szCs w:val="21"/>
          <w:highlight w:val="none"/>
        </w:rPr>
      </w:pPr>
      <w:bookmarkStart w:id="189" w:name="_Toc3324"/>
      <w:bookmarkStart w:id="190" w:name="_Toc424544536"/>
      <w:bookmarkStart w:id="191" w:name="_Toc424544815"/>
      <w:bookmarkStart w:id="192" w:name="_Toc18"/>
      <w:bookmarkStart w:id="193" w:name="_Toc11267"/>
      <w:bookmarkStart w:id="194" w:name="_Toc22928"/>
      <w:bookmarkStart w:id="195" w:name="_Toc25715"/>
      <w:bookmarkStart w:id="196" w:name="_Toc23210"/>
      <w:r>
        <w:rPr>
          <w:rFonts w:hint="eastAsia" w:ascii="宋体"/>
          <w:b/>
          <w:bCs/>
          <w:color w:val="auto"/>
          <w:szCs w:val="21"/>
          <w:highlight w:val="none"/>
        </w:rPr>
        <w:t>（九）可中止电子交易活动的情形</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1、电子交易平台发生故障而无法登录访问的；</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2、电子交易平台应用或数据库出现错误，不能进行正常操作的；</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hint="eastAsia" w:ascii="宋体"/>
          <w:color w:val="auto"/>
          <w:szCs w:val="21"/>
          <w:highlight w:val="none"/>
        </w:rPr>
        <w:t>3、电子交易平台发现严重安全漏洞，有潜在泄密危险的；</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ascii="宋体"/>
          <w:color w:val="auto"/>
          <w:szCs w:val="21"/>
          <w:highlight w:val="none"/>
        </w:rPr>
        <w:t>4、病毒发作导致不能进行正常操作的；</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ascii="宋体"/>
          <w:color w:val="auto"/>
          <w:szCs w:val="21"/>
          <w:highlight w:val="none"/>
        </w:rPr>
        <w:t>5、其他无法保证电子交易的公平、公正和安全的情况。</w:t>
      </w:r>
    </w:p>
    <w:p>
      <w:pPr>
        <w:keepNext w:val="0"/>
        <w:keepLines w:val="0"/>
        <w:pageBreakBefore w:val="0"/>
        <w:widowControl w:val="0"/>
        <w:kinsoku/>
        <w:overflowPunct/>
        <w:topLinePunct w:val="0"/>
        <w:bidi w:val="0"/>
        <w:spacing w:line="400" w:lineRule="exact"/>
        <w:ind w:firstLine="420" w:firstLineChars="200"/>
        <w:rPr>
          <w:rFonts w:ascii="宋体"/>
          <w:color w:val="auto"/>
          <w:szCs w:val="21"/>
          <w:highlight w:val="none"/>
        </w:rPr>
      </w:pPr>
      <w:r>
        <w:rPr>
          <w:rFonts w:ascii="宋体"/>
          <w:color w:val="auto"/>
          <w:szCs w:val="21"/>
          <w:highlight w:val="none"/>
        </w:rPr>
        <w:t>出现上述情形，不影响采购公平、公正性的，采购组织机构可以待上述情形消除后继续组织电子交易活动；影响或可能影响采购公平、公正性的，应当重新采购。</w:t>
      </w:r>
    </w:p>
    <w:p>
      <w:pPr>
        <w:keepNext w:val="0"/>
        <w:keepLines w:val="0"/>
        <w:pageBreakBefore w:val="0"/>
        <w:widowControl w:val="0"/>
        <w:kinsoku/>
        <w:overflowPunct/>
        <w:topLinePunct w:val="0"/>
        <w:bidi w:val="0"/>
        <w:spacing w:line="400" w:lineRule="exact"/>
        <w:outlineLvl w:val="1"/>
        <w:rPr>
          <w:rFonts w:ascii="宋体"/>
          <w:b/>
          <w:bCs/>
          <w:color w:val="auto"/>
          <w:sz w:val="24"/>
          <w:highlight w:val="none"/>
        </w:rPr>
      </w:pPr>
      <w:r>
        <w:rPr>
          <w:rFonts w:hint="eastAsia" w:ascii="宋体"/>
          <w:b/>
          <w:bCs/>
          <w:color w:val="auto"/>
          <w:sz w:val="24"/>
          <w:highlight w:val="none"/>
        </w:rPr>
        <w:t>四、开标</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bookmarkStart w:id="197" w:name="_Toc293916880"/>
      <w:r>
        <w:rPr>
          <w:rFonts w:hint="eastAsia"/>
          <w:b/>
          <w:color w:val="auto"/>
          <w:sz w:val="21"/>
          <w:szCs w:val="21"/>
          <w:highlight w:val="none"/>
        </w:rPr>
        <w:t>（一）开标准备</w:t>
      </w:r>
      <w:bookmarkEnd w:id="197"/>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198" w:name="_Toc293916881"/>
      <w:r>
        <w:rPr>
          <w:rFonts w:hint="eastAsia"/>
          <w:color w:val="auto"/>
          <w:sz w:val="21"/>
          <w:szCs w:val="21"/>
          <w:highlight w:val="none"/>
        </w:rPr>
        <w:t>采购组织机构将按照采购文件规定的时间通过“政采云平台”组织开标、开启投标文件，所有供应商均应当准时在线参加。</w:t>
      </w:r>
      <w:bookmarkEnd w:id="198"/>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bookmarkStart w:id="199" w:name="_Toc3325"/>
      <w:bookmarkStart w:id="200" w:name="_Toc424544816"/>
      <w:bookmarkStart w:id="201" w:name="_Toc293916021"/>
      <w:bookmarkStart w:id="202" w:name="_Toc424544537"/>
      <w:bookmarkStart w:id="203" w:name="_Toc14711"/>
      <w:bookmarkStart w:id="204" w:name="_Toc12582"/>
      <w:bookmarkStart w:id="205" w:name="_Toc293917021"/>
      <w:bookmarkStart w:id="206" w:name="_Toc1773"/>
      <w:bookmarkStart w:id="207" w:name="_Toc293916883"/>
      <w:bookmarkStart w:id="208" w:name="_Toc293916372"/>
      <w:bookmarkStart w:id="209" w:name="_Toc5941"/>
      <w:r>
        <w:rPr>
          <w:rFonts w:hint="eastAsia"/>
          <w:b/>
          <w:color w:val="auto"/>
          <w:sz w:val="21"/>
          <w:szCs w:val="21"/>
          <w:highlight w:val="none"/>
        </w:rPr>
        <w:t>（二）开标准备</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1、开标的准备工作由采购组织机构负责落实；</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行承担。</w:t>
      </w:r>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r>
        <w:rPr>
          <w:rFonts w:hint="eastAsia"/>
          <w:b/>
          <w:color w:val="auto"/>
          <w:sz w:val="21"/>
          <w:szCs w:val="21"/>
          <w:highlight w:val="none"/>
        </w:rPr>
        <w:t>（三）开标流程</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1、开标、开启响应文件时，电子交易平台自动提取所有投标、响应文件，提示采购组织机构和供应商按采购文件规定的方式和时间在线解密。给予供应商在线解密的时间为30分钟。</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2、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供应商如未按规定递交备份投标文件的，视为投标文件撤回。</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3、投标文件解密后，采购人及采购代理机构将对依法对供应商的资格进行审查，资格审查结束后进入符合性审查和资信技术的评审工作。</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4、符合性审查、资信技术评审结束后，开启报价文件。</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5、评标委员会对报价的合理性、准确性等进行审查核实。</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6、评标委员会完成评审后，通过电子交易平台向采购人及其委托的代理机构提交评审报告。同时打印纸质评审报告签署后由采购代理机构保存。</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7、评审结束后，代理机构通过电子交易平台或发送邮件形式向各投标人公布中标（中标）候选供应商名单，及采购人最终确定中标或中标供应商名单的时间和公告方式等。</w:t>
      </w:r>
    </w:p>
    <w:p>
      <w:pPr>
        <w:keepNext w:val="0"/>
        <w:keepLines w:val="0"/>
        <w:pageBreakBefore w:val="0"/>
        <w:widowControl w:val="0"/>
        <w:kinsoku/>
        <w:overflowPunct/>
        <w:topLinePunct w:val="0"/>
        <w:bidi w:val="0"/>
        <w:spacing w:line="400" w:lineRule="exact"/>
        <w:ind w:firstLine="369" w:firstLineChars="176"/>
        <w:rPr>
          <w:rFonts w:ascii="宋体"/>
          <w:color w:val="auto"/>
          <w:szCs w:val="21"/>
          <w:highlight w:val="none"/>
        </w:rPr>
      </w:pPr>
      <w:r>
        <w:rPr>
          <w:rFonts w:hint="eastAsia" w:ascii="宋体"/>
          <w:color w:val="auto"/>
          <w:szCs w:val="21"/>
          <w:highlight w:val="none"/>
        </w:rPr>
        <w:t>8、开标会议结束。</w:t>
      </w:r>
    </w:p>
    <w:p>
      <w:pPr>
        <w:keepNext w:val="0"/>
        <w:keepLines w:val="0"/>
        <w:pageBreakBefore w:val="0"/>
        <w:widowControl w:val="0"/>
        <w:kinsoku/>
        <w:overflowPunct/>
        <w:topLinePunct w:val="0"/>
        <w:bidi w:val="0"/>
        <w:spacing w:line="400" w:lineRule="exact"/>
        <w:ind w:firstLine="373" w:firstLineChars="177"/>
        <w:jc w:val="left"/>
        <w:rPr>
          <w:rFonts w:ascii="宋体" w:hAnsi="宋体" w:cs="宋体"/>
          <w:b/>
          <w:color w:val="auto"/>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pPr>
        <w:keepNext w:val="0"/>
        <w:keepLines w:val="0"/>
        <w:pageBreakBefore w:val="0"/>
        <w:widowControl w:val="0"/>
        <w:kinsoku/>
        <w:overflowPunct/>
        <w:topLinePunct w:val="0"/>
        <w:bidi w:val="0"/>
        <w:spacing w:line="400" w:lineRule="exact"/>
        <w:outlineLvl w:val="1"/>
        <w:rPr>
          <w:rFonts w:ascii="宋体"/>
          <w:b/>
          <w:bCs/>
          <w:color w:val="auto"/>
          <w:sz w:val="24"/>
          <w:highlight w:val="none"/>
        </w:rPr>
      </w:pPr>
      <w:bookmarkStart w:id="210" w:name="_Toc25997"/>
      <w:r>
        <w:rPr>
          <w:rFonts w:hint="eastAsia" w:ascii="宋体"/>
          <w:b/>
          <w:bCs/>
          <w:color w:val="auto"/>
          <w:sz w:val="24"/>
          <w:highlight w:val="none"/>
        </w:rPr>
        <w:t>五、资格证明文件审查</w:t>
      </w:r>
      <w:bookmarkEnd w:id="210"/>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r>
        <w:rPr>
          <w:rFonts w:hint="eastAsia"/>
          <w:b/>
          <w:color w:val="auto"/>
          <w:sz w:val="21"/>
          <w:szCs w:val="21"/>
          <w:highlight w:val="none"/>
        </w:rPr>
        <w:t>（一）审查人员</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采购人及采购代理机构负责审查。</w:t>
      </w:r>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r>
        <w:rPr>
          <w:rFonts w:hint="eastAsia"/>
          <w:b/>
          <w:color w:val="auto"/>
          <w:sz w:val="21"/>
          <w:szCs w:val="21"/>
          <w:highlight w:val="none"/>
        </w:rPr>
        <w:t>（二）审查依据</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招标文件、投标人的资格证明文件、“信用中国”网站www.creditchina.gov.cn及“中国政府采购网”www.ccgp.gov.cn查询结果。</w:t>
      </w:r>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r>
        <w:rPr>
          <w:rFonts w:hint="eastAsia"/>
          <w:b/>
          <w:color w:val="auto"/>
          <w:sz w:val="21"/>
          <w:szCs w:val="21"/>
          <w:highlight w:val="none"/>
        </w:rPr>
        <w:t>（三）审查方法</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1、审查投标人资格证明文件及相应原件的完整性、符合性。</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2、采购人及采购代理机构登录“信用中国”网站www.creditchina.gov.cn、“中国政府采购网”www.ccgp.gov.cn查询投标截止时间前各投标人的信用记录。</w:t>
      </w:r>
    </w:p>
    <w:p>
      <w:pPr>
        <w:pStyle w:val="28"/>
        <w:keepNext w:val="0"/>
        <w:keepLines w:val="0"/>
        <w:pageBreakBefore w:val="0"/>
        <w:widowControl w:val="0"/>
        <w:kinsoku/>
        <w:wordWrap/>
        <w:overflowPunct/>
        <w:topLinePunct w:val="0"/>
        <w:autoSpaceDE/>
        <w:autoSpaceDN/>
        <w:bidi w:val="0"/>
        <w:adjustRightInd w:val="0"/>
        <w:snapToGrid w:val="0"/>
        <w:spacing w:beforeLines="0" w:afterLines="0"/>
        <w:ind w:left="0" w:firstLine="420" w:firstLineChars="200"/>
        <w:textAlignment w:val="auto"/>
        <w:rPr>
          <w:color w:val="auto"/>
          <w:sz w:val="21"/>
          <w:szCs w:val="21"/>
          <w:highlight w:val="none"/>
        </w:rPr>
      </w:pPr>
      <w:r>
        <w:rPr>
          <w:rFonts w:hint="eastAsia"/>
          <w:color w:val="auto"/>
          <w:sz w:val="21"/>
          <w:szCs w:val="21"/>
          <w:highlight w:val="none"/>
        </w:rPr>
        <w:t>3、</w:t>
      </w:r>
      <w:r>
        <w:rPr>
          <w:rFonts w:hAnsi="宋体" w:cs="宋体"/>
          <w:color w:val="auto"/>
          <w:kern w:val="0"/>
          <w:sz w:val="21"/>
          <w:szCs w:val="21"/>
          <w:highlight w:val="none"/>
        </w:rPr>
        <w:t>打印纸质资格审查表</w:t>
      </w:r>
      <w:r>
        <w:rPr>
          <w:rFonts w:hint="eastAsia"/>
          <w:color w:val="auto"/>
          <w:sz w:val="21"/>
          <w:szCs w:val="21"/>
          <w:highlight w:val="none"/>
        </w:rPr>
        <w:t>。</w:t>
      </w:r>
    </w:p>
    <w:p>
      <w:pPr>
        <w:keepNext w:val="0"/>
        <w:keepLines w:val="0"/>
        <w:pageBreakBefore w:val="0"/>
        <w:widowControl w:val="0"/>
        <w:kinsoku/>
        <w:overflowPunct/>
        <w:topLinePunct w:val="0"/>
        <w:bidi w:val="0"/>
        <w:spacing w:line="400" w:lineRule="exact"/>
        <w:outlineLvl w:val="1"/>
        <w:rPr>
          <w:rFonts w:ascii="宋体"/>
          <w:b/>
          <w:bCs/>
          <w:color w:val="auto"/>
          <w:sz w:val="24"/>
          <w:highlight w:val="none"/>
        </w:rPr>
      </w:pPr>
      <w:bookmarkStart w:id="211" w:name="_Toc4354"/>
      <w:r>
        <w:rPr>
          <w:rFonts w:hint="eastAsia" w:ascii="宋体"/>
          <w:b/>
          <w:bCs/>
          <w:color w:val="auto"/>
          <w:sz w:val="24"/>
          <w:highlight w:val="none"/>
        </w:rPr>
        <w:t>六、评标</w:t>
      </w:r>
      <w:bookmarkEnd w:id="199"/>
      <w:bookmarkEnd w:id="200"/>
      <w:bookmarkEnd w:id="201"/>
      <w:bookmarkEnd w:id="202"/>
      <w:bookmarkEnd w:id="203"/>
      <w:bookmarkEnd w:id="204"/>
      <w:bookmarkEnd w:id="205"/>
      <w:bookmarkEnd w:id="206"/>
      <w:bookmarkEnd w:id="207"/>
      <w:bookmarkEnd w:id="208"/>
      <w:bookmarkEnd w:id="209"/>
      <w:bookmarkEnd w:id="211"/>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bookmarkStart w:id="212" w:name="_Toc293916884"/>
      <w:r>
        <w:rPr>
          <w:rFonts w:hint="eastAsia"/>
          <w:b/>
          <w:color w:val="auto"/>
          <w:sz w:val="21"/>
          <w:szCs w:val="21"/>
          <w:highlight w:val="none"/>
        </w:rPr>
        <w:t>（一）组建评标委员会</w:t>
      </w:r>
      <w:bookmarkEnd w:id="212"/>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213" w:name="_Toc293916886"/>
      <w:r>
        <w:rPr>
          <w:rFonts w:hint="eastAsia"/>
          <w:color w:val="auto"/>
          <w:sz w:val="21"/>
          <w:szCs w:val="21"/>
          <w:highlight w:val="none"/>
        </w:rPr>
        <w:t>本项目评标委员会成员由5人组成。</w:t>
      </w:r>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r>
        <w:rPr>
          <w:rFonts w:hint="eastAsia"/>
          <w:b/>
          <w:color w:val="auto"/>
          <w:sz w:val="21"/>
          <w:szCs w:val="21"/>
          <w:highlight w:val="none"/>
        </w:rPr>
        <w:t>（二）评标的方式</w:t>
      </w:r>
      <w:bookmarkEnd w:id="213"/>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214" w:name="_Toc293916887"/>
      <w:r>
        <w:rPr>
          <w:rFonts w:hint="eastAsia"/>
          <w:color w:val="auto"/>
          <w:sz w:val="21"/>
          <w:szCs w:val="21"/>
          <w:highlight w:val="none"/>
        </w:rPr>
        <w:t>本项目采用不公开方式评标，评标的依据为招标文件和投标文件。</w:t>
      </w:r>
      <w:bookmarkEnd w:id="214"/>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bookmarkStart w:id="215" w:name="_Toc293916888"/>
      <w:r>
        <w:rPr>
          <w:rFonts w:hint="eastAsia"/>
          <w:b/>
          <w:color w:val="auto"/>
          <w:sz w:val="21"/>
          <w:szCs w:val="21"/>
          <w:highlight w:val="none"/>
        </w:rPr>
        <w:t xml:space="preserve">（三） </w:t>
      </w:r>
      <w:r>
        <w:rPr>
          <w:rFonts w:hint="eastAsia"/>
          <w:b/>
          <w:bCs/>
          <w:color w:val="auto"/>
          <w:sz w:val="21"/>
          <w:szCs w:val="21"/>
          <w:highlight w:val="none"/>
        </w:rPr>
        <w:t>评标程序</w:t>
      </w:r>
      <w:bookmarkEnd w:id="215"/>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color w:val="auto"/>
          <w:szCs w:val="21"/>
          <w:highlight w:val="none"/>
        </w:rPr>
      </w:pPr>
      <w:r>
        <w:rPr>
          <w:rFonts w:hint="eastAsia" w:ascii="宋体"/>
          <w:color w:val="auto"/>
          <w:szCs w:val="21"/>
          <w:highlight w:val="none"/>
        </w:rPr>
        <w:t>1、采购人代表和采购代理机构人员对投标人资格的完整性、合法性等进行审查。</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color w:val="auto"/>
          <w:szCs w:val="21"/>
          <w:highlight w:val="none"/>
        </w:rPr>
      </w:pPr>
      <w:r>
        <w:rPr>
          <w:rFonts w:hint="eastAsia" w:ascii="宋体"/>
          <w:color w:val="auto"/>
          <w:szCs w:val="21"/>
          <w:highlight w:val="none"/>
        </w:rPr>
        <w:t>2、评标委员会审查投标文件的实质性内容是否符合招标文件的实质性要求。</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color w:val="auto"/>
          <w:szCs w:val="21"/>
          <w:highlight w:val="none"/>
        </w:rPr>
      </w:pPr>
      <w:r>
        <w:rPr>
          <w:rFonts w:hint="eastAsia" w:ascii="宋体"/>
          <w:color w:val="auto"/>
          <w:szCs w:val="21"/>
          <w:highlight w:val="none"/>
        </w:rPr>
        <w:t>3、评标委员会将根据投标人的投标文件进行审查、核对，如有疑问，将对投标人进行询标，投标人要向评标委员会澄清有关问题，并最终以书面形式进行答复。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b/>
          <w:color w:val="auto"/>
          <w:szCs w:val="21"/>
          <w:highlight w:val="none"/>
        </w:rPr>
      </w:pPr>
      <w:r>
        <w:rPr>
          <w:rFonts w:hint="eastAsia" w:ascii="宋体"/>
          <w:bCs/>
          <w:color w:val="auto"/>
          <w:szCs w:val="21"/>
          <w:highlight w:val="none"/>
        </w:rPr>
        <w:t>4、评标委员会完成评标后，评标委员会按评标原则确定中标候选人同时起草评标报告。</w:t>
      </w:r>
    </w:p>
    <w:p>
      <w:pPr>
        <w:keepNext w:val="0"/>
        <w:keepLines w:val="0"/>
        <w:pageBreakBefore w:val="0"/>
        <w:widowControl w:val="0"/>
        <w:kinsoku/>
        <w:overflowPunct/>
        <w:topLinePunct w:val="0"/>
        <w:bidi w:val="0"/>
        <w:adjustRightInd w:val="0"/>
        <w:snapToGrid w:val="0"/>
        <w:spacing w:line="400" w:lineRule="exact"/>
        <w:rPr>
          <w:rFonts w:ascii="宋体"/>
          <w:color w:val="auto"/>
          <w:szCs w:val="21"/>
          <w:highlight w:val="none"/>
        </w:rPr>
      </w:pPr>
      <w:r>
        <w:rPr>
          <w:rFonts w:hint="eastAsia" w:ascii="宋体"/>
          <w:color w:val="auto"/>
          <w:szCs w:val="21"/>
          <w:highlight w:val="none"/>
        </w:rPr>
        <w:t xml:space="preserve">    5、全权代表未到场或者拒绝澄清或者澄清的内容改变了投标文件的实质性内容的，评标委员会有权对该投标文件作出不利于投标人的评判。</w:t>
      </w:r>
    </w:p>
    <w:p>
      <w:pPr>
        <w:keepNext w:val="0"/>
        <w:keepLines w:val="0"/>
        <w:pageBreakBefore w:val="0"/>
        <w:widowControl w:val="0"/>
        <w:kinsoku/>
        <w:overflowPunct/>
        <w:topLinePunct w:val="0"/>
        <w:bidi w:val="0"/>
        <w:adjustRightInd w:val="0"/>
        <w:snapToGrid w:val="0"/>
        <w:spacing w:line="400" w:lineRule="exact"/>
        <w:rPr>
          <w:rFonts w:ascii="宋体"/>
          <w:b/>
          <w:color w:val="auto"/>
          <w:szCs w:val="21"/>
          <w:highlight w:val="none"/>
        </w:rPr>
      </w:pPr>
      <w:r>
        <w:rPr>
          <w:rFonts w:hint="eastAsia" w:ascii="宋体"/>
          <w:b/>
          <w:color w:val="auto"/>
          <w:szCs w:val="21"/>
          <w:highlight w:val="none"/>
        </w:rPr>
        <w:t>（四）澄清问题的形式</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bCs/>
          <w:color w:val="auto"/>
          <w:szCs w:val="21"/>
          <w:highlight w:val="none"/>
        </w:rPr>
      </w:pPr>
      <w:bookmarkStart w:id="216" w:name="_Toc293916889"/>
      <w:r>
        <w:rPr>
          <w:rFonts w:hint="eastAsia" w:ascii="宋体"/>
          <w:bCs/>
          <w:color w:val="auto"/>
          <w:szCs w:val="21"/>
          <w:highlight w:val="none"/>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bCs/>
          <w:color w:val="auto"/>
          <w:szCs w:val="21"/>
          <w:highlight w:val="none"/>
        </w:rPr>
      </w:pPr>
      <w:r>
        <w:rPr>
          <w:rFonts w:hint="eastAsia" w:ascii="宋体"/>
          <w:bCs/>
          <w:color w:val="auto"/>
          <w:szCs w:val="21"/>
          <w:highlight w:val="none"/>
        </w:rPr>
        <w:t>2、评标过程中评标委员会对供应商提出质询或要求供应商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keepNext w:val="0"/>
        <w:keepLines w:val="0"/>
        <w:pageBreakBefore w:val="0"/>
        <w:widowControl w:val="0"/>
        <w:kinsoku/>
        <w:overflowPunct/>
        <w:topLinePunct w:val="0"/>
        <w:bidi w:val="0"/>
        <w:adjustRightInd w:val="0"/>
        <w:snapToGrid w:val="0"/>
        <w:spacing w:line="400" w:lineRule="exact"/>
        <w:rPr>
          <w:b/>
          <w:color w:val="auto"/>
          <w:szCs w:val="21"/>
          <w:highlight w:val="none"/>
        </w:rPr>
      </w:pPr>
      <w:r>
        <w:rPr>
          <w:rFonts w:hint="eastAsia"/>
          <w:b/>
          <w:color w:val="auto"/>
          <w:szCs w:val="21"/>
          <w:highlight w:val="none"/>
        </w:rPr>
        <w:t>（五） 错误修正</w:t>
      </w:r>
      <w:bookmarkEnd w:id="216"/>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217" w:name="_Toc293916895"/>
      <w:r>
        <w:rPr>
          <w:rFonts w:hint="eastAsia"/>
          <w:color w:val="auto"/>
          <w:sz w:val="21"/>
          <w:szCs w:val="21"/>
          <w:highlight w:val="none"/>
        </w:rPr>
        <w:t>投标文件如果出现计算或表达上的错误，修正错误的原则如下：</w:t>
      </w:r>
    </w:p>
    <w:p>
      <w:pPr>
        <w:pStyle w:val="28"/>
        <w:keepNext w:val="0"/>
        <w:keepLines w:val="0"/>
        <w:pageBreakBefore w:val="0"/>
        <w:widowControl w:val="0"/>
        <w:kinsoku/>
        <w:overflowPunct/>
        <w:topLinePunct w:val="0"/>
        <w:bidi w:val="0"/>
        <w:adjustRightInd w:val="0"/>
        <w:snapToGrid w:val="0"/>
        <w:spacing w:beforeLines="0" w:afterLines="0"/>
        <w:ind w:left="0" w:firstLine="422" w:firstLineChars="200"/>
        <w:rPr>
          <w:b/>
          <w:color w:val="auto"/>
          <w:sz w:val="21"/>
          <w:szCs w:val="21"/>
          <w:highlight w:val="none"/>
        </w:rPr>
      </w:pPr>
      <w:r>
        <w:rPr>
          <w:rFonts w:hint="eastAsia"/>
          <w:b/>
          <w:color w:val="auto"/>
          <w:sz w:val="21"/>
          <w:szCs w:val="21"/>
          <w:highlight w:val="none"/>
        </w:rPr>
        <w:t>1、开标一览表总价与投标报价明细表汇总数不一致的，以开标一览表为准；</w:t>
      </w:r>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r>
        <w:rPr>
          <w:rFonts w:hint="eastAsia"/>
          <w:color w:val="auto"/>
          <w:sz w:val="21"/>
          <w:szCs w:val="21"/>
          <w:highlight w:val="none"/>
        </w:rPr>
        <w:t>2、大写金额和小写金额不一致的，以大写金额为准；</w:t>
      </w:r>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r>
        <w:rPr>
          <w:rFonts w:hint="eastAsia"/>
          <w:color w:val="auto"/>
          <w:sz w:val="21"/>
          <w:szCs w:val="21"/>
          <w:highlight w:val="none"/>
        </w:rPr>
        <w:t>3、单价金额小数点有明显错位的，应以开标一览表的总价为准，并修改单价；</w:t>
      </w:r>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r>
        <w:rPr>
          <w:rFonts w:hint="eastAsia"/>
          <w:color w:val="auto"/>
          <w:sz w:val="21"/>
          <w:szCs w:val="21"/>
          <w:highlight w:val="none"/>
        </w:rPr>
        <w:t>4、总价金额与按单价汇总金额不一致的，以单价金额计算结果为准；</w:t>
      </w:r>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r>
        <w:rPr>
          <w:rFonts w:hint="eastAsia"/>
          <w:color w:val="auto"/>
          <w:sz w:val="21"/>
          <w:szCs w:val="21"/>
          <w:highlight w:val="none"/>
        </w:rPr>
        <w:t>5、对不同文字文本投标文件的解释发生异议的，以中文文本为准。</w:t>
      </w:r>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r>
        <w:rPr>
          <w:rFonts w:hint="eastAsia"/>
          <w:color w:val="auto"/>
          <w:sz w:val="21"/>
          <w:szCs w:val="21"/>
          <w:highlight w:val="none"/>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r>
        <w:rPr>
          <w:rFonts w:hint="eastAsia"/>
          <w:b/>
          <w:color w:val="auto"/>
          <w:sz w:val="21"/>
          <w:szCs w:val="21"/>
          <w:highlight w:val="none"/>
        </w:rPr>
        <w:t>（六） 评标过程的保密</w:t>
      </w:r>
      <w:bookmarkEnd w:id="217"/>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218" w:name="_Toc293916896"/>
      <w:r>
        <w:rPr>
          <w:rFonts w:hint="eastAsia"/>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bookmarkEnd w:id="218"/>
    </w:p>
    <w:p>
      <w:pPr>
        <w:pStyle w:val="28"/>
        <w:keepNext w:val="0"/>
        <w:keepLines w:val="0"/>
        <w:pageBreakBefore w:val="0"/>
        <w:widowControl w:val="0"/>
        <w:tabs>
          <w:tab w:val="left" w:pos="630"/>
        </w:tabs>
        <w:kinsoku/>
        <w:overflowPunct/>
        <w:topLinePunct w:val="0"/>
        <w:bidi w:val="0"/>
        <w:adjustRightInd w:val="0"/>
        <w:snapToGrid w:val="0"/>
        <w:spacing w:beforeLines="0" w:afterLines="0"/>
        <w:ind w:left="0" w:firstLine="0"/>
        <w:rPr>
          <w:b/>
          <w:color w:val="auto"/>
          <w:sz w:val="21"/>
          <w:szCs w:val="21"/>
          <w:highlight w:val="none"/>
        </w:rPr>
      </w:pPr>
      <w:bookmarkStart w:id="219" w:name="_Toc293916897"/>
      <w:r>
        <w:rPr>
          <w:rFonts w:hint="eastAsia"/>
          <w:b/>
          <w:color w:val="auto"/>
          <w:sz w:val="21"/>
          <w:szCs w:val="21"/>
          <w:highlight w:val="none"/>
        </w:rPr>
        <w:t>（七）评标原则和评标办法</w:t>
      </w:r>
      <w:bookmarkEnd w:id="219"/>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220" w:name="_Toc293916898"/>
      <w:r>
        <w:rPr>
          <w:rFonts w:hint="eastAsia"/>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220"/>
    </w:p>
    <w:p>
      <w:pPr>
        <w:pStyle w:val="28"/>
        <w:keepNext w:val="0"/>
        <w:keepLines w:val="0"/>
        <w:pageBreakBefore w:val="0"/>
        <w:widowControl w:val="0"/>
        <w:kinsoku/>
        <w:overflowPunct/>
        <w:topLinePunct w:val="0"/>
        <w:bidi w:val="0"/>
        <w:adjustRightInd w:val="0"/>
        <w:snapToGrid w:val="0"/>
        <w:spacing w:beforeLines="0" w:afterLines="0"/>
        <w:ind w:left="0" w:firstLine="422" w:firstLineChars="200"/>
        <w:rPr>
          <w:b/>
          <w:color w:val="auto"/>
          <w:sz w:val="21"/>
          <w:szCs w:val="21"/>
          <w:highlight w:val="none"/>
        </w:rPr>
      </w:pPr>
      <w:bookmarkStart w:id="221" w:name="_Toc293916899"/>
      <w:r>
        <w:rPr>
          <w:rFonts w:hint="eastAsia"/>
          <w:b/>
          <w:color w:val="auto"/>
          <w:sz w:val="21"/>
          <w:szCs w:val="21"/>
          <w:highlight w:val="none"/>
        </w:rPr>
        <w:t>2</w:t>
      </w:r>
      <w:r>
        <w:rPr>
          <w:b/>
          <w:color w:val="auto"/>
          <w:sz w:val="21"/>
          <w:szCs w:val="21"/>
          <w:highlight w:val="none"/>
        </w:rPr>
        <w:t>、</w:t>
      </w:r>
      <w:r>
        <w:rPr>
          <w:rFonts w:hint="eastAsia"/>
          <w:b/>
          <w:color w:val="auto"/>
          <w:sz w:val="21"/>
          <w:szCs w:val="21"/>
          <w:highlight w:val="none"/>
        </w:rPr>
        <w:t>财政部第87号令《</w:t>
      </w:r>
      <w:r>
        <w:rPr>
          <w:b/>
          <w:color w:val="auto"/>
          <w:sz w:val="21"/>
          <w:szCs w:val="21"/>
          <w:highlight w:val="none"/>
        </w:rPr>
        <w:t>政府采购货物和服务招标投标管理办法</w:t>
      </w:r>
      <w:r>
        <w:rPr>
          <w:rFonts w:hint="eastAsia"/>
          <w:b/>
          <w:color w:val="auto"/>
          <w:sz w:val="21"/>
          <w:szCs w:val="21"/>
          <w:highlight w:val="none"/>
        </w:rPr>
        <w:t>》第三十一条第二第三款规定：</w:t>
      </w:r>
      <w:r>
        <w:rPr>
          <w:b/>
          <w:color w:val="auto"/>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b/>
          <w:color w:val="auto"/>
          <w:sz w:val="21"/>
          <w:szCs w:val="21"/>
          <w:highlight w:val="none"/>
        </w:rPr>
        <w:t>；</w:t>
      </w:r>
      <w:r>
        <w:rPr>
          <w:b/>
          <w:color w:val="auto"/>
          <w:sz w:val="21"/>
          <w:szCs w:val="21"/>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8"/>
        <w:keepNext w:val="0"/>
        <w:keepLines w:val="0"/>
        <w:pageBreakBefore w:val="0"/>
        <w:widowControl w:val="0"/>
        <w:kinsoku/>
        <w:overflowPunct/>
        <w:topLinePunct w:val="0"/>
        <w:bidi w:val="0"/>
        <w:adjustRightInd w:val="0"/>
        <w:snapToGrid w:val="0"/>
        <w:spacing w:beforeLines="0" w:afterLines="0"/>
        <w:ind w:left="0" w:firstLine="422" w:firstLineChars="200"/>
        <w:rPr>
          <w:b/>
          <w:color w:val="auto"/>
          <w:sz w:val="21"/>
          <w:szCs w:val="21"/>
          <w:highlight w:val="none"/>
        </w:rPr>
      </w:pPr>
      <w:r>
        <w:rPr>
          <w:b/>
          <w:color w:val="auto"/>
          <w:sz w:val="21"/>
          <w:szCs w:val="21"/>
          <w:highlight w:val="none"/>
        </w:rPr>
        <w:t>非单一产品采购项目，采购人应当根据采购项目技术构成、产品价格比重等合理确定核心产品，并在招标文件中载明。多家投标人提供的核心产品品牌相同的，按</w:t>
      </w:r>
      <w:r>
        <w:rPr>
          <w:rFonts w:hint="eastAsia"/>
          <w:b/>
          <w:color w:val="auto"/>
          <w:sz w:val="21"/>
          <w:szCs w:val="21"/>
          <w:highlight w:val="none"/>
        </w:rPr>
        <w:t>三十一条第二</w:t>
      </w:r>
      <w:r>
        <w:rPr>
          <w:b/>
          <w:color w:val="auto"/>
          <w:sz w:val="21"/>
          <w:szCs w:val="21"/>
          <w:highlight w:val="none"/>
        </w:rPr>
        <w:t>款规定处理。</w:t>
      </w:r>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r>
        <w:rPr>
          <w:rFonts w:hint="eastAsia"/>
          <w:color w:val="auto"/>
          <w:sz w:val="21"/>
          <w:szCs w:val="21"/>
          <w:highlight w:val="none"/>
        </w:rPr>
        <w:t>3、评标办法。本项目采用综合评分法，详见《第四章：评标办法及评分标准》。</w:t>
      </w:r>
      <w:bookmarkEnd w:id="221"/>
    </w:p>
    <w:p>
      <w:pPr>
        <w:pStyle w:val="28"/>
        <w:keepNext w:val="0"/>
        <w:keepLines w:val="0"/>
        <w:pageBreakBefore w:val="0"/>
        <w:widowControl w:val="0"/>
        <w:kinsoku/>
        <w:overflowPunct/>
        <w:topLinePunct w:val="0"/>
        <w:bidi w:val="0"/>
        <w:adjustRightInd w:val="0"/>
        <w:snapToGrid w:val="0"/>
        <w:spacing w:beforeLines="0" w:afterLines="0"/>
        <w:ind w:left="0" w:firstLine="0"/>
        <w:rPr>
          <w:b/>
          <w:color w:val="auto"/>
          <w:sz w:val="21"/>
          <w:szCs w:val="21"/>
          <w:highlight w:val="none"/>
        </w:rPr>
      </w:pPr>
      <w:r>
        <w:rPr>
          <w:rFonts w:hint="eastAsia"/>
          <w:b/>
          <w:color w:val="auto"/>
          <w:sz w:val="21"/>
          <w:szCs w:val="21"/>
          <w:highlight w:val="none"/>
        </w:rPr>
        <w:t>（八）评标过程的监控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ascii="宋体"/>
          <w:b/>
          <w:bCs/>
          <w:color w:val="auto"/>
          <w:sz w:val="24"/>
          <w:highlight w:val="none"/>
        </w:rPr>
      </w:pPr>
      <w:bookmarkStart w:id="222" w:name="_Toc293916022"/>
      <w:bookmarkStart w:id="223" w:name="_Toc27366"/>
      <w:bookmarkStart w:id="224" w:name="_Toc10944"/>
      <w:bookmarkStart w:id="225" w:name="_Toc424544817"/>
      <w:bookmarkStart w:id="226" w:name="_Toc293917022"/>
      <w:bookmarkStart w:id="227" w:name="_Toc29465"/>
      <w:bookmarkStart w:id="228" w:name="_Toc25731"/>
      <w:bookmarkStart w:id="229" w:name="_Toc27877"/>
      <w:bookmarkStart w:id="230" w:name="_Toc293916373"/>
      <w:bookmarkStart w:id="231" w:name="_Toc424544538"/>
      <w:bookmarkStart w:id="232" w:name="_Toc293916900"/>
      <w:bookmarkStart w:id="233" w:name="_Toc25169"/>
      <w:r>
        <w:rPr>
          <w:rFonts w:hint="eastAsia" w:ascii="宋体"/>
          <w:b/>
          <w:bCs/>
          <w:color w:val="auto"/>
          <w:sz w:val="24"/>
          <w:highlight w:val="none"/>
        </w:rPr>
        <w:t>六、定标</w:t>
      </w:r>
      <w:bookmarkEnd w:id="222"/>
      <w:bookmarkEnd w:id="223"/>
      <w:bookmarkEnd w:id="224"/>
      <w:bookmarkEnd w:id="225"/>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ascii="宋体" w:cs="宋体"/>
          <w:color w:val="auto"/>
          <w:szCs w:val="21"/>
          <w:highlight w:val="none"/>
        </w:rPr>
      </w:pPr>
      <w:bookmarkStart w:id="234" w:name="_Toc293916901"/>
      <w:bookmarkStart w:id="235" w:name="_Toc293916023"/>
      <w:bookmarkStart w:id="236" w:name="_Toc424544539"/>
      <w:bookmarkStart w:id="237" w:name="_Toc28404"/>
      <w:bookmarkStart w:id="238" w:name="_Toc26012"/>
      <w:bookmarkStart w:id="239" w:name="_Toc424544818"/>
      <w:bookmarkStart w:id="240" w:name="_Toc9175"/>
      <w:bookmarkStart w:id="241" w:name="_Toc293916374"/>
      <w:bookmarkStart w:id="242" w:name="_Toc28487"/>
      <w:bookmarkStart w:id="243" w:name="_Toc293917023"/>
      <w:bookmarkStart w:id="244" w:name="_Toc6498"/>
      <w:bookmarkStart w:id="245" w:name="_Toc3917"/>
      <w:r>
        <w:rPr>
          <w:rFonts w:ascii="宋体" w:hAnsi="宋体" w:cs="宋体"/>
          <w:color w:val="auto"/>
          <w:szCs w:val="21"/>
          <w:highlight w:val="none"/>
        </w:rPr>
        <w:t>1</w:t>
      </w:r>
      <w:r>
        <w:rPr>
          <w:rFonts w:hint="eastAsia" w:ascii="宋体" w:hAnsi="宋体" w:cs="宋体"/>
          <w:color w:val="auto"/>
          <w:szCs w:val="21"/>
          <w:highlight w:val="none"/>
        </w:rPr>
        <w:t>、本项目由采购人确定中标供应商。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、本次评审采用综合评分法，即在质量和服务均能满足招标文件实质性要求且综合得分由高到低的原则确定中标供应商。</w:t>
      </w:r>
      <w:r>
        <w:rPr>
          <w:rFonts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、开标结束后，评标小组拟制评标报告。</w:t>
      </w:r>
      <w:r>
        <w:rPr>
          <w:rFonts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、采购代理机构在评标结束后</w:t>
      </w:r>
      <w:r>
        <w:rPr>
          <w:rFonts w:ascii="宋体" w:hAnsi="宋体" w:cs="宋体"/>
          <w:color w:val="auto"/>
          <w:szCs w:val="21"/>
          <w:highlight w:val="none"/>
        </w:rPr>
        <w:t>2</w:t>
      </w:r>
      <w:r>
        <w:rPr>
          <w:rFonts w:hint="eastAsia" w:ascii="宋体" w:hAnsi="宋体" w:cs="宋体"/>
          <w:color w:val="auto"/>
          <w:szCs w:val="21"/>
          <w:highlight w:val="none"/>
        </w:rPr>
        <w:t>个工作日内将评标报告交采购人确认。</w:t>
      </w:r>
      <w:r>
        <w:rPr>
          <w:rFonts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、采购人在收到评标报告后</w:t>
      </w:r>
      <w:r>
        <w:rPr>
          <w:rFonts w:ascii="宋体" w:hAnsi="宋体" w:cs="宋体"/>
          <w:color w:val="auto"/>
          <w:szCs w:val="21"/>
          <w:highlight w:val="none"/>
        </w:rPr>
        <w:t>5</w:t>
      </w:r>
      <w:r>
        <w:rPr>
          <w:rFonts w:hint="eastAsia" w:ascii="宋体" w:hAnsi="宋体" w:cs="宋体"/>
          <w:color w:val="auto"/>
          <w:szCs w:val="21"/>
          <w:highlight w:val="none"/>
        </w:rPr>
        <w:t>个工作日内对评标结果进行确认。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、采购人确定中标供应商后</w:t>
      </w:r>
      <w:r>
        <w:rPr>
          <w:rFonts w:ascii="宋体" w:hAnsi="宋体" w:cs="宋体"/>
          <w:color w:val="auto"/>
          <w:szCs w:val="21"/>
          <w:highlight w:val="none"/>
        </w:rPr>
        <w:t>2</w:t>
      </w:r>
      <w:r>
        <w:rPr>
          <w:rFonts w:hint="eastAsia" w:ascii="宋体" w:hAnsi="宋体" w:cs="宋体"/>
          <w:color w:val="auto"/>
          <w:szCs w:val="21"/>
          <w:highlight w:val="none"/>
        </w:rPr>
        <w:t>个工作日内，采购代理机构在相关网站上发布中标公告，同时发出中标通知书。</w:t>
      </w:r>
    </w:p>
    <w:p>
      <w:pPr>
        <w:keepNext w:val="0"/>
        <w:keepLines w:val="0"/>
        <w:pageBreakBefore w:val="0"/>
        <w:widowControl w:val="0"/>
        <w:kinsoku/>
        <w:wordWrap/>
        <w:overflowPunct/>
        <w:topLinePunct w:val="0"/>
        <w:autoSpaceDE/>
        <w:autoSpaceDN/>
        <w:bidi w:val="0"/>
        <w:spacing w:line="400" w:lineRule="exact"/>
        <w:textAlignment w:val="auto"/>
        <w:outlineLvl w:val="1"/>
        <w:rPr>
          <w:rFonts w:ascii="宋体"/>
          <w:b/>
          <w:bCs/>
          <w:color w:val="auto"/>
          <w:sz w:val="24"/>
          <w:highlight w:val="none"/>
        </w:rPr>
      </w:pPr>
      <w:r>
        <w:rPr>
          <w:rFonts w:hint="eastAsia" w:ascii="宋体"/>
          <w:b/>
          <w:bCs/>
          <w:color w:val="auto"/>
          <w:sz w:val="24"/>
          <w:highlight w:val="none"/>
        </w:rPr>
        <w:t>七、合同授予</w:t>
      </w:r>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color w:val="auto"/>
          <w:szCs w:val="21"/>
          <w:highlight w:val="none"/>
        </w:rPr>
      </w:pPr>
      <w:r>
        <w:rPr>
          <w:rFonts w:hint="eastAsia" w:ascii="宋体"/>
          <w:b/>
          <w:color w:val="auto"/>
          <w:szCs w:val="21"/>
          <w:highlight w:val="none"/>
        </w:rPr>
        <w:t>（一）签订合同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1、中标人应自接到中标通知书后</w:t>
      </w:r>
      <w:r>
        <w:rPr>
          <w:rFonts w:hint="eastAsia" w:ascii="宋体"/>
          <w:color w:val="auto"/>
          <w:szCs w:val="21"/>
          <w:highlight w:val="none"/>
          <w:u w:val="single"/>
          <w:lang w:val="en-US" w:eastAsia="zh-CN"/>
        </w:rPr>
        <w:t>30</w:t>
      </w:r>
      <w:r>
        <w:rPr>
          <w:rFonts w:hint="eastAsia" w:ascii="宋体"/>
          <w:color w:val="auto"/>
          <w:szCs w:val="21"/>
          <w:highlight w:val="none"/>
        </w:rPr>
        <w:t>天内与采购人签订合同。同时，采购人对合同内容进行审查，如发现与采购结果和投标承诺内容不一致的，应予以纠正。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2、中标人拖延、拒签合同的，将被取消中标资格。</w:t>
      </w:r>
    </w:p>
    <w:p>
      <w:pPr>
        <w:pStyle w:val="28"/>
        <w:keepNext w:val="0"/>
        <w:keepLines w:val="0"/>
        <w:pageBreakBefore w:val="0"/>
        <w:widowControl w:val="0"/>
        <w:kinsoku/>
        <w:overflowPunct/>
        <w:topLinePunct w:val="0"/>
        <w:bidi w:val="0"/>
        <w:adjustRightInd w:val="0"/>
        <w:snapToGrid w:val="0"/>
        <w:spacing w:beforeLines="0" w:afterLines="0"/>
        <w:ind w:left="0" w:firstLine="0"/>
        <w:rPr>
          <w:b/>
          <w:bCs/>
          <w:color w:val="auto"/>
          <w:sz w:val="21"/>
          <w:szCs w:val="21"/>
          <w:highlight w:val="none"/>
        </w:rPr>
      </w:pPr>
      <w:bookmarkStart w:id="246" w:name="_Toc293916902"/>
      <w:r>
        <w:rPr>
          <w:rFonts w:hint="eastAsia"/>
          <w:b/>
          <w:bCs/>
          <w:color w:val="auto"/>
          <w:sz w:val="21"/>
          <w:szCs w:val="21"/>
          <w:highlight w:val="none"/>
        </w:rPr>
        <w:t>（二）招标代理服务费</w:t>
      </w:r>
      <w:bookmarkEnd w:id="246"/>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247" w:name="_Toc293916903"/>
      <w:r>
        <w:rPr>
          <w:rFonts w:hint="eastAsia"/>
          <w:color w:val="auto"/>
          <w:sz w:val="21"/>
          <w:szCs w:val="21"/>
          <w:highlight w:val="none"/>
        </w:rPr>
        <w:t>1、领取中标通知书时，中标人应按招标文件约定向采购代理机构缴纳招标代理服务费。</w:t>
      </w:r>
      <w:bookmarkEnd w:id="247"/>
    </w:p>
    <w:p>
      <w:pPr>
        <w:pStyle w:val="28"/>
        <w:keepNext w:val="0"/>
        <w:keepLines w:val="0"/>
        <w:pageBreakBefore w:val="0"/>
        <w:widowControl w:val="0"/>
        <w:kinsoku/>
        <w:overflowPunct/>
        <w:topLinePunct w:val="0"/>
        <w:bidi w:val="0"/>
        <w:adjustRightInd w:val="0"/>
        <w:snapToGrid w:val="0"/>
        <w:spacing w:beforeLines="0" w:afterLines="0"/>
        <w:ind w:left="0" w:firstLine="420" w:firstLineChars="200"/>
        <w:rPr>
          <w:color w:val="auto"/>
          <w:sz w:val="21"/>
          <w:szCs w:val="21"/>
          <w:highlight w:val="none"/>
        </w:rPr>
      </w:pPr>
      <w:bookmarkStart w:id="248" w:name="_Toc177870559"/>
      <w:r>
        <w:rPr>
          <w:rFonts w:hint="eastAsia"/>
          <w:color w:val="auto"/>
          <w:sz w:val="21"/>
          <w:szCs w:val="21"/>
          <w:highlight w:val="none"/>
        </w:rPr>
        <w:t>2、</w:t>
      </w:r>
      <w:r>
        <w:rPr>
          <w:rFonts w:hint="eastAsia" w:cs="宋体"/>
          <w:color w:val="auto"/>
          <w:sz w:val="21"/>
          <w:szCs w:val="21"/>
          <w:highlight w:val="none"/>
        </w:rPr>
        <w:t>招标代理费由中标单位支付。</w:t>
      </w:r>
    </w:p>
    <w:p>
      <w:pPr>
        <w:pStyle w:val="28"/>
        <w:keepNext w:val="0"/>
        <w:keepLines w:val="0"/>
        <w:pageBreakBefore w:val="0"/>
        <w:widowControl w:val="0"/>
        <w:kinsoku/>
        <w:overflowPunct/>
        <w:topLinePunct w:val="0"/>
        <w:bidi w:val="0"/>
        <w:adjustRightInd w:val="0"/>
        <w:snapToGrid w:val="0"/>
        <w:spacing w:beforeLines="0" w:afterLines="0"/>
        <w:ind w:left="0" w:firstLine="0"/>
        <w:jc w:val="left"/>
        <w:rPr>
          <w:b/>
          <w:color w:val="auto"/>
          <w:sz w:val="21"/>
          <w:szCs w:val="21"/>
          <w:highlight w:val="none"/>
        </w:rPr>
        <w:sectPr>
          <w:headerReference r:id="rId3" w:type="default"/>
          <w:footerReference r:id="rId4" w:type="default"/>
          <w:footerReference r:id="rId5" w:type="even"/>
          <w:pgSz w:w="11906" w:h="16838"/>
          <w:pgMar w:top="1361" w:right="1701" w:bottom="1361" w:left="1701" w:header="851" w:footer="907" w:gutter="0"/>
          <w:pgNumType w:start="0"/>
          <w:cols w:space="720" w:num="1"/>
          <w:titlePg/>
          <w:docGrid w:linePitch="312" w:charSpace="0"/>
        </w:sectPr>
      </w:pPr>
    </w:p>
    <w:p>
      <w:pPr>
        <w:keepNext w:val="0"/>
        <w:keepLines w:val="0"/>
        <w:pageBreakBefore w:val="0"/>
        <w:widowControl w:val="0"/>
        <w:kinsoku/>
        <w:overflowPunct/>
        <w:topLinePunct w:val="0"/>
        <w:bidi w:val="0"/>
        <w:spacing w:before="120" w:beforeLines="50" w:after="120" w:afterLines="50"/>
        <w:jc w:val="center"/>
        <w:outlineLvl w:val="0"/>
        <w:rPr>
          <w:rFonts w:ascii="宋体"/>
          <w:b/>
          <w:bCs/>
          <w:color w:val="auto"/>
          <w:sz w:val="32"/>
          <w:szCs w:val="30"/>
          <w:highlight w:val="none"/>
        </w:rPr>
      </w:pPr>
      <w:bookmarkStart w:id="249" w:name="_Toc11128"/>
      <w:bookmarkStart w:id="250" w:name="_Toc293916024"/>
      <w:bookmarkStart w:id="251" w:name="_Toc4875"/>
      <w:bookmarkStart w:id="252" w:name="_Toc293916907"/>
      <w:bookmarkStart w:id="253" w:name="_Toc293917024"/>
      <w:bookmarkStart w:id="254" w:name="_Toc4587"/>
      <w:bookmarkStart w:id="255" w:name="_Toc424544540"/>
      <w:bookmarkStart w:id="256" w:name="_Toc299"/>
      <w:bookmarkStart w:id="257" w:name="_Toc28315"/>
      <w:bookmarkStart w:id="258" w:name="_Toc26423"/>
      <w:bookmarkStart w:id="259" w:name="_Toc293916375"/>
      <w:bookmarkStart w:id="260" w:name="_Toc424544819"/>
      <w:r>
        <w:rPr>
          <w:rFonts w:hint="eastAsia" w:ascii="宋体"/>
          <w:b/>
          <w:bCs/>
          <w:color w:val="auto"/>
          <w:sz w:val="32"/>
          <w:szCs w:val="30"/>
          <w:highlight w:val="none"/>
        </w:rPr>
        <w:t>第四章、评标办法及评分标准</w:t>
      </w:r>
      <w:bookmarkEnd w:id="249"/>
      <w:bookmarkEnd w:id="250"/>
      <w:bookmarkEnd w:id="251"/>
      <w:bookmarkEnd w:id="252"/>
      <w:bookmarkEnd w:id="253"/>
      <w:bookmarkEnd w:id="254"/>
      <w:bookmarkEnd w:id="255"/>
      <w:bookmarkEnd w:id="256"/>
      <w:bookmarkEnd w:id="257"/>
      <w:bookmarkEnd w:id="258"/>
      <w:bookmarkEnd w:id="259"/>
      <w:bookmarkEnd w:id="260"/>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ascii="宋体"/>
          <w:color w:val="auto"/>
          <w:szCs w:val="21"/>
          <w:highlight w:val="none"/>
        </w:rPr>
      </w:pPr>
      <w:bookmarkStart w:id="261" w:name="_Toc26272"/>
      <w:bookmarkStart w:id="262" w:name="_Toc10014"/>
      <w:bookmarkStart w:id="263" w:name="_Toc293917026"/>
      <w:bookmarkStart w:id="264" w:name="_Toc424544542"/>
      <w:bookmarkStart w:id="265" w:name="_Toc424544821"/>
      <w:bookmarkStart w:id="266" w:name="_Toc27595"/>
      <w:bookmarkStart w:id="267" w:name="_Toc21124"/>
      <w:bookmarkStart w:id="268" w:name="_Toc293916909"/>
      <w:bookmarkStart w:id="269" w:name="_Toc13283"/>
      <w:bookmarkStart w:id="270" w:name="_Toc293916377"/>
      <w:bookmarkStart w:id="271" w:name="_Toc293916026"/>
      <w:bookmarkStart w:id="272" w:name="_Toc293916910"/>
      <w:bookmarkStart w:id="273" w:name="_Toc293917027"/>
      <w:bookmarkStart w:id="274" w:name="_Toc293916378"/>
      <w:bookmarkStart w:id="275" w:name="_Toc293916027"/>
      <w:r>
        <w:rPr>
          <w:rFonts w:hint="eastAsia" w:ascii="宋体"/>
          <w:color w:val="auto"/>
          <w:szCs w:val="21"/>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ascii="宋体"/>
          <w:bCs/>
          <w:color w:val="auto"/>
          <w:szCs w:val="21"/>
          <w:highlight w:val="none"/>
        </w:rPr>
      </w:pPr>
      <w:r>
        <w:rPr>
          <w:rFonts w:hint="eastAsia" w:ascii="宋体"/>
          <w:color w:val="auto"/>
          <w:szCs w:val="21"/>
          <w:highlight w:val="none"/>
        </w:rPr>
        <w:t>本办法适用于</w:t>
      </w:r>
      <w:r>
        <w:rPr>
          <w:rFonts w:hint="eastAsia" w:ascii="宋体" w:cs="宋体"/>
          <w:color w:val="auto"/>
          <w:szCs w:val="21"/>
          <w:highlight w:val="none"/>
          <w:lang w:eastAsia="zh-CN"/>
        </w:rPr>
        <w:t>浪漫山川旅游度假区基础设施一期建设工程之浪漫山川全域智慧旅游系统（标识标牌、智慧驿站）设计建设项目</w:t>
      </w:r>
      <w:r>
        <w:rPr>
          <w:rFonts w:hint="eastAsia" w:ascii="宋体"/>
          <w:bCs/>
          <w:color w:val="auto"/>
          <w:szCs w:val="21"/>
          <w:highlight w:val="none"/>
        </w:rPr>
        <w:t>的评标。</w:t>
      </w:r>
    </w:p>
    <w:p>
      <w:pPr>
        <w:keepNext w:val="0"/>
        <w:keepLines w:val="0"/>
        <w:pageBreakBefore w:val="0"/>
        <w:widowControl w:val="0"/>
        <w:kinsoku/>
        <w:wordWrap/>
        <w:overflowPunct/>
        <w:topLinePunct w:val="0"/>
        <w:bidi w:val="0"/>
        <w:snapToGrid/>
        <w:spacing w:line="400" w:lineRule="exact"/>
        <w:textAlignment w:val="auto"/>
        <w:rPr>
          <w:rFonts w:ascii="宋体"/>
          <w:b/>
          <w:color w:val="auto"/>
          <w:szCs w:val="21"/>
          <w:highlight w:val="none"/>
        </w:rPr>
      </w:pPr>
      <w:bookmarkStart w:id="276" w:name="_Toc24532"/>
      <w:bookmarkStart w:id="277" w:name="_Toc28834"/>
      <w:bookmarkStart w:id="278" w:name="_Toc15123"/>
      <w:bookmarkStart w:id="279" w:name="_Toc424544541"/>
      <w:bookmarkStart w:id="280" w:name="_Toc3256"/>
      <w:bookmarkStart w:id="281" w:name="_Toc424544820"/>
      <w:bookmarkStart w:id="282" w:name="_Toc1440"/>
      <w:r>
        <w:rPr>
          <w:rFonts w:hint="eastAsia" w:ascii="宋体"/>
          <w:b/>
          <w:color w:val="auto"/>
          <w:szCs w:val="21"/>
          <w:highlight w:val="none"/>
        </w:rPr>
        <w:t>一、总则</w:t>
      </w:r>
      <w:bookmarkEnd w:id="276"/>
      <w:bookmarkEnd w:id="277"/>
      <w:bookmarkEnd w:id="278"/>
      <w:bookmarkEnd w:id="279"/>
      <w:bookmarkEnd w:id="280"/>
      <w:bookmarkEnd w:id="281"/>
      <w:bookmarkEnd w:id="282"/>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ascii="宋体"/>
          <w:color w:val="auto"/>
          <w:szCs w:val="21"/>
          <w:highlight w:val="none"/>
        </w:rPr>
      </w:pPr>
      <w:r>
        <w:rPr>
          <w:rFonts w:hint="eastAsia" w:ascii="宋体"/>
          <w:color w:val="auto"/>
          <w:szCs w:val="21"/>
          <w:highlight w:val="none"/>
        </w:rPr>
        <w:t>本次评标采用综合评分法，总分为100分。其中价格分</w:t>
      </w:r>
      <w:r>
        <w:rPr>
          <w:rFonts w:hint="eastAsia" w:ascii="宋体"/>
          <w:color w:val="auto"/>
          <w:szCs w:val="21"/>
          <w:highlight w:val="none"/>
          <w:lang w:val="en-US" w:eastAsia="zh-CN"/>
        </w:rPr>
        <w:t>20</w:t>
      </w:r>
      <w:r>
        <w:rPr>
          <w:rFonts w:hint="eastAsia" w:ascii="宋体"/>
          <w:color w:val="auto"/>
          <w:szCs w:val="21"/>
          <w:highlight w:val="none"/>
        </w:rPr>
        <w:t>分，商务技术分为</w:t>
      </w:r>
      <w:r>
        <w:rPr>
          <w:rFonts w:hint="eastAsia" w:ascii="宋体"/>
          <w:color w:val="auto"/>
          <w:szCs w:val="21"/>
          <w:highlight w:val="none"/>
          <w:lang w:val="en-US" w:eastAsia="zh-CN"/>
        </w:rPr>
        <w:t>8</w:t>
      </w:r>
      <w:r>
        <w:rPr>
          <w:rFonts w:hint="eastAsia" w:ascii="宋体"/>
          <w:color w:val="auto"/>
          <w:szCs w:val="21"/>
          <w:highlight w:val="none"/>
        </w:rPr>
        <w:t>0分。合格投标人的评标得分为各项目汇总得分，中标候选资格按评标得分由高到低顺序排列，得分相同的，按投标报价由低到高顺序排列；得分且投标报价相同的并列。排名第一的投标人为中标人，排名第二的投标人为中标候选人......其他投标人中标候选资格以此类推。评分过程中采用四舍五入法，并保留小数2位。</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ascii="宋体" w:hAnsi="宋体"/>
          <w:color w:val="auto"/>
          <w:szCs w:val="21"/>
          <w:highlight w:val="none"/>
        </w:rPr>
      </w:pPr>
      <w:r>
        <w:rPr>
          <w:rFonts w:hint="eastAsia" w:ascii="宋体" w:hAnsi="宋体"/>
          <w:color w:val="auto"/>
          <w:szCs w:val="21"/>
          <w:highlight w:val="none"/>
        </w:rPr>
        <w:t>投标人评标综合得分=价格分+（技术、商务及其他分）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ascii="宋体" w:hAnsi="宋体"/>
          <w:color w:val="auto"/>
          <w:szCs w:val="21"/>
          <w:highlight w:val="none"/>
        </w:rPr>
      </w:pPr>
      <w:r>
        <w:rPr>
          <w:rFonts w:hint="eastAsia" w:ascii="宋体" w:hAnsi="宋体"/>
          <w:color w:val="auto"/>
          <w:szCs w:val="21"/>
          <w:highlight w:val="none"/>
        </w:rPr>
        <w:t>技术、商务及其他分按照评标委员会成员的独立评分结果汇总后的算术平均分计算，计算公式为：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ascii="宋体" w:hAnsi="宋体"/>
          <w:color w:val="auto"/>
          <w:szCs w:val="21"/>
          <w:highlight w:val="none"/>
        </w:rPr>
      </w:pPr>
      <w:r>
        <w:rPr>
          <w:rFonts w:hint="eastAsia" w:ascii="宋体" w:hAnsi="宋体"/>
          <w:color w:val="auto"/>
          <w:szCs w:val="21"/>
          <w:highlight w:val="none"/>
        </w:rPr>
        <w:t>技术、商务及其他分=评标委员会所有成员评分合计数/评标委员会组成人员数</w:t>
      </w:r>
    </w:p>
    <w:p>
      <w:pPr>
        <w:keepNext w:val="0"/>
        <w:keepLines w:val="0"/>
        <w:pageBreakBefore w:val="0"/>
        <w:widowControl w:val="0"/>
        <w:kinsoku/>
        <w:wordWrap/>
        <w:overflowPunct/>
        <w:topLinePunct w:val="0"/>
        <w:bidi w:val="0"/>
        <w:snapToGrid/>
        <w:spacing w:line="400" w:lineRule="exact"/>
        <w:textAlignment w:val="auto"/>
        <w:rPr>
          <w:rFonts w:ascii="宋体"/>
          <w:b/>
          <w:color w:val="auto"/>
          <w:szCs w:val="21"/>
          <w:highlight w:val="none"/>
        </w:rPr>
      </w:pPr>
      <w:r>
        <w:rPr>
          <w:rFonts w:hint="eastAsia" w:ascii="宋体"/>
          <w:b/>
          <w:color w:val="auto"/>
          <w:szCs w:val="21"/>
          <w:highlight w:val="none"/>
        </w:rPr>
        <w:t>二、评标内容及标准</w:t>
      </w:r>
    </w:p>
    <w:p>
      <w:pPr>
        <w:keepNext w:val="0"/>
        <w:keepLines w:val="0"/>
        <w:pageBreakBefore w:val="0"/>
        <w:widowControl w:val="0"/>
        <w:numPr>
          <w:ilvl w:val="0"/>
          <w:numId w:val="22"/>
        </w:numPr>
        <w:kinsoku/>
        <w:wordWrap/>
        <w:overflowPunct/>
        <w:topLinePunct w:val="0"/>
        <w:bidi w:val="0"/>
        <w:snapToGrid/>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价格分（</w:t>
      </w:r>
      <w:r>
        <w:rPr>
          <w:rFonts w:hint="eastAsia" w:ascii="宋体" w:hAnsi="宋体"/>
          <w:b/>
          <w:color w:val="auto"/>
          <w:szCs w:val="21"/>
          <w:highlight w:val="none"/>
          <w:lang w:val="en-US" w:eastAsia="zh-CN"/>
        </w:rPr>
        <w:t>2</w:t>
      </w:r>
      <w:r>
        <w:rPr>
          <w:rFonts w:hint="eastAsia" w:ascii="宋体" w:hAnsi="宋体"/>
          <w:b/>
          <w:color w:val="auto"/>
          <w:szCs w:val="21"/>
          <w:highlight w:val="none"/>
        </w:rPr>
        <w:t>0分）</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ascii="宋体" w:hAnsi="宋体"/>
          <w:color w:val="auto"/>
          <w:szCs w:val="21"/>
          <w:highlight w:val="none"/>
        </w:rPr>
      </w:pPr>
      <w:r>
        <w:rPr>
          <w:rStyle w:val="74"/>
          <w:rFonts w:hint="eastAsia" w:ascii="宋体" w:hAnsi="宋体" w:cs="宋体"/>
          <w:color w:val="auto"/>
          <w:highlight w:val="none"/>
        </w:rPr>
        <w:t>1、</w:t>
      </w:r>
      <w:r>
        <w:rPr>
          <w:rStyle w:val="74"/>
          <w:rFonts w:ascii="宋体" w:hAnsi="宋体" w:cs="宋体"/>
          <w:color w:val="auto"/>
          <w:highlight w:val="none"/>
          <w:lang w:val="zh-TW" w:eastAsia="zh-TW"/>
        </w:rPr>
        <w:t>满足招标文件要求且投标</w:t>
      </w:r>
      <w:r>
        <w:rPr>
          <w:rStyle w:val="74"/>
          <w:rFonts w:hint="eastAsia" w:ascii="宋体" w:hAnsi="宋体" w:cs="宋体"/>
          <w:color w:val="auto"/>
          <w:highlight w:val="none"/>
          <w:lang w:val="zh-TW"/>
        </w:rPr>
        <w:t>报价</w:t>
      </w:r>
      <w:r>
        <w:rPr>
          <w:rStyle w:val="74"/>
          <w:rFonts w:ascii="宋体" w:hAnsi="宋体" w:cs="宋体"/>
          <w:color w:val="auto"/>
          <w:highlight w:val="none"/>
          <w:lang w:val="zh-TW" w:eastAsia="zh-TW"/>
        </w:rPr>
        <w:t>最低</w:t>
      </w:r>
      <w:r>
        <w:rPr>
          <w:rStyle w:val="74"/>
          <w:rFonts w:hint="eastAsia" w:ascii="宋体" w:hAnsi="宋体" w:cs="宋体"/>
          <w:color w:val="auto"/>
          <w:highlight w:val="none"/>
          <w:lang w:val="zh-TW"/>
        </w:rPr>
        <w:t>的</w:t>
      </w:r>
      <w:r>
        <w:rPr>
          <w:rStyle w:val="74"/>
          <w:rFonts w:ascii="宋体" w:hAnsi="宋体" w:cs="宋体"/>
          <w:color w:val="auto"/>
          <w:highlight w:val="none"/>
          <w:lang w:val="zh-TW" w:eastAsia="zh-TW"/>
        </w:rPr>
        <w:t>为评标基准价，有效投标人的投标</w:t>
      </w:r>
      <w:r>
        <w:rPr>
          <w:rStyle w:val="74"/>
          <w:rFonts w:hint="eastAsia" w:ascii="宋体" w:hAnsi="宋体" w:cs="宋体"/>
          <w:color w:val="auto"/>
          <w:highlight w:val="none"/>
          <w:lang w:val="zh-TW"/>
        </w:rPr>
        <w:t>报价</w:t>
      </w:r>
      <w:r>
        <w:rPr>
          <w:rStyle w:val="74"/>
          <w:rFonts w:ascii="宋体" w:hAnsi="宋体" w:cs="宋体"/>
          <w:color w:val="auto"/>
          <w:highlight w:val="none"/>
          <w:lang w:val="zh-TW" w:eastAsia="zh-TW"/>
        </w:rPr>
        <w:t>等于评标基准价时其报价分为满分</w:t>
      </w:r>
      <w:r>
        <w:rPr>
          <w:rStyle w:val="74"/>
          <w:rFonts w:hint="eastAsia" w:ascii="宋体" w:hAnsi="宋体" w:cs="宋体"/>
          <w:color w:val="auto"/>
          <w:highlight w:val="none"/>
          <w:lang w:val="en-US" w:eastAsia="zh-CN"/>
        </w:rPr>
        <w:t>2</w:t>
      </w:r>
      <w:r>
        <w:rPr>
          <w:rStyle w:val="74"/>
          <w:rFonts w:hint="eastAsia" w:ascii="宋体" w:hAnsi="宋体" w:cs="宋体"/>
          <w:color w:val="auto"/>
          <w:highlight w:val="none"/>
        </w:rPr>
        <w:t>0</w:t>
      </w:r>
      <w:r>
        <w:rPr>
          <w:rStyle w:val="74"/>
          <w:rFonts w:ascii="宋体" w:hAnsi="宋体" w:cs="宋体"/>
          <w:color w:val="auto"/>
          <w:highlight w:val="none"/>
          <w:lang w:val="zh-TW" w:eastAsia="zh-TW"/>
        </w:rPr>
        <w:t>分，其他投标人的价格分按照下列公式计算</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价格分=（</w:t>
      </w:r>
      <w:r>
        <w:rPr>
          <w:rStyle w:val="74"/>
          <w:rFonts w:ascii="宋体" w:hAnsi="宋体" w:cs="宋体"/>
          <w:color w:val="auto"/>
          <w:highlight w:val="none"/>
          <w:lang w:val="zh-TW" w:eastAsia="zh-TW"/>
        </w:rPr>
        <w:t>评标基准价</w:t>
      </w:r>
      <w:r>
        <w:rPr>
          <w:rStyle w:val="74"/>
          <w:rFonts w:ascii="宋体" w:hAnsi="宋体" w:cs="宋体"/>
          <w:color w:val="auto"/>
          <w:highlight w:val="none"/>
        </w:rPr>
        <w:t>/</w:t>
      </w:r>
      <w:r>
        <w:rPr>
          <w:rStyle w:val="74"/>
          <w:rFonts w:ascii="宋体" w:hAnsi="宋体" w:cs="宋体"/>
          <w:color w:val="auto"/>
          <w:highlight w:val="none"/>
          <w:lang w:val="zh-TW" w:eastAsia="zh-TW"/>
        </w:rPr>
        <w:t>投标</w:t>
      </w:r>
      <w:r>
        <w:rPr>
          <w:rStyle w:val="74"/>
          <w:rFonts w:hint="eastAsia" w:ascii="宋体" w:hAnsi="宋体" w:cs="宋体"/>
          <w:color w:val="auto"/>
          <w:highlight w:val="none"/>
          <w:lang w:val="zh-TW"/>
        </w:rPr>
        <w:t>单价</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0%×100（保留小数2位）</w:t>
      </w:r>
    </w:p>
    <w:p>
      <w:pPr>
        <w:keepNext w:val="0"/>
        <w:keepLines w:val="0"/>
        <w:pageBreakBefore w:val="0"/>
        <w:widowControl w:val="0"/>
        <w:kinsoku/>
        <w:wordWrap/>
        <w:overflowPunct/>
        <w:topLinePunct w:val="0"/>
        <w:bidi w:val="0"/>
        <w:snapToGrid/>
        <w:spacing w:line="40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2、投标人的投标报价超过采购人给定的预算金额的，作无效标处理。</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zh-TW" w:eastAsia="zh-TW"/>
        </w:rPr>
        <w:t>评审时评标委员会认为投标人的报价明显低于其他通过符合性审查投标人的报价，有可能影响产品质量或者不能诚信履约的，投标人在评标现场合理的时间内提供书面说明，必要时提交相关证明材料；投标人不能证明其报价合理性的，评标委员会应当将其作为无效投标处理</w:t>
      </w:r>
      <w:r>
        <w:rPr>
          <w:rFonts w:hint="eastAsia" w:ascii="宋体" w:hAnsi="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本项目为专门面向中小企业采购，供应商为非中小企业，资格审查不通过；符合上述条件的中小微型企业应按照</w:t>
      </w:r>
      <w:r>
        <w:rPr>
          <w:rFonts w:hint="eastAsia" w:ascii="宋体" w:hAnsi="宋体" w:eastAsia="宋体" w:cs="Times New Roman"/>
          <w:color w:val="auto"/>
          <w:szCs w:val="21"/>
          <w:highlight w:val="none"/>
          <w:lang w:eastAsia="zh-CN"/>
        </w:rPr>
        <w:t>招标</w:t>
      </w:r>
      <w:r>
        <w:rPr>
          <w:rFonts w:hint="eastAsia" w:ascii="宋体" w:hAnsi="宋体" w:eastAsia="宋体" w:cs="Times New Roman"/>
          <w:color w:val="auto"/>
          <w:szCs w:val="21"/>
          <w:highlight w:val="none"/>
        </w:rPr>
        <w:t xml:space="preserve">文件附件的格式要求在资格证明文件中提供《中小企业声明函》。 </w:t>
      </w:r>
    </w:p>
    <w:bookmarkEnd w:id="261"/>
    <w:bookmarkEnd w:id="262"/>
    <w:bookmarkEnd w:id="263"/>
    <w:bookmarkEnd w:id="264"/>
    <w:bookmarkEnd w:id="265"/>
    <w:bookmarkEnd w:id="266"/>
    <w:bookmarkEnd w:id="267"/>
    <w:bookmarkEnd w:id="268"/>
    <w:bookmarkEnd w:id="269"/>
    <w:bookmarkEnd w:id="270"/>
    <w:bookmarkEnd w:id="271"/>
    <w:p>
      <w:pPr>
        <w:keepNext w:val="0"/>
        <w:keepLines w:val="0"/>
        <w:pageBreakBefore w:val="0"/>
        <w:widowControl w:val="0"/>
        <w:kinsoku/>
        <w:wordWrap/>
        <w:overflowPunct/>
        <w:topLinePunct w:val="0"/>
        <w:bidi w:val="0"/>
        <w:spacing w:line="400" w:lineRule="exact"/>
        <w:ind w:firstLine="422" w:firstLineChars="200"/>
        <w:textAlignment w:val="auto"/>
        <w:rPr>
          <w:rFonts w:ascii="宋体" w:hAnsi="宋体"/>
          <w:b/>
          <w:color w:val="auto"/>
          <w:szCs w:val="21"/>
          <w:highlight w:val="none"/>
        </w:rPr>
      </w:pPr>
      <w:bookmarkStart w:id="283" w:name="_Toc24896"/>
      <w:bookmarkStart w:id="284" w:name="_Toc10087"/>
      <w:bookmarkStart w:id="285" w:name="_Toc424544822"/>
      <w:bookmarkStart w:id="286" w:name="_Toc23846"/>
      <w:bookmarkStart w:id="287" w:name="_Toc10740"/>
      <w:bookmarkStart w:id="288" w:name="_Toc29739"/>
      <w:bookmarkStart w:id="289" w:name="_Toc22798"/>
      <w:bookmarkStart w:id="290" w:name="_Toc424544543"/>
      <w:r>
        <w:rPr>
          <w:rFonts w:hint="eastAsia" w:ascii="宋体" w:hAnsi="宋体"/>
          <w:b/>
          <w:color w:val="auto"/>
          <w:szCs w:val="21"/>
          <w:highlight w:val="none"/>
        </w:rPr>
        <w:t>（二）</w:t>
      </w:r>
      <w:r>
        <w:rPr>
          <w:rFonts w:hint="eastAsia" w:ascii="宋体" w:hAnsi="宋体" w:cs="Arial"/>
          <w:b/>
          <w:snapToGrid w:val="0"/>
          <w:color w:val="auto"/>
          <w:kern w:val="0"/>
          <w:szCs w:val="21"/>
          <w:highlight w:val="none"/>
        </w:rPr>
        <w:t>技术、商务及其他分</w:t>
      </w:r>
      <w:r>
        <w:rPr>
          <w:rFonts w:hint="eastAsia" w:ascii="宋体" w:hAnsi="宋体"/>
          <w:b/>
          <w:color w:val="auto"/>
          <w:szCs w:val="21"/>
          <w:highlight w:val="none"/>
        </w:rPr>
        <w:t>（</w:t>
      </w:r>
      <w:r>
        <w:rPr>
          <w:rFonts w:hint="eastAsia" w:ascii="宋体" w:hAnsi="宋体"/>
          <w:b/>
          <w:color w:val="auto"/>
          <w:szCs w:val="21"/>
          <w:highlight w:val="none"/>
          <w:lang w:val="en-US" w:eastAsia="zh-CN"/>
        </w:rPr>
        <w:t>8</w:t>
      </w:r>
      <w:r>
        <w:rPr>
          <w:rFonts w:hint="eastAsia" w:ascii="宋体" w:hAnsi="宋体"/>
          <w:b/>
          <w:color w:val="auto"/>
          <w:szCs w:val="21"/>
          <w:highlight w:val="none"/>
        </w:rPr>
        <w:t>0分）</w:t>
      </w:r>
    </w:p>
    <w:tbl>
      <w:tblPr>
        <w:tblStyle w:val="6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10"/>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noWrap w:val="0"/>
            <w:vAlign w:val="center"/>
          </w:tcPr>
          <w:p>
            <w:pPr>
              <w:pageBreakBefore w:val="0"/>
              <w:kinsoku/>
              <w:wordWrap/>
              <w:overflowPunct/>
              <w:topLinePunct w:val="0"/>
              <w:bidi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10" w:type="dxa"/>
            <w:noWrap w:val="0"/>
            <w:vAlign w:val="center"/>
          </w:tcPr>
          <w:p>
            <w:pPr>
              <w:pageBreakBefore w:val="0"/>
              <w:kinsoku/>
              <w:wordWrap/>
              <w:overflowPunct/>
              <w:topLinePunct w:val="0"/>
              <w:bidi w:val="0"/>
              <w:spacing w:line="400" w:lineRule="exact"/>
              <w:jc w:val="center"/>
              <w:rPr>
                <w:rFonts w:hint="eastAsia" w:ascii="宋体" w:hAnsi="宋体" w:eastAsia="宋体" w:cs="宋体"/>
                <w:b/>
                <w:bCs/>
                <w:sz w:val="21"/>
                <w:szCs w:val="21"/>
              </w:rPr>
            </w:pPr>
            <w:r>
              <w:rPr>
                <w:rFonts w:hint="eastAsia" w:ascii="宋体" w:hAnsi="宋体" w:eastAsia="宋体" w:cs="宋体"/>
                <w:b/>
                <w:bCs/>
                <w:spacing w:val="-6"/>
                <w:sz w:val="21"/>
                <w:szCs w:val="21"/>
              </w:rPr>
              <w:t>评审内容及分值</w:t>
            </w:r>
          </w:p>
        </w:tc>
        <w:tc>
          <w:tcPr>
            <w:tcW w:w="6952" w:type="dxa"/>
            <w:noWrap w:val="0"/>
            <w:vAlign w:val="center"/>
          </w:tcPr>
          <w:p>
            <w:pPr>
              <w:pageBreakBefore w:val="0"/>
              <w:kinsoku/>
              <w:wordWrap/>
              <w:overflowPunct/>
              <w:topLinePunct w:val="0"/>
              <w:bidi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整体方案设计(16分)</w:t>
            </w:r>
          </w:p>
        </w:tc>
        <w:tc>
          <w:tcPr>
            <w:tcW w:w="6952" w:type="dxa"/>
            <w:noWrap w:val="0"/>
            <w:vAlign w:val="top"/>
          </w:tcPr>
          <w:p>
            <w:pPr>
              <w:keepNext w:val="0"/>
              <w:keepLines w:val="0"/>
              <w:pageBreakBefore w:val="0"/>
              <w:widowControl/>
              <w:numPr>
                <w:ilvl w:val="0"/>
                <w:numId w:val="23"/>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作品主题鲜明地在方案中得到体现，</w:t>
            </w:r>
            <w:r>
              <w:rPr>
                <w:rFonts w:hint="eastAsia" w:ascii="宋体" w:hAnsi="宋体" w:eastAsia="宋体" w:cs="宋体"/>
                <w:sz w:val="21"/>
                <w:szCs w:val="21"/>
                <w:lang w:val="en-US" w:eastAsia="zh-CN"/>
              </w:rPr>
              <w:t>与整个项目景观相匹配融入自然</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给人一种眼前一亮的视觉冲击效果</w:t>
            </w:r>
            <w:r>
              <w:rPr>
                <w:rFonts w:hint="eastAsia" w:ascii="宋体" w:hAnsi="宋体" w:eastAsia="宋体" w:cs="宋体"/>
                <w:sz w:val="21"/>
                <w:szCs w:val="21"/>
                <w:lang w:val="zh-CN"/>
              </w:rPr>
              <w:t xml:space="preserve">，总体效果图、局部效果图齐全的，得 </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val="zh-CN"/>
              </w:rPr>
              <w:t xml:space="preserve"> 分； </w:t>
            </w:r>
          </w:p>
          <w:p>
            <w:pPr>
              <w:keepNext w:val="0"/>
              <w:keepLines w:val="0"/>
              <w:pageBreakBefore w:val="0"/>
              <w:widowControl/>
              <w:numPr>
                <w:ilvl w:val="0"/>
                <w:numId w:val="23"/>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作品主题在方案中体现的较鲜明，</w:t>
            </w:r>
            <w:r>
              <w:rPr>
                <w:rFonts w:hint="eastAsia" w:ascii="宋体" w:hAnsi="宋体" w:eastAsia="宋体" w:cs="宋体"/>
                <w:sz w:val="21"/>
                <w:szCs w:val="21"/>
                <w:lang w:val="en-US" w:eastAsia="zh-CN"/>
              </w:rPr>
              <w:t>与整个项目景观匹配一般</w:t>
            </w:r>
            <w:r>
              <w:rPr>
                <w:rFonts w:hint="eastAsia" w:ascii="宋体" w:hAnsi="宋体" w:eastAsia="宋体" w:cs="宋体"/>
                <w:sz w:val="21"/>
                <w:szCs w:val="21"/>
                <w:lang w:val="zh-CN"/>
              </w:rPr>
              <w:t>，总体效果图、局部效果图较齐全的，得</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-1</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（含） 分；</w:t>
            </w:r>
          </w:p>
          <w:p>
            <w:pPr>
              <w:keepNext w:val="0"/>
              <w:keepLines w:val="0"/>
              <w:pageBreakBefore w:val="0"/>
              <w:widowControl/>
              <w:numPr>
                <w:ilvl w:val="0"/>
                <w:numId w:val="2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作品主题在方案中体现的不突出，</w:t>
            </w:r>
            <w:r>
              <w:rPr>
                <w:rFonts w:hint="eastAsia" w:ascii="宋体" w:hAnsi="宋体" w:eastAsia="宋体" w:cs="宋体"/>
                <w:sz w:val="21"/>
                <w:szCs w:val="21"/>
                <w:lang w:val="en-US" w:eastAsia="zh-CN"/>
              </w:rPr>
              <w:t>整个项目景观不协调匹配</w:t>
            </w:r>
            <w:r>
              <w:rPr>
                <w:rFonts w:hint="eastAsia" w:ascii="宋体" w:hAnsi="宋体" w:eastAsia="宋体" w:cs="宋体"/>
                <w:sz w:val="21"/>
                <w:szCs w:val="21"/>
                <w:lang w:val="zh-CN"/>
              </w:rPr>
              <w:t xml:space="preserve">，总体效果图、局部效果图不齐全的，得 </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-6 （含）分。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公共艺术艺术感染力16分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lang w:val="en-US" w:eastAsia="zh-CN"/>
              </w:rPr>
            </w:pPr>
          </w:p>
        </w:tc>
        <w:tc>
          <w:tcPr>
            <w:tcW w:w="695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根据供应商的作品是否具有艺术感染力，艺术形式是否很好地表现出了作品的主题，</w:t>
            </w:r>
            <w:r>
              <w:rPr>
                <w:rFonts w:hint="eastAsia" w:ascii="宋体" w:hAnsi="宋体" w:eastAsia="宋体" w:cs="宋体"/>
                <w:sz w:val="21"/>
                <w:szCs w:val="21"/>
                <w:lang w:val="en-US" w:eastAsia="zh-CN"/>
              </w:rPr>
              <w:t>设计方案是否与整个山川主题文化相互呼应，</w:t>
            </w:r>
            <w:r>
              <w:rPr>
                <w:rFonts w:hint="eastAsia" w:ascii="宋体" w:hAnsi="宋体" w:eastAsia="宋体" w:cs="宋体"/>
                <w:sz w:val="21"/>
                <w:szCs w:val="21"/>
                <w:lang w:val="zh-CN" w:eastAsia="zh-CN"/>
              </w:rPr>
              <w:t>作品的体量、造型、及工艺的运用是否充分地体现了作品的艺术性，比较打分。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作品</w:t>
            </w:r>
            <w:r>
              <w:rPr>
                <w:rFonts w:hint="eastAsia" w:ascii="宋体" w:hAnsi="宋体" w:eastAsia="宋体" w:cs="宋体"/>
                <w:sz w:val="21"/>
                <w:szCs w:val="21"/>
                <w:lang w:val="zh-CN"/>
              </w:rPr>
              <w:t>艺术感染力强，展现手法全面，具有强烈的</w:t>
            </w:r>
            <w:r>
              <w:rPr>
                <w:rFonts w:hint="eastAsia" w:ascii="宋体" w:hAnsi="宋体" w:eastAsia="宋体" w:cs="宋体"/>
                <w:sz w:val="21"/>
                <w:szCs w:val="21"/>
                <w:lang w:val="en-US" w:eastAsia="zh-CN"/>
              </w:rPr>
              <w:t>时代</w:t>
            </w:r>
            <w:r>
              <w:rPr>
                <w:rFonts w:hint="eastAsia" w:ascii="宋体" w:hAnsi="宋体" w:eastAsia="宋体" w:cs="宋体"/>
                <w:sz w:val="21"/>
                <w:szCs w:val="21"/>
                <w:lang w:val="zh-CN"/>
              </w:rPr>
              <w:t>感染力，</w:t>
            </w:r>
            <w:r>
              <w:rPr>
                <w:rFonts w:hint="eastAsia" w:ascii="宋体" w:hAnsi="宋体" w:eastAsia="宋体" w:cs="宋体"/>
                <w:sz w:val="21"/>
                <w:szCs w:val="21"/>
                <w:lang w:val="en-US" w:eastAsia="zh-CN"/>
              </w:rPr>
              <w:t>与山川乡主题文化吻合的非常自然，</w:t>
            </w:r>
            <w:r>
              <w:rPr>
                <w:rFonts w:hint="eastAsia" w:ascii="宋体" w:hAnsi="宋体" w:eastAsia="宋体" w:cs="宋体"/>
                <w:sz w:val="21"/>
                <w:szCs w:val="21"/>
                <w:lang w:val="zh-CN"/>
              </w:rPr>
              <w:t>具备较强的可识别性、直观性，一目了然的得</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val="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作品</w:t>
            </w:r>
            <w:r>
              <w:rPr>
                <w:rFonts w:hint="eastAsia" w:ascii="宋体" w:hAnsi="宋体" w:eastAsia="宋体" w:cs="宋体"/>
                <w:sz w:val="21"/>
                <w:szCs w:val="21"/>
                <w:lang w:val="zh-CN"/>
              </w:rPr>
              <w:t>艺术感染力较强，展现手法较全面，感染力较强，</w:t>
            </w:r>
            <w:r>
              <w:rPr>
                <w:rFonts w:hint="eastAsia" w:ascii="宋体" w:hAnsi="宋体" w:eastAsia="宋体" w:cs="宋体"/>
                <w:sz w:val="21"/>
                <w:szCs w:val="21"/>
                <w:lang w:val="en-US" w:eastAsia="zh-CN"/>
              </w:rPr>
              <w:t>与山川乡主题文化吻合一般，</w:t>
            </w:r>
            <w:r>
              <w:rPr>
                <w:rFonts w:hint="eastAsia" w:ascii="宋体" w:hAnsi="宋体" w:eastAsia="宋体" w:cs="宋体"/>
                <w:sz w:val="21"/>
                <w:szCs w:val="21"/>
                <w:lang w:val="zh-CN"/>
              </w:rPr>
              <w:t>具备</w:t>
            </w:r>
            <w:r>
              <w:rPr>
                <w:rFonts w:hint="eastAsia" w:ascii="宋体" w:hAnsi="宋体" w:eastAsia="宋体" w:cs="宋体"/>
                <w:sz w:val="21"/>
                <w:szCs w:val="21"/>
                <w:lang w:val="en-US" w:eastAsia="zh-CN"/>
              </w:rPr>
              <w:t>良好</w:t>
            </w:r>
            <w:r>
              <w:rPr>
                <w:rFonts w:hint="eastAsia" w:ascii="宋体" w:hAnsi="宋体" w:eastAsia="宋体" w:cs="宋体"/>
                <w:sz w:val="21"/>
                <w:szCs w:val="21"/>
                <w:lang w:val="zh-CN"/>
              </w:rPr>
              <w:t>的可识别性、直观性</w:t>
            </w:r>
            <w:r>
              <w:rPr>
                <w:rFonts w:hint="eastAsia" w:ascii="宋体" w:hAnsi="宋体" w:eastAsia="宋体" w:cs="宋体"/>
                <w:sz w:val="21"/>
                <w:szCs w:val="21"/>
                <w:lang w:val="en-US" w:eastAsia="zh-CN"/>
              </w:rPr>
              <w:t>的</w:t>
            </w:r>
            <w:r>
              <w:rPr>
                <w:rFonts w:hint="eastAsia" w:ascii="宋体" w:hAnsi="宋体" w:eastAsia="宋体" w:cs="宋体"/>
                <w:sz w:val="21"/>
                <w:szCs w:val="21"/>
                <w:lang w:val="zh-CN"/>
              </w:rPr>
              <w:t>得</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（含）分；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作品</w:t>
            </w:r>
            <w:r>
              <w:rPr>
                <w:rFonts w:hint="eastAsia" w:ascii="宋体" w:hAnsi="宋体" w:eastAsia="宋体" w:cs="宋体"/>
                <w:sz w:val="21"/>
                <w:szCs w:val="21"/>
                <w:lang w:val="zh-CN"/>
              </w:rPr>
              <w:t>艺术感染力</w:t>
            </w:r>
            <w:r>
              <w:rPr>
                <w:rFonts w:hint="eastAsia" w:ascii="宋体" w:hAnsi="宋体" w:eastAsia="宋体" w:cs="宋体"/>
                <w:sz w:val="21"/>
                <w:szCs w:val="21"/>
                <w:lang w:val="en-US" w:eastAsia="zh-CN"/>
              </w:rPr>
              <w:t>一般</w:t>
            </w:r>
            <w:r>
              <w:rPr>
                <w:rFonts w:hint="eastAsia" w:ascii="宋体" w:hAnsi="宋体" w:eastAsia="宋体" w:cs="宋体"/>
                <w:sz w:val="21"/>
                <w:szCs w:val="21"/>
                <w:lang w:val="zh-CN"/>
              </w:rPr>
              <w:t>，展现手法较</w:t>
            </w:r>
            <w:r>
              <w:rPr>
                <w:rFonts w:hint="eastAsia" w:ascii="宋体" w:hAnsi="宋体" w:eastAsia="宋体" w:cs="宋体"/>
                <w:sz w:val="21"/>
                <w:szCs w:val="21"/>
                <w:lang w:val="en-US" w:eastAsia="zh-CN"/>
              </w:rPr>
              <w:t>局限</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与山川乡主题文化吻合生硬，</w:t>
            </w:r>
            <w:r>
              <w:rPr>
                <w:rFonts w:hint="eastAsia" w:ascii="宋体" w:hAnsi="宋体" w:eastAsia="宋体" w:cs="宋体"/>
                <w:sz w:val="21"/>
                <w:szCs w:val="21"/>
                <w:lang w:val="zh-CN"/>
              </w:rPr>
              <w:t>可识别性</w:t>
            </w:r>
            <w:r>
              <w:rPr>
                <w:rFonts w:hint="eastAsia" w:ascii="宋体" w:hAnsi="宋体" w:eastAsia="宋体" w:cs="宋体"/>
                <w:sz w:val="21"/>
                <w:szCs w:val="21"/>
                <w:lang w:val="en-US" w:eastAsia="zh-CN"/>
              </w:rPr>
              <w:t>不强</w:t>
            </w:r>
            <w:r>
              <w:rPr>
                <w:rFonts w:hint="eastAsia" w:ascii="宋体" w:hAnsi="宋体" w:eastAsia="宋体" w:cs="宋体"/>
                <w:sz w:val="21"/>
                <w:szCs w:val="21"/>
                <w:lang w:val="zh-CN"/>
              </w:rPr>
              <w:t>的得</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空间布局12分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p>
        </w:tc>
        <w:tc>
          <w:tcPr>
            <w:tcW w:w="695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根据供应商的作品是否与</w:t>
            </w:r>
            <w:r>
              <w:rPr>
                <w:rFonts w:hint="eastAsia" w:ascii="宋体" w:hAnsi="宋体" w:eastAsia="宋体" w:cs="宋体"/>
                <w:sz w:val="21"/>
                <w:szCs w:val="21"/>
                <w:lang w:val="en-US" w:eastAsia="zh-CN"/>
              </w:rPr>
              <w:t>几组</w:t>
            </w:r>
            <w:r>
              <w:rPr>
                <w:rFonts w:hint="eastAsia" w:ascii="宋体" w:hAnsi="宋体" w:eastAsia="宋体" w:cs="宋体"/>
                <w:sz w:val="21"/>
                <w:szCs w:val="21"/>
                <w:lang w:val="zh-CN" w:eastAsia="zh-CN"/>
              </w:rPr>
              <w:t>公共艺术所在位置</w:t>
            </w:r>
            <w:r>
              <w:rPr>
                <w:rFonts w:hint="eastAsia" w:ascii="宋体" w:hAnsi="宋体" w:eastAsia="宋体" w:cs="宋体"/>
                <w:sz w:val="21"/>
                <w:szCs w:val="21"/>
                <w:lang w:val="en-US" w:eastAsia="zh-CN"/>
              </w:rPr>
              <w:t>的</w:t>
            </w:r>
            <w:r>
              <w:rPr>
                <w:rFonts w:hint="eastAsia" w:ascii="宋体" w:hAnsi="宋体" w:eastAsia="宋体" w:cs="宋体"/>
                <w:sz w:val="21"/>
                <w:szCs w:val="21"/>
                <w:lang w:val="zh-CN"/>
              </w:rPr>
              <w:t>整体环境有合理的</w:t>
            </w:r>
            <w:r>
              <w:rPr>
                <w:rFonts w:hint="eastAsia" w:ascii="宋体" w:hAnsi="宋体" w:eastAsia="宋体" w:cs="宋体"/>
                <w:sz w:val="21"/>
                <w:szCs w:val="21"/>
                <w:lang w:val="en-US" w:eastAsia="zh-CN"/>
              </w:rPr>
              <w:t>空间</w:t>
            </w:r>
            <w:r>
              <w:rPr>
                <w:rFonts w:hint="eastAsia" w:ascii="宋体" w:hAnsi="宋体" w:eastAsia="宋体" w:cs="宋体"/>
                <w:sz w:val="21"/>
                <w:szCs w:val="21"/>
                <w:lang w:val="zh-CN"/>
              </w:rPr>
              <w:t>布局关系，</w:t>
            </w:r>
            <w:r>
              <w:rPr>
                <w:rFonts w:hint="eastAsia" w:ascii="宋体" w:hAnsi="宋体" w:eastAsia="宋体" w:cs="宋体"/>
                <w:sz w:val="21"/>
                <w:szCs w:val="21"/>
                <w:lang w:val="en-US" w:eastAsia="zh-CN"/>
              </w:rPr>
              <w:t>与每一个主题空间是否协调与整体的呼应，</w:t>
            </w:r>
            <w:r>
              <w:rPr>
                <w:rFonts w:hint="eastAsia" w:ascii="宋体" w:hAnsi="宋体" w:eastAsia="宋体" w:cs="宋体"/>
                <w:sz w:val="21"/>
                <w:szCs w:val="21"/>
                <w:lang w:val="zh-CN"/>
              </w:rPr>
              <w:t>作品的摆放是否让原有的空间体验获得增益。</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val="0"/>
                <w:sz w:val="21"/>
                <w:szCs w:val="21"/>
                <w:lang w:val="en-US" w:eastAsia="zh-CN"/>
              </w:rPr>
            </w:pPr>
            <w:r>
              <w:rPr>
                <w:rFonts w:hint="eastAsia" w:ascii="宋体" w:hAnsi="宋体" w:eastAsia="宋体" w:cs="宋体"/>
                <w:bCs w:val="0"/>
                <w:sz w:val="21"/>
                <w:szCs w:val="21"/>
                <w:lang w:val="zh-CN"/>
              </w:rPr>
              <w:t>（</w:t>
            </w:r>
            <w:r>
              <w:rPr>
                <w:rFonts w:hint="eastAsia" w:ascii="宋体" w:hAnsi="宋体" w:eastAsia="宋体" w:cs="宋体"/>
                <w:bCs w:val="0"/>
                <w:sz w:val="21"/>
                <w:szCs w:val="21"/>
                <w:lang w:val="en-US" w:eastAsia="zh-CN"/>
              </w:rPr>
              <w:t>1</w:t>
            </w:r>
            <w:r>
              <w:rPr>
                <w:rFonts w:hint="eastAsia" w:ascii="宋体" w:hAnsi="宋体" w:eastAsia="宋体" w:cs="宋体"/>
                <w:bCs w:val="0"/>
                <w:sz w:val="21"/>
                <w:szCs w:val="21"/>
                <w:lang w:val="zh-CN"/>
              </w:rPr>
              <w:t>）</w:t>
            </w:r>
            <w:r>
              <w:rPr>
                <w:rFonts w:hint="eastAsia" w:ascii="宋体" w:hAnsi="宋体" w:eastAsia="宋体" w:cs="宋体"/>
                <w:bCs w:val="0"/>
                <w:sz w:val="21"/>
                <w:szCs w:val="21"/>
                <w:lang w:val="en-US" w:eastAsia="zh-CN"/>
              </w:rPr>
              <w:t>空间布局合理、与周围环境协调得8-12分。</w:t>
            </w:r>
          </w:p>
          <w:p>
            <w:pPr>
              <w:keepNext w:val="0"/>
              <w:keepLines w:val="0"/>
              <w:pageBreakBefore w:val="0"/>
              <w:widowControl/>
              <w:numPr>
                <w:ilvl w:val="0"/>
                <w:numId w:val="24"/>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val="0"/>
                <w:sz w:val="21"/>
                <w:szCs w:val="21"/>
                <w:lang w:val="en-US" w:eastAsia="zh-CN"/>
              </w:rPr>
            </w:pPr>
            <w:r>
              <w:rPr>
                <w:rFonts w:hint="eastAsia" w:ascii="宋体" w:hAnsi="宋体" w:eastAsia="宋体" w:cs="宋体"/>
                <w:bCs w:val="0"/>
                <w:sz w:val="21"/>
                <w:szCs w:val="21"/>
                <w:lang w:val="en-US" w:eastAsia="zh-CN"/>
              </w:rPr>
              <w:t>空间布局较合理、与周围环境较协调得4-8</w:t>
            </w:r>
            <w:r>
              <w:rPr>
                <w:rFonts w:hint="eastAsia" w:ascii="宋体" w:hAnsi="宋体" w:eastAsia="宋体" w:cs="宋体"/>
                <w:sz w:val="21"/>
                <w:szCs w:val="21"/>
                <w:lang w:val="zh-CN"/>
              </w:rPr>
              <w:t>（含）</w:t>
            </w:r>
            <w:r>
              <w:rPr>
                <w:rFonts w:hint="eastAsia" w:ascii="宋体" w:hAnsi="宋体" w:eastAsia="宋体" w:cs="宋体"/>
                <w:bCs w:val="0"/>
                <w:sz w:val="21"/>
                <w:szCs w:val="21"/>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bCs w:val="0"/>
                <w:kern w:val="2"/>
                <w:sz w:val="21"/>
                <w:szCs w:val="21"/>
                <w:lang w:val="zh-CN"/>
              </w:rPr>
              <w:t>（</w:t>
            </w:r>
            <w:r>
              <w:rPr>
                <w:rFonts w:hint="eastAsia" w:ascii="宋体" w:hAnsi="宋体" w:eastAsia="宋体" w:cs="宋体"/>
                <w:bCs w:val="0"/>
                <w:kern w:val="2"/>
                <w:sz w:val="21"/>
                <w:szCs w:val="21"/>
                <w:lang w:val="en-US" w:eastAsia="zh-CN"/>
              </w:rPr>
              <w:t>3</w:t>
            </w:r>
            <w:r>
              <w:rPr>
                <w:rFonts w:hint="eastAsia" w:ascii="宋体" w:hAnsi="宋体" w:eastAsia="宋体" w:cs="宋体"/>
                <w:bCs w:val="0"/>
                <w:kern w:val="2"/>
                <w:sz w:val="21"/>
                <w:szCs w:val="21"/>
                <w:lang w:val="zh-CN"/>
              </w:rPr>
              <w:t>）</w:t>
            </w:r>
            <w:r>
              <w:rPr>
                <w:rFonts w:hint="eastAsia" w:ascii="宋体" w:hAnsi="宋体" w:eastAsia="宋体" w:cs="宋体"/>
                <w:bCs w:val="0"/>
                <w:sz w:val="21"/>
                <w:szCs w:val="21"/>
                <w:lang w:val="en-US" w:eastAsia="zh-CN"/>
              </w:rPr>
              <w:t>空间布局不合理、与周围环境不协调得0-4</w:t>
            </w:r>
            <w:r>
              <w:rPr>
                <w:rFonts w:hint="eastAsia" w:ascii="宋体" w:hAnsi="宋体" w:eastAsia="宋体" w:cs="宋体"/>
                <w:sz w:val="21"/>
                <w:szCs w:val="21"/>
                <w:lang w:val="zh-CN"/>
              </w:rPr>
              <w:t>（含）</w:t>
            </w:r>
            <w:r>
              <w:rPr>
                <w:rFonts w:hint="eastAsia" w:ascii="宋体" w:hAnsi="宋体" w:eastAsia="宋体" w:cs="宋体"/>
                <w:bCs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材料及人工分析</w:t>
            </w:r>
            <w:r>
              <w:rPr>
                <w:rFonts w:hint="eastAsia" w:ascii="宋体" w:hAnsi="宋体" w:eastAsia="宋体" w:cs="宋体"/>
                <w:b/>
                <w:bCs/>
                <w:sz w:val="21"/>
                <w:szCs w:val="21"/>
                <w:lang w:val="zh-CN" w:eastAsia="zh-CN"/>
              </w:rPr>
              <w:t>4</w:t>
            </w:r>
            <w:r>
              <w:rPr>
                <w:rFonts w:hint="eastAsia" w:ascii="宋体" w:hAnsi="宋体" w:eastAsia="宋体" w:cs="宋体"/>
                <w:b/>
                <w:bCs/>
                <w:sz w:val="21"/>
                <w:szCs w:val="21"/>
                <w:lang w:val="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p>
        </w:tc>
        <w:tc>
          <w:tcPr>
            <w:tcW w:w="69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Cs w:val="0"/>
                <w:kern w:val="2"/>
                <w:sz w:val="21"/>
                <w:szCs w:val="21"/>
                <w:lang w:val="zh-CN"/>
              </w:rPr>
            </w:pPr>
            <w:r>
              <w:rPr>
                <w:rFonts w:hint="eastAsia" w:ascii="宋体" w:hAnsi="宋体" w:eastAsia="宋体" w:cs="宋体"/>
                <w:sz w:val="21"/>
                <w:szCs w:val="21"/>
                <w:lang w:val="zh-CN"/>
              </w:rPr>
              <w:t>根据设计文件，提供材料及人工配置表，是否真实反映设计文件，材料及人工数量计算是否合理</w:t>
            </w:r>
            <w:r>
              <w:rPr>
                <w:rFonts w:hint="eastAsia" w:ascii="宋体" w:hAnsi="宋体" w:eastAsia="宋体" w:cs="宋体"/>
                <w:sz w:val="21"/>
                <w:szCs w:val="21"/>
                <w:lang w:val="zh-CN" w:eastAsia="zh-CN"/>
              </w:rPr>
              <w:t>恰当</w:t>
            </w:r>
            <w:r>
              <w:rPr>
                <w:rFonts w:hint="eastAsia" w:ascii="宋体" w:hAnsi="宋体" w:eastAsia="宋体" w:cs="宋体"/>
                <w:sz w:val="21"/>
                <w:szCs w:val="21"/>
                <w:lang w:val="zh-CN"/>
              </w:rPr>
              <w:t>，是否具有明显的缺漏项，综合评分，</w:t>
            </w:r>
            <w:r>
              <w:rPr>
                <w:rFonts w:hint="eastAsia" w:ascii="宋体" w:hAnsi="宋体" w:eastAsia="宋体" w:cs="宋体"/>
                <w:sz w:val="21"/>
                <w:szCs w:val="21"/>
                <w:lang w:val="zh-CN"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bCs/>
                <w:sz w:val="21"/>
                <w:szCs w:val="21"/>
                <w:lang w:val="zh-CN"/>
              </w:rPr>
              <w:t>施工工艺5 分</w:t>
            </w:r>
          </w:p>
        </w:tc>
        <w:tc>
          <w:tcPr>
            <w:tcW w:w="6952" w:type="dxa"/>
            <w:noWrap w:val="0"/>
            <w:vAlign w:val="center"/>
          </w:tcPr>
          <w:p>
            <w:pPr>
              <w:keepNext w:val="0"/>
              <w:keepLines w:val="0"/>
              <w:pageBreakBefore w:val="0"/>
              <w:widowControl/>
              <w:numPr>
                <w:ilvl w:val="0"/>
                <w:numId w:val="0"/>
              </w:numPr>
              <w:tabs>
                <w:tab w:val="left" w:pos="984"/>
              </w:tabs>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根据供应商提供的关于公共艺术</w:t>
            </w:r>
            <w:r>
              <w:rPr>
                <w:rFonts w:hint="eastAsia" w:ascii="宋体" w:hAnsi="宋体" w:eastAsia="宋体" w:cs="宋体"/>
                <w:sz w:val="21"/>
                <w:szCs w:val="21"/>
                <w:lang w:val="en-US" w:eastAsia="zh-CN"/>
              </w:rPr>
              <w:t>锻</w:t>
            </w:r>
            <w:r>
              <w:rPr>
                <w:rFonts w:hint="eastAsia" w:ascii="宋体" w:hAnsi="宋体" w:eastAsia="宋体" w:cs="宋体"/>
                <w:sz w:val="21"/>
                <w:szCs w:val="21"/>
                <w:lang w:val="zh-CN"/>
              </w:rPr>
              <w:t>造修整、焊接、表面效果处理及保护等工艺流 程描述进行综合比较打分。</w:t>
            </w:r>
            <w:r>
              <w:rPr>
                <w:rFonts w:hint="eastAsia" w:ascii="宋体" w:hAnsi="宋体" w:eastAsia="宋体" w:cs="宋体"/>
                <w:sz w:val="21"/>
                <w:szCs w:val="21"/>
                <w:lang w:val="en-US" w:eastAsia="zh-CN"/>
              </w:rPr>
              <w:t>锻</w:t>
            </w:r>
            <w:r>
              <w:rPr>
                <w:rFonts w:hint="eastAsia" w:ascii="宋体" w:hAnsi="宋体" w:eastAsia="宋体" w:cs="宋体"/>
                <w:sz w:val="21"/>
                <w:szCs w:val="21"/>
                <w:lang w:val="zh-CN"/>
              </w:rPr>
              <w:t>造工艺精湛、流程完整得 4-5 分；</w:t>
            </w:r>
            <w:r>
              <w:rPr>
                <w:rFonts w:hint="eastAsia" w:ascii="宋体" w:hAnsi="宋体" w:eastAsia="宋体" w:cs="宋体"/>
                <w:sz w:val="21"/>
                <w:szCs w:val="21"/>
                <w:lang w:val="en-US" w:eastAsia="zh-CN"/>
              </w:rPr>
              <w:t>锻</w:t>
            </w:r>
            <w:r>
              <w:rPr>
                <w:rFonts w:hint="eastAsia" w:ascii="宋体" w:hAnsi="宋体" w:eastAsia="宋体" w:cs="宋体"/>
                <w:sz w:val="21"/>
                <w:szCs w:val="21"/>
                <w:lang w:val="zh-CN"/>
              </w:rPr>
              <w:t>造工艺良 好、流程较完整得 2-4 分；</w:t>
            </w:r>
            <w:r>
              <w:rPr>
                <w:rFonts w:hint="eastAsia" w:ascii="宋体" w:hAnsi="宋体" w:eastAsia="宋体" w:cs="宋体"/>
                <w:sz w:val="21"/>
                <w:szCs w:val="21"/>
                <w:lang w:val="en-US" w:eastAsia="zh-CN"/>
              </w:rPr>
              <w:t>锻</w:t>
            </w:r>
            <w:r>
              <w:rPr>
                <w:rFonts w:hint="eastAsia" w:ascii="宋体" w:hAnsi="宋体" w:eastAsia="宋体" w:cs="宋体"/>
                <w:sz w:val="21"/>
                <w:szCs w:val="21"/>
                <w:lang w:val="zh-CN"/>
              </w:rPr>
              <w:t>造工艺差、流程不完整得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610" w:type="dxa"/>
            <w:noWrap w:val="0"/>
            <w:vAlign w:val="center"/>
          </w:tcPr>
          <w:p>
            <w:pPr>
              <w:keepNext w:val="0"/>
              <w:keepLines w:val="0"/>
              <w:pageBreakBefore w:val="0"/>
              <w:widowControl/>
              <w:numPr>
                <w:ilvl w:val="0"/>
                <w:numId w:val="0"/>
              </w:numPr>
              <w:tabs>
                <w:tab w:val="left" w:pos="984"/>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样品展示</w:t>
            </w:r>
            <w:r>
              <w:rPr>
                <w:rFonts w:hint="eastAsia" w:ascii="宋体" w:hAnsi="宋体" w:eastAsia="宋体" w:cs="宋体"/>
                <w:b/>
                <w:bCs/>
                <w:sz w:val="21"/>
                <w:szCs w:val="21"/>
                <w:lang w:val="zh-CN"/>
              </w:rPr>
              <w:t>5 分</w:t>
            </w:r>
          </w:p>
          <w:p>
            <w:pPr>
              <w:keepNext w:val="0"/>
              <w:keepLines w:val="0"/>
              <w:pageBreakBefore w:val="0"/>
              <w:widowControl/>
              <w:numPr>
                <w:ilvl w:val="0"/>
                <w:numId w:val="0"/>
              </w:numPr>
              <w:tabs>
                <w:tab w:val="left" w:pos="984"/>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kern w:val="2"/>
                <w:sz w:val="21"/>
                <w:szCs w:val="21"/>
                <w:lang w:val="zh-CN" w:eastAsia="zh-CN" w:bidi="ar-SA"/>
              </w:rPr>
            </w:pPr>
          </w:p>
        </w:tc>
        <w:tc>
          <w:tcPr>
            <w:tcW w:w="6952" w:type="dxa"/>
            <w:noWrap w:val="0"/>
            <w:vAlign w:val="center"/>
          </w:tcPr>
          <w:p>
            <w:pPr>
              <w:keepNext w:val="0"/>
              <w:keepLines w:val="0"/>
              <w:pageBreakBefore w:val="0"/>
              <w:widowControl/>
              <w:numPr>
                <w:ilvl w:val="0"/>
                <w:numId w:val="0"/>
              </w:numPr>
              <w:tabs>
                <w:tab w:val="left" w:pos="984"/>
              </w:tabs>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提供</w:t>
            </w:r>
            <w:r>
              <w:rPr>
                <w:rFonts w:hint="eastAsia" w:ascii="宋体" w:hAnsi="宋体" w:eastAsia="宋体" w:cs="宋体"/>
                <w:sz w:val="21"/>
                <w:szCs w:val="21"/>
                <w:lang w:val="en-US" w:eastAsia="zh-CN"/>
              </w:rPr>
              <w:t>投标单位提供的样品</w:t>
            </w:r>
            <w:r>
              <w:rPr>
                <w:rFonts w:hint="eastAsia" w:ascii="宋体" w:hAnsi="宋体" w:eastAsia="宋体" w:cs="宋体"/>
                <w:sz w:val="21"/>
                <w:szCs w:val="21"/>
                <w:lang w:val="zh-CN"/>
              </w:rPr>
              <w:t>，综合比较打分。</w:t>
            </w:r>
            <w:r>
              <w:rPr>
                <w:rFonts w:hint="eastAsia" w:ascii="宋体" w:hAnsi="宋体" w:eastAsia="宋体" w:cs="宋体"/>
                <w:sz w:val="21"/>
                <w:szCs w:val="21"/>
                <w:lang w:val="en-US" w:eastAsia="zh-CN"/>
              </w:rPr>
              <w:t>样品工艺细致</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充分体现设计理念的</w:t>
            </w:r>
            <w:r>
              <w:rPr>
                <w:rFonts w:hint="eastAsia" w:ascii="宋体" w:hAnsi="宋体" w:eastAsia="宋体" w:cs="宋体"/>
                <w:sz w:val="21"/>
                <w:szCs w:val="21"/>
                <w:lang w:val="zh-CN"/>
              </w:rPr>
              <w:t>得 4-5 分；</w:t>
            </w:r>
            <w:r>
              <w:rPr>
                <w:rFonts w:hint="eastAsia" w:ascii="宋体" w:hAnsi="宋体" w:eastAsia="宋体" w:cs="宋体"/>
                <w:sz w:val="21"/>
                <w:szCs w:val="21"/>
                <w:lang w:val="en-US" w:eastAsia="zh-CN"/>
              </w:rPr>
              <w:t>样品工艺普通、设计理念陈旧</w:t>
            </w:r>
            <w:r>
              <w:rPr>
                <w:rFonts w:hint="eastAsia" w:ascii="宋体" w:hAnsi="宋体" w:eastAsia="宋体" w:cs="宋体"/>
                <w:sz w:val="21"/>
                <w:szCs w:val="21"/>
                <w:lang w:val="zh-CN"/>
              </w:rPr>
              <w:t xml:space="preserve"> 2-4 分；</w:t>
            </w:r>
            <w:r>
              <w:rPr>
                <w:rFonts w:hint="eastAsia" w:ascii="宋体" w:hAnsi="宋体" w:eastAsia="宋体" w:cs="宋体"/>
                <w:sz w:val="21"/>
                <w:szCs w:val="21"/>
                <w:lang w:val="en-US" w:eastAsia="zh-CN"/>
              </w:rPr>
              <w:t>样品工艺一般，设计理念体现不充分不符合项目需求</w:t>
            </w:r>
            <w:r>
              <w:rPr>
                <w:rFonts w:hint="eastAsia" w:ascii="宋体" w:hAnsi="宋体" w:eastAsia="宋体" w:cs="宋体"/>
                <w:sz w:val="21"/>
                <w:szCs w:val="21"/>
                <w:lang w:val="zh-CN"/>
              </w:rPr>
              <w:t xml:space="preserve"> 0-2 分。</w:t>
            </w:r>
          </w:p>
          <w:p>
            <w:pPr>
              <w:pStyle w:val="21"/>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注：样品于开标前，当天送达开标场地。</w:t>
            </w:r>
            <w:r>
              <w:rPr>
                <w:rFonts w:hint="eastAsia" w:ascii="宋体" w:hAnsi="宋体" w:cs="宋体"/>
                <w:b w:val="0"/>
                <w:bCs w:val="0"/>
                <w:sz w:val="21"/>
                <w:szCs w:val="21"/>
                <w:lang w:val="en-US" w:eastAsia="zh-CN"/>
              </w:rPr>
              <w:t>投标单位根据自身的设计理念及工艺选择</w:t>
            </w:r>
            <w:r>
              <w:rPr>
                <w:rFonts w:hint="eastAsia" w:ascii="宋体" w:hAnsi="宋体" w:eastAsia="宋体" w:cs="宋体"/>
                <w:b w:val="0"/>
                <w:bCs w:val="0"/>
                <w:sz w:val="21"/>
                <w:szCs w:val="21"/>
                <w:lang w:val="en-US" w:eastAsia="zh-CN"/>
              </w:rPr>
              <w:t>两件样品，样品尺寸</w:t>
            </w:r>
            <w:r>
              <w:rPr>
                <w:rFonts w:hint="eastAsia" w:ascii="宋体" w:hAnsi="宋体" w:cs="宋体"/>
                <w:b w:val="0"/>
                <w:bCs w:val="0"/>
                <w:sz w:val="21"/>
                <w:szCs w:val="21"/>
                <w:lang w:val="en-US" w:eastAsia="zh-CN"/>
              </w:rPr>
              <w:t>及材质不限</w:t>
            </w:r>
            <w:r>
              <w:rPr>
                <w:rFonts w:hint="eastAsia" w:ascii="宋体" w:hAnsi="宋体" w:eastAsia="宋体" w:cs="宋体"/>
                <w:b w:val="0"/>
                <w:bCs w:val="0"/>
                <w:sz w:val="21"/>
                <w:szCs w:val="21"/>
                <w:lang w:val="en-US" w:eastAsia="zh-CN"/>
              </w:rPr>
              <w:t>。如不提供不得分。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6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投入本项目的人员4分</w:t>
            </w:r>
          </w:p>
        </w:tc>
        <w:tc>
          <w:tcPr>
            <w:tcW w:w="6952" w:type="dxa"/>
            <w:shd w:val="clear" w:color="000000" w:fill="FFFFFF"/>
            <w:noWrap w:val="0"/>
            <w:vAlign w:val="top"/>
          </w:tcPr>
          <w:p>
            <w:pPr>
              <w:pStyle w:val="1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评委根据供应商针对本项目拟投入的设计及施工主要人员配备情况进行比较打分，组成是否完善，是否配备专业设计人员和施工技术人员，服务人员是否配备相应上岗证或其他资格证书。</w:t>
            </w:r>
            <w:r>
              <w:rPr>
                <w:rFonts w:hint="eastAsia" w:ascii="宋体" w:hAnsi="宋体" w:eastAsia="宋体" w:cs="宋体"/>
                <w:kern w:val="2"/>
                <w:sz w:val="21"/>
                <w:szCs w:val="21"/>
                <w:highlight w:val="none"/>
                <w:lang w:val="en-US" w:eastAsia="zh-CN" w:bidi="ar-SA"/>
              </w:rPr>
              <w:t>0-4</w:t>
            </w:r>
            <w:r>
              <w:rPr>
                <w:rFonts w:hint="eastAsia" w:ascii="宋体" w:hAnsi="宋体" w:eastAsia="宋体" w:cs="宋体"/>
                <w:kern w:val="2"/>
                <w:sz w:val="21"/>
                <w:szCs w:val="21"/>
                <w:highlight w:val="none"/>
                <w:lang w:val="zh-CN" w:eastAsia="zh-CN" w:bidi="ar-SA"/>
              </w:rPr>
              <w:t>分；</w:t>
            </w:r>
          </w:p>
          <w:p>
            <w:pPr>
              <w:pStyle w:val="1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b/>
                <w:bCs/>
                <w:kern w:val="2"/>
                <w:sz w:val="21"/>
                <w:szCs w:val="21"/>
                <w:highlight w:val="none"/>
                <w:lang w:val="zh-CN" w:eastAsia="zh-CN" w:bidi="ar-SA"/>
              </w:rPr>
              <w:t>提供证书复印件及最近</w:t>
            </w:r>
            <w:r>
              <w:rPr>
                <w:rFonts w:hint="eastAsia" w:ascii="宋体" w:hAnsi="宋体" w:eastAsia="宋体" w:cs="宋体"/>
                <w:b/>
                <w:bCs/>
                <w:kern w:val="2"/>
                <w:sz w:val="21"/>
                <w:szCs w:val="21"/>
                <w:highlight w:val="none"/>
                <w:lang w:val="en-US" w:eastAsia="zh-CN" w:bidi="ar-SA"/>
              </w:rPr>
              <w:t>3个月内任意一个月的</w:t>
            </w:r>
            <w:r>
              <w:rPr>
                <w:rFonts w:hint="eastAsia" w:ascii="宋体" w:hAnsi="宋体" w:eastAsia="宋体" w:cs="宋体"/>
                <w:b/>
                <w:bCs/>
                <w:kern w:val="2"/>
                <w:sz w:val="21"/>
                <w:szCs w:val="21"/>
                <w:highlight w:val="none"/>
                <w:lang w:val="zh-CN" w:eastAsia="zh-CN" w:bidi="ar-SA"/>
              </w:rPr>
              <w:t>单位缴纳社保的证明材料。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61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eastAsia="zh-CN"/>
              </w:rPr>
              <w:t>同类项目业绩</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lang w:eastAsia="zh-CN"/>
              </w:rPr>
              <w:t>分</w:t>
            </w:r>
          </w:p>
        </w:tc>
        <w:tc>
          <w:tcPr>
            <w:tcW w:w="6952" w:type="dxa"/>
            <w:shd w:val="clear" w:color="000000" w:fill="FFFFFF"/>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eastAsia="zh-CN"/>
              </w:rPr>
              <w:t>（自201</w:t>
            </w:r>
            <w:r>
              <w:rPr>
                <w:rFonts w:hint="eastAsia" w:ascii="宋体" w:hAnsi="宋体" w:eastAsia="宋体" w:cs="宋体"/>
                <w:sz w:val="21"/>
                <w:szCs w:val="21"/>
                <w:lang w:val="en-US" w:eastAsia="zh-CN"/>
              </w:rPr>
              <w:t>8</w:t>
            </w:r>
            <w:r>
              <w:rPr>
                <w:rFonts w:hint="eastAsia" w:ascii="宋体" w:hAnsi="宋体" w:eastAsia="宋体" w:cs="宋体"/>
                <w:sz w:val="21"/>
                <w:szCs w:val="21"/>
                <w:lang w:val="zh-CN" w:eastAsia="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月1日以来），承接过类似项目的业绩，每个</w:t>
            </w:r>
            <w:r>
              <w:rPr>
                <w:rFonts w:hint="eastAsia" w:ascii="宋体" w:hAnsi="宋体" w:eastAsia="宋体" w:cs="宋体"/>
                <w:sz w:val="21"/>
                <w:szCs w:val="21"/>
                <w:lang w:val="en-US" w:eastAsia="zh-CN"/>
              </w:rPr>
              <w:t>业绩</w:t>
            </w:r>
            <w:r>
              <w:rPr>
                <w:rFonts w:hint="eastAsia" w:ascii="宋体" w:hAnsi="宋体" w:eastAsia="宋体" w:cs="宋体"/>
                <w:sz w:val="21"/>
                <w:szCs w:val="21"/>
                <w:lang w:val="zh-CN" w:eastAsia="zh-CN"/>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分，最多得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napToGrid w:val="0"/>
                <w:color w:val="auto"/>
                <w:sz w:val="21"/>
                <w:szCs w:val="21"/>
                <w:lang w:val="en-US" w:eastAsia="zh-CN"/>
              </w:rPr>
            </w:pPr>
            <w:r>
              <w:rPr>
                <w:rFonts w:hint="eastAsia" w:ascii="宋体" w:hAnsi="宋体" w:eastAsia="宋体" w:cs="宋体"/>
                <w:b/>
                <w:bCs/>
                <w:sz w:val="21"/>
                <w:szCs w:val="21"/>
                <w:lang w:val="zh-CN" w:eastAsia="zh-CN"/>
              </w:rPr>
              <w:t>提供业绩合同等相关证明资料</w:t>
            </w:r>
            <w:r>
              <w:rPr>
                <w:rFonts w:hint="eastAsia" w:ascii="宋体" w:hAnsi="宋体" w:eastAsia="宋体" w:cs="宋体"/>
                <w:b/>
                <w:bCs/>
                <w:sz w:val="21"/>
                <w:szCs w:val="21"/>
                <w:lang w:val="en-US" w:eastAsia="zh-CN"/>
              </w:rPr>
              <w:t>清晰</w:t>
            </w:r>
            <w:r>
              <w:rPr>
                <w:rFonts w:hint="eastAsia" w:ascii="宋体" w:hAnsi="宋体" w:eastAsia="宋体" w:cs="宋体"/>
                <w:b/>
                <w:bCs/>
                <w:sz w:val="21"/>
                <w:szCs w:val="21"/>
                <w:lang w:val="zh-CN" w:eastAsia="zh-CN"/>
              </w:rPr>
              <w:t>复印件，业绩时间以合同签订时间为准。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6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售后服务方案及</w:t>
            </w:r>
            <w:r>
              <w:rPr>
                <w:rFonts w:hint="eastAsia" w:ascii="宋体" w:hAnsi="宋体" w:eastAsia="宋体" w:cs="宋体"/>
                <w:b/>
                <w:bCs/>
                <w:kern w:val="0"/>
                <w:sz w:val="21"/>
                <w:szCs w:val="21"/>
                <w:lang w:val="en-US" w:eastAsia="zh-CN"/>
              </w:rPr>
              <w:t>承诺4分</w:t>
            </w:r>
          </w:p>
        </w:tc>
        <w:tc>
          <w:tcPr>
            <w:tcW w:w="6952" w:type="dxa"/>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sz w:val="21"/>
                <w:szCs w:val="21"/>
              </w:rPr>
            </w:pPr>
            <w:r>
              <w:rPr>
                <w:rFonts w:hint="eastAsia" w:ascii="宋体" w:hAnsi="宋体" w:eastAsia="宋体" w:cs="宋体"/>
                <w:b w:val="0"/>
                <w:bCs/>
                <w:snapToGrid w:val="0"/>
                <w:color w:val="auto"/>
                <w:sz w:val="21"/>
                <w:szCs w:val="21"/>
                <w:lang w:eastAsia="zh-CN"/>
              </w:rPr>
              <w:t>供应商</w:t>
            </w:r>
            <w:r>
              <w:rPr>
                <w:rFonts w:hint="eastAsia" w:ascii="宋体" w:hAnsi="宋体" w:eastAsia="宋体" w:cs="宋体"/>
                <w:b w:val="0"/>
                <w:bCs/>
                <w:snapToGrid w:val="0"/>
                <w:color w:val="auto"/>
                <w:sz w:val="21"/>
                <w:szCs w:val="21"/>
              </w:rPr>
              <w:t>对质保期内和质保期后的维修和服务承诺，</w:t>
            </w:r>
            <w:r>
              <w:rPr>
                <w:rFonts w:hint="eastAsia" w:ascii="宋体" w:hAnsi="宋体" w:eastAsia="宋体" w:cs="宋体"/>
                <w:b w:val="0"/>
                <w:bCs/>
                <w:color w:val="auto"/>
                <w:sz w:val="21"/>
                <w:szCs w:val="21"/>
              </w:rPr>
              <w:t>包括</w:t>
            </w:r>
            <w:r>
              <w:rPr>
                <w:rFonts w:hint="eastAsia" w:ascii="宋体" w:hAnsi="宋体" w:eastAsia="宋体" w:cs="宋体"/>
                <w:b w:val="0"/>
                <w:bCs/>
                <w:color w:val="auto"/>
                <w:sz w:val="21"/>
                <w:szCs w:val="21"/>
                <w:lang w:val="zh-CN"/>
              </w:rPr>
              <w:t>保修部件范围、产品</w:t>
            </w:r>
            <w:r>
              <w:rPr>
                <w:rFonts w:hint="eastAsia" w:ascii="宋体" w:hAnsi="宋体" w:eastAsia="宋体" w:cs="宋体"/>
                <w:b w:val="0"/>
                <w:bCs/>
                <w:snapToGrid w:val="0"/>
                <w:color w:val="auto"/>
                <w:sz w:val="21"/>
                <w:szCs w:val="21"/>
              </w:rPr>
              <w:t>质保期内的</w:t>
            </w:r>
            <w:r>
              <w:rPr>
                <w:rFonts w:hint="eastAsia" w:ascii="宋体" w:hAnsi="宋体" w:eastAsia="宋体" w:cs="宋体"/>
                <w:b w:val="0"/>
                <w:bCs/>
                <w:color w:val="auto"/>
                <w:sz w:val="21"/>
                <w:szCs w:val="21"/>
                <w:lang w:val="zh-CN"/>
              </w:rPr>
              <w:t>维护方案、维护人员设置、故障响应时间、响应方式、修复时间，</w:t>
            </w:r>
            <w:r>
              <w:rPr>
                <w:rFonts w:hint="eastAsia" w:ascii="宋体" w:hAnsi="宋体" w:eastAsia="宋体" w:cs="宋体"/>
                <w:b w:val="0"/>
                <w:bCs/>
                <w:color w:val="auto"/>
                <w:sz w:val="21"/>
                <w:szCs w:val="21"/>
                <w:lang w:val="en-US" w:eastAsia="zh-CN"/>
              </w:rPr>
              <w:t>综合评分。服务方案齐全完备、可行得 2-4 分； 服务方案较符合实际及可行、齐全得 1-2（含）分；服务方案不符合实际情况，方案明显缺失得 0-1（含）分；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6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工期保障措施4分</w:t>
            </w:r>
          </w:p>
        </w:tc>
        <w:tc>
          <w:tcPr>
            <w:tcW w:w="6952" w:type="dxa"/>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从进度计划方案、工期保障措施、时间节点把握等方面综合评分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bCs/>
                <w:sz w:val="21"/>
                <w:szCs w:val="21"/>
                <w:lang w:val="en-US" w:eastAsia="zh-CN"/>
              </w:rPr>
              <w:t>进度计划周全，工期保障措施具体高效，时间能满足且优于采购要求得 2-4 分；进度计划欠缺，工期保障措施简单，基本能满足采购要求的得 1-2（含）分；进度计划混乱，工期保障措施无法满足采购要求的得 0-1（含）分；工期不能满足招标需求的，得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6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质量保障措施4分</w:t>
            </w:r>
          </w:p>
        </w:tc>
        <w:tc>
          <w:tcPr>
            <w:tcW w:w="6952" w:type="dxa"/>
            <w:shd w:val="clear" w:color="000000" w:fill="FFFFFF"/>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rPr>
              <w:t>从项目质量管理流程、项目质量管理制度、针对本项目的质量目标及质量保证措施（包含</w:t>
            </w:r>
            <w:r>
              <w:rPr>
                <w:rFonts w:hint="eastAsia" w:ascii="宋体" w:hAnsi="宋体" w:eastAsia="宋体" w:cs="宋体"/>
                <w:bCs/>
                <w:sz w:val="21"/>
                <w:szCs w:val="21"/>
                <w:lang w:eastAsia="zh-CN"/>
              </w:rPr>
              <w:t>公共艺术</w:t>
            </w:r>
            <w:r>
              <w:rPr>
                <w:rFonts w:hint="eastAsia" w:ascii="宋体" w:hAnsi="宋体" w:eastAsia="宋体" w:cs="宋体"/>
                <w:bCs/>
                <w:sz w:val="21"/>
                <w:szCs w:val="21"/>
              </w:rPr>
              <w:t xml:space="preserve">的制作、运输、安装等全过程）的全面性、具体性及可行性综合评分流程、制度成熟具体全面，质量目标高且明确，措施满足项目需求且可行性高 </w:t>
            </w:r>
            <w:r>
              <w:rPr>
                <w:rFonts w:hint="eastAsia" w:ascii="宋体" w:hAnsi="宋体" w:eastAsia="宋体" w:cs="宋体"/>
                <w:bCs/>
                <w:sz w:val="21"/>
                <w:szCs w:val="21"/>
                <w:lang w:val="en-US" w:eastAsia="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rPr>
              <w:t xml:space="preserve"> 分；流程、制度合理，质量目标一般，措施符合项目基本要求 </w:t>
            </w:r>
            <w:r>
              <w:rPr>
                <w:rFonts w:hint="eastAsia" w:ascii="宋体" w:hAnsi="宋体" w:eastAsia="宋体" w:cs="宋体"/>
                <w:bCs/>
                <w:sz w:val="21"/>
                <w:szCs w:val="21"/>
                <w:lang w:val="en-US" w:eastAsia="zh-CN"/>
              </w:rPr>
              <w:t>1</w:t>
            </w:r>
            <w:r>
              <w:rPr>
                <w:rFonts w:hint="eastAsia" w:ascii="宋体" w:hAnsi="宋体" w:eastAsia="宋体" w:cs="宋体"/>
                <w:bCs/>
                <w:sz w:val="21"/>
                <w:szCs w:val="21"/>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rPr>
              <w:t>（含）分； 流程、制度欠缺，质量目标模糊，无具体措施手段得 0-</w:t>
            </w:r>
            <w:r>
              <w:rPr>
                <w:rFonts w:hint="eastAsia" w:ascii="宋体" w:hAnsi="宋体" w:eastAsia="宋体" w:cs="宋体"/>
                <w:bCs/>
                <w:sz w:val="21"/>
                <w:szCs w:val="21"/>
                <w:lang w:val="en-US" w:eastAsia="zh-CN"/>
              </w:rPr>
              <w:t>1</w:t>
            </w:r>
            <w:r>
              <w:rPr>
                <w:rFonts w:hint="eastAsia" w:ascii="宋体" w:hAnsi="宋体" w:eastAsia="宋体" w:cs="宋体"/>
                <w:bCs/>
                <w:sz w:val="21"/>
                <w:szCs w:val="21"/>
              </w:rPr>
              <w:t>（含）分；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6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安全保障措施4分</w:t>
            </w:r>
          </w:p>
        </w:tc>
        <w:tc>
          <w:tcPr>
            <w:tcW w:w="6952"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sz w:val="21"/>
                <w:szCs w:val="21"/>
              </w:rPr>
            </w:pPr>
            <w:r>
              <w:rPr>
                <w:rFonts w:hint="eastAsia" w:ascii="宋体" w:hAnsi="宋体" w:eastAsia="宋体" w:cs="宋体"/>
                <w:bCs/>
                <w:sz w:val="21"/>
                <w:szCs w:val="21"/>
              </w:rPr>
              <w:t>从安全措施、安全设备及危机处理方案等方面综合评措施实际可行，安全设备齐全，危机处理方案全面可行得 2-</w:t>
            </w:r>
            <w:r>
              <w:rPr>
                <w:rFonts w:hint="eastAsia" w:ascii="宋体" w:hAnsi="宋体" w:eastAsia="宋体" w:cs="宋体"/>
                <w:bCs/>
                <w:sz w:val="21"/>
                <w:szCs w:val="21"/>
                <w:lang w:val="en-US" w:eastAsia="zh-CN"/>
              </w:rPr>
              <w:t>4</w:t>
            </w:r>
            <w:r>
              <w:rPr>
                <w:rFonts w:hint="eastAsia" w:ascii="宋体" w:hAnsi="宋体" w:eastAsia="宋体" w:cs="宋体"/>
                <w:bCs/>
                <w:sz w:val="21"/>
                <w:szCs w:val="21"/>
              </w:rPr>
              <w:t xml:space="preserve"> 分； 措施较符合实际及可行，安全设备较齐全，危机处理方案较具体得 1-2（含）分；措施不符合实际情况，安全设备缺少，危机处理方案简单得 0-1（含）分；</w:t>
            </w:r>
          </w:p>
        </w:tc>
      </w:tr>
    </w:tbl>
    <w:p>
      <w:pPr>
        <w:keepNext w:val="0"/>
        <w:keepLines w:val="0"/>
        <w:pageBreakBefore w:val="0"/>
        <w:widowControl w:val="0"/>
        <w:kinsoku/>
        <w:overflowPunct/>
        <w:topLinePunct w:val="0"/>
        <w:bidi w:val="0"/>
        <w:spacing w:before="120" w:beforeLines="50" w:after="120" w:afterLines="50"/>
        <w:jc w:val="center"/>
        <w:outlineLvl w:val="0"/>
        <w:rPr>
          <w:rFonts w:hint="eastAsia" w:ascii="宋体"/>
          <w:b/>
          <w:bCs/>
          <w:color w:val="auto"/>
          <w:sz w:val="21"/>
          <w:szCs w:val="21"/>
          <w:highlight w:val="none"/>
        </w:rPr>
      </w:pPr>
    </w:p>
    <w:p>
      <w:pPr>
        <w:pStyle w:val="21"/>
        <w:rPr>
          <w:rFonts w:hint="eastAsia" w:ascii="宋体"/>
          <w:b/>
          <w:bCs/>
          <w:color w:val="auto"/>
          <w:sz w:val="21"/>
          <w:szCs w:val="21"/>
          <w:highlight w:val="none"/>
        </w:rPr>
      </w:pPr>
      <w:r>
        <w:rPr>
          <w:rFonts w:hint="eastAsia" w:ascii="宋体"/>
          <w:b/>
          <w:bCs/>
          <w:color w:val="auto"/>
          <w:sz w:val="21"/>
          <w:szCs w:val="21"/>
          <w:highlight w:val="none"/>
        </w:rPr>
        <w:t>注：以上证明文件复印件均需CA签章，附在响应文件中；提供材料不真实、不完整或伪造证明材料的，后果自负。</w:t>
      </w:r>
    </w:p>
    <w:p>
      <w:pPr>
        <w:pStyle w:val="22"/>
        <w:rPr>
          <w:rFonts w:hint="eastAsia" w:ascii="宋体"/>
          <w:b/>
          <w:bCs/>
          <w:color w:val="auto"/>
          <w:sz w:val="32"/>
          <w:szCs w:val="30"/>
          <w:highlight w:val="none"/>
        </w:rPr>
      </w:pPr>
    </w:p>
    <w:p>
      <w:pPr>
        <w:rPr>
          <w:rFonts w:hint="eastAsia" w:ascii="宋体"/>
          <w:b/>
          <w:bCs/>
          <w:color w:val="auto"/>
          <w:sz w:val="32"/>
          <w:szCs w:val="30"/>
          <w:highlight w:val="none"/>
        </w:rPr>
      </w:pPr>
    </w:p>
    <w:p>
      <w:pPr>
        <w:pStyle w:val="21"/>
        <w:rPr>
          <w:rFonts w:hint="eastAsia" w:ascii="宋体"/>
          <w:b/>
          <w:bCs/>
          <w:color w:val="auto"/>
          <w:sz w:val="32"/>
          <w:szCs w:val="30"/>
          <w:highlight w:val="none"/>
        </w:rPr>
      </w:pPr>
    </w:p>
    <w:p>
      <w:pPr>
        <w:pStyle w:val="22"/>
        <w:rPr>
          <w:rFonts w:hint="eastAsia" w:ascii="宋体"/>
          <w:b/>
          <w:bCs/>
          <w:color w:val="auto"/>
          <w:sz w:val="32"/>
          <w:szCs w:val="30"/>
          <w:highlight w:val="none"/>
        </w:rPr>
      </w:pPr>
    </w:p>
    <w:p>
      <w:pPr>
        <w:rPr>
          <w:rFonts w:hint="eastAsia" w:ascii="宋体"/>
          <w:b/>
          <w:bCs/>
          <w:color w:val="auto"/>
          <w:sz w:val="32"/>
          <w:szCs w:val="30"/>
          <w:highlight w:val="none"/>
        </w:rPr>
      </w:pPr>
    </w:p>
    <w:p>
      <w:pPr>
        <w:pStyle w:val="21"/>
        <w:rPr>
          <w:rFonts w:hint="eastAsia" w:ascii="宋体"/>
          <w:b/>
          <w:bCs/>
          <w:color w:val="auto"/>
          <w:sz w:val="32"/>
          <w:szCs w:val="30"/>
          <w:highlight w:val="none"/>
        </w:rPr>
      </w:pPr>
    </w:p>
    <w:p>
      <w:pPr>
        <w:pStyle w:val="22"/>
        <w:rPr>
          <w:rFonts w:hint="eastAsia" w:ascii="宋体"/>
          <w:b/>
          <w:bCs/>
          <w:color w:val="auto"/>
          <w:sz w:val="32"/>
          <w:szCs w:val="30"/>
          <w:highlight w:val="none"/>
        </w:rPr>
      </w:pPr>
    </w:p>
    <w:p>
      <w:pPr>
        <w:rPr>
          <w:rFonts w:hint="eastAsia" w:ascii="宋体"/>
          <w:b/>
          <w:bCs/>
          <w:color w:val="auto"/>
          <w:sz w:val="32"/>
          <w:szCs w:val="30"/>
          <w:highlight w:val="none"/>
        </w:rPr>
      </w:pPr>
    </w:p>
    <w:p>
      <w:pPr>
        <w:pStyle w:val="21"/>
        <w:rPr>
          <w:rFonts w:hint="eastAsia" w:ascii="宋体"/>
          <w:b/>
          <w:bCs/>
          <w:color w:val="auto"/>
          <w:sz w:val="32"/>
          <w:szCs w:val="30"/>
          <w:highlight w:val="none"/>
        </w:rPr>
      </w:pPr>
    </w:p>
    <w:p>
      <w:pPr>
        <w:pStyle w:val="22"/>
        <w:rPr>
          <w:rFonts w:hint="eastAsia" w:ascii="宋体"/>
          <w:b/>
          <w:bCs/>
          <w:color w:val="auto"/>
          <w:sz w:val="32"/>
          <w:szCs w:val="30"/>
          <w:highlight w:val="none"/>
        </w:rPr>
      </w:pPr>
    </w:p>
    <w:p>
      <w:pPr>
        <w:rPr>
          <w:rFonts w:hint="eastAsia"/>
        </w:rPr>
      </w:pPr>
    </w:p>
    <w:p>
      <w:pPr>
        <w:keepNext w:val="0"/>
        <w:keepLines w:val="0"/>
        <w:pageBreakBefore w:val="0"/>
        <w:widowControl w:val="0"/>
        <w:kinsoku/>
        <w:overflowPunct/>
        <w:topLinePunct w:val="0"/>
        <w:bidi w:val="0"/>
        <w:spacing w:before="120" w:beforeLines="50" w:after="120" w:afterLines="50"/>
        <w:jc w:val="center"/>
        <w:outlineLvl w:val="0"/>
        <w:rPr>
          <w:rFonts w:ascii="宋体"/>
          <w:color w:val="auto"/>
          <w:sz w:val="30"/>
          <w:szCs w:val="30"/>
          <w:highlight w:val="none"/>
        </w:rPr>
      </w:pPr>
      <w:r>
        <w:rPr>
          <w:rFonts w:hint="eastAsia" w:ascii="宋体"/>
          <w:b/>
          <w:bCs/>
          <w:color w:val="auto"/>
          <w:sz w:val="32"/>
          <w:szCs w:val="30"/>
          <w:highlight w:val="none"/>
        </w:rPr>
        <w:t>第五章、合同主要条款</w:t>
      </w:r>
      <w:bookmarkEnd w:id="272"/>
      <w:bookmarkEnd w:id="273"/>
      <w:bookmarkEnd w:id="274"/>
      <w:bookmarkEnd w:id="275"/>
      <w:bookmarkEnd w:id="283"/>
      <w:bookmarkEnd w:id="284"/>
      <w:bookmarkEnd w:id="285"/>
      <w:bookmarkEnd w:id="286"/>
      <w:bookmarkEnd w:id="287"/>
      <w:bookmarkEnd w:id="288"/>
      <w:bookmarkEnd w:id="289"/>
      <w:bookmarkEnd w:id="290"/>
    </w:p>
    <w:p>
      <w:pPr>
        <w:keepNext w:val="0"/>
        <w:keepLines w:val="0"/>
        <w:pageBreakBefore w:val="0"/>
        <w:widowControl w:val="0"/>
        <w:kinsoku/>
        <w:overflowPunct/>
        <w:topLinePunct w:val="0"/>
        <w:bidi w:val="0"/>
        <w:spacing w:before="120" w:beforeLines="50" w:after="120" w:afterLines="50"/>
        <w:jc w:val="center"/>
        <w:rPr>
          <w:color w:val="auto"/>
          <w:szCs w:val="21"/>
          <w:highlight w:val="none"/>
        </w:rPr>
      </w:pPr>
      <w:r>
        <w:rPr>
          <w:rFonts w:hint="eastAsia" w:ascii="宋体"/>
          <w:color w:val="auto"/>
          <w:sz w:val="30"/>
          <w:szCs w:val="30"/>
          <w:highlight w:val="none"/>
        </w:rPr>
        <w:t>（仅供参考）</w:t>
      </w:r>
      <w:bookmarkStart w:id="291" w:name="_Toc293916911"/>
    </w:p>
    <w:bookmarkEnd w:id="248"/>
    <w:bookmarkEnd w:id="291"/>
    <w:p>
      <w:pPr>
        <w:spacing w:line="440" w:lineRule="exact"/>
        <w:rPr>
          <w:rFonts w:hint="eastAsia" w:ascii="宋体" w:hAnsi="宋体" w:cs="宋体"/>
        </w:rPr>
      </w:pPr>
      <w:bookmarkStart w:id="292" w:name="_Toc293917028"/>
      <w:bookmarkStart w:id="293" w:name="_Toc15674"/>
      <w:bookmarkStart w:id="294" w:name="_Toc13621"/>
      <w:bookmarkStart w:id="295" w:name="_Toc293916029"/>
      <w:bookmarkStart w:id="296" w:name="_Toc424544823"/>
      <w:bookmarkStart w:id="297" w:name="_Toc293916380"/>
      <w:bookmarkStart w:id="298" w:name="_Toc424544544"/>
      <w:bookmarkStart w:id="299" w:name="_Toc31677"/>
      <w:bookmarkStart w:id="300" w:name="_Toc13438"/>
      <w:bookmarkStart w:id="301" w:name="_Toc10367"/>
      <w:bookmarkStart w:id="302" w:name="_Toc293916978"/>
      <w:bookmarkStart w:id="303" w:name="_Toc16711"/>
      <w:r>
        <w:rPr>
          <w:rFonts w:hint="eastAsia" w:ascii="宋体" w:hAnsi="宋体" w:cs="宋体"/>
          <w:szCs w:val="21"/>
          <w:lang w:bidi="ar"/>
        </w:rPr>
        <w:t>项目名称：项目编号：</w:t>
      </w:r>
    </w:p>
    <w:p>
      <w:pPr>
        <w:spacing w:line="440" w:lineRule="exact"/>
        <w:rPr>
          <w:rFonts w:hint="eastAsia" w:ascii="宋体" w:hAnsi="宋体" w:cs="宋体"/>
        </w:rPr>
      </w:pPr>
      <w:r>
        <w:rPr>
          <w:rFonts w:hint="eastAsia" w:ascii="宋体" w:hAnsi="宋体" w:cs="宋体"/>
          <w:szCs w:val="21"/>
          <w:lang w:bidi="ar"/>
        </w:rPr>
        <w:t>甲方：</w:t>
      </w:r>
    </w:p>
    <w:p>
      <w:pPr>
        <w:spacing w:line="440" w:lineRule="exact"/>
        <w:rPr>
          <w:rFonts w:hint="eastAsia" w:ascii="宋体" w:hAnsi="宋体" w:cs="宋体"/>
        </w:rPr>
      </w:pPr>
      <w:r>
        <w:rPr>
          <w:rFonts w:hint="eastAsia" w:ascii="宋体" w:hAnsi="宋体" w:cs="宋体"/>
          <w:szCs w:val="21"/>
          <w:lang w:bidi="ar"/>
        </w:rPr>
        <w:t>乙方：</w:t>
      </w:r>
    </w:p>
    <w:p>
      <w:pPr>
        <w:spacing w:line="440" w:lineRule="exact"/>
        <w:ind w:firstLine="420" w:firstLineChars="200"/>
        <w:rPr>
          <w:rFonts w:hint="eastAsia" w:ascii="宋体" w:hAnsi="宋体" w:cs="宋体"/>
        </w:rPr>
      </w:pPr>
      <w:r>
        <w:rPr>
          <w:rFonts w:hint="eastAsia" w:ascii="宋体" w:hAnsi="宋体" w:cs="宋体"/>
          <w:szCs w:val="21"/>
          <w:lang w:bidi="ar"/>
        </w:rPr>
        <w:t>甲、乙双方根据项目公开招标的结果，签署本合同。</w:t>
      </w:r>
    </w:p>
    <w:p>
      <w:pPr>
        <w:widowControl/>
        <w:snapToGrid w:val="0"/>
        <w:spacing w:before="156" w:beforeLines="50" w:line="440" w:lineRule="exact"/>
        <w:ind w:firstLine="422" w:firstLineChars="200"/>
        <w:rPr>
          <w:rFonts w:ascii="宋体" w:hAnsi="宋体"/>
          <w:b/>
          <w:szCs w:val="21"/>
        </w:rPr>
      </w:pPr>
      <w:r>
        <w:rPr>
          <w:rFonts w:ascii="宋体" w:hAnsi="宋体"/>
          <w:b/>
          <w:szCs w:val="21"/>
        </w:rPr>
        <w:t>一、服务内容：_________________________________________________</w:t>
      </w:r>
    </w:p>
    <w:p>
      <w:pPr>
        <w:widowControl/>
        <w:snapToGrid w:val="0"/>
        <w:spacing w:before="156" w:beforeLines="50" w:line="440" w:lineRule="exact"/>
        <w:ind w:firstLine="422" w:firstLineChars="200"/>
        <w:rPr>
          <w:rFonts w:ascii="宋体" w:hAnsi="宋体"/>
          <w:b/>
          <w:szCs w:val="21"/>
        </w:rPr>
      </w:pPr>
      <w:r>
        <w:rPr>
          <w:rFonts w:ascii="宋体" w:hAnsi="宋体"/>
          <w:b/>
          <w:szCs w:val="21"/>
        </w:rPr>
        <w:t>二、合同金额</w:t>
      </w:r>
    </w:p>
    <w:p>
      <w:pPr>
        <w:widowControl/>
        <w:snapToGrid w:val="0"/>
        <w:spacing w:before="156" w:beforeLines="50" w:line="440" w:lineRule="exact"/>
        <w:ind w:firstLine="420" w:firstLineChars="200"/>
        <w:rPr>
          <w:rFonts w:ascii="宋体" w:hAnsi="宋体"/>
          <w:szCs w:val="21"/>
        </w:rPr>
      </w:pPr>
      <w:r>
        <w:rPr>
          <w:rFonts w:ascii="宋体" w:hAnsi="宋体"/>
          <w:szCs w:val="21"/>
        </w:rPr>
        <w:t>本合同金额为（大写）：__________________圆（￥___________元）人民币。</w:t>
      </w:r>
    </w:p>
    <w:p>
      <w:pPr>
        <w:widowControl/>
        <w:snapToGrid w:val="0"/>
        <w:spacing w:before="156" w:beforeLines="50" w:line="440" w:lineRule="exact"/>
        <w:ind w:firstLine="422" w:firstLineChars="200"/>
        <w:rPr>
          <w:rFonts w:ascii="宋体" w:hAnsi="宋体"/>
          <w:b/>
          <w:szCs w:val="21"/>
        </w:rPr>
      </w:pPr>
      <w:r>
        <w:rPr>
          <w:rFonts w:ascii="宋体" w:hAnsi="宋体"/>
          <w:b/>
          <w:szCs w:val="21"/>
        </w:rPr>
        <w:t>三、技术资料</w:t>
      </w:r>
    </w:p>
    <w:p>
      <w:pPr>
        <w:widowControl/>
        <w:snapToGrid w:val="0"/>
        <w:spacing w:before="156" w:beforeLines="50" w:line="440" w:lineRule="exact"/>
        <w:ind w:firstLine="420" w:firstLineChars="200"/>
        <w:rPr>
          <w:rFonts w:ascii="宋体" w:hAnsi="宋体"/>
          <w:szCs w:val="21"/>
        </w:rPr>
      </w:pPr>
      <w:r>
        <w:rPr>
          <w:rFonts w:ascii="宋体" w:hAnsi="宋体"/>
          <w:szCs w:val="21"/>
        </w:rPr>
        <w:t>1.乙方应按</w:t>
      </w:r>
      <w:r>
        <w:rPr>
          <w:rFonts w:hint="eastAsia" w:ascii="宋体" w:hAnsi="宋体"/>
          <w:szCs w:val="21"/>
        </w:rPr>
        <w:t>采购</w:t>
      </w:r>
      <w:r>
        <w:rPr>
          <w:rFonts w:ascii="宋体" w:hAnsi="宋体"/>
          <w:szCs w:val="21"/>
        </w:rPr>
        <w:t>文件规定的时间向甲方提供有关技术资料。</w:t>
      </w:r>
    </w:p>
    <w:p>
      <w:pPr>
        <w:widowControl/>
        <w:snapToGrid w:val="0"/>
        <w:spacing w:before="156" w:beforeLines="50" w:line="440" w:lineRule="exact"/>
        <w:ind w:firstLine="420" w:firstLineChars="200"/>
        <w:rPr>
          <w:rFonts w:ascii="宋体" w:hAnsi="宋体"/>
          <w:szCs w:val="21"/>
        </w:rPr>
      </w:pPr>
      <w:r>
        <w:rPr>
          <w:rFonts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before="156" w:beforeLines="50" w:line="440" w:lineRule="exact"/>
        <w:ind w:firstLine="422" w:firstLineChars="200"/>
        <w:rPr>
          <w:rFonts w:ascii="宋体" w:hAnsi="宋体"/>
          <w:b/>
          <w:szCs w:val="21"/>
        </w:rPr>
      </w:pPr>
      <w:r>
        <w:rPr>
          <w:rFonts w:ascii="宋体" w:hAnsi="宋体"/>
          <w:b/>
          <w:szCs w:val="21"/>
        </w:rPr>
        <w:t>四、知识产权</w:t>
      </w:r>
    </w:p>
    <w:p>
      <w:pPr>
        <w:widowControl/>
        <w:snapToGrid w:val="0"/>
        <w:spacing w:before="156" w:beforeLines="50" w:line="440" w:lineRule="exact"/>
        <w:ind w:firstLine="420" w:firstLineChars="200"/>
        <w:rPr>
          <w:rFonts w:ascii="宋体" w:hAnsi="宋体"/>
          <w:szCs w:val="21"/>
        </w:rPr>
      </w:pPr>
      <w:r>
        <w:rPr>
          <w:rFonts w:ascii="宋体" w:hAnsi="宋体"/>
          <w:szCs w:val="21"/>
        </w:rPr>
        <w:t>乙方应保证提供服务过程中不会侵犯任何第三方的知识产权。</w:t>
      </w:r>
    </w:p>
    <w:p>
      <w:pPr>
        <w:widowControl/>
        <w:snapToGrid w:val="0"/>
        <w:spacing w:before="156" w:beforeLines="50" w:line="440" w:lineRule="exact"/>
        <w:ind w:firstLine="422" w:firstLineChars="200"/>
        <w:rPr>
          <w:rFonts w:ascii="宋体" w:hAnsi="宋体"/>
          <w:szCs w:val="21"/>
        </w:rPr>
      </w:pPr>
      <w:r>
        <w:rPr>
          <w:rFonts w:ascii="宋体" w:hAnsi="宋体"/>
          <w:b/>
          <w:szCs w:val="21"/>
        </w:rPr>
        <w:t>五、履约保证金</w:t>
      </w:r>
    </w:p>
    <w:p>
      <w:pPr>
        <w:adjustRightInd w:val="0"/>
        <w:snapToGrid w:val="0"/>
        <w:spacing w:line="400" w:lineRule="exact"/>
        <w:ind w:firstLine="420" w:firstLineChars="200"/>
        <w:rPr>
          <w:rFonts w:ascii="宋体" w:hAnsi="宋体"/>
          <w:szCs w:val="21"/>
        </w:rPr>
      </w:pPr>
      <w:r>
        <w:rPr>
          <w:rFonts w:hint="eastAsia" w:ascii="宋体" w:hAnsi="宋体"/>
          <w:szCs w:val="21"/>
        </w:rPr>
        <w:t>中标人签订合同前缴纳合同金额的</w:t>
      </w:r>
      <w:r>
        <w:rPr>
          <w:rFonts w:ascii="宋体" w:hAnsi="宋体"/>
          <w:szCs w:val="21"/>
        </w:rPr>
        <w:t>1</w:t>
      </w:r>
      <w:r>
        <w:rPr>
          <w:rFonts w:hint="eastAsia" w:ascii="宋体" w:hAnsi="宋体"/>
          <w:szCs w:val="21"/>
        </w:rPr>
        <w:t>%作为履约保证金给采购人，合同履行完毕后无质量索赔事件无息退还。履约保证金接受银行履约保函或保险公司保函。</w:t>
      </w:r>
    </w:p>
    <w:p>
      <w:pPr>
        <w:snapToGrid w:val="0"/>
        <w:spacing w:line="440" w:lineRule="exact"/>
        <w:ind w:firstLine="422" w:firstLineChars="200"/>
        <w:rPr>
          <w:rFonts w:hint="eastAsia" w:ascii="宋体" w:hAnsi="宋体" w:cs="宋体"/>
          <w:b/>
        </w:rPr>
      </w:pPr>
      <w:r>
        <w:rPr>
          <w:rFonts w:hint="eastAsia" w:ascii="宋体" w:hAnsi="宋体" w:cs="宋体"/>
          <w:b/>
          <w:szCs w:val="21"/>
          <w:lang w:bidi="ar"/>
        </w:rPr>
        <w:t>六、转包或分包</w:t>
      </w:r>
    </w:p>
    <w:p>
      <w:pPr>
        <w:widowControl/>
        <w:snapToGrid w:val="0"/>
        <w:spacing w:before="156" w:beforeLines="50" w:line="440" w:lineRule="exact"/>
        <w:ind w:firstLine="420" w:firstLineChars="200"/>
        <w:rPr>
          <w:rFonts w:ascii="宋体" w:hAnsi="宋体"/>
          <w:szCs w:val="21"/>
        </w:rPr>
      </w:pPr>
      <w:r>
        <w:rPr>
          <w:rFonts w:ascii="宋体" w:hAnsi="宋体"/>
          <w:szCs w:val="21"/>
        </w:rPr>
        <w:t>1.本合同范围的服务，应由乙方直接供应，不得转让他人供应；</w:t>
      </w:r>
    </w:p>
    <w:p>
      <w:pPr>
        <w:widowControl/>
        <w:snapToGrid w:val="0"/>
        <w:spacing w:before="156" w:beforeLines="50" w:line="440" w:lineRule="exact"/>
        <w:ind w:firstLine="420" w:firstLineChars="200"/>
        <w:rPr>
          <w:rFonts w:ascii="宋体" w:hAnsi="宋体"/>
          <w:szCs w:val="21"/>
        </w:rPr>
      </w:pPr>
      <w:r>
        <w:rPr>
          <w:rFonts w:ascii="宋体" w:hAnsi="宋体"/>
          <w:szCs w:val="21"/>
        </w:rPr>
        <w:t>2.除非得到甲方的书面同意，乙方不得将本合同范围的服务全部或部分分包给他人供应；</w:t>
      </w:r>
    </w:p>
    <w:p>
      <w:pPr>
        <w:widowControl/>
        <w:snapToGrid w:val="0"/>
        <w:spacing w:before="156" w:beforeLines="50" w:line="440" w:lineRule="exact"/>
        <w:ind w:firstLine="420" w:firstLineChars="200"/>
        <w:rPr>
          <w:rFonts w:ascii="宋体" w:hAnsi="宋体"/>
          <w:szCs w:val="21"/>
        </w:rPr>
      </w:pPr>
      <w:r>
        <w:rPr>
          <w:rFonts w:ascii="宋体" w:hAnsi="宋体"/>
          <w:szCs w:val="21"/>
        </w:rPr>
        <w:t>3.如有转让和未经甲方同意的分包行为，甲方有权解除合同，没收履约保证金并追究乙方的违约责任。</w:t>
      </w:r>
    </w:p>
    <w:p>
      <w:pPr>
        <w:widowControl/>
        <w:snapToGrid w:val="0"/>
        <w:spacing w:before="156" w:beforeLines="50" w:line="440" w:lineRule="exact"/>
        <w:ind w:firstLine="422" w:firstLineChars="200"/>
        <w:rPr>
          <w:rFonts w:ascii="宋体" w:hAnsi="宋体"/>
          <w:szCs w:val="21"/>
        </w:rPr>
      </w:pPr>
      <w:r>
        <w:rPr>
          <w:rFonts w:ascii="宋体" w:hAnsi="宋体"/>
          <w:b/>
          <w:szCs w:val="21"/>
        </w:rPr>
        <w:t>七、服务期限和任务完成时间</w:t>
      </w:r>
    </w:p>
    <w:p>
      <w:pPr>
        <w:widowControl/>
        <w:snapToGrid w:val="0"/>
        <w:spacing w:before="156" w:beforeLines="50" w:line="440" w:lineRule="exact"/>
        <w:ind w:firstLine="422" w:firstLineChars="200"/>
        <w:rPr>
          <w:rFonts w:ascii="宋体" w:hAnsi="宋体"/>
          <w:b/>
          <w:szCs w:val="21"/>
        </w:rPr>
      </w:pPr>
      <w:r>
        <w:rPr>
          <w:rFonts w:ascii="宋体" w:hAnsi="宋体"/>
          <w:b/>
          <w:szCs w:val="21"/>
        </w:rPr>
        <w:t>八、合同履行时间、履行方式及履行地点</w:t>
      </w:r>
    </w:p>
    <w:p>
      <w:pPr>
        <w:widowControl/>
        <w:snapToGrid w:val="0"/>
        <w:spacing w:before="156" w:beforeLines="50" w:line="440" w:lineRule="exact"/>
        <w:ind w:firstLine="420" w:firstLineChars="200"/>
        <w:rPr>
          <w:rFonts w:ascii="宋体" w:hAnsi="宋体"/>
          <w:szCs w:val="21"/>
        </w:rPr>
      </w:pPr>
      <w:r>
        <w:rPr>
          <w:rFonts w:ascii="宋体" w:hAnsi="宋体"/>
          <w:szCs w:val="21"/>
        </w:rPr>
        <w:t>1. 履行时间：</w:t>
      </w:r>
    </w:p>
    <w:p>
      <w:pPr>
        <w:widowControl/>
        <w:snapToGrid w:val="0"/>
        <w:spacing w:before="156" w:beforeLines="50" w:line="440" w:lineRule="exact"/>
        <w:ind w:firstLine="420" w:firstLineChars="200"/>
        <w:rPr>
          <w:rFonts w:ascii="宋体" w:hAnsi="宋体"/>
          <w:szCs w:val="21"/>
        </w:rPr>
      </w:pPr>
      <w:r>
        <w:rPr>
          <w:rFonts w:ascii="宋体" w:hAnsi="宋体"/>
          <w:szCs w:val="21"/>
        </w:rPr>
        <w:t>2. 履行方式：</w:t>
      </w:r>
    </w:p>
    <w:p>
      <w:pPr>
        <w:widowControl/>
        <w:snapToGrid w:val="0"/>
        <w:spacing w:before="156" w:beforeLines="50" w:line="440" w:lineRule="exact"/>
        <w:ind w:firstLine="420" w:firstLineChars="200"/>
        <w:rPr>
          <w:rFonts w:ascii="宋体" w:hAnsi="宋体"/>
          <w:szCs w:val="21"/>
        </w:rPr>
      </w:pPr>
      <w:r>
        <w:rPr>
          <w:rFonts w:ascii="宋体" w:hAnsi="宋体"/>
          <w:szCs w:val="21"/>
        </w:rPr>
        <w:t>3. 履行地点：采购人指定地点；</w:t>
      </w:r>
    </w:p>
    <w:p>
      <w:pPr>
        <w:spacing w:line="440" w:lineRule="exact"/>
        <w:ind w:firstLine="422" w:firstLineChars="200"/>
        <w:rPr>
          <w:rFonts w:hint="eastAsia" w:ascii="宋体" w:hAnsi="宋体" w:cs="宋体"/>
          <w:b/>
        </w:rPr>
      </w:pPr>
      <w:r>
        <w:rPr>
          <w:rFonts w:hint="eastAsia" w:ascii="宋体" w:hAnsi="宋体" w:cs="宋体"/>
          <w:b/>
          <w:szCs w:val="21"/>
          <w:lang w:bidi="ar"/>
        </w:rPr>
        <w:t>九、付款方式：</w:t>
      </w:r>
    </w:p>
    <w:p>
      <w:pPr>
        <w:spacing w:line="440" w:lineRule="exact"/>
        <w:ind w:firstLine="480"/>
        <w:jc w:val="left"/>
        <w:rPr>
          <w:rFonts w:hint="eastAsia" w:ascii="宋体" w:hAnsi="宋体" w:cs="宋体"/>
        </w:rPr>
      </w:pPr>
    </w:p>
    <w:p>
      <w:pPr>
        <w:snapToGrid w:val="0"/>
        <w:spacing w:line="440" w:lineRule="exact"/>
        <w:ind w:firstLine="422" w:firstLineChars="200"/>
        <w:rPr>
          <w:rFonts w:hint="eastAsia" w:ascii="宋体" w:hAnsi="宋体" w:cs="宋体"/>
          <w:b/>
        </w:rPr>
      </w:pPr>
      <w:r>
        <w:rPr>
          <w:rFonts w:hint="eastAsia" w:ascii="宋体" w:hAnsi="宋体" w:cs="宋体"/>
          <w:b/>
          <w:szCs w:val="21"/>
          <w:lang w:bidi="ar"/>
        </w:rPr>
        <w:t>十、税费</w:t>
      </w:r>
    </w:p>
    <w:p>
      <w:pPr>
        <w:widowControl/>
        <w:snapToGrid w:val="0"/>
        <w:spacing w:before="156" w:beforeLines="50" w:line="440" w:lineRule="exact"/>
        <w:ind w:firstLine="420" w:firstLineChars="200"/>
        <w:rPr>
          <w:rFonts w:ascii="宋体" w:hAnsi="宋体"/>
          <w:szCs w:val="21"/>
        </w:rPr>
      </w:pPr>
      <w:r>
        <w:rPr>
          <w:rFonts w:ascii="宋体" w:hAnsi="宋体"/>
          <w:szCs w:val="21"/>
        </w:rPr>
        <w:t>本合同执行中相关的一切税费均由乙方负担。</w:t>
      </w:r>
    </w:p>
    <w:p>
      <w:pPr>
        <w:widowControl/>
        <w:snapToGrid w:val="0"/>
        <w:spacing w:before="156" w:beforeLines="50" w:line="440" w:lineRule="exact"/>
        <w:ind w:firstLine="422" w:firstLineChars="200"/>
        <w:rPr>
          <w:rFonts w:ascii="宋体" w:hAnsi="宋体"/>
          <w:szCs w:val="21"/>
        </w:rPr>
      </w:pPr>
      <w:r>
        <w:rPr>
          <w:rFonts w:ascii="宋体" w:hAnsi="宋体"/>
          <w:b/>
          <w:szCs w:val="21"/>
        </w:rPr>
        <w:t>十一、质量保证及后续服务</w:t>
      </w:r>
    </w:p>
    <w:p>
      <w:pPr>
        <w:widowControl/>
        <w:snapToGrid w:val="0"/>
        <w:spacing w:before="156" w:beforeLines="50" w:line="440" w:lineRule="exact"/>
        <w:ind w:firstLine="420" w:firstLineChars="200"/>
        <w:rPr>
          <w:rFonts w:ascii="宋体" w:hAnsi="宋体"/>
          <w:szCs w:val="21"/>
        </w:rPr>
      </w:pPr>
      <w:r>
        <w:rPr>
          <w:rFonts w:ascii="宋体" w:hAnsi="宋体"/>
          <w:szCs w:val="21"/>
        </w:rPr>
        <w:t>1．乙方应按</w:t>
      </w:r>
      <w:r>
        <w:rPr>
          <w:rFonts w:hint="eastAsia" w:ascii="宋体" w:hAnsi="宋体"/>
          <w:szCs w:val="21"/>
        </w:rPr>
        <w:t>采购</w:t>
      </w:r>
      <w:r>
        <w:rPr>
          <w:rFonts w:ascii="宋体" w:hAnsi="宋体"/>
          <w:szCs w:val="21"/>
        </w:rPr>
        <w:t>文件规定向甲方提供服务。</w:t>
      </w:r>
    </w:p>
    <w:p>
      <w:pPr>
        <w:widowControl/>
        <w:snapToGrid w:val="0"/>
        <w:spacing w:before="156" w:beforeLines="50" w:line="440" w:lineRule="exact"/>
        <w:ind w:firstLine="420" w:firstLineChars="200"/>
        <w:rPr>
          <w:rFonts w:ascii="宋体" w:hAnsi="宋体"/>
          <w:szCs w:val="21"/>
        </w:rPr>
      </w:pPr>
      <w:r>
        <w:rPr>
          <w:rFonts w:ascii="宋体" w:hAnsi="宋体"/>
          <w:szCs w:val="21"/>
        </w:rPr>
        <w:t>2．乙方提供的服务成果在服务质量保证期内发生故障，乙方应负责免费提供后续服务。对达不到要求者，根据实际情况，经双方协商，可按以下办法处理：</w:t>
      </w:r>
    </w:p>
    <w:p>
      <w:pPr>
        <w:widowControl/>
        <w:snapToGrid w:val="0"/>
        <w:spacing w:before="156" w:beforeLines="50" w:line="440" w:lineRule="exact"/>
        <w:ind w:firstLine="420" w:firstLineChars="200"/>
        <w:rPr>
          <w:rFonts w:ascii="宋体" w:hAnsi="宋体"/>
          <w:szCs w:val="21"/>
        </w:rPr>
      </w:pPr>
      <w:r>
        <w:rPr>
          <w:rFonts w:ascii="宋体" w:hAnsi="宋体"/>
          <w:szCs w:val="21"/>
        </w:rPr>
        <w:t>（1）重做：由乙方承担所发生的全部费用。</w:t>
      </w:r>
    </w:p>
    <w:p>
      <w:pPr>
        <w:widowControl/>
        <w:snapToGrid w:val="0"/>
        <w:spacing w:before="156" w:beforeLines="50" w:line="440" w:lineRule="exact"/>
        <w:ind w:firstLine="420" w:firstLineChars="200"/>
        <w:rPr>
          <w:rFonts w:ascii="宋体" w:hAnsi="宋体"/>
          <w:szCs w:val="21"/>
        </w:rPr>
      </w:pPr>
      <w:r>
        <w:rPr>
          <w:rFonts w:ascii="宋体" w:hAnsi="宋体"/>
          <w:szCs w:val="21"/>
        </w:rPr>
        <w:t>（2）贬值处理：由甲乙双方合议定价。</w:t>
      </w:r>
    </w:p>
    <w:p>
      <w:pPr>
        <w:widowControl/>
        <w:snapToGrid w:val="0"/>
        <w:spacing w:before="156" w:beforeLines="50" w:line="440" w:lineRule="exact"/>
        <w:ind w:firstLine="420" w:firstLineChars="200"/>
        <w:rPr>
          <w:rFonts w:ascii="宋体" w:hAnsi="宋体"/>
          <w:szCs w:val="21"/>
        </w:rPr>
      </w:pPr>
      <w:r>
        <w:rPr>
          <w:rFonts w:ascii="宋体" w:hAnsi="宋体"/>
          <w:szCs w:val="21"/>
        </w:rPr>
        <w:t>（3）解除合同。</w:t>
      </w:r>
    </w:p>
    <w:p>
      <w:pPr>
        <w:widowControl/>
        <w:snapToGrid w:val="0"/>
        <w:spacing w:before="156" w:beforeLines="50" w:line="440" w:lineRule="exact"/>
        <w:ind w:firstLine="420" w:firstLineChars="200"/>
        <w:rPr>
          <w:rFonts w:ascii="宋体" w:hAnsi="宋体"/>
          <w:szCs w:val="21"/>
        </w:rPr>
      </w:pPr>
      <w:r>
        <w:rPr>
          <w:rFonts w:ascii="宋体" w:hAnsi="宋体"/>
          <w:szCs w:val="21"/>
        </w:rPr>
        <w:t>3．如在使用过程中发生问题，乙方在接到甲方通知后在小时内到达甲方现场。</w:t>
      </w:r>
    </w:p>
    <w:p>
      <w:pPr>
        <w:widowControl/>
        <w:snapToGrid w:val="0"/>
        <w:spacing w:before="156" w:beforeLines="50" w:line="440" w:lineRule="exact"/>
        <w:ind w:firstLine="422" w:firstLineChars="200"/>
        <w:rPr>
          <w:rFonts w:ascii="宋体" w:hAnsi="宋体"/>
          <w:b/>
          <w:szCs w:val="21"/>
        </w:rPr>
      </w:pPr>
      <w:r>
        <w:rPr>
          <w:rFonts w:ascii="宋体" w:hAnsi="宋体"/>
          <w:b/>
          <w:szCs w:val="21"/>
        </w:rPr>
        <w:t>十二、违约责任</w:t>
      </w:r>
    </w:p>
    <w:p>
      <w:pPr>
        <w:widowControl/>
        <w:snapToGrid w:val="0"/>
        <w:spacing w:before="156" w:beforeLines="50" w:line="440" w:lineRule="exact"/>
        <w:ind w:firstLine="420" w:firstLineChars="200"/>
        <w:rPr>
          <w:rFonts w:ascii="宋体" w:hAnsi="宋体"/>
          <w:szCs w:val="21"/>
        </w:rPr>
      </w:pPr>
      <w:r>
        <w:rPr>
          <w:rFonts w:ascii="宋体" w:hAnsi="宋体"/>
          <w:szCs w:val="21"/>
        </w:rPr>
        <w:t>1．甲方无正当理由拒收接受服务的，甲方向乙方偿付合同款项百分之二十作为违约金。</w:t>
      </w:r>
    </w:p>
    <w:p>
      <w:pPr>
        <w:widowControl/>
        <w:snapToGrid w:val="0"/>
        <w:spacing w:before="156" w:beforeLines="50" w:line="440" w:lineRule="exact"/>
        <w:ind w:firstLine="420" w:firstLineChars="200"/>
        <w:rPr>
          <w:rFonts w:ascii="宋体" w:hAnsi="宋体"/>
          <w:szCs w:val="21"/>
        </w:rPr>
      </w:pPr>
      <w:r>
        <w:rPr>
          <w:rFonts w:ascii="宋体" w:hAnsi="宋体"/>
          <w:szCs w:val="21"/>
        </w:rPr>
        <w:t>2．甲方无故逾期验收和办理款项支付手续的,甲方应按逾期付款总额每日万分之五向乙方支付违约金。乙方未能如期提供服务的，每日向甲方支付合同款项的千分之十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idowControl/>
        <w:snapToGrid w:val="0"/>
        <w:spacing w:before="156" w:beforeLines="50" w:line="440" w:lineRule="exact"/>
        <w:ind w:firstLine="422" w:firstLineChars="200"/>
        <w:rPr>
          <w:rFonts w:ascii="宋体" w:hAnsi="宋体"/>
          <w:b/>
          <w:szCs w:val="21"/>
        </w:rPr>
      </w:pPr>
      <w:r>
        <w:rPr>
          <w:rFonts w:ascii="宋体" w:hAnsi="宋体"/>
          <w:b/>
          <w:szCs w:val="21"/>
        </w:rPr>
        <w:t>十三、不可抗力事件处理</w:t>
      </w:r>
    </w:p>
    <w:p>
      <w:pPr>
        <w:widowControl/>
        <w:snapToGrid w:val="0"/>
        <w:spacing w:before="156" w:beforeLines="50" w:line="440" w:lineRule="exact"/>
        <w:ind w:firstLine="420" w:firstLineChars="200"/>
        <w:rPr>
          <w:rFonts w:ascii="宋体" w:hAnsi="宋体"/>
          <w:szCs w:val="21"/>
        </w:rPr>
      </w:pPr>
      <w:r>
        <w:rPr>
          <w:rFonts w:ascii="宋体" w:hAnsi="宋体"/>
          <w:szCs w:val="21"/>
        </w:rPr>
        <w:t>1．在合同有效期内，任何一方因不可抗力事件导致不能履行合同，则合同履行期可延长，其延长期与不可抗力影响期相同。</w:t>
      </w:r>
    </w:p>
    <w:p>
      <w:pPr>
        <w:widowControl/>
        <w:snapToGrid w:val="0"/>
        <w:spacing w:before="156" w:beforeLines="50" w:line="440" w:lineRule="exact"/>
        <w:ind w:firstLine="420" w:firstLineChars="200"/>
        <w:rPr>
          <w:rFonts w:ascii="宋体" w:hAnsi="宋体"/>
          <w:szCs w:val="21"/>
        </w:rPr>
      </w:pPr>
      <w:r>
        <w:rPr>
          <w:rFonts w:ascii="宋体" w:hAnsi="宋体"/>
          <w:szCs w:val="21"/>
        </w:rPr>
        <w:t>2．不可抗力事件发生后，应立即通知对方，并寄送有关权威机构出具的证明。</w:t>
      </w:r>
    </w:p>
    <w:p>
      <w:pPr>
        <w:widowControl/>
        <w:snapToGrid w:val="0"/>
        <w:spacing w:before="156" w:beforeLines="50" w:line="440" w:lineRule="exact"/>
        <w:ind w:firstLine="420" w:firstLineChars="200"/>
        <w:rPr>
          <w:rFonts w:ascii="宋体" w:hAnsi="宋体"/>
          <w:szCs w:val="21"/>
        </w:rPr>
      </w:pPr>
      <w:r>
        <w:rPr>
          <w:rFonts w:ascii="宋体" w:hAnsi="宋体"/>
          <w:szCs w:val="21"/>
        </w:rPr>
        <w:t>3．不可抗力事件延续120天以上，双方应通过友好协商，确定是否继续履行合同。</w:t>
      </w:r>
    </w:p>
    <w:p>
      <w:pPr>
        <w:widowControl/>
        <w:snapToGrid w:val="0"/>
        <w:spacing w:before="156" w:beforeLines="50" w:line="440" w:lineRule="exact"/>
        <w:ind w:firstLine="422" w:firstLineChars="200"/>
        <w:rPr>
          <w:rFonts w:ascii="宋体" w:hAnsi="宋体"/>
          <w:b/>
          <w:szCs w:val="21"/>
        </w:rPr>
      </w:pPr>
      <w:r>
        <w:rPr>
          <w:rFonts w:ascii="宋体" w:hAnsi="宋体"/>
          <w:b/>
          <w:szCs w:val="21"/>
        </w:rPr>
        <w:t>十四、诉讼</w:t>
      </w:r>
    </w:p>
    <w:p>
      <w:pPr>
        <w:widowControl/>
        <w:snapToGrid w:val="0"/>
        <w:spacing w:before="156" w:beforeLines="50" w:line="440" w:lineRule="exact"/>
        <w:ind w:firstLine="420" w:firstLineChars="200"/>
        <w:rPr>
          <w:rFonts w:ascii="宋体" w:hAnsi="宋体"/>
          <w:szCs w:val="21"/>
        </w:rPr>
      </w:pPr>
      <w:r>
        <w:rPr>
          <w:rFonts w:ascii="宋体" w:hAnsi="宋体"/>
          <w:szCs w:val="21"/>
        </w:rPr>
        <w:t>双方在执行合同中所发生的一切争议，应通过协商解决。如协商不成，可向合同履行地法院起诉。</w:t>
      </w:r>
    </w:p>
    <w:p>
      <w:pPr>
        <w:widowControl/>
        <w:snapToGrid w:val="0"/>
        <w:spacing w:before="156" w:beforeLines="50" w:line="440" w:lineRule="exact"/>
        <w:ind w:firstLine="422" w:firstLineChars="200"/>
        <w:rPr>
          <w:rFonts w:ascii="宋体" w:hAnsi="宋体"/>
          <w:b/>
          <w:szCs w:val="21"/>
        </w:rPr>
      </w:pPr>
      <w:r>
        <w:rPr>
          <w:rFonts w:ascii="宋体" w:hAnsi="宋体"/>
          <w:b/>
          <w:szCs w:val="21"/>
        </w:rPr>
        <w:t>十五、合同生效及其它</w:t>
      </w:r>
    </w:p>
    <w:p>
      <w:pPr>
        <w:widowControl/>
        <w:snapToGrid w:val="0"/>
        <w:spacing w:before="156" w:beforeLines="50" w:line="440" w:lineRule="exact"/>
        <w:ind w:firstLine="420" w:firstLineChars="200"/>
        <w:rPr>
          <w:rFonts w:ascii="宋体" w:hAnsi="宋体"/>
          <w:szCs w:val="21"/>
        </w:rPr>
      </w:pPr>
      <w:r>
        <w:rPr>
          <w:rFonts w:ascii="宋体" w:hAnsi="宋体"/>
          <w:szCs w:val="21"/>
        </w:rPr>
        <w:t>1. 合同经双方法定代表人或授权代表签字并加盖单位公章后，报安吉县财政局采购办备案后生效。</w:t>
      </w:r>
    </w:p>
    <w:p>
      <w:pPr>
        <w:widowControl/>
        <w:snapToGrid w:val="0"/>
        <w:spacing w:before="156" w:beforeLines="50" w:line="440" w:lineRule="exact"/>
        <w:ind w:firstLine="420" w:firstLineChars="200"/>
        <w:rPr>
          <w:rFonts w:ascii="宋体" w:hAnsi="宋体"/>
          <w:szCs w:val="21"/>
        </w:rPr>
      </w:pPr>
      <w:r>
        <w:rPr>
          <w:rFonts w:ascii="宋体" w:hAnsi="宋体"/>
          <w:szCs w:val="21"/>
        </w:rPr>
        <w:t>2.合同执行中涉及采购资金和采购内容修改或补充的，须经财政部门审批，并签书面补充协议报政府采购监督管理部门备案，方可作为主合同不可分割的一部分。</w:t>
      </w:r>
    </w:p>
    <w:p>
      <w:pPr>
        <w:widowControl/>
        <w:snapToGrid w:val="0"/>
        <w:spacing w:before="156" w:beforeLines="50" w:line="440" w:lineRule="exact"/>
        <w:ind w:firstLine="420" w:firstLineChars="200"/>
        <w:rPr>
          <w:rFonts w:ascii="宋体" w:hAnsi="宋体"/>
          <w:szCs w:val="21"/>
        </w:rPr>
      </w:pPr>
      <w:r>
        <w:rPr>
          <w:rFonts w:ascii="宋体" w:hAnsi="宋体"/>
          <w:szCs w:val="21"/>
        </w:rPr>
        <w:t>3.本合同未尽事宜，遵照《合同法》有关条文执行。</w:t>
      </w:r>
    </w:p>
    <w:p>
      <w:pPr>
        <w:widowControl/>
        <w:snapToGrid w:val="0"/>
        <w:spacing w:before="156" w:beforeLines="50" w:line="440" w:lineRule="exact"/>
        <w:ind w:firstLine="422" w:firstLineChars="200"/>
        <w:rPr>
          <w:rFonts w:ascii="宋体" w:hAnsi="宋体"/>
          <w:b/>
          <w:szCs w:val="21"/>
        </w:rPr>
      </w:pPr>
      <w:r>
        <w:rPr>
          <w:rFonts w:ascii="宋体" w:hAnsi="宋体"/>
          <w:b/>
          <w:szCs w:val="21"/>
        </w:rPr>
        <w:t>4.本合同正本一式伍份，甲乙双方各执贰份，采购代理机构执壹份备案。</w:t>
      </w:r>
    </w:p>
    <w:p>
      <w:pPr>
        <w:widowControl/>
        <w:snapToGrid w:val="0"/>
        <w:spacing w:before="156" w:beforeLines="50" w:line="440" w:lineRule="exact"/>
        <w:ind w:left="420" w:hanging="420" w:hangingChars="200"/>
        <w:rPr>
          <w:rFonts w:ascii="宋体" w:hAnsi="宋体"/>
          <w:szCs w:val="21"/>
        </w:rPr>
      </w:pPr>
    </w:p>
    <w:p>
      <w:pPr>
        <w:tabs>
          <w:tab w:val="left" w:pos="1440"/>
        </w:tabs>
        <w:spacing w:line="440" w:lineRule="exact"/>
        <w:ind w:firstLine="420" w:firstLineChars="200"/>
        <w:rPr>
          <w:rFonts w:hint="eastAsia" w:ascii="宋体" w:hAnsi="宋体" w:cs="宋体"/>
        </w:rPr>
      </w:pPr>
      <w:r>
        <w:rPr>
          <w:rFonts w:hint="eastAsia" w:ascii="宋体" w:hAnsi="宋体" w:cs="宋体"/>
          <w:szCs w:val="21"/>
          <w:lang w:bidi="ar"/>
        </w:rPr>
        <w:t>甲方：                                      乙方：</w:t>
      </w:r>
    </w:p>
    <w:p>
      <w:pPr>
        <w:tabs>
          <w:tab w:val="left" w:pos="1440"/>
        </w:tabs>
        <w:spacing w:line="440" w:lineRule="exact"/>
        <w:ind w:firstLine="420" w:firstLineChars="200"/>
        <w:rPr>
          <w:rFonts w:hint="eastAsia" w:ascii="宋体" w:hAnsi="宋体" w:cs="宋体"/>
        </w:rPr>
      </w:pPr>
      <w:r>
        <w:rPr>
          <w:rFonts w:hint="eastAsia" w:ascii="宋体" w:hAnsi="宋体" w:cs="宋体"/>
          <w:szCs w:val="21"/>
          <w:lang w:bidi="ar"/>
        </w:rPr>
        <w:t>地址：                                      地址：</w:t>
      </w:r>
    </w:p>
    <w:p>
      <w:pPr>
        <w:tabs>
          <w:tab w:val="left" w:pos="1440"/>
        </w:tabs>
        <w:spacing w:line="440" w:lineRule="exact"/>
        <w:ind w:firstLine="420" w:firstLineChars="200"/>
        <w:rPr>
          <w:rFonts w:hint="eastAsia" w:ascii="宋体" w:hAnsi="宋体" w:cs="宋体"/>
        </w:rPr>
      </w:pPr>
      <w:r>
        <w:rPr>
          <w:rFonts w:hint="eastAsia" w:ascii="宋体" w:hAnsi="宋体" w:cs="宋体"/>
          <w:szCs w:val="21"/>
          <w:lang w:bidi="ar"/>
        </w:rPr>
        <w:t>法定代表人：                                法定代表人：</w:t>
      </w:r>
    </w:p>
    <w:p>
      <w:pPr>
        <w:tabs>
          <w:tab w:val="left" w:pos="1440"/>
        </w:tabs>
        <w:spacing w:line="440" w:lineRule="exact"/>
        <w:ind w:firstLine="420" w:firstLineChars="200"/>
        <w:rPr>
          <w:rFonts w:hint="eastAsia" w:ascii="宋体" w:hAnsi="宋体" w:cs="宋体"/>
        </w:rPr>
      </w:pPr>
      <w:r>
        <w:rPr>
          <w:rFonts w:hint="eastAsia" w:ascii="宋体" w:hAnsi="宋体" w:cs="宋体"/>
          <w:szCs w:val="21"/>
          <w:lang w:bidi="ar"/>
        </w:rPr>
        <w:t>电话：                                      电话：</w:t>
      </w:r>
    </w:p>
    <w:p>
      <w:pPr>
        <w:tabs>
          <w:tab w:val="left" w:pos="1440"/>
        </w:tabs>
        <w:spacing w:line="440" w:lineRule="exact"/>
        <w:ind w:firstLine="420" w:firstLineChars="200"/>
        <w:rPr>
          <w:rFonts w:hint="eastAsia" w:ascii="宋体" w:hAnsi="宋体" w:cs="宋体"/>
        </w:rPr>
      </w:pPr>
      <w:r>
        <w:rPr>
          <w:rFonts w:hint="eastAsia" w:ascii="宋体" w:hAnsi="宋体" w:cs="宋体"/>
          <w:szCs w:val="21"/>
          <w:lang w:bidi="ar"/>
        </w:rPr>
        <w:t>传真：                                      传真：</w:t>
      </w:r>
    </w:p>
    <w:p>
      <w:pPr>
        <w:tabs>
          <w:tab w:val="left" w:pos="1440"/>
        </w:tabs>
        <w:spacing w:line="440" w:lineRule="exact"/>
        <w:ind w:firstLine="420" w:firstLineChars="200"/>
        <w:rPr>
          <w:rFonts w:hint="eastAsia" w:ascii="宋体" w:hAnsi="宋体" w:cs="宋体"/>
        </w:rPr>
      </w:pPr>
      <w:r>
        <w:rPr>
          <w:rFonts w:hint="eastAsia" w:ascii="宋体" w:hAnsi="宋体" w:cs="宋体"/>
          <w:szCs w:val="21"/>
          <w:lang w:bidi="ar"/>
        </w:rPr>
        <w:t>开户银行：                                  开户银行：</w:t>
      </w:r>
    </w:p>
    <w:p>
      <w:pPr>
        <w:tabs>
          <w:tab w:val="left" w:pos="1440"/>
        </w:tabs>
        <w:spacing w:line="440" w:lineRule="exact"/>
        <w:ind w:firstLine="420" w:firstLineChars="200"/>
        <w:rPr>
          <w:rFonts w:hint="eastAsia" w:ascii="宋体" w:hAnsi="宋体" w:cs="宋体"/>
        </w:rPr>
      </w:pPr>
      <w:r>
        <w:rPr>
          <w:rFonts w:hint="eastAsia" w:ascii="宋体" w:hAnsi="宋体" w:cs="宋体"/>
          <w:szCs w:val="21"/>
          <w:lang w:bidi="ar"/>
        </w:rPr>
        <w:t>账号：                                      账号：</w:t>
      </w:r>
    </w:p>
    <w:p>
      <w:pPr>
        <w:spacing w:line="520" w:lineRule="exact"/>
        <w:ind w:firstLine="420" w:firstLineChars="200"/>
        <w:rPr>
          <w:rFonts w:hint="eastAsia" w:ascii="宋体" w:hAnsi="宋体" w:cs="宋体"/>
        </w:rPr>
      </w:pPr>
      <w:r>
        <w:rPr>
          <w:rFonts w:hint="eastAsia" w:ascii="宋体" w:hAnsi="宋体" w:cs="宋体"/>
          <w:szCs w:val="21"/>
          <w:lang w:bidi="ar"/>
        </w:rPr>
        <w:t xml:space="preserve">签订日期：                         </w:t>
      </w:r>
    </w:p>
    <w:p>
      <w:pPr>
        <w:spacing w:line="480" w:lineRule="exact"/>
        <w:jc w:val="center"/>
        <w:rPr>
          <w:rFonts w:ascii="宋体" w:hAnsi="宋体" w:cs="宋体"/>
          <w:b/>
          <w:sz w:val="28"/>
          <w:szCs w:val="28"/>
        </w:rPr>
      </w:pPr>
    </w:p>
    <w:p>
      <w:pPr>
        <w:spacing w:line="480" w:lineRule="exact"/>
        <w:jc w:val="center"/>
        <w:rPr>
          <w:rFonts w:ascii="宋体" w:hAnsi="宋体" w:cs="宋体"/>
          <w:b/>
          <w:sz w:val="28"/>
          <w:szCs w:val="28"/>
        </w:rPr>
      </w:pPr>
    </w:p>
    <w:p>
      <w:pPr>
        <w:pStyle w:val="21"/>
        <w:rPr>
          <w:rFonts w:ascii="宋体" w:hAnsi="宋体" w:cs="宋体"/>
          <w:b/>
          <w:sz w:val="28"/>
          <w:szCs w:val="28"/>
        </w:rPr>
      </w:pPr>
    </w:p>
    <w:p>
      <w:pPr>
        <w:pStyle w:val="22"/>
        <w:ind w:left="0" w:leftChars="0" w:firstLine="0" w:firstLineChars="0"/>
        <w:rPr>
          <w:rFonts w:ascii="宋体" w:hAnsi="宋体" w:cs="宋体"/>
          <w:b/>
          <w:sz w:val="28"/>
          <w:szCs w:val="28"/>
        </w:rPr>
      </w:pPr>
    </w:p>
    <w:p>
      <w:pPr>
        <w:pStyle w:val="22"/>
        <w:ind w:left="0" w:leftChars="0" w:firstLine="0" w:firstLineChars="0"/>
      </w:pPr>
    </w:p>
    <w:p>
      <w:pPr>
        <w:spacing w:line="480" w:lineRule="exact"/>
        <w:jc w:val="center"/>
        <w:rPr>
          <w:rFonts w:hint="eastAsia" w:ascii="宋体" w:hAnsi="宋体" w:cs="宋体"/>
          <w:b/>
          <w:sz w:val="28"/>
          <w:szCs w:val="28"/>
        </w:rPr>
      </w:pPr>
    </w:p>
    <w:p>
      <w:pPr>
        <w:keepNext w:val="0"/>
        <w:keepLines w:val="0"/>
        <w:pageBreakBefore w:val="0"/>
        <w:widowControl w:val="0"/>
        <w:kinsoku/>
        <w:overflowPunct/>
        <w:topLinePunct w:val="0"/>
        <w:bidi w:val="0"/>
        <w:spacing w:before="120" w:beforeLines="50" w:after="120" w:afterLines="50"/>
        <w:jc w:val="center"/>
        <w:outlineLvl w:val="0"/>
        <w:rPr>
          <w:rFonts w:hint="eastAsia" w:ascii="宋体" w:hAnsi="宋体" w:cs="宋体"/>
          <w:b/>
          <w:sz w:val="24"/>
        </w:rPr>
      </w:pPr>
      <w:r>
        <w:rPr>
          <w:rFonts w:hint="eastAsia" w:ascii="宋体" w:hAnsi="宋体" w:cs="宋体"/>
          <w:b/>
          <w:sz w:val="24"/>
        </w:rPr>
        <w:t>注：本合同作为示范文本，具体以中标供应商与招标人所签定正式合同为准。</w:t>
      </w:r>
    </w:p>
    <w:p>
      <w:pPr>
        <w:keepNext w:val="0"/>
        <w:keepLines w:val="0"/>
        <w:pageBreakBefore w:val="0"/>
        <w:widowControl w:val="0"/>
        <w:kinsoku/>
        <w:overflowPunct/>
        <w:topLinePunct w:val="0"/>
        <w:bidi w:val="0"/>
        <w:spacing w:before="120" w:beforeLines="50" w:after="120" w:afterLines="50"/>
        <w:jc w:val="center"/>
        <w:outlineLvl w:val="0"/>
        <w:rPr>
          <w:rFonts w:hint="eastAsia" w:ascii="宋体" w:hAnsi="宋体" w:cs="宋体"/>
          <w:b/>
          <w:sz w:val="24"/>
        </w:rPr>
      </w:pPr>
    </w:p>
    <w:p>
      <w:pPr>
        <w:pStyle w:val="21"/>
        <w:rPr>
          <w:rFonts w:hint="eastAsia" w:ascii="宋体" w:hAnsi="宋体" w:cs="宋体"/>
          <w:b/>
          <w:sz w:val="24"/>
        </w:rPr>
      </w:pPr>
    </w:p>
    <w:p>
      <w:pPr>
        <w:pStyle w:val="22"/>
        <w:rPr>
          <w:rFonts w:hint="eastAsia" w:ascii="宋体" w:hAnsi="宋体" w:cs="宋体"/>
          <w:b/>
          <w:sz w:val="24"/>
        </w:rPr>
      </w:pPr>
    </w:p>
    <w:p>
      <w:pPr>
        <w:rPr>
          <w:rFonts w:hint="eastAsia" w:ascii="宋体" w:hAnsi="宋体" w:cs="宋体"/>
          <w:b/>
          <w:sz w:val="24"/>
        </w:rPr>
      </w:pPr>
    </w:p>
    <w:p>
      <w:pPr>
        <w:pStyle w:val="21"/>
        <w:rPr>
          <w:rFonts w:hint="eastAsia"/>
        </w:rPr>
      </w:pPr>
    </w:p>
    <w:p>
      <w:pPr>
        <w:keepNext w:val="0"/>
        <w:keepLines w:val="0"/>
        <w:pageBreakBefore w:val="0"/>
        <w:widowControl w:val="0"/>
        <w:kinsoku/>
        <w:overflowPunct/>
        <w:topLinePunct w:val="0"/>
        <w:bidi w:val="0"/>
        <w:spacing w:before="120" w:beforeLines="50" w:after="120" w:afterLines="50"/>
        <w:jc w:val="center"/>
        <w:outlineLvl w:val="0"/>
        <w:rPr>
          <w:rFonts w:ascii="宋体"/>
          <w:color w:val="auto"/>
          <w:sz w:val="30"/>
          <w:szCs w:val="30"/>
          <w:highlight w:val="none"/>
        </w:rPr>
      </w:pPr>
      <w:r>
        <w:rPr>
          <w:rFonts w:hint="eastAsia" w:ascii="宋体"/>
          <w:b/>
          <w:bCs/>
          <w:color w:val="auto"/>
          <w:sz w:val="32"/>
          <w:szCs w:val="30"/>
          <w:highlight w:val="none"/>
        </w:rPr>
        <w:t>第六章、投标文件格式</w:t>
      </w:r>
      <w:bookmarkEnd w:id="292"/>
      <w:bookmarkEnd w:id="293"/>
      <w:bookmarkEnd w:id="294"/>
      <w:bookmarkEnd w:id="295"/>
      <w:bookmarkEnd w:id="296"/>
      <w:bookmarkEnd w:id="297"/>
      <w:bookmarkEnd w:id="298"/>
      <w:bookmarkEnd w:id="299"/>
      <w:bookmarkEnd w:id="300"/>
      <w:bookmarkEnd w:id="301"/>
      <w:bookmarkEnd w:id="302"/>
      <w:bookmarkEnd w:id="303"/>
    </w:p>
    <w:p>
      <w:pPr>
        <w:keepNext w:val="0"/>
        <w:keepLines w:val="0"/>
        <w:pageBreakBefore w:val="0"/>
        <w:widowControl w:val="0"/>
        <w:kinsoku/>
        <w:overflowPunct/>
        <w:topLinePunct w:val="0"/>
        <w:bidi w:val="0"/>
        <w:jc w:val="center"/>
        <w:rPr>
          <w:rFonts w:ascii="宋体"/>
          <w:color w:val="auto"/>
          <w:szCs w:val="21"/>
          <w:highlight w:val="none"/>
        </w:rPr>
      </w:pPr>
      <w:bookmarkStart w:id="304" w:name="_Toc293916381"/>
      <w:bookmarkStart w:id="305" w:name="_Toc293916030"/>
    </w:p>
    <w:p>
      <w:pPr>
        <w:keepNext w:val="0"/>
        <w:keepLines w:val="0"/>
        <w:pageBreakBefore w:val="0"/>
        <w:widowControl w:val="0"/>
        <w:kinsoku/>
        <w:overflowPunct/>
        <w:topLinePunct w:val="0"/>
        <w:bidi w:val="0"/>
        <w:jc w:val="center"/>
        <w:rPr>
          <w:rFonts w:ascii="宋体"/>
          <w:color w:val="auto"/>
          <w:szCs w:val="21"/>
          <w:highlight w:val="none"/>
        </w:rPr>
      </w:pPr>
      <w:r>
        <w:rPr>
          <w:rFonts w:hint="eastAsia" w:ascii="宋体"/>
          <w:color w:val="auto"/>
          <w:szCs w:val="21"/>
          <w:highlight w:val="none"/>
        </w:rPr>
        <w:t>投标方提交投标文件须知</w:t>
      </w:r>
    </w:p>
    <w:p>
      <w:pPr>
        <w:keepNext w:val="0"/>
        <w:keepLines w:val="0"/>
        <w:pageBreakBefore w:val="0"/>
        <w:widowControl w:val="0"/>
        <w:kinsoku/>
        <w:overflowPunct/>
        <w:topLinePunct w:val="0"/>
        <w:bidi w:val="0"/>
        <w:spacing w:line="520" w:lineRule="exact"/>
        <w:ind w:firstLine="420" w:firstLineChars="200"/>
        <w:rPr>
          <w:rFonts w:asci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1、标方应严格按照以下顺序填写和提交下述规定的全部格式文件以及其他有关资料，混乱的编排导致投标文件被误读或招标方查找不到有效文件是投标方的风险。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2、所附表格中要求回答的全部问题、信息都必须正面回答。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3、本资格声明的签字人应保证全部声明和问题的回答是真实的和正确的。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4、招标方将应用投标方提交的资料判断和考虑决定投标方履行合同的合格性及能力。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5、投标方提交的材料将被保密保存，但不退还。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olor w:val="auto"/>
          <w:szCs w:val="21"/>
          <w:highlight w:val="none"/>
        </w:rPr>
      </w:pPr>
      <w:r>
        <w:rPr>
          <w:rFonts w:hint="eastAsia" w:ascii="宋体"/>
          <w:color w:val="auto"/>
          <w:szCs w:val="21"/>
          <w:highlight w:val="none"/>
        </w:rPr>
        <w:t>6、全部文件应按投标方须知中规定的语言和份数提交。</w:t>
      </w:r>
    </w:p>
    <w:bookmarkEnd w:id="304"/>
    <w:bookmarkEnd w:id="305"/>
    <w:p>
      <w:pPr>
        <w:keepNext w:val="0"/>
        <w:keepLines w:val="0"/>
        <w:pageBreakBefore w:val="0"/>
        <w:widowControl w:val="0"/>
        <w:kinsoku/>
        <w:overflowPunct/>
        <w:topLinePunct w:val="0"/>
        <w:bidi w:val="0"/>
        <w:jc w:val="center"/>
        <w:outlineLvl w:val="1"/>
        <w:rPr>
          <w:b/>
          <w:bCs/>
          <w:color w:val="auto"/>
          <w:sz w:val="28"/>
          <w:highlight w:val="none"/>
        </w:rPr>
      </w:pPr>
      <w:r>
        <w:rPr>
          <w:rFonts w:hint="eastAsia" w:ascii="宋体"/>
          <w:color w:val="auto"/>
          <w:szCs w:val="21"/>
          <w:highlight w:val="none"/>
        </w:rPr>
        <w:br w:type="page"/>
      </w:r>
      <w:bookmarkStart w:id="306" w:name="_Toc318084367"/>
      <w:bookmarkStart w:id="307" w:name="_Toc3798"/>
      <w:bookmarkStart w:id="308" w:name="_Toc495242046"/>
      <w:bookmarkStart w:id="309" w:name="_Toc23643"/>
      <w:r>
        <w:rPr>
          <w:rFonts w:hint="eastAsia"/>
          <w:b/>
          <w:bCs/>
          <w:color w:val="auto"/>
          <w:sz w:val="28"/>
          <w:highlight w:val="none"/>
        </w:rPr>
        <w:t>一、资格证明文件格式</w:t>
      </w:r>
      <w:bookmarkEnd w:id="306"/>
      <w:bookmarkEnd w:id="307"/>
      <w:bookmarkEnd w:id="308"/>
      <w:bookmarkEnd w:id="309"/>
    </w:p>
    <w:p>
      <w:pPr>
        <w:keepNext w:val="0"/>
        <w:keepLines w:val="0"/>
        <w:pageBreakBefore w:val="0"/>
        <w:widowControl w:val="0"/>
        <w:kinsoku/>
        <w:overflowPunct/>
        <w:topLinePunct w:val="0"/>
        <w:bidi w:val="0"/>
        <w:jc w:val="center"/>
        <w:rPr>
          <w:b/>
          <w:bCs/>
          <w:color w:val="auto"/>
          <w:sz w:val="28"/>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jc w:val="left"/>
        <w:outlineLvl w:val="2"/>
        <w:rPr>
          <w:rFonts w:ascii="宋体"/>
          <w:b/>
          <w:color w:val="auto"/>
          <w:szCs w:val="21"/>
          <w:highlight w:val="none"/>
        </w:rPr>
      </w:pPr>
      <w:r>
        <w:rPr>
          <w:rFonts w:hint="eastAsia" w:ascii="宋体"/>
          <w:b/>
          <w:color w:val="auto"/>
          <w:szCs w:val="21"/>
          <w:highlight w:val="none"/>
        </w:rPr>
        <w:t>一、资格证明文件、商务/技术文件的外包装封面格式：（不可缺）</w:t>
      </w:r>
    </w:p>
    <w:p>
      <w:pPr>
        <w:keepNext w:val="0"/>
        <w:keepLines w:val="0"/>
        <w:pageBreakBefore w:val="0"/>
        <w:widowControl w:val="0"/>
        <w:kinsoku/>
        <w:overflowPunct/>
        <w:topLinePunct w:val="0"/>
        <w:bidi w:val="0"/>
        <w:adjustRightInd w:val="0"/>
        <w:snapToGrid w:val="0"/>
        <w:jc w:val="center"/>
        <w:rPr>
          <w:rStyle w:val="65"/>
          <w:rFonts w:ascii="宋体"/>
          <w:color w:val="auto"/>
          <w:sz w:val="33"/>
          <w:szCs w:val="21"/>
          <w:highlight w:val="none"/>
        </w:rPr>
      </w:pPr>
    </w:p>
    <w:p>
      <w:pPr>
        <w:pStyle w:val="109"/>
        <w:keepNext w:val="0"/>
        <w:keepLines w:val="0"/>
        <w:pageBreakBefore w:val="0"/>
        <w:widowControl w:val="0"/>
        <w:kinsoku/>
        <w:overflowPunct/>
        <w:topLinePunct w:val="0"/>
        <w:bidi w:val="0"/>
        <w:rPr>
          <w:color w:val="auto"/>
          <w:highlight w:val="none"/>
        </w:rPr>
      </w:pPr>
    </w:p>
    <w:p>
      <w:pPr>
        <w:pStyle w:val="109"/>
        <w:keepNext w:val="0"/>
        <w:keepLines w:val="0"/>
        <w:pageBreakBefore w:val="0"/>
        <w:widowControl w:val="0"/>
        <w:kinsoku/>
        <w:overflowPunct/>
        <w:topLinePunct w:val="0"/>
        <w:bidi w:val="0"/>
        <w:rPr>
          <w:color w:val="auto"/>
          <w:highlight w:val="none"/>
        </w:rPr>
      </w:pPr>
      <w:r>
        <w:rPr>
          <w:rFonts w:hint="eastAsia" w:ascii="宋体" w:cs="宋体"/>
          <w:b/>
          <w:bCs/>
          <w:color w:val="auto"/>
          <w:sz w:val="52"/>
          <w:szCs w:val="52"/>
          <w:highlight w:val="none"/>
          <w:lang w:eastAsia="zh-CN"/>
        </w:rPr>
        <w:t>浪漫山川旅游度假区基础设施一期建设工程之浪漫山川全域智慧旅游系统（标识标牌、智慧驿站）设计建设项目</w:t>
      </w:r>
    </w:p>
    <w:p>
      <w:pPr>
        <w:keepNext w:val="0"/>
        <w:keepLines w:val="0"/>
        <w:pageBreakBefore w:val="0"/>
        <w:widowControl w:val="0"/>
        <w:kinsoku/>
        <w:overflowPunct/>
        <w:topLinePunct w:val="0"/>
        <w:bidi w:val="0"/>
        <w:adjustRightInd w:val="0"/>
        <w:snapToGrid w:val="0"/>
        <w:spacing w:after="120" w:afterLines="50"/>
        <w:jc w:val="center"/>
        <w:rPr>
          <w:rFonts w:ascii="宋体"/>
          <w:color w:val="auto"/>
          <w:sz w:val="33"/>
          <w:szCs w:val="21"/>
          <w:highlight w:val="none"/>
        </w:rPr>
      </w:pPr>
    </w:p>
    <w:p>
      <w:pPr>
        <w:keepNext w:val="0"/>
        <w:keepLines w:val="0"/>
        <w:pageBreakBefore w:val="0"/>
        <w:widowControl w:val="0"/>
        <w:kinsoku/>
        <w:overflowPunct/>
        <w:topLinePunct w:val="0"/>
        <w:bidi w:val="0"/>
        <w:adjustRightInd w:val="0"/>
        <w:snapToGrid w:val="0"/>
        <w:spacing w:after="120" w:afterLines="50"/>
        <w:jc w:val="center"/>
        <w:rPr>
          <w:rFonts w:ascii="宋体"/>
          <w:color w:val="auto"/>
          <w:sz w:val="52"/>
          <w:szCs w:val="52"/>
          <w:highlight w:val="none"/>
        </w:rPr>
      </w:pPr>
      <w:r>
        <w:rPr>
          <w:rFonts w:hint="eastAsia" w:ascii="宋体"/>
          <w:color w:val="auto"/>
          <w:sz w:val="52"/>
          <w:szCs w:val="52"/>
          <w:highlight w:val="none"/>
        </w:rPr>
        <w:t>资格证明文件/商务/技术文件</w:t>
      </w: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jc w:val="center"/>
        <w:rPr>
          <w:rFonts w:ascii="宋体"/>
          <w:bCs/>
          <w:color w:val="auto"/>
          <w:szCs w:val="21"/>
          <w:highlight w:val="none"/>
        </w:rPr>
      </w:pPr>
      <w:r>
        <w:rPr>
          <w:rFonts w:hint="eastAsia" w:ascii="宋体"/>
          <w:color w:val="auto"/>
          <w:szCs w:val="21"/>
          <w:highlight w:val="none"/>
        </w:rPr>
        <w:t>在</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r>
        <w:rPr>
          <w:rFonts w:hint="eastAsia" w:ascii="宋体"/>
          <w:color w:val="auto"/>
          <w:szCs w:val="21"/>
          <w:highlight w:val="none"/>
          <w:u w:val="single"/>
        </w:rPr>
        <w:t xml:space="preserve">    </w:t>
      </w:r>
      <w:r>
        <w:rPr>
          <w:rFonts w:hint="eastAsia" w:ascii="宋体"/>
          <w:color w:val="auto"/>
          <w:szCs w:val="21"/>
          <w:highlight w:val="none"/>
        </w:rPr>
        <w:t>时</w:t>
      </w:r>
      <w:r>
        <w:rPr>
          <w:rFonts w:hint="eastAsia" w:ascii="宋体"/>
          <w:color w:val="auto"/>
          <w:szCs w:val="21"/>
          <w:highlight w:val="none"/>
          <w:u w:val="single"/>
        </w:rPr>
        <w:t xml:space="preserve">    </w:t>
      </w:r>
      <w:r>
        <w:rPr>
          <w:rFonts w:hint="eastAsia" w:ascii="宋体"/>
          <w:color w:val="auto"/>
          <w:szCs w:val="21"/>
          <w:highlight w:val="none"/>
        </w:rPr>
        <w:t>分（开标时间）之前不得启封</w:t>
      </w: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项目名称：</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项目编号：</w:t>
      </w:r>
      <w:r>
        <w:rPr>
          <w:rFonts w:hint="eastAsia" w:ascii="宋体"/>
          <w:bCs/>
          <w:color w:val="auto"/>
          <w:szCs w:val="21"/>
          <w:highlight w:val="none"/>
          <w:u w:val="single"/>
        </w:rPr>
        <w:t xml:space="preserve">                                        </w:t>
      </w:r>
      <w:r>
        <w:rPr>
          <w:rFonts w:hint="eastAsia" w:ascii="宋体"/>
          <w:bCs/>
          <w:color w:val="auto"/>
          <w:szCs w:val="21"/>
          <w:highlight w:val="non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投标人地址：</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授权代表签字或盖章：</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Cs/>
          <w:color w:val="auto"/>
          <w:szCs w:val="21"/>
          <w:highlight w:val="none"/>
        </w:rPr>
        <w:br w:type="page"/>
      </w:r>
      <w:r>
        <w:rPr>
          <w:rFonts w:hint="eastAsia" w:ascii="宋体"/>
          <w:b/>
          <w:color w:val="auto"/>
          <w:szCs w:val="21"/>
          <w:highlight w:val="none"/>
        </w:rPr>
        <w:t xml:space="preserve">二、资格证明文件/商务/技术文件封面格式： </w:t>
      </w:r>
    </w:p>
    <w:p>
      <w:pPr>
        <w:keepNext w:val="0"/>
        <w:keepLines w:val="0"/>
        <w:pageBreakBefore w:val="0"/>
        <w:widowControl w:val="0"/>
        <w:kinsoku/>
        <w:overflowPunct/>
        <w:topLinePunct w:val="0"/>
        <w:bidi w:val="0"/>
        <w:adjustRightInd w:val="0"/>
        <w:snapToGrid w:val="0"/>
        <w:spacing w:before="120" w:beforeLines="50" w:after="120" w:afterLines="50" w:line="500" w:lineRule="exact"/>
        <w:jc w:val="left"/>
        <w:rPr>
          <w:rFonts w:ascii="宋体"/>
          <w:b/>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jc w:val="right"/>
        <w:rPr>
          <w:rFonts w:ascii="宋体"/>
          <w:b/>
          <w:bCs/>
          <w:color w:val="auto"/>
          <w:sz w:val="32"/>
          <w:szCs w:val="32"/>
          <w:highlight w:val="none"/>
        </w:rPr>
      </w:pPr>
    </w:p>
    <w:p>
      <w:pPr>
        <w:keepNext w:val="0"/>
        <w:keepLines w:val="0"/>
        <w:pageBreakBefore w:val="0"/>
        <w:widowControl w:val="0"/>
        <w:kinsoku/>
        <w:overflowPunct/>
        <w:topLinePunct w:val="0"/>
        <w:bidi w:val="0"/>
        <w:adjustRightInd w:val="0"/>
        <w:snapToGrid w:val="0"/>
        <w:jc w:val="center"/>
        <w:rPr>
          <w:rStyle w:val="65"/>
          <w:rFonts w:ascii="宋体"/>
          <w:b/>
          <w:color w:val="auto"/>
          <w:szCs w:val="21"/>
          <w:highlight w:val="none"/>
        </w:rPr>
      </w:pPr>
    </w:p>
    <w:p>
      <w:pPr>
        <w:keepNext w:val="0"/>
        <w:keepLines w:val="0"/>
        <w:pageBreakBefore w:val="0"/>
        <w:widowControl w:val="0"/>
        <w:kinsoku/>
        <w:overflowPunct/>
        <w:topLinePunct w:val="0"/>
        <w:bidi w:val="0"/>
        <w:adjustRightInd w:val="0"/>
        <w:snapToGrid w:val="0"/>
        <w:jc w:val="center"/>
        <w:rPr>
          <w:rStyle w:val="65"/>
          <w:rFonts w:ascii="宋体"/>
          <w:color w:val="auto"/>
          <w:sz w:val="52"/>
          <w:szCs w:val="52"/>
          <w:highlight w:val="none"/>
        </w:rPr>
      </w:pPr>
    </w:p>
    <w:p>
      <w:pPr>
        <w:pStyle w:val="109"/>
        <w:keepNext w:val="0"/>
        <w:keepLines w:val="0"/>
        <w:pageBreakBefore w:val="0"/>
        <w:widowControl w:val="0"/>
        <w:kinsoku/>
        <w:overflowPunct/>
        <w:topLinePunct w:val="0"/>
        <w:bidi w:val="0"/>
        <w:rPr>
          <w:color w:val="auto"/>
          <w:highlight w:val="none"/>
        </w:rPr>
      </w:pPr>
      <w:r>
        <w:rPr>
          <w:rFonts w:hint="eastAsia" w:ascii="宋体" w:cs="宋体"/>
          <w:b/>
          <w:bCs/>
          <w:color w:val="auto"/>
          <w:sz w:val="52"/>
          <w:szCs w:val="52"/>
          <w:highlight w:val="none"/>
          <w:lang w:eastAsia="zh-CN"/>
        </w:rPr>
        <w:t>浪漫山川旅游度假区基础设施一期建设工程之浪漫山川全域智慧旅游系统（标识标牌、智慧驿站）设计建设项目</w:t>
      </w:r>
    </w:p>
    <w:p>
      <w:pPr>
        <w:keepNext w:val="0"/>
        <w:keepLines w:val="0"/>
        <w:pageBreakBefore w:val="0"/>
        <w:widowControl w:val="0"/>
        <w:kinsoku/>
        <w:overflowPunct/>
        <w:topLinePunct w:val="0"/>
        <w:bidi w:val="0"/>
        <w:adjustRightInd w:val="0"/>
        <w:snapToGrid w:val="0"/>
        <w:spacing w:line="360" w:lineRule="auto"/>
        <w:jc w:val="center"/>
        <w:rPr>
          <w:rFonts w:ascii="宋体"/>
          <w:color w:val="auto"/>
          <w:sz w:val="33"/>
          <w:szCs w:val="21"/>
          <w:highlight w:val="none"/>
        </w:rPr>
      </w:pPr>
    </w:p>
    <w:p>
      <w:pPr>
        <w:keepNext w:val="0"/>
        <w:keepLines w:val="0"/>
        <w:pageBreakBefore w:val="0"/>
        <w:widowControl w:val="0"/>
        <w:kinsoku/>
        <w:overflowPunct/>
        <w:topLinePunct w:val="0"/>
        <w:bidi w:val="0"/>
        <w:adjustRightInd w:val="0"/>
        <w:snapToGrid w:val="0"/>
        <w:spacing w:line="360" w:lineRule="auto"/>
        <w:jc w:val="center"/>
        <w:rPr>
          <w:rFonts w:ascii="宋体"/>
          <w:color w:val="auto"/>
          <w:sz w:val="52"/>
          <w:szCs w:val="52"/>
          <w:highlight w:val="none"/>
        </w:rPr>
      </w:pPr>
      <w:r>
        <w:rPr>
          <w:rFonts w:hint="eastAsia" w:ascii="宋体"/>
          <w:color w:val="auto"/>
          <w:sz w:val="52"/>
          <w:szCs w:val="52"/>
          <w:highlight w:val="none"/>
        </w:rPr>
        <w:t>资格证明文件/商务/技术文件</w:t>
      </w: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项目名称：</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项目编号：</w:t>
      </w:r>
      <w:r>
        <w:rPr>
          <w:rFonts w:hint="eastAsia" w:ascii="宋体"/>
          <w:bCs/>
          <w:color w:val="auto"/>
          <w:szCs w:val="21"/>
          <w:highlight w:val="none"/>
          <w:u w:val="single"/>
        </w:rPr>
        <w:t xml:space="preserve">                                        </w:t>
      </w:r>
      <w:r>
        <w:rPr>
          <w:rFonts w:hint="eastAsia" w:ascii="宋体"/>
          <w:bCs/>
          <w:color w:val="auto"/>
          <w:szCs w:val="21"/>
          <w:highlight w:val="non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投标人地址：</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授权代表签字或盖章：</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adjustRightInd w:val="0"/>
        <w:snapToGrid w:val="0"/>
        <w:spacing w:line="360" w:lineRule="exact"/>
        <w:outlineLvl w:val="2"/>
        <w:rPr>
          <w:rFonts w:ascii="宋体"/>
          <w:b/>
          <w:color w:val="auto"/>
          <w:szCs w:val="21"/>
          <w:highlight w:val="none"/>
        </w:rPr>
      </w:pPr>
      <w:r>
        <w:rPr>
          <w:rFonts w:hint="eastAsia" w:ascii="宋体"/>
          <w:b/>
          <w:color w:val="auto"/>
          <w:szCs w:val="21"/>
          <w:highlight w:val="none"/>
        </w:rPr>
        <w:br w:type="page"/>
      </w:r>
      <w:r>
        <w:rPr>
          <w:rFonts w:hint="eastAsia" w:ascii="宋体"/>
          <w:b/>
          <w:color w:val="auto"/>
          <w:szCs w:val="21"/>
          <w:highlight w:val="none"/>
        </w:rPr>
        <w:t>三、资格证明文件目录</w:t>
      </w:r>
    </w:p>
    <w:p>
      <w:pPr>
        <w:keepNext w:val="0"/>
        <w:keepLines w:val="0"/>
        <w:pageBreakBefore w:val="0"/>
        <w:widowControl w:val="0"/>
        <w:kinsoku/>
        <w:overflowPunct/>
        <w:topLinePunct w:val="0"/>
        <w:bidi w:val="0"/>
        <w:adjustRightInd w:val="0"/>
        <w:snapToGrid w:val="0"/>
        <w:spacing w:line="400" w:lineRule="exact"/>
        <w:jc w:val="center"/>
        <w:rPr>
          <w:rFonts w:ascii="宋体"/>
          <w:b/>
          <w:color w:val="auto"/>
          <w:szCs w:val="21"/>
          <w:highlight w:val="none"/>
        </w:rPr>
      </w:pPr>
    </w:p>
    <w:p>
      <w:pPr>
        <w:keepNext w:val="0"/>
        <w:keepLines w:val="0"/>
        <w:pageBreakBefore w:val="0"/>
        <w:widowControl w:val="0"/>
        <w:numPr>
          <w:ilvl w:val="0"/>
          <w:numId w:val="25"/>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符合参加政府采购活动应当具备的一般条件的承诺函（格式见附件）；</w:t>
      </w:r>
    </w:p>
    <w:p>
      <w:pPr>
        <w:keepNext w:val="0"/>
        <w:keepLines w:val="0"/>
        <w:pageBreakBefore w:val="0"/>
        <w:widowControl w:val="0"/>
        <w:numPr>
          <w:ilvl w:val="0"/>
          <w:numId w:val="25"/>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营业执照复印件；</w:t>
      </w:r>
    </w:p>
    <w:p>
      <w:pPr>
        <w:keepNext w:val="0"/>
        <w:keepLines w:val="0"/>
        <w:pageBreakBefore w:val="0"/>
        <w:widowControl w:val="0"/>
        <w:numPr>
          <w:ilvl w:val="0"/>
          <w:numId w:val="25"/>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中小企业声明函（格式见附件）；</w:t>
      </w:r>
    </w:p>
    <w:p>
      <w:pPr>
        <w:keepNext w:val="0"/>
        <w:keepLines w:val="0"/>
        <w:pageBreakBefore w:val="0"/>
        <w:widowControl w:val="0"/>
        <w:numPr>
          <w:ilvl w:val="0"/>
          <w:numId w:val="25"/>
        </w:numPr>
        <w:kinsoku/>
        <w:overflowPunct/>
        <w:topLinePunct w:val="0"/>
        <w:bidi w:val="0"/>
        <w:adjustRightInd w:val="0"/>
        <w:snapToGrid w:val="0"/>
        <w:spacing w:line="400" w:lineRule="exact"/>
        <w:ind w:left="0" w:firstLine="420" w:firstLineChars="200"/>
        <w:jc w:val="left"/>
        <w:rPr>
          <w:rFonts w:ascii="宋体"/>
          <w:color w:val="auto"/>
          <w:szCs w:val="21"/>
          <w:highlight w:val="none"/>
        </w:rPr>
      </w:pPr>
      <w:r>
        <w:rPr>
          <w:rFonts w:hint="eastAsia" w:ascii="宋体"/>
          <w:color w:val="auto"/>
          <w:szCs w:val="21"/>
          <w:highlight w:val="none"/>
        </w:rPr>
        <w:t>法定代表人身份证明书和授权委托书（格式见附件）；</w:t>
      </w:r>
    </w:p>
    <w:p>
      <w:pPr>
        <w:keepNext w:val="0"/>
        <w:keepLines w:val="0"/>
        <w:pageBreakBefore w:val="0"/>
        <w:widowControl w:val="0"/>
        <w:kinsoku/>
        <w:overflowPunct/>
        <w:topLinePunct w:val="0"/>
        <w:bidi w:val="0"/>
        <w:adjustRightInd w:val="0"/>
        <w:snapToGrid w:val="0"/>
        <w:spacing w:line="400" w:lineRule="exac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rPr>
          <w:rFonts w:ascii="宋体"/>
          <w:color w:val="auto"/>
          <w:szCs w:val="21"/>
          <w:highlight w:val="none"/>
        </w:rPr>
      </w:pPr>
      <w:r>
        <w:rPr>
          <w:rFonts w:hint="eastAsia" w:ascii="宋体"/>
          <w:b/>
          <w:color w:val="auto"/>
          <w:szCs w:val="21"/>
          <w:highlight w:val="none"/>
        </w:rPr>
        <w:t>以上资格证明文件组成部分招标文件有格式的参照后附件格式，无格式的投标单位自拟。</w:t>
      </w:r>
    </w:p>
    <w:p>
      <w:pPr>
        <w:keepNext w:val="0"/>
        <w:keepLines w:val="0"/>
        <w:pageBreakBefore w:val="0"/>
        <w:widowControl w:val="0"/>
        <w:kinsoku/>
        <w:overflowPunct/>
        <w:topLinePunct w:val="0"/>
        <w:bidi w:val="0"/>
        <w:adjustRightInd w:val="0"/>
        <w:snapToGrid w:val="0"/>
        <w:spacing w:line="400" w:lineRule="exac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13" w:firstLineChars="196"/>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00" w:lineRule="exact"/>
        <w:outlineLvl w:val="2"/>
        <w:rPr>
          <w:rFonts w:ascii="宋体"/>
          <w:b/>
          <w:color w:val="auto"/>
          <w:szCs w:val="21"/>
          <w:highlight w:val="none"/>
        </w:rPr>
      </w:pPr>
      <w:r>
        <w:rPr>
          <w:rFonts w:ascii="宋体"/>
          <w:b/>
          <w:color w:val="auto"/>
          <w:szCs w:val="21"/>
          <w:highlight w:val="none"/>
        </w:rPr>
        <w:br w:type="page"/>
      </w:r>
      <w:r>
        <w:rPr>
          <w:rFonts w:hint="eastAsia" w:ascii="宋体"/>
          <w:b/>
          <w:color w:val="auto"/>
          <w:szCs w:val="21"/>
          <w:highlight w:val="none"/>
        </w:rPr>
        <w:t>四、符合参加政府采购活动应当具备的一般条件的承诺函格式：</w:t>
      </w:r>
    </w:p>
    <w:p>
      <w:pPr>
        <w:keepNext w:val="0"/>
        <w:keepLines w:val="0"/>
        <w:pageBreakBefore w:val="0"/>
        <w:widowControl w:val="0"/>
        <w:kinsoku/>
        <w:overflowPunct/>
        <w:topLinePunct w:val="0"/>
        <w:bidi w:val="0"/>
        <w:jc w:val="center"/>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r>
        <w:rPr>
          <w:rFonts w:hint="eastAsia" w:ascii="宋体"/>
          <w:b/>
          <w:color w:val="auto"/>
          <w:szCs w:val="21"/>
          <w:highlight w:val="none"/>
        </w:rPr>
        <w:t>符合参加政府采购活动应当具备的一般条件的承诺函</w:t>
      </w:r>
    </w:p>
    <w:p>
      <w:pPr>
        <w:keepNext w:val="0"/>
        <w:keepLines w:val="0"/>
        <w:pageBreakBefore w:val="0"/>
        <w:widowControl w:val="0"/>
        <w:kinsoku/>
        <w:overflowPunct/>
        <w:topLinePunct w:val="0"/>
        <w:bidi w:val="0"/>
        <w:adjustRightInd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spacing w:line="440" w:lineRule="exact"/>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（招标采购单位名称）   </w:t>
      </w:r>
      <w:r>
        <w:rPr>
          <w:rFonts w:hint="eastAsia" w:ascii="宋体"/>
          <w:color w:val="auto"/>
          <w:szCs w:val="21"/>
          <w:highlight w:val="none"/>
        </w:rPr>
        <w:t>：</w:t>
      </w:r>
    </w:p>
    <w:p>
      <w:pPr>
        <w:keepNext w:val="0"/>
        <w:keepLines w:val="0"/>
        <w:pageBreakBefore w:val="0"/>
        <w:widowControl w:val="0"/>
        <w:kinsoku/>
        <w:overflowPunct/>
        <w:topLinePunct w:val="0"/>
        <w:bidi w:val="0"/>
        <w:spacing w:line="440" w:lineRule="exact"/>
        <w:rPr>
          <w:rFonts w:ascii="宋体"/>
          <w:color w:val="auto"/>
          <w:szCs w:val="21"/>
          <w:highlight w:val="none"/>
        </w:rPr>
      </w:pPr>
      <w:r>
        <w:rPr>
          <w:rFonts w:hint="eastAsia" w:ascii="宋体"/>
          <w:color w:val="auto"/>
          <w:szCs w:val="21"/>
          <w:highlight w:val="none"/>
          <w:u w:val="single"/>
        </w:rPr>
        <w:t>（采购代理机构）</w:t>
      </w:r>
      <w:r>
        <w:rPr>
          <w:rFonts w:hint="eastAsia" w:ascii="宋体"/>
          <w:color w:val="auto"/>
          <w:szCs w:val="21"/>
          <w:highlight w:val="none"/>
        </w:rPr>
        <w:t>：</w:t>
      </w:r>
    </w:p>
    <w:p>
      <w:pPr>
        <w:keepNext w:val="0"/>
        <w:keepLines w:val="0"/>
        <w:pageBreakBefore w:val="0"/>
        <w:widowControl w:val="0"/>
        <w:kinsoku/>
        <w:overflowPunct/>
        <w:topLinePunct w:val="0"/>
        <w:bidi w:val="0"/>
        <w:spacing w:line="440" w:lineRule="exact"/>
        <w:ind w:firstLine="420" w:firstLineChars="200"/>
        <w:rPr>
          <w:rFonts w:ascii="宋体"/>
          <w:color w:val="auto"/>
          <w:szCs w:val="21"/>
          <w:highlight w:val="none"/>
        </w:rPr>
      </w:pPr>
      <w:r>
        <w:rPr>
          <w:rFonts w:hint="eastAsia" w:ascii="宋体"/>
          <w:color w:val="auto"/>
          <w:szCs w:val="21"/>
          <w:highlight w:val="none"/>
          <w:u w:val="single"/>
        </w:rPr>
        <w:t xml:space="preserve">（投标人名称）    </w:t>
      </w:r>
      <w:r>
        <w:rPr>
          <w:rFonts w:hint="eastAsia" w:ascii="宋体"/>
          <w:color w:val="auto"/>
          <w:szCs w:val="21"/>
          <w:highlight w:val="none"/>
        </w:rPr>
        <w:t>系中华人民共和国合法企业，经营地址</w:t>
      </w:r>
      <w:r>
        <w:rPr>
          <w:rFonts w:hint="eastAsia" w:ascii="宋体"/>
          <w:color w:val="auto"/>
          <w:szCs w:val="21"/>
          <w:highlight w:val="none"/>
          <w:u w:val="single"/>
        </w:rPr>
        <w:t xml:space="preserve">            </w:t>
      </w:r>
      <w:r>
        <w:rPr>
          <w:rFonts w:hint="eastAsia" w:ascii="宋体"/>
          <w:color w:val="auto"/>
          <w:szCs w:val="21"/>
          <w:highlight w:val="none"/>
        </w:rPr>
        <w:t>。</w:t>
      </w:r>
    </w:p>
    <w:p>
      <w:pPr>
        <w:keepNext w:val="0"/>
        <w:keepLines w:val="0"/>
        <w:pageBreakBefore w:val="0"/>
        <w:widowControl w:val="0"/>
        <w:kinsoku/>
        <w:overflowPunct/>
        <w:topLinePunct w:val="0"/>
        <w:bidi w:val="0"/>
        <w:spacing w:line="440" w:lineRule="exact"/>
        <w:ind w:firstLine="420" w:firstLineChars="200"/>
        <w:rPr>
          <w:rFonts w:ascii="宋体"/>
          <w:color w:val="auto"/>
          <w:szCs w:val="21"/>
          <w:highlight w:val="none"/>
        </w:rPr>
      </w:pPr>
      <w:r>
        <w:rPr>
          <w:rFonts w:hint="eastAsia" w:ascii="宋体"/>
          <w:color w:val="auto"/>
          <w:szCs w:val="21"/>
          <w:highlight w:val="none"/>
        </w:rPr>
        <w:t>我</w:t>
      </w:r>
      <w:r>
        <w:rPr>
          <w:rFonts w:hint="eastAsia" w:ascii="宋体"/>
          <w:color w:val="auto"/>
          <w:szCs w:val="21"/>
          <w:highlight w:val="none"/>
          <w:u w:val="single"/>
        </w:rPr>
        <w:t xml:space="preserve"> （姓名） </w:t>
      </w:r>
      <w:r>
        <w:rPr>
          <w:rFonts w:hint="eastAsia" w:ascii="宋体"/>
          <w:color w:val="auto"/>
          <w:szCs w:val="21"/>
          <w:highlight w:val="none"/>
        </w:rPr>
        <w:t>系</w:t>
      </w:r>
      <w:r>
        <w:rPr>
          <w:rFonts w:hint="eastAsia" w:ascii="宋体"/>
          <w:color w:val="auto"/>
          <w:szCs w:val="21"/>
          <w:highlight w:val="none"/>
          <w:u w:val="single"/>
        </w:rPr>
        <w:t xml:space="preserve"> （投标人名称） </w:t>
      </w:r>
      <w:r>
        <w:rPr>
          <w:rFonts w:hint="eastAsia" w:ascii="宋体"/>
          <w:color w:val="auto"/>
          <w:szCs w:val="21"/>
          <w:highlight w:val="none"/>
        </w:rPr>
        <w:t>的法定代表人，我方愿意参加贵方组织的</w:t>
      </w:r>
      <w:r>
        <w:rPr>
          <w:rFonts w:hint="eastAsia" w:ascii="宋体"/>
          <w:color w:val="auto"/>
          <w:szCs w:val="21"/>
          <w:highlight w:val="none"/>
          <w:u w:val="single"/>
        </w:rPr>
        <w:t xml:space="preserve">           项目</w:t>
      </w:r>
      <w:r>
        <w:rPr>
          <w:rFonts w:hint="eastAsia" w:ascii="宋体"/>
          <w:color w:val="auto"/>
          <w:szCs w:val="21"/>
          <w:highlight w:val="none"/>
        </w:rPr>
        <w:t>的投标，为便于贵方公正、择优地确定中标人及其投标产品和服务，我方就本次投标有关事项郑重声明如下：</w:t>
      </w:r>
    </w:p>
    <w:p>
      <w:pPr>
        <w:keepNext w:val="0"/>
        <w:keepLines w:val="0"/>
        <w:pageBreakBefore w:val="0"/>
        <w:widowControl w:val="0"/>
        <w:kinsoku/>
        <w:overflowPunct/>
        <w:topLinePunct w:val="0"/>
        <w:bidi w:val="0"/>
        <w:spacing w:line="440" w:lineRule="exact"/>
        <w:ind w:firstLine="420" w:firstLineChars="200"/>
        <w:rPr>
          <w:rFonts w:ascii="宋体"/>
          <w:color w:val="auto"/>
          <w:szCs w:val="21"/>
          <w:highlight w:val="none"/>
        </w:rPr>
      </w:pPr>
      <w:r>
        <w:rPr>
          <w:rFonts w:hint="eastAsia" w:ascii="宋体"/>
          <w:color w:val="auto"/>
          <w:szCs w:val="21"/>
          <w:highlight w:val="none"/>
        </w:rPr>
        <w:t>1.我方向贵方提交的所有投标文件、资料都是准确的和真实的。</w:t>
      </w:r>
    </w:p>
    <w:p>
      <w:pPr>
        <w:keepNext w:val="0"/>
        <w:keepLines w:val="0"/>
        <w:pageBreakBefore w:val="0"/>
        <w:widowControl w:val="0"/>
        <w:kinsoku/>
        <w:overflowPunct/>
        <w:topLinePunct w:val="0"/>
        <w:bidi w:val="0"/>
        <w:spacing w:line="440" w:lineRule="exact"/>
        <w:ind w:firstLine="420" w:firstLineChars="200"/>
        <w:rPr>
          <w:rFonts w:ascii="宋体"/>
          <w:color w:val="auto"/>
          <w:szCs w:val="21"/>
          <w:highlight w:val="none"/>
        </w:rPr>
      </w:pPr>
      <w:r>
        <w:rPr>
          <w:rFonts w:hint="eastAsia" w:ascii="宋体"/>
          <w:color w:val="auto"/>
          <w:szCs w:val="21"/>
          <w:highlight w:val="none"/>
        </w:rPr>
        <w:t>2.我方不是采购人的附属机构；在获知本项目采购信息后，与采购人聘请的为此项目提供咨询服务的公司及其附属机构没有任何联系。　　　　　　　　　　　　　　　　　　　　　　　　　　　　　　　　　　　　　　　　　　　　　　　　　　　　　　</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3.我方承诺已经具备招标文件规定的参加本项目政府采购活动的投标人应当具备的条件：</w:t>
      </w:r>
    </w:p>
    <w:p>
      <w:pPr>
        <w:keepNext w:val="0"/>
        <w:keepLines w:val="0"/>
        <w:pageBreakBefore w:val="0"/>
        <w:widowControl w:val="0"/>
        <w:kinsoku/>
        <w:overflowPunct/>
        <w:topLinePunct w:val="0"/>
        <w:bidi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keepNext w:val="0"/>
        <w:keepLines w:val="0"/>
        <w:pageBreakBefore w:val="0"/>
        <w:widowControl w:val="0"/>
        <w:kinsoku/>
        <w:overflowPunct/>
        <w:topLinePunct w:val="0"/>
        <w:bidi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keepNext w:val="0"/>
        <w:keepLines w:val="0"/>
        <w:pageBreakBefore w:val="0"/>
        <w:widowControl w:val="0"/>
        <w:kinsoku/>
        <w:overflowPunct/>
        <w:topLinePunct w:val="0"/>
        <w:bidi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keepNext w:val="0"/>
        <w:keepLines w:val="0"/>
        <w:pageBreakBefore w:val="0"/>
        <w:widowControl w:val="0"/>
        <w:kinsoku/>
        <w:overflowPunct/>
        <w:topLinePunct w:val="0"/>
        <w:bidi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keepNext w:val="0"/>
        <w:keepLines w:val="0"/>
        <w:pageBreakBefore w:val="0"/>
        <w:widowControl w:val="0"/>
        <w:kinsoku/>
        <w:overflowPunct/>
        <w:topLinePunct w:val="0"/>
        <w:bidi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（5）参加本次政府采购活动前三年内，在经营活动中没有重大违法记录；</w:t>
      </w:r>
    </w:p>
    <w:p>
      <w:pPr>
        <w:keepNext w:val="0"/>
        <w:keepLines w:val="0"/>
        <w:pageBreakBefore w:val="0"/>
        <w:widowControl w:val="0"/>
        <w:kinsoku/>
        <w:overflowPunct/>
        <w:topLinePunct w:val="0"/>
        <w:bidi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（6）至本项目投标截止时间前，我方未列入失信被执行人、重大税收违法案件当事人名单、政府采购严重违法失信行为记录名单；</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4.我方承诺：最近三年我方无行贿犯罪行为，若我方中标，愿意接受社会监督和检察院调查。                                                  </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5.以上事项如有虚假或隐瞒，我方愿意承担一切后果和责任。</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法定代表人签字</w:t>
      </w:r>
      <w:r>
        <w:rPr>
          <w:rFonts w:hint="eastAsia" w:ascii="宋体"/>
          <w:color w:val="auto"/>
          <w:szCs w:val="21"/>
          <w:highlight w:val="none"/>
          <w:lang w:eastAsia="zh-CN"/>
        </w:rPr>
        <w:t>或盖章</w:t>
      </w:r>
      <w:r>
        <w:rPr>
          <w:rFonts w:hint="eastAsia" w:ascii="宋体"/>
          <w:color w:val="auto"/>
          <w:szCs w:val="21"/>
          <w:highlight w:val="none"/>
        </w:rPr>
        <w:t>：</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投标人盖章：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rPr>
        <w:br w:type="page"/>
      </w:r>
      <w:r>
        <w:rPr>
          <w:rFonts w:hint="eastAsia" w:ascii="宋体"/>
          <w:b/>
          <w:color w:val="auto"/>
          <w:szCs w:val="21"/>
          <w:highlight w:val="none"/>
          <w:lang w:eastAsia="zh-CN"/>
        </w:rPr>
        <w:t>五</w:t>
      </w:r>
      <w:r>
        <w:rPr>
          <w:rFonts w:hint="eastAsia" w:ascii="宋体"/>
          <w:b/>
          <w:color w:val="auto"/>
          <w:szCs w:val="21"/>
          <w:highlight w:val="none"/>
        </w:rPr>
        <w:t>、中小企业声明函</w:t>
      </w:r>
    </w:p>
    <w:p>
      <w:pPr>
        <w:keepNext w:val="0"/>
        <w:keepLines w:val="0"/>
        <w:pageBreakBefore w:val="0"/>
        <w:widowControl w:val="0"/>
        <w:kinsoku/>
        <w:overflowPunct/>
        <w:topLinePunct w:val="0"/>
        <w:bidi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1"/>
          <w:szCs w:val="21"/>
          <w:highlight w:val="none"/>
        </w:rPr>
        <w:t>中小企业声明函</w:t>
      </w: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本公司（联合体）郑重声明，根据《政府采购促进中小企业发展管理办法》（财库﹝2020﹞46 号）的规定，本公司（联合体）参加</w:t>
      </w:r>
      <w:r>
        <w:rPr>
          <w:rFonts w:hint="eastAsia" w:ascii="宋体" w:hAnsi="宋体" w:cs="宋体"/>
          <w:bCs/>
          <w:color w:val="auto"/>
          <w:kern w:val="0"/>
          <w:szCs w:val="21"/>
          <w:highlight w:val="none"/>
          <w:u w:val="single"/>
        </w:rPr>
        <w:t xml:space="preserve"> （单位名称）  </w:t>
      </w:r>
      <w:r>
        <w:rPr>
          <w:rFonts w:hint="eastAsia" w:ascii="宋体" w:hAnsi="宋体" w:cs="宋体"/>
          <w:bCs/>
          <w:color w:val="auto"/>
          <w:kern w:val="0"/>
          <w:szCs w:val="21"/>
          <w:highlight w:val="none"/>
        </w:rPr>
        <w:t>的</w:t>
      </w:r>
      <w:r>
        <w:rPr>
          <w:rFonts w:hint="eastAsia" w:ascii="宋体" w:hAnsi="宋体" w:cs="宋体"/>
          <w:bCs/>
          <w:color w:val="auto"/>
          <w:kern w:val="0"/>
          <w:szCs w:val="21"/>
          <w:highlight w:val="none"/>
          <w:u w:val="single"/>
        </w:rPr>
        <w:t xml:space="preserve">  （项目名称）  </w:t>
      </w:r>
      <w:r>
        <w:rPr>
          <w:rFonts w:hint="eastAsia" w:ascii="宋体" w:hAnsi="宋体" w:cs="宋体"/>
          <w:bCs/>
          <w:color w:val="auto"/>
          <w:kern w:val="0"/>
          <w:szCs w:val="21"/>
          <w:highlight w:val="none"/>
        </w:rPr>
        <w:t>采购活动，提供的货物全部由符合政策要求的中小企业制造。相关企业（含联合 体中的中小企业、签订分包意向协议的中小企业）的具体情 况如下：</w:t>
      </w:r>
    </w:p>
    <w:p>
      <w:pPr>
        <w:keepNext w:val="0"/>
        <w:keepLines w:val="0"/>
        <w:pageBreakBefore w:val="0"/>
        <w:widowControl w:val="0"/>
        <w:numPr>
          <w:ilvl w:val="0"/>
          <w:numId w:val="26"/>
        </w:numPr>
        <w:kinsoku/>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（标的名称） </w:t>
      </w:r>
      <w:r>
        <w:rPr>
          <w:rFonts w:hint="eastAsia" w:ascii="宋体" w:hAnsi="宋体" w:cs="宋体"/>
          <w:bCs/>
          <w:color w:val="auto"/>
          <w:kern w:val="0"/>
          <w:szCs w:val="21"/>
          <w:highlight w:val="none"/>
        </w:rPr>
        <w:t>，属于</w:t>
      </w:r>
      <w:r>
        <w:rPr>
          <w:rFonts w:hint="eastAsia" w:ascii="宋体" w:hAnsi="宋体" w:cs="宋体"/>
          <w:bCs/>
          <w:color w:val="auto"/>
          <w:kern w:val="0"/>
          <w:szCs w:val="21"/>
          <w:highlight w:val="none"/>
          <w:u w:val="single"/>
        </w:rPr>
        <w:t xml:space="preserve"> （采购文件中明确的所属行业） </w:t>
      </w:r>
      <w:r>
        <w:rPr>
          <w:rFonts w:hint="eastAsia" w:ascii="宋体" w:hAnsi="宋体" w:cs="宋体"/>
          <w:bCs/>
          <w:color w:val="auto"/>
          <w:kern w:val="0"/>
          <w:szCs w:val="21"/>
          <w:highlight w:val="none"/>
        </w:rPr>
        <w:t>；制造商为</w:t>
      </w:r>
      <w:r>
        <w:rPr>
          <w:rFonts w:hint="eastAsia" w:ascii="宋体" w:hAnsi="宋体" w:cs="宋体"/>
          <w:bCs/>
          <w:color w:val="auto"/>
          <w:kern w:val="0"/>
          <w:szCs w:val="21"/>
          <w:highlight w:val="none"/>
          <w:u w:val="single"/>
        </w:rPr>
        <w:t xml:space="preserve">（企业名称） </w:t>
      </w:r>
      <w:r>
        <w:rPr>
          <w:rFonts w:hint="eastAsia" w:ascii="宋体" w:hAnsi="宋体" w:cs="宋体"/>
          <w:bCs/>
          <w:color w:val="auto"/>
          <w:kern w:val="0"/>
          <w:szCs w:val="21"/>
          <w:highlight w:val="none"/>
        </w:rPr>
        <w:t>，从业人员</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万元1，属于</w:t>
      </w:r>
      <w:r>
        <w:rPr>
          <w:rFonts w:hint="eastAsia" w:ascii="宋体" w:hAnsi="宋体" w:cs="宋体"/>
          <w:bCs/>
          <w:color w:val="auto"/>
          <w:kern w:val="0"/>
          <w:szCs w:val="21"/>
          <w:highlight w:val="none"/>
          <w:u w:val="single"/>
        </w:rPr>
        <w:t xml:space="preserve"> （中型企业、 小型企业、微型企业） </w:t>
      </w:r>
      <w:r>
        <w:rPr>
          <w:rFonts w:hint="eastAsia" w:ascii="宋体" w:hAnsi="宋体" w:cs="宋体"/>
          <w:bCs/>
          <w:color w:val="auto"/>
          <w:kern w:val="0"/>
          <w:szCs w:val="21"/>
          <w:highlight w:val="none"/>
        </w:rPr>
        <w:t xml:space="preserve">； </w:t>
      </w:r>
    </w:p>
    <w:p>
      <w:pPr>
        <w:keepNext w:val="0"/>
        <w:keepLines w:val="0"/>
        <w:pageBreakBefore w:val="0"/>
        <w:widowControl w:val="0"/>
        <w:numPr>
          <w:ilvl w:val="0"/>
          <w:numId w:val="26"/>
        </w:numPr>
        <w:kinsoku/>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（标的名称） </w:t>
      </w:r>
      <w:r>
        <w:rPr>
          <w:rFonts w:hint="eastAsia" w:ascii="宋体" w:hAnsi="宋体" w:cs="宋体"/>
          <w:bCs/>
          <w:color w:val="auto"/>
          <w:kern w:val="0"/>
          <w:szCs w:val="21"/>
          <w:highlight w:val="none"/>
        </w:rPr>
        <w:t>，属于</w:t>
      </w:r>
      <w:r>
        <w:rPr>
          <w:rFonts w:hint="eastAsia" w:ascii="宋体" w:hAnsi="宋体" w:cs="宋体"/>
          <w:bCs/>
          <w:color w:val="auto"/>
          <w:kern w:val="0"/>
          <w:szCs w:val="21"/>
          <w:highlight w:val="none"/>
          <w:u w:val="single"/>
        </w:rPr>
        <w:t xml:space="preserve"> （采购文件中明确的所属行业） </w:t>
      </w:r>
      <w:r>
        <w:rPr>
          <w:rFonts w:hint="eastAsia" w:ascii="宋体" w:hAnsi="宋体" w:cs="宋体"/>
          <w:bCs/>
          <w:color w:val="auto"/>
          <w:kern w:val="0"/>
          <w:szCs w:val="21"/>
          <w:highlight w:val="none"/>
        </w:rPr>
        <w:t>；制造商为</w:t>
      </w:r>
      <w:r>
        <w:rPr>
          <w:rFonts w:hint="eastAsia" w:ascii="宋体" w:hAnsi="宋体" w:cs="宋体"/>
          <w:bCs/>
          <w:color w:val="auto"/>
          <w:kern w:val="0"/>
          <w:szCs w:val="21"/>
          <w:highlight w:val="none"/>
          <w:u w:val="single"/>
        </w:rPr>
        <w:t xml:space="preserve">（企业名称） </w:t>
      </w:r>
      <w:r>
        <w:rPr>
          <w:rFonts w:hint="eastAsia" w:ascii="宋体" w:hAnsi="宋体" w:cs="宋体"/>
          <w:bCs/>
          <w:color w:val="auto"/>
          <w:kern w:val="0"/>
          <w:szCs w:val="21"/>
          <w:highlight w:val="none"/>
        </w:rPr>
        <w:t>，从业人员</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万元，属于</w:t>
      </w:r>
      <w:r>
        <w:rPr>
          <w:rFonts w:hint="eastAsia" w:ascii="宋体" w:hAnsi="宋体" w:cs="宋体"/>
          <w:bCs/>
          <w:color w:val="auto"/>
          <w:kern w:val="0"/>
          <w:szCs w:val="21"/>
          <w:highlight w:val="none"/>
          <w:u w:val="single"/>
        </w:rPr>
        <w:t>（中型企业、 小型企业、微型企业）</w:t>
      </w:r>
      <w:r>
        <w:rPr>
          <w:rFonts w:hint="eastAsia" w:ascii="宋体" w:hAnsi="宋体" w:cs="宋体"/>
          <w:bCs/>
          <w:color w:val="auto"/>
          <w:kern w:val="0"/>
          <w:szCs w:val="21"/>
          <w:highlight w:val="none"/>
        </w:rPr>
        <w:t xml:space="preserve">； </w:t>
      </w: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w:t>
      </w: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本企业对上述声明内容的真实性负责。如有虚假，将依法承担相应责任。</w:t>
      </w: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keepNext w:val="0"/>
        <w:keepLines w:val="0"/>
        <w:pageBreakBefore w:val="0"/>
        <w:widowControl w:val="0"/>
        <w:pBdr>
          <w:bottom w:val="single" w:color="auto" w:sz="6" w:space="1"/>
        </w:pBdr>
        <w:kinsoku/>
        <w:overflowPunct/>
        <w:topLinePunct w:val="0"/>
        <w:bidi w:val="0"/>
        <w:snapToGrid w:val="0"/>
        <w:spacing w:line="360" w:lineRule="auto"/>
        <w:ind w:firstLine="420" w:firstLineChars="200"/>
        <w:jc w:val="left"/>
        <w:rPr>
          <w:rFonts w:ascii="宋体" w:hAnsi="宋体" w:cs="宋体"/>
          <w:color w:val="auto"/>
          <w:kern w:val="0"/>
          <w:szCs w:val="21"/>
          <w:highlight w:val="none"/>
        </w:rPr>
      </w:pP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color w:val="auto"/>
          <w:kern w:val="0"/>
          <w:szCs w:val="21"/>
          <w:highlight w:val="none"/>
        </w:rPr>
      </w:pP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color w:val="auto"/>
          <w:szCs w:val="21"/>
          <w:highlight w:val="none"/>
        </w:rPr>
      </w:pPr>
    </w:p>
    <w:p>
      <w:pPr>
        <w:keepNext w:val="0"/>
        <w:keepLines w:val="0"/>
        <w:pageBreakBefore w:val="0"/>
        <w:widowControl w:val="0"/>
        <w:kinsoku/>
        <w:overflowPunct/>
        <w:topLinePunct w:val="0"/>
        <w:bidi w:val="0"/>
        <w:snapToGrid w:val="0"/>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r>
        <w:rPr>
          <w:rFonts w:hint="eastAsia" w:ascii="宋体" w:hAnsi="宋体" w:cs="宋体"/>
          <w:color w:val="auto"/>
          <w:kern w:val="0"/>
          <w:szCs w:val="21"/>
          <w:highlight w:val="none"/>
        </w:rPr>
        <w:t>。</w:t>
      </w:r>
    </w:p>
    <w:p>
      <w:pPr>
        <w:keepNext w:val="0"/>
        <w:keepLines w:val="0"/>
        <w:pageBreakBefore w:val="0"/>
        <w:widowControl w:val="0"/>
        <w:kinsoku/>
        <w:overflowPunct/>
        <w:topLinePunct w:val="0"/>
        <w:bidi w:val="0"/>
        <w:snapToGrid w:val="0"/>
        <w:spacing w:line="360" w:lineRule="auto"/>
        <w:ind w:firstLine="480" w:firstLineChars="200"/>
        <w:jc w:val="left"/>
        <w:rPr>
          <w:rFonts w:ascii="宋体" w:hAnsi="宋体" w:cs="宋体"/>
          <w:color w:val="auto"/>
          <w:kern w:val="0"/>
          <w:sz w:val="24"/>
          <w:highlight w:val="none"/>
        </w:rPr>
      </w:pPr>
    </w:p>
    <w:p>
      <w:pPr>
        <w:keepNext w:val="0"/>
        <w:keepLines w:val="0"/>
        <w:pageBreakBefore w:val="0"/>
        <w:widowControl w:val="0"/>
        <w:kinsoku/>
        <w:wordWrap w:val="0"/>
        <w:overflowPunct/>
        <w:topLinePunct w:val="0"/>
        <w:bidi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、本项目采购标的对应的中小企业划分标准所属行业为其他未列明行业。</w:t>
      </w:r>
    </w:p>
    <w:p>
      <w:pPr>
        <w:keepNext w:val="0"/>
        <w:keepLines w:val="0"/>
        <w:pageBreakBefore w:val="0"/>
        <w:widowControl w:val="0"/>
        <w:kinsoku/>
        <w:wordWrap w:val="0"/>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、▲供应商提供的中小企业声明函与实际情况不符的，视为供应商提供虚假材料投标的，投标无效。</w:t>
      </w: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3"/>
        <w:keepNext w:val="0"/>
        <w:keepLines w:val="0"/>
        <w:pageBreakBefore w:val="0"/>
        <w:widowControl w:val="0"/>
        <w:kinsoku/>
        <w:overflowPunct/>
        <w:topLinePunct w:val="0"/>
        <w:bidi w:val="0"/>
        <w:rPr>
          <w:b/>
          <w:bCs/>
          <w:color w:val="auto"/>
          <w:highlight w:val="none"/>
        </w:rPr>
      </w:pPr>
    </w:p>
    <w:p>
      <w:pPr>
        <w:pStyle w:val="20"/>
        <w:keepNext w:val="0"/>
        <w:keepLines w:val="0"/>
        <w:pageBreakBefore w:val="0"/>
        <w:widowControl w:val="0"/>
        <w:kinsoku/>
        <w:overflowPunct/>
        <w:topLinePunct w:val="0"/>
        <w:bidi w:val="0"/>
        <w:spacing w:after="0" w:line="39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说明1、从业人员、营业收入、资产总额填报上一年度数据，无上一年度数据的新成立企业可不填报。为本项目提供服务的企业按照《关于印发中小企业划型标准规定的通知》（工信部联企业〔2011〕300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bCs/>
          <w:color w:val="auto"/>
          <w:kern w:val="0"/>
          <w:sz w:val="21"/>
          <w:szCs w:val="21"/>
          <w:highlight w:val="none"/>
        </w:rPr>
        <w:t>其他未列明行业</w:t>
      </w:r>
      <w:r>
        <w:rPr>
          <w:rFonts w:hint="eastAsia" w:ascii="宋体" w:hAnsi="宋体" w:cs="宋体"/>
          <w:color w:val="auto"/>
          <w:kern w:val="0"/>
          <w:sz w:val="21"/>
          <w:szCs w:val="21"/>
          <w:highlight w:val="none"/>
        </w:rPr>
        <w:t>。</w:t>
      </w:r>
    </w:p>
    <w:p>
      <w:pPr>
        <w:pStyle w:val="21"/>
        <w:numPr>
          <w:ilvl w:val="0"/>
          <w:numId w:val="27"/>
        </w:num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投标人必须如实且规范填写本表格。如投标人提供的服务非中小企业的，资格审查不通过，投标无效</w:t>
      </w:r>
      <w:r>
        <w:rPr>
          <w:rFonts w:hint="eastAsia" w:ascii="宋体" w:hAnsi="宋体" w:cs="宋体"/>
          <w:color w:val="auto"/>
          <w:kern w:val="0"/>
          <w:sz w:val="21"/>
          <w:szCs w:val="21"/>
          <w:highlight w:val="none"/>
        </w:rPr>
        <w:t>；</w:t>
      </w:r>
    </w:p>
    <w:p>
      <w:pPr>
        <w:pStyle w:val="21"/>
        <w:numPr>
          <w:ilvl w:val="0"/>
          <w:numId w:val="27"/>
        </w:numP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中小企业划分为中型、小型、微型三种类型，具体标准根据企业从业人员、营业收入、资产总额等指标，结合行业特点制定。各行业划型标准为：</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（一）农、林、牧、渔业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营业收入20000万元以下的为中小微型企业。其中，营业收入500万元及以上的为中型企业，营业收入50万元及以上的为小型企业，营业收入50万元以下的为微型企业。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（二）工业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（三）建筑业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（四）批发业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（五）零售业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（六）交通运输业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从业人员1000人以下或营业收入30000万元以下的为中小微型企业。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（七）仓储业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（八）邮政业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（九）住宿业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（十）餐饮业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（十一）信息传输业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（十二）软件和信息技术服务业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（十三）房地产开发经营</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（十四）物业管理</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（十五）租赁和商务服务业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0"/>
        <w:keepNext w:val="0"/>
        <w:keepLines w:val="0"/>
        <w:pageBreakBefore w:val="0"/>
        <w:widowControl w:val="0"/>
        <w:kinsoku/>
        <w:overflowPunct/>
        <w:topLinePunct w:val="0"/>
        <w:bidi w:val="0"/>
        <w:spacing w:after="0" w:line="390" w:lineRule="exact"/>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（十六）其他未列明行业</w:t>
      </w:r>
    </w:p>
    <w:p>
      <w:pPr>
        <w:pStyle w:val="20"/>
        <w:keepNext w:val="0"/>
        <w:keepLines w:val="0"/>
        <w:pageBreakBefore w:val="0"/>
        <w:widowControl w:val="0"/>
        <w:kinsoku/>
        <w:overflowPunct/>
        <w:topLinePunct w:val="0"/>
        <w:bidi w:val="0"/>
        <w:spacing w:after="0" w:line="39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bCs/>
          <w:color w:val="auto"/>
          <w:szCs w:val="21"/>
          <w:highlight w:val="none"/>
        </w:rPr>
      </w:pPr>
      <w:r>
        <w:rPr>
          <w:rFonts w:hint="eastAsia" w:ascii="宋体" w:hAnsi="宋体" w:cs="宋体"/>
          <w:b/>
          <w:bCs/>
          <w:color w:val="auto"/>
          <w:szCs w:val="21"/>
          <w:highlight w:val="none"/>
          <w:lang w:eastAsia="zh-CN"/>
        </w:rPr>
        <w:t>六</w:t>
      </w:r>
      <w:r>
        <w:rPr>
          <w:rFonts w:hint="eastAsia" w:ascii="宋体"/>
          <w:b/>
          <w:bCs/>
          <w:color w:val="auto"/>
          <w:szCs w:val="21"/>
          <w:highlight w:val="none"/>
        </w:rPr>
        <w:t>、残疾人福利性单位声明函</w:t>
      </w:r>
    </w:p>
    <w:p>
      <w:pPr>
        <w:keepNext w:val="0"/>
        <w:keepLines w:val="0"/>
        <w:pageBreakBefore w:val="0"/>
        <w:widowControl w:val="0"/>
        <w:kinsoku/>
        <w:overflowPunct/>
        <w:topLinePunct w:val="0"/>
        <w:bidi w:val="0"/>
        <w:spacing w:line="400" w:lineRule="exact"/>
        <w:jc w:val="center"/>
        <w:rPr>
          <w:rFonts w:ascii="宋体" w:hAnsi="宋体" w:cs="宋体"/>
          <w:b/>
          <w:color w:val="auto"/>
          <w:szCs w:val="21"/>
          <w:highlight w:val="none"/>
        </w:rPr>
      </w:pPr>
    </w:p>
    <w:p>
      <w:pPr>
        <w:keepNext w:val="0"/>
        <w:keepLines w:val="0"/>
        <w:pageBreakBefore w:val="0"/>
        <w:widowControl w:val="0"/>
        <w:kinsoku/>
        <w:overflowPunct/>
        <w:topLinePunct w:val="0"/>
        <w:bidi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pPr>
        <w:keepNext w:val="0"/>
        <w:keepLines w:val="0"/>
        <w:pageBreakBefore w:val="0"/>
        <w:widowControl w:val="0"/>
        <w:kinsoku/>
        <w:overflowPunct/>
        <w:topLinePunct w:val="0"/>
        <w:bidi w:val="0"/>
        <w:spacing w:line="440" w:lineRule="exact"/>
        <w:ind w:firstLine="504" w:firstLineChars="200"/>
        <w:rPr>
          <w:rFonts w:ascii="宋体" w:hAnsi="宋体" w:cs="宋体"/>
          <w:color w:val="auto"/>
          <w:spacing w:val="6"/>
          <w:sz w:val="24"/>
          <w:highlight w:val="none"/>
        </w:rPr>
      </w:pPr>
    </w:p>
    <w:p>
      <w:pPr>
        <w:keepNext w:val="0"/>
        <w:keepLines w:val="0"/>
        <w:pageBreakBefore w:val="0"/>
        <w:widowControl w:val="0"/>
        <w:kinsoku/>
        <w:overflowPunct/>
        <w:topLinePunct w:val="0"/>
        <w:bidi w:val="0"/>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本单位郑重声明，根据《财政部民政部中国残疾人联合会关于促进残疾人就业政府采购政策的通知》（财库〔2017〕141号）的规定，本单位为符合条件的残疾人福利性单位，且本单位参加______单位的</w:t>
      </w:r>
      <w:r>
        <w:rPr>
          <w:rFonts w:hint="eastAsia" w:ascii="宋体" w:hAnsi="宋体" w:cs="宋体"/>
          <w:color w:val="auto"/>
          <w:spacing w:val="6"/>
          <w:szCs w:val="21"/>
          <w:highlight w:val="none"/>
        </w:rPr>
        <w:tab/>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overflowPunct/>
        <w:topLinePunct w:val="0"/>
        <w:bidi w:val="0"/>
        <w:spacing w:line="4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pStyle w:val="20"/>
        <w:keepNext w:val="0"/>
        <w:keepLines w:val="0"/>
        <w:pageBreakBefore w:val="0"/>
        <w:widowControl w:val="0"/>
        <w:kinsoku/>
        <w:overflowPunct/>
        <w:topLinePunct w:val="0"/>
        <w:bidi w:val="0"/>
        <w:spacing w:after="0" w:line="400" w:lineRule="exact"/>
        <w:rPr>
          <w:rFonts w:ascii="宋体" w:hAnsi="宋体" w:cs="宋体"/>
          <w:color w:val="auto"/>
          <w:sz w:val="21"/>
          <w:szCs w:val="21"/>
          <w:highlight w:val="none"/>
        </w:rPr>
      </w:pPr>
    </w:p>
    <w:p>
      <w:pPr>
        <w:pStyle w:val="20"/>
        <w:keepNext w:val="0"/>
        <w:keepLines w:val="0"/>
        <w:pageBreakBefore w:val="0"/>
        <w:widowControl w:val="0"/>
        <w:kinsoku/>
        <w:overflowPunct/>
        <w:topLinePunct w:val="0"/>
        <w:bidi w:val="0"/>
        <w:spacing w:after="0" w:line="400" w:lineRule="exact"/>
        <w:rPr>
          <w:rFonts w:ascii="宋体" w:hAnsi="宋体" w:cs="宋体"/>
          <w:color w:val="auto"/>
          <w:sz w:val="21"/>
          <w:szCs w:val="21"/>
          <w:highlight w:val="none"/>
        </w:rPr>
      </w:pPr>
    </w:p>
    <w:p>
      <w:pPr>
        <w:pStyle w:val="20"/>
        <w:keepNext w:val="0"/>
        <w:keepLines w:val="0"/>
        <w:pageBreakBefore w:val="0"/>
        <w:widowControl w:val="0"/>
        <w:kinsoku/>
        <w:overflowPunct/>
        <w:topLinePunct w:val="0"/>
        <w:bidi w:val="0"/>
        <w:spacing w:after="0" w:line="400" w:lineRule="exact"/>
        <w:rPr>
          <w:rFonts w:ascii="宋体" w:hAnsi="宋体" w:cs="宋体"/>
          <w:color w:val="auto"/>
          <w:highlight w:val="none"/>
        </w:rPr>
      </w:pPr>
    </w:p>
    <w:p>
      <w:pPr>
        <w:pStyle w:val="20"/>
        <w:keepNext w:val="0"/>
        <w:keepLines w:val="0"/>
        <w:pageBreakBefore w:val="0"/>
        <w:widowControl w:val="0"/>
        <w:kinsoku/>
        <w:overflowPunct/>
        <w:topLinePunct w:val="0"/>
        <w:bidi w:val="0"/>
        <w:spacing w:after="0" w:line="400" w:lineRule="exact"/>
        <w:rPr>
          <w:rFonts w:ascii="宋体" w:hAnsi="宋体" w:cs="宋体"/>
          <w:color w:val="auto"/>
          <w:sz w:val="17"/>
          <w:highlight w:val="none"/>
        </w:rPr>
      </w:pPr>
    </w:p>
    <w:p>
      <w:pPr>
        <w:keepNext w:val="0"/>
        <w:keepLines w:val="0"/>
        <w:pageBreakBefore w:val="0"/>
        <w:widowControl w:val="0"/>
        <w:kinsoku/>
        <w:overflowPunct/>
        <w:topLinePunct w:val="0"/>
        <w:bidi w:val="0"/>
        <w:spacing w:line="400" w:lineRule="exact"/>
        <w:ind w:left="540" w:right="968" w:rightChars="461" w:hanging="36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pPr>
        <w:keepNext w:val="0"/>
        <w:keepLines w:val="0"/>
        <w:pageBreakBefore w:val="0"/>
        <w:widowControl w:val="0"/>
        <w:kinsoku/>
        <w:overflowPunct/>
        <w:topLinePunct w:val="0"/>
        <w:bidi w:val="0"/>
        <w:spacing w:line="400" w:lineRule="exact"/>
        <w:ind w:left="540" w:leftChars="257" w:right="968" w:rightChars="461" w:firstLine="2730" w:firstLineChars="1300"/>
        <w:jc w:val="right"/>
        <w:rPr>
          <w:rFonts w:ascii="宋体" w:hAnsi="宋体" w:cs="宋体"/>
          <w:color w:val="auto"/>
          <w:szCs w:val="21"/>
          <w:highlight w:val="none"/>
        </w:rPr>
      </w:pPr>
      <w:r>
        <w:rPr>
          <w:rFonts w:hint="eastAsia" w:ascii="宋体" w:hAnsi="宋体" w:cs="宋体"/>
          <w:color w:val="auto"/>
          <w:szCs w:val="21"/>
          <w:highlight w:val="none"/>
        </w:rPr>
        <w:t>法定代表人或授权委托人签字：</w:t>
      </w:r>
    </w:p>
    <w:p>
      <w:pPr>
        <w:keepNext w:val="0"/>
        <w:keepLines w:val="0"/>
        <w:pageBreakBefore w:val="0"/>
        <w:widowControl w:val="0"/>
        <w:kinsoku/>
        <w:wordWrap w:val="0"/>
        <w:overflowPunct/>
        <w:topLinePunct w:val="0"/>
        <w:bidi w:val="0"/>
        <w:spacing w:line="400" w:lineRule="exact"/>
        <w:ind w:left="540" w:right="968" w:rightChars="461" w:hanging="360"/>
        <w:jc w:val="right"/>
        <w:rPr>
          <w:rFonts w:ascii="宋体" w:hAnsi="宋体" w:cs="宋体"/>
          <w:color w:val="auto"/>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keepNext w:val="0"/>
        <w:keepLines w:val="0"/>
        <w:pageBreakBefore w:val="0"/>
        <w:widowControl w:val="0"/>
        <w:kinsoku/>
        <w:overflowPunct/>
        <w:topLinePunct w:val="0"/>
        <w:bidi w:val="0"/>
        <w:adjustRightInd w:val="0"/>
        <w:snapToGrid w:val="0"/>
        <w:spacing w:line="400" w:lineRule="exact"/>
        <w:jc w:val="left"/>
        <w:rPr>
          <w:rFonts w:ascii="宋体" w:hAnsi="宋体" w:cs="宋体"/>
          <w:color w:val="auto"/>
          <w:szCs w:val="21"/>
          <w:highlight w:val="none"/>
        </w:rPr>
      </w:pPr>
    </w:p>
    <w:p>
      <w:pPr>
        <w:keepNext w:val="0"/>
        <w:keepLines w:val="0"/>
        <w:pageBreakBefore w:val="0"/>
        <w:widowControl w:val="0"/>
        <w:kinsoku/>
        <w:overflowPunct/>
        <w:topLinePunct w:val="0"/>
        <w:bidi w:val="0"/>
        <w:adjustRightInd w:val="0"/>
        <w:snapToGrid w:val="0"/>
        <w:spacing w:line="400" w:lineRule="exact"/>
        <w:jc w:val="left"/>
        <w:rPr>
          <w:rFonts w:ascii="宋体" w:hAnsi="宋体" w:cs="宋体"/>
          <w:color w:val="auto"/>
          <w:szCs w:val="21"/>
          <w:highlight w:val="none"/>
        </w:rPr>
      </w:pPr>
    </w:p>
    <w:p>
      <w:pPr>
        <w:keepNext w:val="0"/>
        <w:keepLines w:val="0"/>
        <w:pageBreakBefore w:val="0"/>
        <w:widowControl w:val="0"/>
        <w:kinsoku/>
        <w:overflowPunct/>
        <w:topLinePunct w:val="0"/>
        <w:bidi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提供社保缴纳人员名单、录用的残疾人的</w:t>
      </w:r>
      <w:r>
        <w:rPr>
          <w:rFonts w:hint="eastAsia" w:ascii="宋体" w:hAnsi="宋体" w:cs="宋体"/>
          <w:color w:val="auto"/>
          <w:highlight w:val="none"/>
        </w:rPr>
        <w:t>《中华人民共和国残疾人证》或者《中华人民共和国残疾军人证(1至8级)》复印件。</w:t>
      </w: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pStyle w:val="71"/>
        <w:keepNext w:val="0"/>
        <w:keepLines w:val="0"/>
        <w:pageBreakBefore w:val="0"/>
        <w:widowControl w:val="0"/>
        <w:kinsoku/>
        <w:overflowPunct/>
        <w:topLinePunct w:val="0"/>
        <w:bidi w:val="0"/>
        <w:spacing w:before="120"/>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bCs/>
          <w:color w:val="auto"/>
          <w:szCs w:val="21"/>
          <w:highlight w:val="none"/>
          <w:lang w:eastAsia="zh-CN"/>
        </w:rPr>
        <w:t>七</w:t>
      </w:r>
      <w:r>
        <w:rPr>
          <w:rFonts w:hint="eastAsia" w:ascii="宋体"/>
          <w:b/>
          <w:color w:val="auto"/>
          <w:szCs w:val="21"/>
          <w:highlight w:val="none"/>
        </w:rPr>
        <w:t>、监狱企业声明函</w:t>
      </w:r>
    </w:p>
    <w:p>
      <w:pPr>
        <w:keepNext w:val="0"/>
        <w:keepLines w:val="0"/>
        <w:pageBreakBefore w:val="0"/>
        <w:widowControl w:val="0"/>
        <w:kinsoku/>
        <w:overflowPunct/>
        <w:topLinePunct w:val="0"/>
        <w:bidi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监狱企业声明函（非监狱企业不用提供）</w:t>
      </w:r>
    </w:p>
    <w:p>
      <w:pPr>
        <w:keepNext w:val="0"/>
        <w:keepLines w:val="0"/>
        <w:pageBreakBefore w:val="0"/>
        <w:widowControl w:val="0"/>
        <w:kinsoku/>
        <w:overflowPunct/>
        <w:topLinePunct w:val="0"/>
        <w:bidi w:val="0"/>
        <w:adjustRightInd w:val="0"/>
        <w:snapToGrid w:val="0"/>
        <w:spacing w:line="320" w:lineRule="exact"/>
        <w:ind w:firstLine="3907" w:firstLineChars="1390"/>
        <w:rPr>
          <w:rFonts w:ascii="宋体" w:hAnsi="宋体" w:cs="宋体"/>
          <w:b/>
          <w:color w:val="auto"/>
          <w:sz w:val="28"/>
          <w:szCs w:val="28"/>
          <w:highlight w:val="none"/>
        </w:rPr>
      </w:pPr>
    </w:p>
    <w:p>
      <w:pPr>
        <w:keepNext w:val="0"/>
        <w:keepLines w:val="0"/>
        <w:pageBreakBefore w:val="0"/>
        <w:widowControl w:val="0"/>
        <w:kinsoku/>
        <w:overflowPunct/>
        <w:topLinePunct w:val="0"/>
        <w:bidi w:val="0"/>
        <w:adjustRightInd w:val="0"/>
        <w:snapToGrid w:val="0"/>
        <w:spacing w:line="400" w:lineRule="exact"/>
        <w:rPr>
          <w:rFonts w:ascii="宋体" w:hAnsi="宋体" w:cs="宋体"/>
          <w:color w:val="auto"/>
          <w:highlight w:val="none"/>
        </w:rPr>
      </w:pPr>
      <w:r>
        <w:rPr>
          <w:rFonts w:hint="eastAsia" w:ascii="宋体" w:hAnsi="宋体" w:cs="宋体"/>
          <w:color w:val="auto"/>
          <w:highlight w:val="none"/>
        </w:rPr>
        <w:t>（采购人名称）：</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本公司郑重声明，根据《关于政府采购支持监狱企业发展有关问题的通知》（财库〔2014〕68号）的规定，本公司为监狱企业。</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1.本公司为监狱企业的证明材料如下：</w:t>
      </w:r>
    </w:p>
    <w:p>
      <w:pPr>
        <w:keepNext w:val="0"/>
        <w:keepLines w:val="0"/>
        <w:pageBreakBefore w:val="0"/>
        <w:widowControl w:val="0"/>
        <w:kinsoku/>
        <w:overflowPunct/>
        <w:topLinePunct w:val="0"/>
        <w:bidi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附：                                          </w:t>
      </w:r>
      <w:r>
        <w:rPr>
          <w:rFonts w:hint="eastAsia" w:ascii="宋体" w:hAnsi="宋体" w:cs="宋体"/>
          <w:color w:val="auto"/>
          <w:highlight w:val="none"/>
        </w:rPr>
        <w:t>。</w:t>
      </w:r>
    </w:p>
    <w:p>
      <w:pPr>
        <w:keepNext w:val="0"/>
        <w:keepLines w:val="0"/>
        <w:pageBreakBefore w:val="0"/>
        <w:widowControl w:val="0"/>
        <w:kinsoku/>
        <w:overflowPunct/>
        <w:topLinePunct w:val="0"/>
        <w:bidi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附：                                          </w:t>
      </w:r>
      <w:r>
        <w:rPr>
          <w:rFonts w:hint="eastAsia" w:ascii="宋体" w:hAnsi="宋体" w:cs="宋体"/>
          <w:color w:val="auto"/>
          <w:highlight w:val="none"/>
        </w:rPr>
        <w:t>。</w:t>
      </w:r>
    </w:p>
    <w:p>
      <w:pPr>
        <w:keepNext w:val="0"/>
        <w:keepLines w:val="0"/>
        <w:pageBreakBefore w:val="0"/>
        <w:widowControl w:val="0"/>
        <w:kinsoku/>
        <w:overflowPunct/>
        <w:topLinePunct w:val="0"/>
        <w:bidi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u w:val="single"/>
        </w:rPr>
        <w:t>_（采购人名称）</w:t>
      </w:r>
      <w:r>
        <w:rPr>
          <w:rFonts w:hint="eastAsia" w:ascii="宋体" w:hAnsi="宋体" w:cs="宋体"/>
          <w:color w:val="auto"/>
          <w:highlight w:val="none"/>
        </w:rPr>
        <w:t>单位的</w:t>
      </w:r>
      <w:r>
        <w:rPr>
          <w:rFonts w:hint="eastAsia" w:ascii="宋体" w:hAnsi="宋体" w:cs="宋体"/>
          <w:color w:val="auto"/>
          <w:highlight w:val="none"/>
          <w:u w:val="single"/>
        </w:rPr>
        <w:t>（项目名称）</w:t>
      </w:r>
      <w:r>
        <w:rPr>
          <w:rFonts w:hint="eastAsia" w:ascii="宋体" w:hAnsi="宋体" w:cs="宋体"/>
          <w:color w:val="auto"/>
          <w:highlight w:val="none"/>
        </w:rPr>
        <w:t>采购活动。本公司对上述声明的真实性负责。如有虚假，将依法承担相应责任。</w:t>
      </w:r>
    </w:p>
    <w:p>
      <w:pPr>
        <w:keepNext w:val="0"/>
        <w:keepLines w:val="0"/>
        <w:pageBreakBefore w:val="0"/>
        <w:widowControl w:val="0"/>
        <w:kinsoku/>
        <w:overflowPunct/>
        <w:topLinePunct w:val="0"/>
        <w:bidi w:val="0"/>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lang w:val="zh-CN"/>
        </w:rPr>
        <w:t>注：1）本声明函为监狱企业填写。</w:t>
      </w:r>
    </w:p>
    <w:p>
      <w:pPr>
        <w:keepNext w:val="0"/>
        <w:keepLines w:val="0"/>
        <w:pageBreakBefore w:val="0"/>
        <w:widowControl w:val="0"/>
        <w:kinsoku/>
        <w:overflowPunct/>
        <w:topLinePunct w:val="0"/>
        <w:bidi w:val="0"/>
        <w:adjustRightInd w:val="0"/>
        <w:snapToGrid w:val="0"/>
        <w:spacing w:line="400" w:lineRule="exact"/>
        <w:ind w:firstLine="835" w:firstLineChars="396"/>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2）后附相关部门认定盖章认定证明文件</w:t>
      </w:r>
      <w:r>
        <w:rPr>
          <w:rFonts w:hint="eastAsia" w:ascii="宋体" w:hAnsi="宋体" w:cs="宋体"/>
          <w:b/>
          <w:color w:val="auto"/>
          <w:szCs w:val="21"/>
          <w:highlight w:val="none"/>
        </w:rPr>
        <w:t>且有效期内</w:t>
      </w:r>
      <w:r>
        <w:rPr>
          <w:rFonts w:hint="eastAsia" w:ascii="宋体" w:hAnsi="宋体" w:cs="宋体"/>
          <w:b/>
          <w:color w:val="auto"/>
          <w:kern w:val="0"/>
          <w:szCs w:val="21"/>
          <w:highlight w:val="none"/>
          <w:lang w:val="zh-CN"/>
        </w:rPr>
        <w:t>。</w:t>
      </w:r>
    </w:p>
    <w:p>
      <w:pPr>
        <w:keepNext w:val="0"/>
        <w:keepLines w:val="0"/>
        <w:pageBreakBefore w:val="0"/>
        <w:widowControl w:val="0"/>
        <w:kinsoku/>
        <w:overflowPunct/>
        <w:topLinePunct w:val="0"/>
        <w:bidi w:val="0"/>
        <w:adjustRightInd w:val="0"/>
        <w:snapToGrid w:val="0"/>
        <w:spacing w:line="400" w:lineRule="exact"/>
        <w:rPr>
          <w:rFonts w:ascii="宋体" w:hAnsi="宋体" w:cs="宋体"/>
          <w:color w:val="auto"/>
          <w:kern w:val="0"/>
          <w:highlight w:val="none"/>
          <w:lang w:val="zh-CN"/>
        </w:rPr>
      </w:pPr>
    </w:p>
    <w:p>
      <w:pPr>
        <w:keepNext w:val="0"/>
        <w:keepLines w:val="0"/>
        <w:pageBreakBefore w:val="0"/>
        <w:widowControl w:val="0"/>
        <w:kinsoku/>
        <w:overflowPunct/>
        <w:topLinePunct w:val="0"/>
        <w:bidi w:val="0"/>
        <w:spacing w:line="400" w:lineRule="exact"/>
        <w:ind w:left="540" w:right="968" w:rightChars="461" w:hanging="36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pPr>
        <w:keepNext w:val="0"/>
        <w:keepLines w:val="0"/>
        <w:pageBreakBefore w:val="0"/>
        <w:widowControl w:val="0"/>
        <w:kinsoku/>
        <w:overflowPunct/>
        <w:topLinePunct w:val="0"/>
        <w:bidi w:val="0"/>
        <w:spacing w:line="400" w:lineRule="exact"/>
        <w:ind w:left="540" w:leftChars="257" w:right="968" w:rightChars="461" w:firstLine="2730" w:firstLineChars="1300"/>
        <w:jc w:val="right"/>
        <w:rPr>
          <w:rFonts w:ascii="宋体" w:hAnsi="宋体" w:cs="宋体"/>
          <w:color w:val="auto"/>
          <w:szCs w:val="21"/>
          <w:highlight w:val="none"/>
        </w:rPr>
      </w:pPr>
      <w:r>
        <w:rPr>
          <w:rFonts w:hint="eastAsia" w:ascii="宋体" w:hAnsi="宋体" w:cs="宋体"/>
          <w:color w:val="auto"/>
          <w:szCs w:val="21"/>
          <w:highlight w:val="none"/>
        </w:rPr>
        <w:t>法定代表人或授权委托人签字：</w:t>
      </w:r>
    </w:p>
    <w:p>
      <w:pPr>
        <w:keepNext w:val="0"/>
        <w:keepLines w:val="0"/>
        <w:pageBreakBefore w:val="0"/>
        <w:widowControl w:val="0"/>
        <w:kinsoku/>
        <w:wordWrap w:val="0"/>
        <w:overflowPunct/>
        <w:topLinePunct w:val="0"/>
        <w:bidi w:val="0"/>
        <w:spacing w:line="400" w:lineRule="exact"/>
        <w:ind w:left="540" w:right="968" w:rightChars="461" w:hanging="360"/>
        <w:jc w:val="right"/>
        <w:rPr>
          <w:rFonts w:ascii="宋体" w:hAnsi="宋体" w:cs="宋体"/>
          <w:color w:val="auto"/>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hint="eastAsia"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八</w:t>
      </w:r>
      <w:r>
        <w:rPr>
          <w:rFonts w:hint="eastAsia" w:ascii="宋体"/>
          <w:b/>
          <w:color w:val="auto"/>
          <w:szCs w:val="21"/>
          <w:highlight w:val="none"/>
        </w:rPr>
        <w:t>、法人代表身份证明书格式：</w:t>
      </w:r>
    </w:p>
    <w:p>
      <w:pPr>
        <w:keepNext w:val="0"/>
        <w:keepLines w:val="0"/>
        <w:pageBreakBefore w:val="0"/>
        <w:widowControl w:val="0"/>
        <w:kinsoku/>
        <w:overflowPunct/>
        <w:topLinePunct w:val="0"/>
        <w:bidi w:val="0"/>
        <w:jc w:val="center"/>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法定代表人身份证明书</w:t>
      </w:r>
    </w:p>
    <w:p>
      <w:pPr>
        <w:keepNext w:val="0"/>
        <w:keepLines w:val="0"/>
        <w:pageBreakBefore w:val="0"/>
        <w:widowControl w:val="0"/>
        <w:kinsoku/>
        <w:overflowPunct/>
        <w:topLinePunct w:val="0"/>
        <w:bidi w:val="0"/>
        <w:jc w:val="center"/>
        <w:rPr>
          <w:rFonts w:ascii="宋体"/>
          <w:b/>
          <w:color w:val="auto"/>
          <w:szCs w:val="21"/>
          <w:highlight w:val="none"/>
        </w:rPr>
      </w:pPr>
    </w:p>
    <w:p>
      <w:pPr>
        <w:keepNext w:val="0"/>
        <w:keepLines w:val="0"/>
        <w:pageBreakBefore w:val="0"/>
        <w:widowControl w:val="0"/>
        <w:kinsoku/>
        <w:overflowPunct/>
        <w:topLinePunct w:val="0"/>
        <w:bidi w:val="0"/>
        <w:spacing w:line="480" w:lineRule="exact"/>
        <w:ind w:firstLine="420" w:firstLineChars="200"/>
        <w:rPr>
          <w:rFonts w:ascii="宋体"/>
          <w:color w:val="auto"/>
          <w:szCs w:val="21"/>
          <w:highlight w:val="none"/>
        </w:rPr>
      </w:pPr>
      <w:r>
        <w:rPr>
          <w:rFonts w:hint="eastAsia" w:ascii="宋体"/>
          <w:color w:val="auto"/>
          <w:szCs w:val="21"/>
          <w:highlight w:val="none"/>
          <w:u w:val="single"/>
        </w:rPr>
        <w:t xml:space="preserve">（姓名） </w:t>
      </w:r>
      <w:r>
        <w:rPr>
          <w:rFonts w:hint="eastAsia" w:ascii="宋体"/>
          <w:color w:val="auto"/>
          <w:szCs w:val="21"/>
          <w:highlight w:val="none"/>
        </w:rPr>
        <w:t>是</w:t>
      </w:r>
      <w:r>
        <w:rPr>
          <w:rFonts w:hint="eastAsia" w:ascii="宋体"/>
          <w:color w:val="auto"/>
          <w:szCs w:val="21"/>
          <w:highlight w:val="none"/>
          <w:u w:val="single"/>
        </w:rPr>
        <w:t xml:space="preserve"> （单位名称）  </w:t>
      </w:r>
      <w:r>
        <w:rPr>
          <w:rFonts w:hint="eastAsia" w:ascii="宋体"/>
          <w:color w:val="auto"/>
          <w:szCs w:val="21"/>
          <w:highlight w:val="none"/>
        </w:rPr>
        <w:t>的法定代表人，身份证号码为</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r>
        <w:rPr>
          <w:rFonts w:hint="eastAsia" w:ascii="宋体"/>
          <w:color w:val="auto"/>
          <w:szCs w:val="21"/>
          <w:highlight w:val="none"/>
        </w:rPr>
        <w:t>，联系电话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，联系地址：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w:t>
      </w:r>
    </w:p>
    <w:p>
      <w:pPr>
        <w:keepNext w:val="0"/>
        <w:keepLines w:val="0"/>
        <w:pageBreakBefore w:val="0"/>
        <w:widowControl w:val="0"/>
        <w:kinsoku/>
        <w:overflowPunct/>
        <w:topLinePunct w:val="0"/>
        <w:bidi w:val="0"/>
        <w:spacing w:line="480" w:lineRule="exact"/>
        <w:ind w:firstLine="630" w:firstLineChars="300"/>
        <w:rPr>
          <w:rFonts w:ascii="宋体"/>
          <w:color w:val="auto"/>
          <w:szCs w:val="21"/>
          <w:highlight w:val="none"/>
        </w:rPr>
      </w:pPr>
      <w:r>
        <w:rPr>
          <w:rFonts w:hint="eastAsia" w:ascii="宋体"/>
          <w:color w:val="auto"/>
          <w:szCs w:val="21"/>
          <w:highlight w:val="none"/>
        </w:rPr>
        <w:t xml:space="preserve">特此证明。 </w:t>
      </w:r>
    </w:p>
    <w:p>
      <w:pPr>
        <w:keepNext w:val="0"/>
        <w:keepLines w:val="0"/>
        <w:pageBreakBefore w:val="0"/>
        <w:widowControl w:val="0"/>
        <w:kinsoku/>
        <w:overflowPunct/>
        <w:topLinePunct w:val="0"/>
        <w:bidi w:val="0"/>
        <w:spacing w:line="480" w:lineRule="exact"/>
        <w:ind w:firstLine="312" w:firstLineChars="149"/>
        <w:rPr>
          <w:rFonts w:ascii="宋体"/>
          <w:color w:val="auto"/>
          <w:szCs w:val="21"/>
          <w:highlight w:val="none"/>
        </w:rPr>
      </w:pPr>
    </w:p>
    <w:p>
      <w:pPr>
        <w:keepNext w:val="0"/>
        <w:keepLines w:val="0"/>
        <w:pageBreakBefore w:val="0"/>
        <w:widowControl w:val="0"/>
        <w:kinsoku/>
        <w:overflowPunct/>
        <w:topLinePunct w:val="0"/>
        <w:bidi w:val="0"/>
        <w:spacing w:line="480" w:lineRule="exact"/>
        <w:ind w:firstLine="1953" w:firstLineChars="930"/>
        <w:jc w:val="right"/>
        <w:rPr>
          <w:rFonts w:ascii="宋体"/>
          <w:color w:val="auto"/>
          <w:szCs w:val="21"/>
          <w:highlight w:val="none"/>
          <w:u w:val="single"/>
        </w:rPr>
      </w:pPr>
      <w:r>
        <w:rPr>
          <w:rFonts w:hint="eastAsia" w:ascii="宋体"/>
          <w:color w:val="auto"/>
          <w:szCs w:val="21"/>
          <w:highlight w:val="none"/>
        </w:rPr>
        <w:t>投标人：</w:t>
      </w:r>
      <w:r>
        <w:rPr>
          <w:rFonts w:hint="eastAsia" w:ascii="宋体"/>
          <w:color w:val="auto"/>
          <w:szCs w:val="21"/>
          <w:highlight w:val="none"/>
          <w:u w:val="single"/>
        </w:rPr>
        <w:t xml:space="preserve">                           （盖章）</w:t>
      </w:r>
    </w:p>
    <w:p>
      <w:pPr>
        <w:keepNext w:val="0"/>
        <w:keepLines w:val="0"/>
        <w:pageBreakBefore w:val="0"/>
        <w:widowControl w:val="0"/>
        <w:kinsoku/>
        <w:overflowPunct/>
        <w:topLinePunct w:val="0"/>
        <w:bidi w:val="0"/>
        <w:spacing w:line="480" w:lineRule="exact"/>
        <w:ind w:firstLine="1953" w:firstLineChars="930"/>
        <w:jc w:val="right"/>
        <w:rPr>
          <w:rFonts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u w:val="single"/>
        </w:rPr>
        <w:t xml:space="preserve">                 （签名</w:t>
      </w:r>
      <w:r>
        <w:rPr>
          <w:rFonts w:hint="eastAsia" w:ascii="宋体"/>
          <w:color w:val="auto"/>
          <w:szCs w:val="21"/>
          <w:highlight w:val="none"/>
          <w:u w:val="single"/>
          <w:lang w:eastAsia="zh-CN"/>
        </w:rPr>
        <w:t>或</w:t>
      </w:r>
      <w:r>
        <w:rPr>
          <w:rFonts w:hint="eastAsia" w:ascii="宋体"/>
          <w:color w:val="auto"/>
          <w:szCs w:val="21"/>
          <w:highlight w:val="none"/>
          <w:u w:val="single"/>
        </w:rPr>
        <w:t>盖章）</w:t>
      </w:r>
    </w:p>
    <w:p>
      <w:pPr>
        <w:keepNext w:val="0"/>
        <w:keepLines w:val="0"/>
        <w:pageBreakBefore w:val="0"/>
        <w:widowControl w:val="0"/>
        <w:kinsoku/>
        <w:overflowPunct/>
        <w:topLinePunct w:val="0"/>
        <w:bidi w:val="0"/>
        <w:spacing w:line="480" w:lineRule="exact"/>
        <w:ind w:firstLine="312" w:firstLineChars="149"/>
        <w:jc w:val="right"/>
        <w:rPr>
          <w:rFonts w:ascii="宋体"/>
          <w:color w:val="auto"/>
          <w:szCs w:val="21"/>
          <w:highlight w:val="none"/>
        </w:rPr>
      </w:pPr>
      <w:r>
        <w:rPr>
          <w:rFonts w:hint="eastAsia" w:ascii="宋体"/>
          <w:color w:val="auto"/>
          <w:szCs w:val="21"/>
          <w:highlight w:val="none"/>
        </w:rPr>
        <w:t xml:space="preserve">                  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pStyle w:val="14"/>
        <w:keepNext w:val="0"/>
        <w:keepLines w:val="0"/>
        <w:pageBreakBefore w:val="0"/>
        <w:widowControl w:val="0"/>
        <w:kinsoku/>
        <w:overflowPunct/>
        <w:topLinePunct w:val="0"/>
        <w:bidi w:val="0"/>
        <w:spacing w:line="440" w:lineRule="exact"/>
        <w:ind w:firstLine="0"/>
        <w:jc w:val="center"/>
        <w:rPr>
          <w:rFonts w:ascii="宋体"/>
          <w:color w:val="auto"/>
          <w:szCs w:val="21"/>
          <w:highlight w:val="none"/>
        </w:rPr>
      </w:pPr>
      <w:r>
        <w:rPr>
          <w:rFonts w:hint="eastAsia" w:ascii="宋体"/>
          <w:color w:val="auto"/>
          <w:szCs w:val="21"/>
          <w:highlight w:val="none"/>
        </w:rPr>
        <w:t>-------------------------------------------------------------------------------------------------------------------</w:t>
      </w: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640" w:firstLineChars="200"/>
        <w:jc w:val="center"/>
        <w:rPr>
          <w:rFonts w:ascii="宋体"/>
          <w:color w:val="auto"/>
          <w:sz w:val="32"/>
          <w:szCs w:val="32"/>
          <w:highlight w:val="none"/>
        </w:rPr>
      </w:pPr>
      <w:r>
        <w:rPr>
          <w:rFonts w:hint="eastAsia" w:ascii="宋体"/>
          <w:color w:val="auto"/>
          <w:sz w:val="32"/>
          <w:szCs w:val="32"/>
          <w:highlight w:val="none"/>
        </w:rPr>
        <w:t>有效身份证明复印件粘贴处</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color w:val="auto"/>
          <w:sz w:val="32"/>
          <w:szCs w:val="32"/>
          <w:highlight w:val="none"/>
        </w:rPr>
        <w:br w:type="page"/>
      </w:r>
      <w:r>
        <w:rPr>
          <w:rFonts w:hint="eastAsia" w:ascii="宋体"/>
          <w:b/>
          <w:color w:val="auto"/>
          <w:szCs w:val="21"/>
          <w:highlight w:val="none"/>
          <w:lang w:eastAsia="zh-CN"/>
        </w:rPr>
        <w:t>九</w:t>
      </w:r>
      <w:r>
        <w:rPr>
          <w:rFonts w:hint="eastAsia" w:ascii="宋体"/>
          <w:b/>
          <w:color w:val="auto"/>
          <w:szCs w:val="21"/>
          <w:highlight w:val="none"/>
        </w:rPr>
        <w:t>、法定代表人授权委托书格式：</w:t>
      </w: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法定代表人授权委托书</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440" w:lineRule="exact"/>
        <w:rPr>
          <w:rFonts w:ascii="宋体"/>
          <w:b/>
          <w:bCs/>
          <w:color w:val="auto"/>
          <w:szCs w:val="21"/>
          <w:highlight w:val="none"/>
        </w:rPr>
      </w:pPr>
      <w:r>
        <w:rPr>
          <w:rFonts w:hint="eastAsia" w:ascii="宋体"/>
          <w:bCs/>
          <w:color w:val="auto"/>
          <w:szCs w:val="21"/>
          <w:highlight w:val="none"/>
        </w:rPr>
        <w:t>致：</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本授权委托书声明，我</w:t>
      </w:r>
      <w:r>
        <w:rPr>
          <w:rFonts w:hint="eastAsia" w:ascii="宋体"/>
          <w:color w:val="auto"/>
          <w:szCs w:val="21"/>
          <w:highlight w:val="none"/>
          <w:u w:val="single"/>
        </w:rPr>
        <w:t xml:space="preserve">  （姓名）</w:t>
      </w:r>
      <w:r>
        <w:rPr>
          <w:rFonts w:hint="eastAsia" w:ascii="宋体"/>
          <w:color w:val="auto"/>
          <w:szCs w:val="21"/>
          <w:highlight w:val="none"/>
        </w:rPr>
        <w:t>系</w:t>
      </w:r>
      <w:r>
        <w:rPr>
          <w:rFonts w:hint="eastAsia" w:ascii="宋体"/>
          <w:color w:val="auto"/>
          <w:szCs w:val="21"/>
          <w:highlight w:val="none"/>
          <w:u w:val="single"/>
        </w:rPr>
        <w:t xml:space="preserve"> （投标人名称）   </w:t>
      </w:r>
      <w:r>
        <w:rPr>
          <w:rFonts w:hint="eastAsia" w:ascii="宋体"/>
          <w:color w:val="auto"/>
          <w:szCs w:val="21"/>
          <w:highlight w:val="none"/>
        </w:rPr>
        <w:t>的法定代表人，现授权委托本单位在职职工</w:t>
      </w:r>
      <w:r>
        <w:rPr>
          <w:rFonts w:hint="eastAsia" w:ascii="宋体"/>
          <w:color w:val="auto"/>
          <w:szCs w:val="21"/>
          <w:highlight w:val="none"/>
          <w:u w:val="single"/>
        </w:rPr>
        <w:t xml:space="preserve"> （姓名） </w:t>
      </w:r>
      <w:r>
        <w:rPr>
          <w:rFonts w:hint="eastAsia" w:ascii="宋体"/>
          <w:color w:val="auto"/>
          <w:szCs w:val="21"/>
          <w:highlight w:val="none"/>
        </w:rPr>
        <w:t>以我方的名义参加</w:t>
      </w:r>
      <w:r>
        <w:rPr>
          <w:rFonts w:hint="eastAsia" w:ascii="宋体"/>
          <w:color w:val="auto"/>
          <w:szCs w:val="21"/>
          <w:highlight w:val="none"/>
          <w:u w:val="single"/>
        </w:rPr>
        <w:t xml:space="preserve">                 </w:t>
      </w:r>
      <w:r>
        <w:rPr>
          <w:rFonts w:hint="eastAsia" w:ascii="宋体"/>
          <w:color w:val="auto"/>
          <w:szCs w:val="21"/>
          <w:highlight w:val="none"/>
        </w:rPr>
        <w:t>项目的投标活动，并代表我方全权办理针对上述项目的投标、开标、评标、签约等具体事务和签署相关文件。</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我方对被授权人的签名负全部责任。</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被授权人无转委托权，特此委托。</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被授权人</w:t>
      </w:r>
      <w:r>
        <w:rPr>
          <w:rFonts w:hint="eastAsia" w:ascii="宋体"/>
          <w:color w:val="auto"/>
          <w:szCs w:val="21"/>
          <w:highlight w:val="none"/>
          <w:lang w:eastAsia="zh-CN"/>
        </w:rPr>
        <w:t>签字或盖章</w:t>
      </w:r>
      <w:r>
        <w:rPr>
          <w:rFonts w:hint="eastAsia" w:ascii="宋体"/>
          <w:color w:val="auto"/>
          <w:szCs w:val="21"/>
          <w:highlight w:val="none"/>
        </w:rPr>
        <w:t>：</w:t>
      </w:r>
      <w:r>
        <w:rPr>
          <w:rFonts w:hint="eastAsia" w:ascii="宋体"/>
          <w:color w:val="auto"/>
          <w:szCs w:val="21"/>
          <w:highlight w:val="none"/>
          <w:u w:val="single"/>
        </w:rPr>
        <w:t xml:space="preserve">            </w:t>
      </w:r>
      <w:r>
        <w:rPr>
          <w:rFonts w:hint="eastAsia" w:ascii="宋体"/>
          <w:color w:val="auto"/>
          <w:szCs w:val="21"/>
          <w:highlight w:val="none"/>
        </w:rPr>
        <w:t xml:space="preserve">      法定代表人</w:t>
      </w:r>
      <w:r>
        <w:rPr>
          <w:rFonts w:hint="eastAsia" w:ascii="宋体"/>
          <w:color w:val="auto"/>
          <w:szCs w:val="21"/>
          <w:highlight w:val="none"/>
          <w:lang w:eastAsia="zh-CN"/>
        </w:rPr>
        <w:t>签字或盖章</w:t>
      </w:r>
      <w:r>
        <w:rPr>
          <w:rFonts w:hint="eastAsia" w:ascii="宋体"/>
          <w:color w:val="auto"/>
          <w:szCs w:val="21"/>
          <w:highlight w:val="none"/>
        </w:rPr>
        <w:t>：</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被授权人身份证号码：</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r>
        <w:rPr>
          <w:rFonts w:hint="eastAsia" w:ascii="宋体"/>
          <w:color w:val="auto"/>
          <w:szCs w:val="21"/>
          <w:highlight w:val="none"/>
        </w:rPr>
        <w:t>----------------------------------------------------------</w:t>
      </w: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r>
        <w:rPr>
          <w:rFonts w:hint="eastAsia" w:ascii="宋体"/>
          <w:color w:val="auto"/>
          <w:szCs w:val="21"/>
          <w:highlight w:val="none"/>
        </w:rPr>
        <w:t>授权代理人有效身份证明复印件粘贴处</w:t>
      </w:r>
    </w:p>
    <w:p>
      <w:pPr>
        <w:keepNext w:val="0"/>
        <w:keepLines w:val="0"/>
        <w:pageBreakBefore w:val="0"/>
        <w:widowControl w:val="0"/>
        <w:kinsoku/>
        <w:overflowPunct/>
        <w:topLinePunct w:val="0"/>
        <w:bidi w:val="0"/>
        <w:adjustRightInd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r>
        <w:rPr>
          <w:rFonts w:hint="eastAsia" w:ascii="宋体"/>
          <w:color w:val="auto"/>
          <w:sz w:val="24"/>
          <w:highlight w:val="none"/>
        </w:rPr>
        <w:t>附：被授权人社保缴费证明（加盖社保机构章）</w:t>
      </w:r>
    </w:p>
    <w:p>
      <w:pPr>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adjustRightInd w:val="0"/>
        <w:snapToGrid w:val="0"/>
        <w:spacing w:line="400" w:lineRule="exact"/>
        <w:outlineLvl w:val="2"/>
        <w:rPr>
          <w:rFonts w:ascii="宋体"/>
          <w:bCs/>
          <w:color w:val="auto"/>
          <w:szCs w:val="21"/>
          <w:highlight w:val="none"/>
        </w:rPr>
      </w:pPr>
      <w:r>
        <w:rPr>
          <w:rFonts w:hint="eastAsia" w:ascii="宋体"/>
          <w:b/>
          <w:color w:val="auto"/>
          <w:highlight w:val="none"/>
        </w:rPr>
        <w:br w:type="page"/>
      </w:r>
      <w:r>
        <w:rPr>
          <w:rFonts w:hint="eastAsia" w:ascii="宋体"/>
          <w:b/>
          <w:color w:val="auto"/>
          <w:szCs w:val="21"/>
          <w:highlight w:val="none"/>
          <w:lang w:eastAsia="zh-CN"/>
        </w:rPr>
        <w:t>十</w:t>
      </w:r>
      <w:r>
        <w:rPr>
          <w:rFonts w:hint="eastAsia" w:ascii="宋体"/>
          <w:b/>
          <w:color w:val="auto"/>
          <w:szCs w:val="21"/>
          <w:highlight w:val="none"/>
        </w:rPr>
        <w:t>、商务/技术文件目录：</w:t>
      </w:r>
    </w:p>
    <w:p>
      <w:pPr>
        <w:keepNext w:val="0"/>
        <w:keepLines w:val="0"/>
        <w:pageBreakBefore w:val="0"/>
        <w:widowControl w:val="0"/>
        <w:kinsoku/>
        <w:overflowPunct/>
        <w:topLinePunct w:val="0"/>
        <w:bidi w:val="0"/>
        <w:adjustRightInd w:val="0"/>
        <w:snapToGrid w:val="0"/>
        <w:spacing w:line="400" w:lineRule="exact"/>
        <w:jc w:val="left"/>
        <w:rPr>
          <w:rFonts w:ascii="宋体"/>
          <w:color w:val="auto"/>
          <w:szCs w:val="21"/>
          <w:highlight w:val="none"/>
        </w:rPr>
      </w:pPr>
      <w:r>
        <w:rPr>
          <w:rFonts w:hint="eastAsia" w:ascii="宋体"/>
          <w:b/>
          <w:color w:val="auto"/>
          <w:szCs w:val="21"/>
          <w:highlight w:val="none"/>
        </w:rPr>
        <w:t>1、商务文件包括：</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color w:val="auto"/>
          <w:szCs w:val="21"/>
          <w:highlight w:val="none"/>
        </w:rPr>
      </w:pPr>
      <w:r>
        <w:rPr>
          <w:rFonts w:hint="eastAsia" w:ascii="宋体"/>
          <w:color w:val="auto"/>
          <w:szCs w:val="21"/>
          <w:highlight w:val="none"/>
        </w:rPr>
        <w:t>投标函（格式见附件）；</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color w:val="auto"/>
          <w:szCs w:val="21"/>
          <w:highlight w:val="none"/>
        </w:rPr>
      </w:pPr>
      <w:r>
        <w:rPr>
          <w:rFonts w:hint="eastAsia" w:ascii="宋体"/>
          <w:color w:val="auto"/>
          <w:szCs w:val="21"/>
          <w:highlight w:val="none"/>
        </w:rPr>
        <w:t>法定代表人身份证明书、法定代表人授权委托书（格式见附件）；</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color w:val="auto"/>
          <w:szCs w:val="21"/>
          <w:highlight w:val="none"/>
        </w:rPr>
      </w:pPr>
      <w:r>
        <w:rPr>
          <w:rFonts w:hint="eastAsia" w:ascii="宋体"/>
          <w:color w:val="auto"/>
          <w:szCs w:val="21"/>
          <w:highlight w:val="none"/>
        </w:rPr>
        <w:t>投标人情况一览表（格式见附件）；</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商务响应表（格式见附件）；</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成功案例及业绩（同类项目实施情况）（格式见附件）；</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rPr>
        <w:t>售后服务、培训及响应时间</w:t>
      </w:r>
      <w:r>
        <w:rPr>
          <w:rFonts w:hint="eastAsia" w:ascii="宋体" w:hAnsi="宋体" w:cs="宋体"/>
          <w:color w:val="auto"/>
          <w:szCs w:val="21"/>
          <w:highlight w:val="none"/>
        </w:rPr>
        <w:t>；</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权威认证；</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rPr>
        <w:t>荣誉证书</w:t>
      </w:r>
      <w:r>
        <w:rPr>
          <w:rFonts w:hint="eastAsia" w:ascii="宋体" w:hAnsi="宋体" w:cs="宋体"/>
          <w:color w:val="auto"/>
          <w:szCs w:val="21"/>
          <w:highlight w:val="none"/>
        </w:rPr>
        <w:t>；</w:t>
      </w:r>
    </w:p>
    <w:p>
      <w:pPr>
        <w:keepNext w:val="0"/>
        <w:keepLines w:val="0"/>
        <w:pageBreakBefore w:val="0"/>
        <w:widowControl w:val="0"/>
        <w:numPr>
          <w:ilvl w:val="0"/>
          <w:numId w:val="28"/>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投标人认为可以证明其能力或业绩的其他材料。 </w:t>
      </w:r>
    </w:p>
    <w:p>
      <w:pPr>
        <w:keepNext w:val="0"/>
        <w:keepLines w:val="0"/>
        <w:pageBreakBefore w:val="0"/>
        <w:widowControl w:val="0"/>
        <w:kinsoku/>
        <w:overflowPunct/>
        <w:topLinePunct w:val="0"/>
        <w:bidi w:val="0"/>
        <w:adjustRightInd w:val="0"/>
        <w:snapToGrid w:val="0"/>
        <w:spacing w:line="400" w:lineRule="exact"/>
        <w:jc w:val="left"/>
        <w:rPr>
          <w:rFonts w:ascii="宋体"/>
          <w:b/>
          <w:color w:val="auto"/>
          <w:szCs w:val="21"/>
          <w:highlight w:val="none"/>
        </w:rPr>
      </w:pPr>
      <w:r>
        <w:rPr>
          <w:rFonts w:hint="eastAsia" w:ascii="宋体"/>
          <w:b/>
          <w:color w:val="auto"/>
          <w:szCs w:val="21"/>
          <w:highlight w:val="none"/>
        </w:rPr>
        <w:t>2、技术文件包括：</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响应表（格式见附件）；</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公共艺术方案</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工期计划；</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安全保障措施；</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投入本项目实施人员一览表（格式见附件）；</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项目设计负责人业绩；</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项目施工负责人业绩；</w:t>
      </w:r>
    </w:p>
    <w:p>
      <w:pPr>
        <w:keepNext w:val="0"/>
        <w:keepLines w:val="0"/>
        <w:pageBreakBefore w:val="0"/>
        <w:widowControl w:val="0"/>
        <w:numPr>
          <w:ilvl w:val="0"/>
          <w:numId w:val="29"/>
        </w:numPr>
        <w:kinsoku/>
        <w:overflowPunct/>
        <w:topLinePunct w:val="0"/>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投标人认为需要提供的其他技术资料。</w:t>
      </w:r>
    </w:p>
    <w:p>
      <w:pPr>
        <w:keepNext w:val="0"/>
        <w:keepLines w:val="0"/>
        <w:pageBreakBefore w:val="0"/>
        <w:widowControl w:val="0"/>
        <w:kinsoku/>
        <w:overflowPunct/>
        <w:topLinePunct w:val="0"/>
        <w:bidi w:val="0"/>
        <w:adjustRightInd w:val="0"/>
        <w:snapToGrid w:val="0"/>
        <w:spacing w:line="38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380" w:lineRule="exact"/>
        <w:jc w:val="left"/>
        <w:rPr>
          <w:rFonts w:ascii="宋体"/>
          <w:b/>
          <w:color w:val="auto"/>
          <w:szCs w:val="21"/>
          <w:highlight w:val="none"/>
        </w:rPr>
      </w:pPr>
      <w:r>
        <w:rPr>
          <w:rFonts w:hint="eastAsia" w:ascii="宋体"/>
          <w:b/>
          <w:color w:val="auto"/>
          <w:szCs w:val="21"/>
          <w:highlight w:val="none"/>
        </w:rPr>
        <w:t>以上商务/技术文件组成部分招标文件有格式的参照后附件格式，无格式的投标单位自拟。</w:t>
      </w:r>
    </w:p>
    <w:p>
      <w:pPr>
        <w:keepNext w:val="0"/>
        <w:keepLines w:val="0"/>
        <w:pageBreakBefore w:val="0"/>
        <w:widowControl w:val="0"/>
        <w:kinsoku/>
        <w:overflowPunct/>
        <w:topLinePunct w:val="0"/>
        <w:bidi w:val="0"/>
        <w:adjustRightInd w:val="0"/>
        <w:snapToGrid w:val="0"/>
        <w:spacing w:before="120" w:beforeLines="50" w:after="120" w:afterLines="50" w:line="500" w:lineRule="exac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十一</w:t>
      </w:r>
      <w:r>
        <w:rPr>
          <w:rFonts w:hint="eastAsia" w:ascii="宋体"/>
          <w:b/>
          <w:color w:val="auto"/>
          <w:szCs w:val="21"/>
          <w:highlight w:val="none"/>
        </w:rPr>
        <w:t>、投标函格式：</w:t>
      </w:r>
    </w:p>
    <w:p>
      <w:pPr>
        <w:keepNext w:val="0"/>
        <w:keepLines w:val="0"/>
        <w:pageBreakBefore w:val="0"/>
        <w:widowControl w:val="0"/>
        <w:kinsoku/>
        <w:overflowPunct/>
        <w:topLinePunct w:val="0"/>
        <w:bidi w:val="0"/>
        <w:adjustRightInd w:val="0"/>
        <w:snapToGrid w:val="0"/>
        <w:spacing w:before="120" w:beforeLines="50" w:after="120" w:afterLines="50" w:line="500" w:lineRule="exact"/>
        <w:jc w:val="center"/>
        <w:rPr>
          <w:rFonts w:ascii="宋体"/>
          <w:b/>
          <w:color w:val="auto"/>
          <w:szCs w:val="21"/>
          <w:highlight w:val="none"/>
        </w:rPr>
      </w:pPr>
      <w:r>
        <w:rPr>
          <w:rFonts w:hint="eastAsia" w:ascii="宋体"/>
          <w:b/>
          <w:color w:val="auto"/>
          <w:szCs w:val="21"/>
          <w:highlight w:val="none"/>
        </w:rPr>
        <w:t>投标函</w:t>
      </w:r>
    </w:p>
    <w:p>
      <w:pPr>
        <w:keepNext w:val="0"/>
        <w:keepLines w:val="0"/>
        <w:pageBreakBefore w:val="0"/>
        <w:widowControl w:val="0"/>
        <w:kinsoku/>
        <w:overflowPunct/>
        <w:topLinePunct w:val="0"/>
        <w:bidi w:val="0"/>
        <w:snapToGrid w:val="0"/>
        <w:spacing w:line="500" w:lineRule="exact"/>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（招标采购单位）</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根据贵方为项目的招标公告</w:t>
      </w:r>
      <w:r>
        <w:rPr>
          <w:rFonts w:hint="eastAsia" w:ascii="宋体"/>
          <w:color w:val="auto"/>
          <w:szCs w:val="21"/>
          <w:highlight w:val="none"/>
          <w:u w:val="single"/>
        </w:rPr>
        <w:t>（项目编号：）</w:t>
      </w:r>
      <w:r>
        <w:rPr>
          <w:rFonts w:hint="eastAsia" w:ascii="宋体"/>
          <w:color w:val="auto"/>
          <w:szCs w:val="21"/>
          <w:highlight w:val="none"/>
        </w:rPr>
        <w:t>，签字代表</w:t>
      </w:r>
      <w:r>
        <w:rPr>
          <w:rFonts w:hint="eastAsia" w:ascii="宋体"/>
          <w:color w:val="auto"/>
          <w:szCs w:val="21"/>
          <w:highlight w:val="none"/>
          <w:u w:val="single"/>
        </w:rPr>
        <w:t xml:space="preserve">        </w:t>
      </w:r>
      <w:r>
        <w:rPr>
          <w:rFonts w:hint="eastAsia" w:ascii="宋体"/>
          <w:color w:val="auto"/>
          <w:szCs w:val="21"/>
          <w:highlight w:val="none"/>
        </w:rPr>
        <w:t>（全名）经正式授权并代表投标人</w:t>
      </w:r>
      <w:r>
        <w:rPr>
          <w:rFonts w:hint="eastAsia" w:ascii="宋体"/>
          <w:color w:val="auto"/>
          <w:szCs w:val="21"/>
          <w:highlight w:val="none"/>
          <w:u w:val="single"/>
        </w:rPr>
        <w:t xml:space="preserve">（投标人名称）  </w:t>
      </w:r>
      <w:r>
        <w:rPr>
          <w:rFonts w:hint="eastAsia" w:ascii="宋体"/>
          <w:color w:val="auto"/>
          <w:szCs w:val="21"/>
          <w:highlight w:val="none"/>
        </w:rPr>
        <w:t>提交资格证明文件、商务/技术文件、报价文件。</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据此函，签字代表宣布同意如下：</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2、投标人在投标之前已经与贵方进行了充分地沟通，完全理解并接受招标文件的各项规定和要求，对招标文件的合理性、合法性不再有异议。</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3、本投标有效期自开标日起 90个日历天。</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5、投标人同意按照贵方要求提供与投标有关的一切数据或资料，并保证其真实性、合法性。</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6、与本投标有关的一切正式往来信函请寄：</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地址：</w:t>
      </w:r>
      <w:r>
        <w:rPr>
          <w:rFonts w:hint="eastAsia" w:ascii="宋体"/>
          <w:color w:val="auto"/>
          <w:szCs w:val="21"/>
          <w:highlight w:val="none"/>
          <w:u w:val="single"/>
        </w:rPr>
        <w:t xml:space="preserve">            </w:t>
      </w:r>
      <w:r>
        <w:rPr>
          <w:rFonts w:hint="eastAsia" w:ascii="宋体"/>
          <w:color w:val="auto"/>
          <w:szCs w:val="21"/>
          <w:highlight w:val="none"/>
        </w:rPr>
        <w:t xml:space="preserve">  邮编：</w:t>
      </w:r>
      <w:r>
        <w:rPr>
          <w:rFonts w:hint="eastAsia" w:ascii="宋体"/>
          <w:color w:val="auto"/>
          <w:szCs w:val="21"/>
          <w:highlight w:val="none"/>
          <w:u w:val="single"/>
        </w:rPr>
        <w:t xml:space="preserve">            </w:t>
      </w:r>
      <w:r>
        <w:rPr>
          <w:rFonts w:hint="eastAsia" w:ascii="宋体"/>
          <w:color w:val="auto"/>
          <w:szCs w:val="21"/>
          <w:highlight w:val="none"/>
        </w:rPr>
        <w:t xml:space="preserve">  电话：</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 xml:space="preserve">  投标人代表姓名：</w:t>
      </w:r>
      <w:r>
        <w:rPr>
          <w:rFonts w:hint="eastAsia" w:ascii="宋体"/>
          <w:color w:val="auto"/>
          <w:szCs w:val="21"/>
          <w:highlight w:val="none"/>
          <w:u w:val="single"/>
        </w:rPr>
        <w:t xml:space="preserve">            </w:t>
      </w:r>
      <w:r>
        <w:rPr>
          <w:rFonts w:hint="eastAsia" w:ascii="宋体"/>
          <w:color w:val="auto"/>
          <w:szCs w:val="21"/>
          <w:highlight w:val="none"/>
        </w:rPr>
        <w:t xml:space="preserve">  职务：</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500" w:lineRule="exact"/>
        <w:rPr>
          <w:rFonts w:ascii="宋体"/>
          <w:color w:val="auto"/>
          <w:szCs w:val="21"/>
          <w:highlight w:val="none"/>
        </w:rPr>
      </w:pP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u w:val="single"/>
        </w:rPr>
      </w:pPr>
      <w:r>
        <w:rPr>
          <w:rFonts w:hint="eastAsia" w:ascii="宋体"/>
          <w:color w:val="auto"/>
          <w:szCs w:val="21"/>
          <w:highlight w:val="none"/>
        </w:rPr>
        <w:t>投标人名称</w:t>
      </w:r>
      <w:r>
        <w:rPr>
          <w:rFonts w:hint="eastAsia" w:ascii="宋体"/>
          <w:color w:val="auto"/>
          <w:szCs w:val="21"/>
          <w:highlight w:val="none"/>
          <w:lang w:eastAsia="zh-CN"/>
        </w:rPr>
        <w:t>（</w:t>
      </w:r>
      <w:r>
        <w:rPr>
          <w:rFonts w:hint="eastAsia" w:ascii="宋体"/>
          <w:color w:val="auto"/>
          <w:szCs w:val="21"/>
          <w:highlight w:val="none"/>
        </w:rPr>
        <w:t>盖章</w:t>
      </w:r>
      <w:r>
        <w:rPr>
          <w:rFonts w:hint="eastAsia" w:ascii="宋体"/>
          <w:color w:val="auto"/>
          <w:szCs w:val="21"/>
          <w:highlight w:val="none"/>
          <w:lang w:eastAsia="zh-CN"/>
        </w:rPr>
        <w:t>）</w:t>
      </w:r>
      <w:r>
        <w:rPr>
          <w:rFonts w:hint="eastAsia" w:ascii="宋体"/>
          <w:color w:val="auto"/>
          <w:szCs w:val="21"/>
          <w:highlight w:val="none"/>
        </w:rPr>
        <w:t>：</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开户银行：</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银行账号：</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500" w:lineRule="exact"/>
        <w:ind w:firstLine="420" w:firstLineChars="200"/>
        <w:rPr>
          <w:rFonts w:ascii="宋体"/>
          <w:color w:val="auto"/>
          <w:szCs w:val="21"/>
          <w:highlight w:val="none"/>
          <w:u w:val="single"/>
        </w:rPr>
      </w:pPr>
      <w:r>
        <w:rPr>
          <w:rFonts w:hint="eastAsia" w:ascii="宋体"/>
          <w:color w:val="auto"/>
          <w:szCs w:val="21"/>
          <w:highlight w:val="none"/>
        </w:rPr>
        <w:t>法定代表人签字</w:t>
      </w:r>
      <w:r>
        <w:rPr>
          <w:rFonts w:hint="eastAsia" w:ascii="宋体"/>
          <w:color w:val="auto"/>
          <w:szCs w:val="21"/>
          <w:highlight w:val="none"/>
          <w:lang w:eastAsia="zh-CN"/>
        </w:rPr>
        <w:t>或盖章</w:t>
      </w:r>
      <w:r>
        <w:rPr>
          <w:rFonts w:hint="eastAsia" w:ascii="宋体"/>
          <w:color w:val="auto"/>
          <w:szCs w:val="21"/>
          <w:highlight w:val="none"/>
        </w:rPr>
        <w:t>：</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500" w:lineRule="exact"/>
        <w:ind w:firstLine="420" w:firstLineChars="200"/>
        <w:rPr>
          <w:rFonts w:ascii="宋体"/>
          <w:b/>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十二</w:t>
      </w:r>
      <w:r>
        <w:rPr>
          <w:rFonts w:hint="eastAsia" w:ascii="宋体"/>
          <w:b/>
          <w:color w:val="auto"/>
          <w:szCs w:val="21"/>
          <w:highlight w:val="none"/>
        </w:rPr>
        <w:t>、法人代表身份证明书格式：</w:t>
      </w:r>
    </w:p>
    <w:p>
      <w:pPr>
        <w:keepNext w:val="0"/>
        <w:keepLines w:val="0"/>
        <w:pageBreakBefore w:val="0"/>
        <w:widowControl w:val="0"/>
        <w:kinsoku/>
        <w:overflowPunct/>
        <w:topLinePunct w:val="0"/>
        <w:bidi w:val="0"/>
        <w:jc w:val="center"/>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法定代表人身份证明书</w:t>
      </w:r>
    </w:p>
    <w:p>
      <w:pPr>
        <w:keepNext w:val="0"/>
        <w:keepLines w:val="0"/>
        <w:pageBreakBefore w:val="0"/>
        <w:widowControl w:val="0"/>
        <w:kinsoku/>
        <w:overflowPunct/>
        <w:topLinePunct w:val="0"/>
        <w:bidi w:val="0"/>
        <w:jc w:val="center"/>
        <w:rPr>
          <w:rFonts w:ascii="宋体"/>
          <w:b/>
          <w:color w:val="auto"/>
          <w:szCs w:val="21"/>
          <w:highlight w:val="none"/>
        </w:rPr>
      </w:pPr>
    </w:p>
    <w:p>
      <w:pPr>
        <w:keepNext w:val="0"/>
        <w:keepLines w:val="0"/>
        <w:pageBreakBefore w:val="0"/>
        <w:widowControl w:val="0"/>
        <w:kinsoku/>
        <w:overflowPunct/>
        <w:topLinePunct w:val="0"/>
        <w:bidi w:val="0"/>
        <w:spacing w:line="480" w:lineRule="exact"/>
        <w:ind w:firstLine="420" w:firstLineChars="200"/>
        <w:rPr>
          <w:rFonts w:ascii="宋体"/>
          <w:color w:val="auto"/>
          <w:szCs w:val="21"/>
          <w:highlight w:val="none"/>
          <w:u w:val="single"/>
        </w:rPr>
      </w:pPr>
      <w:r>
        <w:rPr>
          <w:rFonts w:hint="eastAsia" w:ascii="宋体"/>
          <w:color w:val="auto"/>
          <w:szCs w:val="21"/>
          <w:highlight w:val="none"/>
          <w:u w:val="single"/>
        </w:rPr>
        <w:t xml:space="preserve">（姓名）  </w:t>
      </w:r>
      <w:r>
        <w:rPr>
          <w:rFonts w:hint="eastAsia" w:ascii="宋体"/>
          <w:color w:val="auto"/>
          <w:szCs w:val="21"/>
          <w:highlight w:val="none"/>
        </w:rPr>
        <w:t>是</w:t>
      </w:r>
      <w:r>
        <w:rPr>
          <w:rFonts w:hint="eastAsia" w:ascii="宋体"/>
          <w:color w:val="auto"/>
          <w:szCs w:val="21"/>
          <w:highlight w:val="none"/>
          <w:u w:val="single"/>
        </w:rPr>
        <w:t xml:space="preserve">  （单位名称）  </w:t>
      </w:r>
      <w:r>
        <w:rPr>
          <w:rFonts w:hint="eastAsia" w:ascii="宋体"/>
          <w:color w:val="auto"/>
          <w:szCs w:val="21"/>
          <w:highlight w:val="none"/>
        </w:rPr>
        <w:t>的法定代表人，身份证号码为</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r>
        <w:rPr>
          <w:rFonts w:hint="eastAsia" w:ascii="宋体"/>
          <w:color w:val="auto"/>
          <w:szCs w:val="21"/>
          <w:highlight w:val="none"/>
        </w:rPr>
        <w:t>，联系电话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，联系地址：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pacing w:line="48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spacing w:line="480" w:lineRule="exact"/>
        <w:ind w:firstLine="630" w:firstLineChars="300"/>
        <w:rPr>
          <w:rFonts w:ascii="宋体"/>
          <w:color w:val="auto"/>
          <w:szCs w:val="21"/>
          <w:highlight w:val="none"/>
        </w:rPr>
      </w:pPr>
      <w:r>
        <w:rPr>
          <w:rFonts w:hint="eastAsia" w:ascii="宋体"/>
          <w:color w:val="auto"/>
          <w:szCs w:val="21"/>
          <w:highlight w:val="none"/>
        </w:rPr>
        <w:t xml:space="preserve">特此证明。 </w:t>
      </w:r>
    </w:p>
    <w:p>
      <w:pPr>
        <w:keepNext w:val="0"/>
        <w:keepLines w:val="0"/>
        <w:pageBreakBefore w:val="0"/>
        <w:widowControl w:val="0"/>
        <w:kinsoku/>
        <w:overflowPunct/>
        <w:topLinePunct w:val="0"/>
        <w:bidi w:val="0"/>
        <w:spacing w:line="480" w:lineRule="exact"/>
        <w:ind w:firstLine="312" w:firstLineChars="149"/>
        <w:rPr>
          <w:rFonts w:ascii="宋体"/>
          <w:color w:val="auto"/>
          <w:szCs w:val="21"/>
          <w:highlight w:val="none"/>
        </w:rPr>
      </w:pPr>
    </w:p>
    <w:p>
      <w:pPr>
        <w:keepNext w:val="0"/>
        <w:keepLines w:val="0"/>
        <w:pageBreakBefore w:val="0"/>
        <w:widowControl w:val="0"/>
        <w:kinsoku/>
        <w:overflowPunct/>
        <w:topLinePunct w:val="0"/>
        <w:bidi w:val="0"/>
        <w:spacing w:line="480" w:lineRule="exact"/>
        <w:ind w:firstLine="1953" w:firstLineChars="930"/>
        <w:jc w:val="right"/>
        <w:rPr>
          <w:rFonts w:ascii="宋体"/>
          <w:color w:val="auto"/>
          <w:szCs w:val="21"/>
          <w:highlight w:val="none"/>
          <w:u w:val="single"/>
        </w:rPr>
      </w:pPr>
      <w:r>
        <w:rPr>
          <w:rFonts w:hint="eastAsia" w:ascii="宋体"/>
          <w:color w:val="auto"/>
          <w:szCs w:val="21"/>
          <w:highlight w:val="none"/>
        </w:rPr>
        <w:t>投标人：</w:t>
      </w:r>
      <w:r>
        <w:rPr>
          <w:rFonts w:hint="eastAsia" w:ascii="宋体"/>
          <w:color w:val="auto"/>
          <w:szCs w:val="21"/>
          <w:highlight w:val="none"/>
          <w:u w:val="single"/>
        </w:rPr>
        <w:t xml:space="preserve">                           （盖章）</w:t>
      </w:r>
    </w:p>
    <w:p>
      <w:pPr>
        <w:keepNext w:val="0"/>
        <w:keepLines w:val="0"/>
        <w:pageBreakBefore w:val="0"/>
        <w:widowControl w:val="0"/>
        <w:kinsoku/>
        <w:overflowPunct/>
        <w:topLinePunct w:val="0"/>
        <w:bidi w:val="0"/>
        <w:spacing w:line="480" w:lineRule="exact"/>
        <w:ind w:firstLine="1953" w:firstLineChars="930"/>
        <w:jc w:val="right"/>
        <w:rPr>
          <w:rFonts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u w:val="single"/>
        </w:rPr>
        <w:t xml:space="preserve">                 （签名</w:t>
      </w:r>
      <w:r>
        <w:rPr>
          <w:rFonts w:hint="eastAsia" w:ascii="宋体"/>
          <w:color w:val="auto"/>
          <w:szCs w:val="21"/>
          <w:highlight w:val="none"/>
          <w:u w:val="single"/>
          <w:lang w:eastAsia="zh-CN"/>
        </w:rPr>
        <w:t>或</w:t>
      </w:r>
      <w:r>
        <w:rPr>
          <w:rFonts w:hint="eastAsia" w:ascii="宋体"/>
          <w:color w:val="auto"/>
          <w:szCs w:val="21"/>
          <w:highlight w:val="none"/>
          <w:u w:val="single"/>
        </w:rPr>
        <w:t>盖章）</w:t>
      </w:r>
    </w:p>
    <w:p>
      <w:pPr>
        <w:keepNext w:val="0"/>
        <w:keepLines w:val="0"/>
        <w:pageBreakBefore w:val="0"/>
        <w:widowControl w:val="0"/>
        <w:kinsoku/>
        <w:overflowPunct/>
        <w:topLinePunct w:val="0"/>
        <w:bidi w:val="0"/>
        <w:spacing w:line="480" w:lineRule="exact"/>
        <w:ind w:firstLine="312" w:firstLineChars="149"/>
        <w:jc w:val="right"/>
        <w:rPr>
          <w:rFonts w:ascii="宋体"/>
          <w:color w:val="auto"/>
          <w:szCs w:val="21"/>
          <w:highlight w:val="none"/>
        </w:rPr>
      </w:pPr>
      <w:r>
        <w:rPr>
          <w:rFonts w:hint="eastAsia" w:ascii="宋体"/>
          <w:color w:val="auto"/>
          <w:szCs w:val="21"/>
          <w:highlight w:val="none"/>
        </w:rPr>
        <w:t xml:space="preserve">                  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pStyle w:val="14"/>
        <w:keepNext w:val="0"/>
        <w:keepLines w:val="0"/>
        <w:pageBreakBefore w:val="0"/>
        <w:widowControl w:val="0"/>
        <w:kinsoku/>
        <w:overflowPunct/>
        <w:topLinePunct w:val="0"/>
        <w:bidi w:val="0"/>
        <w:spacing w:line="440" w:lineRule="exact"/>
        <w:ind w:firstLine="0"/>
        <w:jc w:val="center"/>
        <w:rPr>
          <w:rFonts w:ascii="宋体"/>
          <w:color w:val="auto"/>
          <w:szCs w:val="21"/>
          <w:highlight w:val="none"/>
        </w:rPr>
      </w:pPr>
      <w:r>
        <w:rPr>
          <w:rFonts w:hint="eastAsia" w:ascii="宋体"/>
          <w:color w:val="auto"/>
          <w:szCs w:val="21"/>
          <w:highlight w:val="none"/>
        </w:rPr>
        <w:t>-------------------------------------------------------------------------------------------------------------------</w:t>
      </w: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640" w:firstLineChars="200"/>
        <w:jc w:val="center"/>
        <w:rPr>
          <w:rFonts w:ascii="宋体"/>
          <w:color w:val="auto"/>
          <w:sz w:val="32"/>
          <w:szCs w:val="32"/>
          <w:highlight w:val="none"/>
        </w:rPr>
      </w:pPr>
      <w:r>
        <w:rPr>
          <w:rFonts w:hint="eastAsia" w:ascii="宋体"/>
          <w:color w:val="auto"/>
          <w:sz w:val="32"/>
          <w:szCs w:val="32"/>
          <w:highlight w:val="none"/>
        </w:rPr>
        <w:t>有效身份证明复印件粘贴处</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color w:val="auto"/>
          <w:sz w:val="32"/>
          <w:szCs w:val="32"/>
          <w:highlight w:val="none"/>
        </w:rPr>
        <w:br w:type="page"/>
      </w:r>
      <w:r>
        <w:rPr>
          <w:rFonts w:hint="eastAsia" w:ascii="宋体"/>
          <w:b/>
          <w:color w:val="auto"/>
          <w:szCs w:val="21"/>
          <w:highlight w:val="none"/>
          <w:lang w:eastAsia="zh-CN"/>
        </w:rPr>
        <w:t>十三</w:t>
      </w:r>
      <w:r>
        <w:rPr>
          <w:rFonts w:hint="eastAsia" w:ascii="宋体"/>
          <w:b/>
          <w:color w:val="auto"/>
          <w:szCs w:val="21"/>
          <w:highlight w:val="none"/>
        </w:rPr>
        <w:t>、法定代表人授权委托书格式：</w:t>
      </w: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法定代表人授权委托书</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440" w:lineRule="exact"/>
        <w:rPr>
          <w:rFonts w:ascii="宋体"/>
          <w:b/>
          <w:bCs/>
          <w:color w:val="auto"/>
          <w:szCs w:val="21"/>
          <w:highlight w:val="none"/>
          <w:u w:val="single"/>
        </w:rPr>
      </w:pPr>
      <w:r>
        <w:rPr>
          <w:rFonts w:hint="eastAsia" w:ascii="宋体"/>
          <w:bCs/>
          <w:color w:val="auto"/>
          <w:szCs w:val="21"/>
          <w:highlight w:val="none"/>
        </w:rPr>
        <w:t>致：</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本授权委托书声明，我</w:t>
      </w:r>
      <w:r>
        <w:rPr>
          <w:rFonts w:hint="eastAsia" w:ascii="宋体"/>
          <w:color w:val="auto"/>
          <w:szCs w:val="21"/>
          <w:highlight w:val="none"/>
          <w:u w:val="single"/>
        </w:rPr>
        <w:t xml:space="preserve"> （姓名） </w:t>
      </w:r>
      <w:r>
        <w:rPr>
          <w:rFonts w:hint="eastAsia" w:ascii="宋体"/>
          <w:color w:val="auto"/>
          <w:szCs w:val="21"/>
          <w:highlight w:val="none"/>
        </w:rPr>
        <w:t>系</w:t>
      </w:r>
      <w:r>
        <w:rPr>
          <w:rFonts w:hint="eastAsia" w:ascii="宋体"/>
          <w:color w:val="auto"/>
          <w:szCs w:val="21"/>
          <w:highlight w:val="none"/>
          <w:u w:val="single"/>
        </w:rPr>
        <w:t xml:space="preserve">  （投标人名称）  </w:t>
      </w:r>
      <w:r>
        <w:rPr>
          <w:rFonts w:hint="eastAsia" w:ascii="宋体"/>
          <w:color w:val="auto"/>
          <w:szCs w:val="21"/>
          <w:highlight w:val="none"/>
        </w:rPr>
        <w:t>的法定代表人，现授权委托本单位在职职工</w:t>
      </w:r>
      <w:r>
        <w:rPr>
          <w:rFonts w:hint="eastAsia" w:ascii="宋体"/>
          <w:color w:val="auto"/>
          <w:szCs w:val="21"/>
          <w:highlight w:val="none"/>
          <w:u w:val="single"/>
        </w:rPr>
        <w:t xml:space="preserve"> （姓名）  </w:t>
      </w:r>
      <w:r>
        <w:rPr>
          <w:rFonts w:hint="eastAsia" w:ascii="宋体"/>
          <w:color w:val="auto"/>
          <w:szCs w:val="21"/>
          <w:highlight w:val="none"/>
        </w:rPr>
        <w:t>以我方的名义参加</w:t>
      </w:r>
      <w:r>
        <w:rPr>
          <w:rFonts w:hint="eastAsia" w:ascii="宋体"/>
          <w:color w:val="auto"/>
          <w:szCs w:val="21"/>
          <w:highlight w:val="none"/>
          <w:u w:val="single"/>
        </w:rPr>
        <w:t xml:space="preserve">               </w:t>
      </w:r>
      <w:r>
        <w:rPr>
          <w:rFonts w:hint="eastAsia" w:ascii="宋体"/>
          <w:color w:val="auto"/>
          <w:szCs w:val="21"/>
          <w:highlight w:val="none"/>
        </w:rPr>
        <w:t>项目的投标活动，并代表我方全权办理针对上述项目的投标、开标、评标、签约等具体事务和签署相关文件。</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我方对被授权人的签名负全部责任。</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被授权人无转委托权，特此委托。</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u w:val="single"/>
        </w:rPr>
      </w:pPr>
      <w:r>
        <w:rPr>
          <w:rFonts w:hint="eastAsia" w:ascii="宋体"/>
          <w:color w:val="auto"/>
          <w:szCs w:val="21"/>
          <w:highlight w:val="none"/>
        </w:rPr>
        <w:t>被授权人签</w:t>
      </w:r>
      <w:r>
        <w:rPr>
          <w:rFonts w:hint="eastAsia" w:ascii="宋体"/>
          <w:color w:val="auto"/>
          <w:szCs w:val="21"/>
          <w:highlight w:val="none"/>
          <w:lang w:eastAsia="zh-CN"/>
        </w:rPr>
        <w:t>字或盖章</w:t>
      </w:r>
      <w:r>
        <w:rPr>
          <w:rFonts w:hint="eastAsia" w:ascii="宋体"/>
          <w:color w:val="auto"/>
          <w:szCs w:val="21"/>
          <w:highlight w:val="none"/>
        </w:rPr>
        <w:t xml:space="preserve">： </w:t>
      </w:r>
      <w:r>
        <w:rPr>
          <w:rFonts w:hint="eastAsia" w:ascii="宋体"/>
          <w:color w:val="auto"/>
          <w:szCs w:val="21"/>
          <w:highlight w:val="none"/>
          <w:u w:val="single"/>
        </w:rPr>
        <w:t xml:space="preserve">              </w:t>
      </w:r>
      <w:r>
        <w:rPr>
          <w:rFonts w:hint="eastAsia" w:ascii="宋体"/>
          <w:color w:val="auto"/>
          <w:szCs w:val="21"/>
          <w:highlight w:val="none"/>
        </w:rPr>
        <w:t xml:space="preserve">      法定代表人签</w:t>
      </w:r>
      <w:r>
        <w:rPr>
          <w:rFonts w:hint="eastAsia" w:ascii="宋体"/>
          <w:color w:val="auto"/>
          <w:szCs w:val="21"/>
          <w:highlight w:val="none"/>
          <w:lang w:eastAsia="zh-CN"/>
        </w:rPr>
        <w:t>字或盖章</w:t>
      </w:r>
      <w:r>
        <w:rPr>
          <w:rFonts w:hint="eastAsia" w:ascii="宋体"/>
          <w:color w:val="auto"/>
          <w:szCs w:val="21"/>
          <w:highlight w:val="none"/>
        </w:rPr>
        <w:t>：</w:t>
      </w:r>
      <w:r>
        <w:rPr>
          <w:rFonts w:hint="eastAsia" w:ascii="宋体"/>
          <w:color w:val="auto"/>
          <w:szCs w:val="21"/>
          <w:highlight w:val="none"/>
          <w:u w:val="single"/>
        </w:rPr>
        <w:t xml:space="preserve">              </w:t>
      </w:r>
      <w:r>
        <w:rPr>
          <w:rFonts w:hint="eastAsia" w:ascii="宋体"/>
          <w:color w:val="auto"/>
          <w:szCs w:val="21"/>
          <w:highlight w:val="non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职务：</w:t>
      </w:r>
      <w:r>
        <w:rPr>
          <w:rFonts w:hint="eastAsia" w:ascii="宋体"/>
          <w:color w:val="auto"/>
          <w:szCs w:val="21"/>
          <w:highlight w:val="none"/>
          <w:u w:val="single"/>
        </w:rPr>
        <w:t xml:space="preserve">                  </w:t>
      </w:r>
      <w:r>
        <w:rPr>
          <w:rFonts w:hint="eastAsia" w:ascii="宋体"/>
          <w:color w:val="auto"/>
          <w:szCs w:val="21"/>
          <w:highlight w:val="none"/>
        </w:rPr>
        <w:t xml:space="preserve">                 职务：</w:t>
      </w:r>
      <w:r>
        <w:rPr>
          <w:rFonts w:hint="eastAsia" w:ascii="宋体"/>
          <w:color w:val="auto"/>
          <w:szCs w:val="21"/>
          <w:highlight w:val="none"/>
          <w:u w:val="single"/>
        </w:rPr>
        <w:t xml:space="preserve">                  </w:t>
      </w:r>
      <w:r>
        <w:rPr>
          <w:rFonts w:hint="eastAsia" w:ascii="宋体"/>
          <w:color w:val="auto"/>
          <w:szCs w:val="21"/>
          <w:highlight w:val="non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被授权人身份证号码：</w:t>
      </w:r>
      <w:r>
        <w:rPr>
          <w:rFonts w:hint="eastAsia" w:ascii="宋体"/>
          <w:color w:val="auto"/>
          <w:szCs w:val="21"/>
          <w:highlight w:val="none"/>
          <w:u w:val="single"/>
        </w:rPr>
        <w:t xml:space="preserve">                  </w:t>
      </w:r>
      <w:r>
        <w:rPr>
          <w:rFonts w:hint="eastAsia" w:ascii="宋体"/>
          <w:color w:val="auto"/>
          <w:szCs w:val="21"/>
          <w:highlight w:val="non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pPr>
        <w:keepNext w:val="0"/>
        <w:keepLines w:val="0"/>
        <w:pageBreakBefore w:val="0"/>
        <w:widowControl w:val="0"/>
        <w:kinsoku/>
        <w:overflowPunct/>
        <w:topLinePunct w:val="0"/>
        <w:bidi w:val="0"/>
        <w:adjustRightInd w:val="0"/>
        <w:snapToGrid w:val="0"/>
        <w:spacing w:line="440" w:lineRule="exact"/>
        <w:ind w:firstLine="420" w:firstLineChars="200"/>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r>
        <w:rPr>
          <w:rFonts w:hint="eastAsia" w:ascii="宋体"/>
          <w:color w:val="auto"/>
          <w:szCs w:val="21"/>
          <w:highlight w:val="none"/>
        </w:rPr>
        <w:t>----------------------------------------------------------</w:t>
      </w:r>
    </w:p>
    <w:p>
      <w:pPr>
        <w:pStyle w:val="14"/>
        <w:keepNext w:val="0"/>
        <w:keepLines w:val="0"/>
        <w:pageBreakBefore w:val="0"/>
        <w:widowControl w:val="0"/>
        <w:kinsoku/>
        <w:overflowPunct/>
        <w:topLinePunct w:val="0"/>
        <w:bidi w:val="0"/>
        <w:spacing w:line="440" w:lineRule="exact"/>
        <w:ind w:firstLineChars="200"/>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p>
    <w:p>
      <w:pPr>
        <w:pStyle w:val="14"/>
        <w:keepNext w:val="0"/>
        <w:keepLines w:val="0"/>
        <w:pageBreakBefore w:val="0"/>
        <w:widowControl w:val="0"/>
        <w:kinsoku/>
        <w:overflowPunct/>
        <w:topLinePunct w:val="0"/>
        <w:bidi w:val="0"/>
        <w:spacing w:line="440" w:lineRule="exact"/>
        <w:ind w:firstLineChars="200"/>
        <w:jc w:val="center"/>
        <w:rPr>
          <w:rFonts w:ascii="宋体"/>
          <w:color w:val="auto"/>
          <w:szCs w:val="21"/>
          <w:highlight w:val="none"/>
        </w:rPr>
      </w:pPr>
      <w:r>
        <w:rPr>
          <w:rFonts w:hint="eastAsia" w:ascii="宋体"/>
          <w:color w:val="auto"/>
          <w:szCs w:val="21"/>
          <w:highlight w:val="none"/>
        </w:rPr>
        <w:t>授权代理人有效身份证明复印件粘贴处</w:t>
      </w:r>
    </w:p>
    <w:p>
      <w:pPr>
        <w:keepNext w:val="0"/>
        <w:keepLines w:val="0"/>
        <w:pageBreakBefore w:val="0"/>
        <w:widowControl w:val="0"/>
        <w:kinsoku/>
        <w:overflowPunct/>
        <w:topLinePunct w:val="0"/>
        <w:bidi w:val="0"/>
        <w:adjustRightInd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r>
        <w:rPr>
          <w:rFonts w:hint="eastAsia" w:ascii="宋体"/>
          <w:color w:val="auto"/>
          <w:sz w:val="24"/>
          <w:highlight w:val="none"/>
        </w:rPr>
        <w:t>附：被授权人社保缴费证明（加盖社保机构章）</w:t>
      </w:r>
    </w:p>
    <w:p>
      <w:pPr>
        <w:keepNext w:val="0"/>
        <w:keepLines w:val="0"/>
        <w:pageBreakBefore w:val="0"/>
        <w:widowControl w:val="0"/>
        <w:kinsoku/>
        <w:overflowPunct/>
        <w:topLinePunct w:val="0"/>
        <w:bidi w:val="0"/>
        <w:adjustRightInd w:val="0"/>
        <w:snapToGrid w:val="0"/>
        <w:jc w:val="left"/>
        <w:rPr>
          <w:rFonts w:ascii="宋体"/>
          <w:color w:val="auto"/>
          <w:sz w:val="24"/>
          <w:highlight w:val="none"/>
        </w:rPr>
      </w:pPr>
    </w:p>
    <w:p>
      <w:pPr>
        <w:pStyle w:val="20"/>
        <w:keepNext w:val="0"/>
        <w:keepLines w:val="0"/>
        <w:pageBreakBefore w:val="0"/>
        <w:widowControl w:val="0"/>
        <w:kinsoku/>
        <w:overflowPunct/>
        <w:topLinePunct w:val="0"/>
        <w:bidi w:val="0"/>
        <w:adjustRightInd w:val="0"/>
        <w:snapToGrid w:val="0"/>
        <w:spacing w:after="0" w:line="440" w:lineRule="exact"/>
        <w:rPr>
          <w:rFonts w:ascii="宋体"/>
          <w:b/>
          <w:color w:val="auto"/>
          <w:sz w:val="21"/>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rPr>
        <w:t>十</w:t>
      </w:r>
      <w:r>
        <w:rPr>
          <w:rFonts w:hint="eastAsia" w:ascii="宋体"/>
          <w:b/>
          <w:color w:val="auto"/>
          <w:szCs w:val="21"/>
          <w:highlight w:val="none"/>
          <w:lang w:eastAsia="zh-CN"/>
        </w:rPr>
        <w:t>四</w:t>
      </w:r>
      <w:r>
        <w:rPr>
          <w:rFonts w:hint="eastAsia" w:ascii="宋体"/>
          <w:b/>
          <w:color w:val="auto"/>
          <w:szCs w:val="21"/>
          <w:highlight w:val="none"/>
        </w:rPr>
        <w:t>、投标人情况一览表</w:t>
      </w:r>
    </w:p>
    <w:p>
      <w:pPr>
        <w:keepNext w:val="0"/>
        <w:keepLines w:val="0"/>
        <w:pageBreakBefore w:val="0"/>
        <w:widowControl w:val="0"/>
        <w:kinsoku/>
        <w:overflowPunct/>
        <w:topLinePunct w:val="0"/>
        <w:bidi w:val="0"/>
        <w:spacing w:line="440" w:lineRule="exact"/>
        <w:jc w:val="center"/>
        <w:rPr>
          <w:rFonts w:ascii="宋体"/>
          <w:b/>
          <w:bCs/>
          <w:color w:val="auto"/>
          <w:szCs w:val="21"/>
          <w:highlight w:val="none"/>
        </w:rPr>
      </w:pPr>
      <w:r>
        <w:rPr>
          <w:rFonts w:hint="eastAsia" w:ascii="宋体"/>
          <w:b/>
          <w:bCs/>
          <w:color w:val="auto"/>
          <w:szCs w:val="21"/>
          <w:highlight w:val="none"/>
        </w:rPr>
        <w:t>投标</w:t>
      </w:r>
      <w:r>
        <w:rPr>
          <w:rFonts w:hint="eastAsia" w:ascii="宋体"/>
          <w:b/>
          <w:color w:val="auto"/>
          <w:szCs w:val="21"/>
          <w:highlight w:val="none"/>
        </w:rPr>
        <w:t>人</w:t>
      </w:r>
      <w:r>
        <w:rPr>
          <w:rFonts w:hint="eastAsia" w:ascii="宋体"/>
          <w:b/>
          <w:bCs/>
          <w:color w:val="auto"/>
          <w:szCs w:val="21"/>
          <w:highlight w:val="none"/>
        </w:rPr>
        <w:t>情况一览表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公司名称</w:t>
            </w:r>
          </w:p>
        </w:tc>
        <w:tc>
          <w:tcPr>
            <w:tcW w:w="5239"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注册资金</w:t>
            </w:r>
          </w:p>
        </w:tc>
        <w:tc>
          <w:tcPr>
            <w:tcW w:w="5239"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地址、邮编</w:t>
            </w:r>
          </w:p>
        </w:tc>
        <w:tc>
          <w:tcPr>
            <w:tcW w:w="5239"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主要业务范围</w:t>
            </w:r>
          </w:p>
        </w:tc>
        <w:tc>
          <w:tcPr>
            <w:tcW w:w="5239"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企业性质</w:t>
            </w:r>
          </w:p>
        </w:tc>
        <w:tc>
          <w:tcPr>
            <w:tcW w:w="5239"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成立时间</w:t>
            </w:r>
          </w:p>
        </w:tc>
        <w:tc>
          <w:tcPr>
            <w:tcW w:w="5239"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生产经营场所规模（平方）</w:t>
            </w:r>
          </w:p>
        </w:tc>
        <w:tc>
          <w:tcPr>
            <w:tcW w:w="5239" w:type="dxa"/>
            <w:gridSpan w:val="3"/>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法人代表</w:t>
            </w: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公司经理</w:t>
            </w: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总工程师</w:t>
            </w: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总经济师</w:t>
            </w: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人员总数（人）</w:t>
            </w: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高级职称</w:t>
            </w: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中级职称</w:t>
            </w: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初级职称</w:t>
            </w: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keepNext w:val="0"/>
              <w:keepLines w:val="0"/>
              <w:pageBreakBefore w:val="0"/>
              <w:widowControl w:val="0"/>
              <w:kinsoku/>
              <w:overflowPunct/>
              <w:topLinePunct w:val="0"/>
              <w:bidi w:val="0"/>
              <w:rPr>
                <w:color w:val="auto"/>
                <w:highlight w:val="none"/>
              </w:rPr>
            </w:pP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人员构成（%）</w:t>
            </w: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管理人员</w:t>
            </w: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技术人员</w:t>
            </w: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后勤人员</w:t>
            </w: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keepNext w:val="0"/>
              <w:keepLines w:val="0"/>
              <w:pageBreakBefore w:val="0"/>
              <w:widowControl w:val="0"/>
              <w:kinsoku/>
              <w:overflowPunct/>
              <w:topLinePunct w:val="0"/>
              <w:bidi w:val="0"/>
              <w:rPr>
                <w:color w:val="auto"/>
                <w:highlight w:val="none"/>
              </w:rPr>
            </w:pP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上年度末资产及负债情况</w:t>
            </w: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总资产</w:t>
            </w: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固定资产净额</w:t>
            </w: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流动资产</w:t>
            </w: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r>
              <w:rPr>
                <w:rFonts w:hint="eastAsia" w:ascii="宋体"/>
                <w:color w:val="auto"/>
                <w:szCs w:val="21"/>
                <w:highlight w:val="none"/>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keepNext w:val="0"/>
              <w:keepLines w:val="0"/>
              <w:pageBreakBefore w:val="0"/>
              <w:widowControl w:val="0"/>
              <w:kinsoku/>
              <w:overflowPunct/>
              <w:topLinePunct w:val="0"/>
              <w:bidi w:val="0"/>
              <w:rPr>
                <w:color w:val="auto"/>
                <w:highlight w:val="none"/>
              </w:rPr>
            </w:pPr>
          </w:p>
        </w:tc>
        <w:tc>
          <w:tcPr>
            <w:tcW w:w="1720"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859"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758"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c>
          <w:tcPr>
            <w:tcW w:w="1622" w:type="dxa"/>
            <w:vAlign w:val="center"/>
          </w:tcPr>
          <w:p>
            <w:pPr>
              <w:keepNext w:val="0"/>
              <w:keepLines w:val="0"/>
              <w:pageBreakBefore w:val="0"/>
              <w:widowControl w:val="0"/>
              <w:kinsoku/>
              <w:overflowPunct/>
              <w:topLinePunct w:val="0"/>
              <w:bidi w:val="0"/>
              <w:spacing w:line="240" w:lineRule="atLeas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vAlign w:val="center"/>
          </w:tcPr>
          <w:p>
            <w:pPr>
              <w:keepNext w:val="0"/>
              <w:keepLines w:val="0"/>
              <w:pageBreakBefore w:val="0"/>
              <w:widowControl w:val="0"/>
              <w:kinsoku/>
              <w:overflowPunct/>
              <w:topLinePunct w:val="0"/>
              <w:bidi w:val="0"/>
              <w:rPr>
                <w:rFonts w:ascii="宋体"/>
                <w:color w:val="auto"/>
                <w:szCs w:val="21"/>
                <w:highlight w:val="none"/>
              </w:rPr>
            </w:pPr>
            <w:r>
              <w:rPr>
                <w:rFonts w:hint="eastAsia" w:ascii="宋体"/>
                <w:color w:val="auto"/>
                <w:szCs w:val="21"/>
                <w:highlight w:val="none"/>
              </w:rPr>
              <w:t>企业概况</w:t>
            </w:r>
          </w:p>
        </w:tc>
        <w:tc>
          <w:tcPr>
            <w:tcW w:w="8075" w:type="dxa"/>
            <w:gridSpan w:val="5"/>
            <w:vAlign w:val="center"/>
          </w:tcPr>
          <w:p>
            <w:pPr>
              <w:keepNext w:val="0"/>
              <w:keepLines w:val="0"/>
              <w:pageBreakBefore w:val="0"/>
              <w:widowControl w:val="0"/>
              <w:kinsoku/>
              <w:overflowPunct/>
              <w:topLinePunct w:val="0"/>
              <w:bidi w:val="0"/>
              <w:rPr>
                <w:rFonts w:ascii="宋体"/>
                <w:color w:val="auto"/>
                <w:szCs w:val="21"/>
                <w:highlight w:val="none"/>
              </w:rPr>
            </w:pPr>
          </w:p>
        </w:tc>
      </w:tr>
    </w:tbl>
    <w:p>
      <w:pPr>
        <w:keepNext w:val="0"/>
        <w:keepLines w:val="0"/>
        <w:pageBreakBefore w:val="0"/>
        <w:widowControl w:val="0"/>
        <w:kinsoku/>
        <w:overflowPunct/>
        <w:topLinePunct w:val="0"/>
        <w:bidi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pPr>
        <w:pStyle w:val="20"/>
        <w:keepNext w:val="0"/>
        <w:keepLines w:val="0"/>
        <w:pageBreakBefore w:val="0"/>
        <w:widowControl w:val="0"/>
        <w:kinsoku/>
        <w:overflowPunct/>
        <w:topLinePunct w:val="0"/>
        <w:bidi w:val="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rPr>
        <w:br w:type="page"/>
      </w:r>
      <w:r>
        <w:rPr>
          <w:rFonts w:hint="eastAsia" w:ascii="宋体"/>
          <w:b/>
          <w:color w:val="auto"/>
          <w:szCs w:val="21"/>
          <w:highlight w:val="none"/>
        </w:rPr>
        <w:t>十</w:t>
      </w:r>
      <w:r>
        <w:rPr>
          <w:rFonts w:hint="eastAsia" w:ascii="宋体"/>
          <w:b/>
          <w:color w:val="auto"/>
          <w:szCs w:val="21"/>
          <w:highlight w:val="none"/>
          <w:lang w:eastAsia="zh-CN"/>
        </w:rPr>
        <w:t>五</w:t>
      </w:r>
      <w:r>
        <w:rPr>
          <w:rFonts w:hint="eastAsia" w:ascii="宋体"/>
          <w:b/>
          <w:color w:val="auto"/>
          <w:szCs w:val="21"/>
          <w:highlight w:val="none"/>
        </w:rPr>
        <w:t>、商务响应表格式：</w:t>
      </w: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r>
        <w:rPr>
          <w:rFonts w:hint="eastAsia" w:ascii="宋体"/>
          <w:b/>
          <w:color w:val="auto"/>
          <w:szCs w:val="21"/>
          <w:highlight w:val="none"/>
        </w:rPr>
        <w:t>商务响应表</w:t>
      </w: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p>
    <w:tbl>
      <w:tblPr>
        <w:tblStyle w:val="61"/>
        <w:tblW w:w="0" w:type="auto"/>
        <w:tblInd w:w="0"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tcPr>
          <w:p>
            <w:pPr>
              <w:keepNext w:val="0"/>
              <w:keepLines w:val="0"/>
              <w:pageBreakBefore w:val="0"/>
              <w:widowControl w:val="0"/>
              <w:kinsoku/>
              <w:overflowPunct/>
              <w:topLinePunct w:val="0"/>
              <w:bidi w:val="0"/>
              <w:spacing w:line="360" w:lineRule="exact"/>
              <w:rPr>
                <w:rFonts w:ascii="宋体"/>
                <w:color w:val="auto"/>
                <w:szCs w:val="21"/>
                <w:highlight w:val="none"/>
              </w:rPr>
            </w:pPr>
          </w:p>
        </w:tc>
      </w:tr>
    </w:tbl>
    <w:p>
      <w:pPr>
        <w:keepNext w:val="0"/>
        <w:keepLines w:val="0"/>
        <w:pageBreakBefore w:val="0"/>
        <w:widowControl w:val="0"/>
        <w:kinsoku/>
        <w:overflowPunct/>
        <w:topLinePunct w:val="0"/>
        <w:bidi w:val="0"/>
        <w:snapToGrid w:val="0"/>
        <w:spacing w:line="440" w:lineRule="exact"/>
        <w:rPr>
          <w:rFonts w:ascii="宋体"/>
          <w:color w:val="auto"/>
          <w:szCs w:val="21"/>
          <w:highlight w:val="none"/>
        </w:rPr>
      </w:pPr>
      <w:r>
        <w:rPr>
          <w:rFonts w:hint="eastAsia" w:ascii="宋体"/>
          <w:color w:val="auto"/>
          <w:szCs w:val="21"/>
          <w:highlight w:val="none"/>
        </w:rPr>
        <w:t>注：投标人应对照招标文件要求在“偏离情况”栏注明“正偏离”、“负偏离”或“无偏离”。行数可视情况自行添加。不填写视同完全响应招标文件要求。</w:t>
      </w: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pPr>
        <w:pStyle w:val="20"/>
        <w:keepNext w:val="0"/>
        <w:keepLines w:val="0"/>
        <w:pageBreakBefore w:val="0"/>
        <w:widowControl w:val="0"/>
        <w:kinsoku/>
        <w:overflowPunct/>
        <w:topLinePunct w:val="0"/>
        <w:bidi w:val="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keepNext w:val="0"/>
        <w:keepLines w:val="0"/>
        <w:pageBreakBefore w:val="0"/>
        <w:widowControl w:val="0"/>
        <w:kinsoku/>
        <w:overflowPunct/>
        <w:topLinePunct w:val="0"/>
        <w:bidi w:val="0"/>
        <w:adjustRightInd w:val="0"/>
        <w:snapToGrid w:val="0"/>
        <w:spacing w:line="440" w:lineRule="exact"/>
        <w:jc w:val="left"/>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pStyle w:val="14"/>
        <w:keepNext w:val="0"/>
        <w:keepLines w:val="0"/>
        <w:pageBreakBefore w:val="0"/>
        <w:widowControl w:val="0"/>
        <w:kinsoku/>
        <w:overflowPunct/>
        <w:topLinePunct w:val="0"/>
        <w:bidi w:val="0"/>
        <w:rPr>
          <w:rFonts w:ascii="宋体"/>
          <w:b/>
          <w:color w:val="auto"/>
          <w:szCs w:val="21"/>
          <w:highlight w:val="none"/>
        </w:rPr>
      </w:pPr>
    </w:p>
    <w:p>
      <w:pPr>
        <w:keepNext w:val="0"/>
        <w:keepLines w:val="0"/>
        <w:pageBreakBefore w:val="0"/>
        <w:widowControl w:val="0"/>
        <w:kinsoku/>
        <w:overflowPunct/>
        <w:topLinePunct w:val="0"/>
        <w:bidi w:val="0"/>
        <w:adjustRightInd w:val="0"/>
        <w:spacing w:line="360" w:lineRule="auto"/>
        <w:outlineLvl w:val="2"/>
        <w:rPr>
          <w:rFonts w:ascii="宋体" w:hAnsi="宋体" w:cs="宋体"/>
          <w:b/>
          <w:color w:val="auto"/>
          <w:szCs w:val="21"/>
          <w:highlight w:val="none"/>
        </w:rPr>
      </w:pPr>
    </w:p>
    <w:p>
      <w:pPr>
        <w:keepNext w:val="0"/>
        <w:keepLines w:val="0"/>
        <w:pageBreakBefore w:val="0"/>
        <w:widowControl w:val="0"/>
        <w:kinsoku/>
        <w:overflowPunct/>
        <w:topLinePunct w:val="0"/>
        <w:bidi w:val="0"/>
        <w:adjustRightInd w:val="0"/>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、投标人类似业绩：</w:t>
      </w:r>
    </w:p>
    <w:p>
      <w:pPr>
        <w:keepNext w:val="0"/>
        <w:keepLines w:val="0"/>
        <w:pageBreakBefore w:val="0"/>
        <w:widowControl w:val="0"/>
        <w:kinsoku/>
        <w:overflowPunct/>
        <w:topLinePunct w:val="0"/>
        <w:bidi w:val="0"/>
        <w:adjustRightInd w:val="0"/>
        <w:snapToGrid w:val="0"/>
        <w:spacing w:before="120" w:beforeLines="50" w:after="120" w:afterLines="50" w:line="500" w:lineRule="exact"/>
        <w:jc w:val="center"/>
        <w:rPr>
          <w:rFonts w:ascii="宋体" w:hAnsi="宋体"/>
          <w:b/>
          <w:color w:val="auto"/>
          <w:szCs w:val="21"/>
          <w:highlight w:val="none"/>
        </w:rPr>
      </w:pPr>
      <w:r>
        <w:rPr>
          <w:rFonts w:hint="eastAsia" w:ascii="宋体" w:hAnsi="宋体"/>
          <w:b/>
          <w:color w:val="auto"/>
          <w:szCs w:val="21"/>
          <w:highlight w:val="none"/>
        </w:rPr>
        <w:t>投标人类似业绩一览表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8"/>
        <w:gridCol w:w="1660"/>
        <w:gridCol w:w="293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项目实施时间</w:t>
            </w: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项目单位名称</w:t>
            </w:r>
          </w:p>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地址及联系方式</w:t>
            </w: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项目合同金额（单位：万元）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8"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60"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93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67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bl>
    <w:p>
      <w:pPr>
        <w:keepNext w:val="0"/>
        <w:keepLines w:val="0"/>
        <w:pageBreakBefore w:val="0"/>
        <w:widowControl w:val="0"/>
        <w:kinsoku/>
        <w:overflowPunct/>
        <w:topLinePunct w:val="0"/>
        <w:bidi w:val="0"/>
        <w:snapToGrid w:val="0"/>
        <w:spacing w:line="440" w:lineRule="exact"/>
        <w:rPr>
          <w:rFonts w:ascii="宋体" w:hAns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pPr>
        <w:pStyle w:val="20"/>
        <w:keepNext w:val="0"/>
        <w:keepLines w:val="0"/>
        <w:pageBreakBefore w:val="0"/>
        <w:widowControl w:val="0"/>
        <w:kinsoku/>
        <w:overflowPunct/>
        <w:topLinePunct w:val="0"/>
        <w:bidi w:val="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tabs>
          <w:tab w:val="left" w:pos="360"/>
        </w:tabs>
        <w:kinsoku/>
        <w:overflowPunct/>
        <w:topLinePunct w:val="0"/>
        <w:autoSpaceDE w:val="0"/>
        <w:autoSpaceDN w:val="0"/>
        <w:bidi w:val="0"/>
        <w:adjustRightInd w:val="0"/>
        <w:textAlignment w:val="baseline"/>
        <w:rPr>
          <w:color w:val="auto"/>
          <w:highlight w:val="none"/>
        </w:rPr>
      </w:pPr>
    </w:p>
    <w:p>
      <w:pPr>
        <w:pStyle w:val="109"/>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w:t>
      </w:r>
      <w:r>
        <w:rPr>
          <w:rFonts w:hint="eastAsia" w:ascii="宋体"/>
          <w:b/>
          <w:color w:val="auto"/>
          <w:szCs w:val="21"/>
          <w:highlight w:val="none"/>
        </w:rPr>
        <w:t>技术响应表格式：</w:t>
      </w:r>
    </w:p>
    <w:p>
      <w:pPr>
        <w:keepNext w:val="0"/>
        <w:keepLines w:val="0"/>
        <w:pageBreakBefore w:val="0"/>
        <w:widowControl w:val="0"/>
        <w:kinsoku/>
        <w:overflowPunct/>
        <w:topLinePunct w:val="0"/>
        <w:bidi w:val="0"/>
        <w:adjustRightInd w:val="0"/>
        <w:snapToGrid w:val="0"/>
        <w:spacing w:line="440" w:lineRule="exact"/>
        <w:jc w:val="center"/>
        <w:rPr>
          <w:rFonts w:ascii="宋体"/>
          <w:b/>
          <w:color w:val="auto"/>
          <w:szCs w:val="21"/>
          <w:highlight w:val="none"/>
        </w:rPr>
      </w:pPr>
      <w:r>
        <w:rPr>
          <w:rFonts w:hint="eastAsia" w:ascii="宋体"/>
          <w:b/>
          <w:color w:val="auto"/>
          <w:szCs w:val="21"/>
          <w:highlight w:val="none"/>
        </w:rPr>
        <w:t>技术响应表</w:t>
      </w:r>
    </w:p>
    <w:tbl>
      <w:tblPr>
        <w:tblStyle w:val="61"/>
        <w:tblW w:w="0" w:type="auto"/>
        <w:tblInd w:w="0"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序 号</w:t>
            </w:r>
          </w:p>
        </w:tc>
        <w:tc>
          <w:tcPr>
            <w:tcW w:w="125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内容</w:t>
            </w:r>
          </w:p>
        </w:tc>
        <w:tc>
          <w:tcPr>
            <w:tcW w:w="19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招标文件规范要求</w:t>
            </w:r>
          </w:p>
        </w:tc>
        <w:tc>
          <w:tcPr>
            <w:tcW w:w="197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投标文件对应规范</w:t>
            </w:r>
          </w:p>
        </w:tc>
        <w:tc>
          <w:tcPr>
            <w:tcW w:w="1441"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偏离情况</w:t>
            </w:r>
          </w:p>
        </w:tc>
        <w:tc>
          <w:tcPr>
            <w:tcW w:w="1231"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val="0"/>
              <w:kinsoku/>
              <w:overflowPunct/>
              <w:topLinePunct w:val="0"/>
              <w:bidi w:val="0"/>
              <w:spacing w:line="360" w:lineRule="exact"/>
              <w:jc w:val="center"/>
              <w:rPr>
                <w:rFonts w:ascii="宋体"/>
                <w:color w:val="auto"/>
                <w:szCs w:val="21"/>
                <w:highlight w:val="none"/>
              </w:rPr>
            </w:pPr>
            <w:r>
              <w:rPr>
                <w:rFonts w:hint="eastAsia" w:ascii="宋体"/>
                <w:color w:val="auto"/>
                <w:szCs w:val="21"/>
                <w:highlight w:val="none"/>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5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979" w:type="dxa"/>
            <w:tcBorders>
              <w:top w:val="single" w:color="auto" w:sz="6" w:space="0"/>
              <w:left w:val="single" w:color="auto" w:sz="6"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441" w:type="dxa"/>
            <w:tcBorders>
              <w:top w:val="single" w:color="auto" w:sz="6" w:space="0"/>
              <w:left w:val="single" w:color="auto" w:sz="6" w:space="0"/>
              <w:bottom w:val="single" w:color="auto" w:sz="6" w:space="0"/>
              <w:right w:val="single" w:color="auto" w:sz="4"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c>
          <w:tcPr>
            <w:tcW w:w="1231" w:type="dxa"/>
            <w:tcBorders>
              <w:top w:val="single" w:color="auto" w:sz="6" w:space="0"/>
              <w:left w:val="single" w:color="auto" w:sz="4" w:space="0"/>
              <w:bottom w:val="single" w:color="auto" w:sz="6" w:space="0"/>
              <w:right w:val="single" w:color="auto" w:sz="6" w:space="0"/>
            </w:tcBorders>
            <w:noWrap/>
          </w:tcPr>
          <w:p>
            <w:pPr>
              <w:keepNext w:val="0"/>
              <w:keepLines w:val="0"/>
              <w:pageBreakBefore w:val="0"/>
              <w:widowControl w:val="0"/>
              <w:kinsoku/>
              <w:overflowPunct/>
              <w:topLinePunct w:val="0"/>
              <w:bidi w:val="0"/>
              <w:spacing w:line="360" w:lineRule="exact"/>
              <w:rPr>
                <w:rFonts w:ascii="宋体"/>
                <w:color w:val="auto"/>
                <w:szCs w:val="21"/>
                <w:highlight w:val="none"/>
              </w:rPr>
            </w:pPr>
          </w:p>
        </w:tc>
      </w:tr>
    </w:tbl>
    <w:p>
      <w:pPr>
        <w:keepNext w:val="0"/>
        <w:keepLines w:val="0"/>
        <w:pageBreakBefore w:val="0"/>
        <w:widowControl w:val="0"/>
        <w:kinsoku/>
        <w:overflowPunct/>
        <w:topLinePunct w:val="0"/>
        <w:bidi w:val="0"/>
        <w:snapToGrid w:val="0"/>
        <w:spacing w:line="440" w:lineRule="exact"/>
        <w:rPr>
          <w:rFonts w:ascii="宋体"/>
          <w:color w:val="auto"/>
          <w:szCs w:val="21"/>
          <w:highlight w:val="none"/>
        </w:rPr>
      </w:pPr>
      <w:r>
        <w:rPr>
          <w:rFonts w:hint="eastAsia" w:ascii="宋体"/>
          <w:color w:val="auto"/>
          <w:szCs w:val="21"/>
          <w:highlight w:val="none"/>
        </w:rPr>
        <w:t>注：对照招标文件要求在“偏离情况”栏注明“正偏离”、“负偏离”或“无偏离”。行数可视情况自行添加。不填写视同完全响应招标文件要求。</w:t>
      </w: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pPr>
        <w:pStyle w:val="20"/>
        <w:keepNext w:val="0"/>
        <w:keepLines w:val="0"/>
        <w:pageBreakBefore w:val="0"/>
        <w:widowControl w:val="0"/>
        <w:kinsoku/>
        <w:overflowPunct/>
        <w:topLinePunct w:val="0"/>
        <w:bidi w:val="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p>
    <w:p>
      <w:pPr>
        <w:pStyle w:val="71"/>
        <w:keepNext w:val="0"/>
        <w:keepLines w:val="0"/>
        <w:pageBreakBefore w:val="0"/>
        <w:widowControl w:val="0"/>
        <w:kinsoku/>
        <w:overflowPunct/>
        <w:topLinePunct w:val="0"/>
        <w:bidi w:val="0"/>
        <w:spacing w:before="120"/>
        <w:rPr>
          <w:rFonts w:ascii="宋体"/>
          <w:color w:val="auto"/>
          <w:szCs w:val="21"/>
          <w:highlight w:val="none"/>
        </w:rPr>
      </w:pPr>
    </w:p>
    <w:p>
      <w:pPr>
        <w:pStyle w:val="71"/>
        <w:keepNext w:val="0"/>
        <w:keepLines w:val="0"/>
        <w:pageBreakBefore w:val="0"/>
        <w:widowControl w:val="0"/>
        <w:kinsoku/>
        <w:overflowPunct/>
        <w:topLinePunct w:val="0"/>
        <w:bidi w:val="0"/>
        <w:spacing w:before="120"/>
        <w:rPr>
          <w:rFonts w:ascii="宋体"/>
          <w:color w:val="auto"/>
          <w:szCs w:val="21"/>
          <w:highlight w:val="none"/>
        </w:rPr>
      </w:pPr>
    </w:p>
    <w:p>
      <w:pPr>
        <w:pStyle w:val="71"/>
        <w:keepNext w:val="0"/>
        <w:keepLines w:val="0"/>
        <w:pageBreakBefore w:val="0"/>
        <w:widowControl w:val="0"/>
        <w:kinsoku/>
        <w:overflowPunct/>
        <w:topLinePunct w:val="0"/>
        <w:bidi w:val="0"/>
        <w:spacing w:before="120"/>
        <w:rPr>
          <w:rFonts w:ascii="宋体"/>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八</w:t>
      </w:r>
      <w:r>
        <w:rPr>
          <w:rFonts w:hint="eastAsia" w:ascii="宋体" w:hAnsi="宋体"/>
          <w:b/>
          <w:color w:val="auto"/>
          <w:szCs w:val="21"/>
          <w:highlight w:val="none"/>
        </w:rPr>
        <w:t>、项目实施人员一览表格式</w:t>
      </w:r>
    </w:p>
    <w:p>
      <w:pPr>
        <w:keepNext w:val="0"/>
        <w:keepLines w:val="0"/>
        <w:pageBreakBefore w:val="0"/>
        <w:widowControl w:val="0"/>
        <w:kinsoku/>
        <w:overflowPunct/>
        <w:topLinePunct w:val="0"/>
        <w:bidi w:val="0"/>
        <w:adjustRightInd w:val="0"/>
        <w:snapToGrid w:val="0"/>
        <w:spacing w:line="440" w:lineRule="exact"/>
        <w:jc w:val="center"/>
        <w:textAlignment w:val="baseline"/>
        <w:rPr>
          <w:rFonts w:ascii="宋体" w:hAnsi="宋体"/>
          <w:b/>
          <w:color w:val="auto"/>
          <w:szCs w:val="21"/>
          <w:highlight w:val="none"/>
        </w:rPr>
      </w:pPr>
      <w:r>
        <w:rPr>
          <w:rFonts w:hint="eastAsia" w:ascii="宋体" w:hAnsi="宋体"/>
          <w:b/>
          <w:color w:val="auto"/>
          <w:szCs w:val="21"/>
          <w:highlight w:val="none"/>
        </w:rPr>
        <w:t>项目实施人员一览表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参加本单位工作时间</w:t>
            </w: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r>
              <w:rPr>
                <w:rFonts w:hint="eastAsia" w:ascii="宋体" w:hAnsi="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944"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561"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182"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2367"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c>
          <w:tcPr>
            <w:tcW w:w="1723" w:type="dxa"/>
            <w:vAlign w:val="center"/>
          </w:tcPr>
          <w:p>
            <w:pPr>
              <w:keepNext w:val="0"/>
              <w:keepLines w:val="0"/>
              <w:pageBreakBefore w:val="0"/>
              <w:widowControl w:val="0"/>
              <w:kinsoku/>
              <w:overflowPunct/>
              <w:topLinePunct w:val="0"/>
              <w:bidi w:val="0"/>
              <w:spacing w:line="360" w:lineRule="exact"/>
              <w:jc w:val="center"/>
              <w:rPr>
                <w:rFonts w:ascii="宋体" w:hAnsi="宋体"/>
                <w:color w:val="auto"/>
                <w:szCs w:val="21"/>
                <w:highlight w:val="none"/>
              </w:rPr>
            </w:pPr>
          </w:p>
        </w:tc>
      </w:tr>
    </w:tbl>
    <w:p>
      <w:pPr>
        <w:keepNext w:val="0"/>
        <w:keepLines w:val="0"/>
        <w:pageBreakBefore w:val="0"/>
        <w:widowControl w:val="0"/>
        <w:kinsoku/>
        <w:overflowPunct/>
        <w:topLinePunct w:val="0"/>
        <w:bidi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注：1、在填写时，如本表格不适合投标单位的实际情况，可根据本表格式自行划表填写。</w:t>
      </w:r>
    </w:p>
    <w:p>
      <w:pPr>
        <w:keepNext w:val="0"/>
        <w:keepLines w:val="0"/>
        <w:pageBreakBefore w:val="0"/>
        <w:widowControl w:val="0"/>
        <w:kinsoku/>
        <w:overflowPunct/>
        <w:topLinePunct w:val="0"/>
        <w:bidi w:val="0"/>
        <w:snapToGrid w:val="0"/>
        <w:spacing w:before="50" w:after="120" w:afterLines="50" w:line="360" w:lineRule="auto"/>
        <w:jc w:val="left"/>
        <w:rPr>
          <w:rFonts w:ascii="宋体" w:hAnsi="宋体"/>
          <w:color w:val="auto"/>
          <w:szCs w:val="21"/>
          <w:highlight w:val="none"/>
        </w:rPr>
      </w:pPr>
      <w:r>
        <w:rPr>
          <w:rFonts w:hint="eastAsia" w:ascii="宋体" w:hAnsi="宋体"/>
          <w:color w:val="auto"/>
          <w:szCs w:val="21"/>
          <w:highlight w:val="none"/>
        </w:rPr>
        <w:t xml:space="preserve">    2、相关人员证书及社保证明材料等附后。</w:t>
      </w:r>
    </w:p>
    <w:p>
      <w:pPr>
        <w:keepNext w:val="0"/>
        <w:keepLines w:val="0"/>
        <w:pageBreakBefore w:val="0"/>
        <w:widowControl w:val="0"/>
        <w:kinsoku/>
        <w:overflowPunct/>
        <w:topLinePunct w:val="0"/>
        <w:bidi w:val="0"/>
        <w:snapToGrid w:val="0"/>
        <w:spacing w:line="440" w:lineRule="exact"/>
        <w:rPr>
          <w:rFonts w:ascii="宋体"/>
          <w:color w:val="auto"/>
          <w:szCs w:val="21"/>
          <w:highlight w:val="none"/>
          <w:u w:val="single"/>
        </w:rPr>
      </w:pPr>
      <w:r>
        <w:rPr>
          <w:rFonts w:hint="eastAsia" w:ascii="宋体"/>
          <w:color w:val="auto"/>
          <w:szCs w:val="21"/>
          <w:highlight w:val="none"/>
        </w:rPr>
        <w:t>授权代表签名：</w:t>
      </w:r>
      <w:r>
        <w:rPr>
          <w:rFonts w:hint="eastAsia" w:ascii="宋体"/>
          <w:color w:val="auto"/>
          <w:szCs w:val="21"/>
          <w:highlight w:val="none"/>
          <w:u w:val="single"/>
        </w:rPr>
        <w:t xml:space="preserve">                  </w:t>
      </w:r>
    </w:p>
    <w:p>
      <w:pPr>
        <w:pStyle w:val="20"/>
        <w:keepNext w:val="0"/>
        <w:keepLines w:val="0"/>
        <w:pageBreakBefore w:val="0"/>
        <w:widowControl w:val="0"/>
        <w:kinsoku/>
        <w:overflowPunct/>
        <w:topLinePunct w:val="0"/>
        <w:bidi w:val="0"/>
        <w:adjustRightInd w:val="0"/>
        <w:snapToGrid w:val="0"/>
        <w:spacing w:after="0" w:line="440" w:lineRule="exact"/>
        <w:rPr>
          <w:rFonts w:ascii="宋体"/>
          <w:color w:val="auto"/>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line="440" w:lineRule="exact"/>
        <w:rPr>
          <w:rFonts w:ascii="宋体"/>
          <w:bCs/>
          <w:color w:val="auto"/>
          <w:szCs w:val="21"/>
          <w:highlight w:val="none"/>
        </w:rPr>
      </w:pPr>
      <w:r>
        <w:rPr>
          <w:rFonts w:hint="eastAsia" w:ascii="宋体"/>
          <w:color w:val="auto"/>
          <w:szCs w:val="21"/>
          <w:highlight w:val="none"/>
          <w:u w:val="single"/>
        </w:rPr>
        <w:t xml:space="preserve">       </w:t>
      </w:r>
      <w:r>
        <w:rPr>
          <w:rFonts w:hint="eastAsia" w:ascii="宋体"/>
          <w:bCs/>
          <w:color w:val="auto"/>
          <w:szCs w:val="21"/>
          <w:highlight w:val="none"/>
        </w:rPr>
        <w:t>年</w:t>
      </w:r>
      <w:r>
        <w:rPr>
          <w:rFonts w:hint="eastAsia" w:ascii="宋体"/>
          <w:color w:val="auto"/>
          <w:szCs w:val="21"/>
          <w:highlight w:val="none"/>
          <w:u w:val="single"/>
        </w:rPr>
        <w:t xml:space="preserve">    </w:t>
      </w:r>
      <w:r>
        <w:rPr>
          <w:rFonts w:hint="eastAsia" w:ascii="宋体"/>
          <w:bCs/>
          <w:color w:val="auto"/>
          <w:szCs w:val="21"/>
          <w:highlight w:val="none"/>
        </w:rPr>
        <w:t>月</w:t>
      </w:r>
      <w:r>
        <w:rPr>
          <w:rFonts w:hint="eastAsia" w:ascii="宋体"/>
          <w:color w:val="auto"/>
          <w:szCs w:val="21"/>
          <w:highlight w:val="none"/>
          <w:u w:val="single"/>
        </w:rPr>
        <w:t xml:space="preserve">    </w:t>
      </w:r>
      <w:r>
        <w:rPr>
          <w:rFonts w:hint="eastAsia" w:ascii="宋体"/>
          <w:bCs/>
          <w:color w:val="auto"/>
          <w:szCs w:val="21"/>
          <w:highlight w:val="none"/>
        </w:rPr>
        <w:t>日</w:t>
      </w:r>
    </w:p>
    <w:p>
      <w:pPr>
        <w:pStyle w:val="20"/>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pStyle w:val="20"/>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十九</w:t>
      </w:r>
      <w:r>
        <w:rPr>
          <w:rFonts w:hint="eastAsia" w:ascii="宋体"/>
          <w:b/>
          <w:color w:val="auto"/>
          <w:szCs w:val="21"/>
          <w:highlight w:val="none"/>
        </w:rPr>
        <w:t>、报价文件的外包装封面格式：（不可缺）</w:t>
      </w:r>
    </w:p>
    <w:p>
      <w:pPr>
        <w:keepNext w:val="0"/>
        <w:keepLines w:val="0"/>
        <w:pageBreakBefore w:val="0"/>
        <w:widowControl w:val="0"/>
        <w:kinsoku/>
        <w:overflowPunct/>
        <w:topLinePunct w:val="0"/>
        <w:bidi w:val="0"/>
        <w:adjustRightInd w:val="0"/>
        <w:snapToGrid w:val="0"/>
        <w:spacing w:line="500" w:lineRule="exact"/>
        <w:jc w:val="center"/>
        <w:rPr>
          <w:rFonts w:ascii="宋体"/>
          <w:bCs/>
          <w:color w:val="auto"/>
          <w:szCs w:val="21"/>
          <w:highlight w:val="none"/>
        </w:rPr>
      </w:pPr>
    </w:p>
    <w:p>
      <w:pPr>
        <w:keepNext w:val="0"/>
        <w:keepLines w:val="0"/>
        <w:pageBreakBefore w:val="0"/>
        <w:widowControl w:val="0"/>
        <w:kinsoku/>
        <w:overflowPunct/>
        <w:topLinePunct w:val="0"/>
        <w:bidi w:val="0"/>
        <w:adjustRightInd w:val="0"/>
        <w:snapToGrid w:val="0"/>
        <w:jc w:val="center"/>
        <w:rPr>
          <w:rStyle w:val="65"/>
          <w:rFonts w:ascii="宋体"/>
          <w:color w:val="auto"/>
          <w:sz w:val="33"/>
          <w:szCs w:val="21"/>
          <w:highlight w:val="none"/>
        </w:rPr>
      </w:pPr>
    </w:p>
    <w:p>
      <w:pPr>
        <w:keepNext w:val="0"/>
        <w:keepLines w:val="0"/>
        <w:pageBreakBefore w:val="0"/>
        <w:widowControl w:val="0"/>
        <w:kinsoku/>
        <w:overflowPunct/>
        <w:topLinePunct w:val="0"/>
        <w:bidi w:val="0"/>
        <w:adjustRightInd w:val="0"/>
        <w:snapToGrid w:val="0"/>
        <w:jc w:val="center"/>
        <w:rPr>
          <w:rStyle w:val="65"/>
          <w:rFonts w:ascii="宋体"/>
          <w:color w:val="auto"/>
          <w:sz w:val="33"/>
          <w:szCs w:val="21"/>
          <w:highlight w:val="none"/>
        </w:rPr>
      </w:pPr>
    </w:p>
    <w:p>
      <w:pPr>
        <w:keepNext w:val="0"/>
        <w:keepLines w:val="0"/>
        <w:pageBreakBefore w:val="0"/>
        <w:widowControl w:val="0"/>
        <w:kinsoku/>
        <w:overflowPunct/>
        <w:topLinePunct w:val="0"/>
        <w:bidi w:val="0"/>
        <w:adjustRightInd w:val="0"/>
        <w:snapToGrid w:val="0"/>
        <w:spacing w:after="120" w:afterLines="50"/>
        <w:jc w:val="center"/>
        <w:rPr>
          <w:rFonts w:ascii="宋体"/>
          <w:color w:val="auto"/>
          <w:sz w:val="33"/>
          <w:szCs w:val="21"/>
          <w:highlight w:val="none"/>
        </w:rPr>
      </w:pPr>
      <w:r>
        <w:rPr>
          <w:rFonts w:hint="eastAsia" w:ascii="宋体" w:cs="宋体"/>
          <w:b/>
          <w:bCs/>
          <w:color w:val="auto"/>
          <w:sz w:val="52"/>
          <w:szCs w:val="52"/>
          <w:highlight w:val="none"/>
          <w:lang w:eastAsia="zh-CN"/>
        </w:rPr>
        <w:t>浪漫山川旅游度假区基础设施一期建设工程之浪漫山川全域智慧旅游系统（标识标牌、智慧驿站）设计建设项目</w:t>
      </w:r>
    </w:p>
    <w:p>
      <w:pPr>
        <w:pStyle w:val="23"/>
        <w:keepNext w:val="0"/>
        <w:keepLines w:val="0"/>
        <w:pageBreakBefore w:val="0"/>
        <w:widowControl w:val="0"/>
        <w:kinsoku/>
        <w:overflowPunct/>
        <w:topLinePunct w:val="0"/>
        <w:bidi w:val="0"/>
        <w:rPr>
          <w:color w:val="auto"/>
          <w:sz w:val="33"/>
          <w:szCs w:val="21"/>
          <w:highlight w:val="none"/>
        </w:rPr>
      </w:pPr>
    </w:p>
    <w:p>
      <w:pPr>
        <w:pStyle w:val="23"/>
        <w:keepNext w:val="0"/>
        <w:keepLines w:val="0"/>
        <w:pageBreakBefore w:val="0"/>
        <w:widowControl w:val="0"/>
        <w:kinsoku/>
        <w:overflowPunct/>
        <w:topLinePunct w:val="0"/>
        <w:bidi w:val="0"/>
        <w:rPr>
          <w:color w:val="auto"/>
          <w:sz w:val="33"/>
          <w:szCs w:val="21"/>
          <w:highlight w:val="none"/>
        </w:rPr>
      </w:pPr>
    </w:p>
    <w:p>
      <w:pPr>
        <w:pStyle w:val="23"/>
        <w:keepNext w:val="0"/>
        <w:keepLines w:val="0"/>
        <w:pageBreakBefore w:val="0"/>
        <w:widowControl w:val="0"/>
        <w:kinsoku/>
        <w:overflowPunct/>
        <w:topLinePunct w:val="0"/>
        <w:bidi w:val="0"/>
        <w:rPr>
          <w:color w:val="auto"/>
          <w:sz w:val="33"/>
          <w:szCs w:val="21"/>
          <w:highlight w:val="none"/>
        </w:rPr>
      </w:pPr>
    </w:p>
    <w:p>
      <w:pPr>
        <w:keepNext w:val="0"/>
        <w:keepLines w:val="0"/>
        <w:pageBreakBefore w:val="0"/>
        <w:widowControl w:val="0"/>
        <w:kinsoku/>
        <w:overflowPunct/>
        <w:topLinePunct w:val="0"/>
        <w:bidi w:val="0"/>
        <w:adjustRightInd w:val="0"/>
        <w:snapToGrid w:val="0"/>
        <w:spacing w:after="120" w:afterLines="50"/>
        <w:jc w:val="center"/>
        <w:rPr>
          <w:rFonts w:ascii="宋体"/>
          <w:color w:val="auto"/>
          <w:sz w:val="52"/>
          <w:szCs w:val="52"/>
          <w:highlight w:val="none"/>
        </w:rPr>
      </w:pPr>
      <w:r>
        <w:rPr>
          <w:rFonts w:hint="eastAsia" w:ascii="宋体"/>
          <w:color w:val="auto"/>
          <w:sz w:val="52"/>
          <w:szCs w:val="52"/>
          <w:highlight w:val="none"/>
        </w:rPr>
        <w:t>报价文件</w:t>
      </w: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r>
        <w:rPr>
          <w:rFonts w:hint="eastAsia" w:ascii="宋体"/>
          <w:color w:val="auto"/>
          <w:szCs w:val="21"/>
          <w:highlight w:val="none"/>
        </w:rPr>
        <w:t>在</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r>
        <w:rPr>
          <w:rFonts w:hint="eastAsia" w:ascii="宋体"/>
          <w:color w:val="auto"/>
          <w:szCs w:val="21"/>
          <w:highlight w:val="none"/>
          <w:u w:val="single"/>
        </w:rPr>
        <w:t xml:space="preserve">    </w:t>
      </w:r>
      <w:r>
        <w:rPr>
          <w:rFonts w:hint="eastAsia" w:ascii="宋体"/>
          <w:color w:val="auto"/>
          <w:szCs w:val="21"/>
          <w:highlight w:val="none"/>
        </w:rPr>
        <w:t>时</w:t>
      </w:r>
      <w:r>
        <w:rPr>
          <w:rFonts w:hint="eastAsia" w:ascii="宋体"/>
          <w:color w:val="auto"/>
          <w:szCs w:val="21"/>
          <w:highlight w:val="none"/>
          <w:u w:val="single"/>
        </w:rPr>
        <w:t xml:space="preserve">    </w:t>
      </w:r>
      <w:r>
        <w:rPr>
          <w:rFonts w:hint="eastAsia" w:ascii="宋体"/>
          <w:color w:val="auto"/>
          <w:szCs w:val="21"/>
          <w:highlight w:val="none"/>
        </w:rPr>
        <w:t>分（开标时间）之前不得启封</w:t>
      </w: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项目名称：</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项目编号：</w:t>
      </w:r>
      <w:r>
        <w:rPr>
          <w:rFonts w:hint="eastAsia" w:ascii="宋体"/>
          <w:bCs/>
          <w:color w:val="auto"/>
          <w:szCs w:val="21"/>
          <w:highlight w:val="none"/>
          <w:u w:val="single"/>
        </w:rPr>
        <w:t xml:space="preserve">                                        </w:t>
      </w:r>
      <w:r>
        <w:rPr>
          <w:rFonts w:hint="eastAsia" w:ascii="宋体"/>
          <w:bCs/>
          <w:color w:val="auto"/>
          <w:szCs w:val="21"/>
          <w:highlight w:val="non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投标人地址：</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授权代表签字或盖章：</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1016" w:firstLineChars="484"/>
        <w:rPr>
          <w:rFonts w:ascii="宋体"/>
          <w:bCs/>
          <w:color w:val="auto"/>
          <w:szCs w:val="21"/>
          <w:highlight w:val="none"/>
        </w:rPr>
      </w:pPr>
    </w:p>
    <w:p>
      <w:pPr>
        <w:pStyle w:val="23"/>
        <w:keepNext w:val="0"/>
        <w:keepLines w:val="0"/>
        <w:pageBreakBefore w:val="0"/>
        <w:widowControl w:val="0"/>
        <w:kinsoku/>
        <w:overflowPunct/>
        <w:topLinePunct w:val="0"/>
        <w:bidi w:val="0"/>
        <w:rPr>
          <w:color w:val="auto"/>
          <w:highlight w:val="none"/>
        </w:rPr>
      </w:pPr>
    </w:p>
    <w:p>
      <w:pPr>
        <w:pStyle w:val="23"/>
        <w:keepNext w:val="0"/>
        <w:keepLines w:val="0"/>
        <w:pageBreakBefore w:val="0"/>
        <w:widowControl w:val="0"/>
        <w:kinsoku/>
        <w:overflowPunct/>
        <w:topLinePunct w:val="0"/>
        <w:bidi w:val="0"/>
        <w:rPr>
          <w:color w:val="auto"/>
          <w:highlight w:val="none"/>
        </w:rPr>
      </w:pPr>
    </w:p>
    <w:p>
      <w:pPr>
        <w:pStyle w:val="23"/>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
          <w:color w:val="auto"/>
          <w:szCs w:val="21"/>
          <w:highlight w:val="none"/>
          <w:lang w:eastAsia="zh-CN"/>
        </w:rPr>
        <w:t>二十</w:t>
      </w:r>
      <w:r>
        <w:rPr>
          <w:rFonts w:hint="eastAsia" w:ascii="宋体"/>
          <w:b/>
          <w:color w:val="auto"/>
          <w:szCs w:val="21"/>
          <w:highlight w:val="none"/>
        </w:rPr>
        <w:t xml:space="preserve">、报价文件封面格式： </w:t>
      </w:r>
    </w:p>
    <w:p>
      <w:pPr>
        <w:keepNext w:val="0"/>
        <w:keepLines w:val="0"/>
        <w:pageBreakBefore w:val="0"/>
        <w:widowControl w:val="0"/>
        <w:kinsoku/>
        <w:overflowPunct/>
        <w:topLinePunct w:val="0"/>
        <w:bidi w:val="0"/>
        <w:adjustRightInd w:val="0"/>
        <w:snapToGrid w:val="0"/>
        <w:spacing w:line="500" w:lineRule="exact"/>
        <w:jc w:val="right"/>
        <w:rPr>
          <w:rFonts w:ascii="宋体"/>
          <w:b/>
          <w:bCs/>
          <w:color w:val="auto"/>
          <w:szCs w:val="21"/>
          <w:highlight w:val="none"/>
        </w:rPr>
      </w:pPr>
    </w:p>
    <w:p>
      <w:pPr>
        <w:keepNext w:val="0"/>
        <w:keepLines w:val="0"/>
        <w:pageBreakBefore w:val="0"/>
        <w:widowControl w:val="0"/>
        <w:kinsoku/>
        <w:overflowPunct/>
        <w:topLinePunct w:val="0"/>
        <w:bidi w:val="0"/>
        <w:adjustRightInd w:val="0"/>
        <w:snapToGrid w:val="0"/>
        <w:jc w:val="center"/>
        <w:rPr>
          <w:rStyle w:val="65"/>
          <w:rFonts w:ascii="宋体"/>
          <w:b/>
          <w:color w:val="auto"/>
          <w:szCs w:val="21"/>
          <w:highlight w:val="none"/>
        </w:rPr>
      </w:pPr>
    </w:p>
    <w:p>
      <w:pPr>
        <w:keepNext w:val="0"/>
        <w:keepLines w:val="0"/>
        <w:pageBreakBefore w:val="0"/>
        <w:widowControl w:val="0"/>
        <w:kinsoku/>
        <w:overflowPunct/>
        <w:topLinePunct w:val="0"/>
        <w:bidi w:val="0"/>
        <w:adjustRightInd w:val="0"/>
        <w:snapToGrid w:val="0"/>
        <w:jc w:val="center"/>
        <w:rPr>
          <w:rStyle w:val="65"/>
          <w:rFonts w:ascii="宋体"/>
          <w:color w:val="auto"/>
          <w:sz w:val="33"/>
          <w:szCs w:val="21"/>
          <w:highlight w:val="none"/>
        </w:rPr>
      </w:pPr>
    </w:p>
    <w:p>
      <w:pPr>
        <w:keepNext w:val="0"/>
        <w:keepLines w:val="0"/>
        <w:pageBreakBefore w:val="0"/>
        <w:widowControl w:val="0"/>
        <w:kinsoku/>
        <w:overflowPunct/>
        <w:topLinePunct w:val="0"/>
        <w:bidi w:val="0"/>
        <w:adjustRightInd w:val="0"/>
        <w:snapToGrid w:val="0"/>
        <w:spacing w:line="240" w:lineRule="auto"/>
        <w:jc w:val="center"/>
        <w:rPr>
          <w:rStyle w:val="65"/>
          <w:rFonts w:ascii="宋体"/>
          <w:color w:val="auto"/>
          <w:sz w:val="33"/>
          <w:szCs w:val="21"/>
          <w:highlight w:val="none"/>
        </w:rPr>
      </w:pPr>
    </w:p>
    <w:p>
      <w:pPr>
        <w:pStyle w:val="23"/>
        <w:keepNext w:val="0"/>
        <w:keepLines w:val="0"/>
        <w:pageBreakBefore w:val="0"/>
        <w:widowControl w:val="0"/>
        <w:kinsoku/>
        <w:overflowPunct/>
        <w:topLinePunct w:val="0"/>
        <w:bidi w:val="0"/>
        <w:spacing w:line="240" w:lineRule="auto"/>
        <w:rPr>
          <w:color w:val="auto"/>
          <w:sz w:val="52"/>
          <w:szCs w:val="52"/>
          <w:highlight w:val="none"/>
        </w:rPr>
      </w:pPr>
      <w:r>
        <w:rPr>
          <w:rFonts w:hint="eastAsia" w:cs="宋体"/>
          <w:b/>
          <w:bCs/>
          <w:color w:val="auto"/>
          <w:sz w:val="52"/>
          <w:szCs w:val="52"/>
          <w:highlight w:val="none"/>
          <w:lang w:eastAsia="zh-CN"/>
        </w:rPr>
        <w:t>浪漫山川旅游度假区基础设施一期建设工程之浪漫山川全域智慧旅游系统（标识标牌、智慧驿站）设计建设项目</w:t>
      </w:r>
    </w:p>
    <w:p>
      <w:pPr>
        <w:pStyle w:val="23"/>
        <w:keepNext w:val="0"/>
        <w:keepLines w:val="0"/>
        <w:pageBreakBefore w:val="0"/>
        <w:widowControl w:val="0"/>
        <w:kinsoku/>
        <w:overflowPunct/>
        <w:topLinePunct w:val="0"/>
        <w:bidi w:val="0"/>
        <w:rPr>
          <w:color w:val="auto"/>
          <w:sz w:val="52"/>
          <w:szCs w:val="52"/>
          <w:highlight w:val="none"/>
        </w:rPr>
      </w:pPr>
    </w:p>
    <w:p>
      <w:pPr>
        <w:pStyle w:val="109"/>
        <w:keepNext w:val="0"/>
        <w:keepLines w:val="0"/>
        <w:pageBreakBefore w:val="0"/>
        <w:widowControl w:val="0"/>
        <w:kinsoku/>
        <w:overflowPunct/>
        <w:topLinePunct w:val="0"/>
        <w:bidi w:val="0"/>
        <w:rPr>
          <w:rFonts w:ascii="宋体"/>
          <w:color w:val="auto"/>
          <w:sz w:val="33"/>
          <w:szCs w:val="21"/>
          <w:highlight w:val="none"/>
        </w:rPr>
      </w:pPr>
    </w:p>
    <w:p>
      <w:pPr>
        <w:pStyle w:val="20"/>
        <w:keepNext w:val="0"/>
        <w:keepLines w:val="0"/>
        <w:pageBreakBefore w:val="0"/>
        <w:widowControl w:val="0"/>
        <w:kinsoku/>
        <w:overflowPunct/>
        <w:topLinePunct w:val="0"/>
        <w:bidi w:val="0"/>
        <w:rPr>
          <w:color w:val="auto"/>
          <w:highlight w:val="none"/>
        </w:rPr>
      </w:pPr>
    </w:p>
    <w:p>
      <w:pPr>
        <w:keepNext w:val="0"/>
        <w:keepLines w:val="0"/>
        <w:pageBreakBefore w:val="0"/>
        <w:widowControl w:val="0"/>
        <w:kinsoku/>
        <w:overflowPunct/>
        <w:topLinePunct w:val="0"/>
        <w:bidi w:val="0"/>
        <w:adjustRightInd w:val="0"/>
        <w:snapToGrid w:val="0"/>
        <w:spacing w:line="360" w:lineRule="auto"/>
        <w:jc w:val="center"/>
        <w:rPr>
          <w:rFonts w:ascii="宋体"/>
          <w:color w:val="auto"/>
          <w:sz w:val="52"/>
          <w:szCs w:val="52"/>
          <w:highlight w:val="none"/>
        </w:rPr>
      </w:pPr>
      <w:r>
        <w:rPr>
          <w:rFonts w:hint="eastAsia" w:ascii="宋体"/>
          <w:color w:val="auto"/>
          <w:sz w:val="52"/>
          <w:szCs w:val="52"/>
          <w:highlight w:val="none"/>
        </w:rPr>
        <w:t>报价文件</w:t>
      </w: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line="500" w:lineRule="exact"/>
        <w:ind w:firstLine="955" w:firstLineChars="455"/>
        <w:rPr>
          <w:rFonts w:ascii="宋体"/>
          <w:bCs/>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项目名称：</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项目编号：</w:t>
      </w:r>
      <w:r>
        <w:rPr>
          <w:rFonts w:hint="eastAsia" w:ascii="宋体"/>
          <w:bCs/>
          <w:color w:val="auto"/>
          <w:szCs w:val="21"/>
          <w:highlight w:val="none"/>
          <w:u w:val="single"/>
        </w:rPr>
        <w:t xml:space="preserve">                                        </w:t>
      </w:r>
      <w:r>
        <w:rPr>
          <w:rFonts w:hint="eastAsia" w:ascii="宋体"/>
          <w:bCs/>
          <w:color w:val="auto"/>
          <w:szCs w:val="21"/>
          <w:highlight w:val="non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color w:val="auto"/>
          <w:szCs w:val="21"/>
          <w:highlight w:val="none"/>
          <w:u w:val="single"/>
        </w:rPr>
      </w:pPr>
      <w:r>
        <w:rPr>
          <w:rFonts w:hint="eastAsia" w:ascii="宋体"/>
          <w:color w:val="auto"/>
          <w:szCs w:val="21"/>
          <w:highlight w:val="none"/>
        </w:rPr>
        <w:t>投标人地址：</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u w:val="single"/>
        </w:rPr>
      </w:pPr>
      <w:r>
        <w:rPr>
          <w:rFonts w:hint="eastAsia" w:ascii="宋体"/>
          <w:bCs/>
          <w:color w:val="auto"/>
          <w:szCs w:val="21"/>
          <w:highlight w:val="none"/>
        </w:rPr>
        <w:t>授权代表签字或盖章：</w:t>
      </w:r>
      <w:r>
        <w:rPr>
          <w:rFonts w:hint="eastAsia" w:ascii="宋体"/>
          <w:bCs/>
          <w:color w:val="auto"/>
          <w:szCs w:val="21"/>
          <w:highlight w:val="none"/>
          <w:u w:val="single"/>
        </w:rPr>
        <w:t xml:space="preserve">                              </w:t>
      </w:r>
    </w:p>
    <w:p>
      <w:pPr>
        <w:keepNext w:val="0"/>
        <w:keepLines w:val="0"/>
        <w:pageBreakBefore w:val="0"/>
        <w:widowControl w:val="0"/>
        <w:kinsoku/>
        <w:overflowPunct/>
        <w:topLinePunct w:val="0"/>
        <w:bidi w:val="0"/>
        <w:adjustRightInd w:val="0"/>
        <w:snapToGrid w:val="0"/>
        <w:spacing w:before="120" w:beforeLines="50" w:after="120" w:afterLines="50" w:line="500" w:lineRule="exact"/>
        <w:ind w:firstLine="840" w:firstLineChars="400"/>
        <w:rPr>
          <w:rFonts w:ascii="宋体"/>
          <w:bCs/>
          <w:color w:val="auto"/>
          <w:szCs w:val="21"/>
          <w:highlight w:val="none"/>
        </w:rPr>
      </w:pPr>
      <w:r>
        <w:rPr>
          <w:rFonts w:hint="eastAsia" w:ascii="宋体"/>
          <w:bCs/>
          <w:color w:val="auto"/>
          <w:szCs w:val="21"/>
          <w:highlight w:val="none"/>
          <w:u w:val="single"/>
        </w:rPr>
        <w:t xml:space="preserve">       </w:t>
      </w:r>
      <w:r>
        <w:rPr>
          <w:rFonts w:hint="eastAsia" w:ascii="宋体"/>
          <w:bCs/>
          <w:color w:val="auto"/>
          <w:szCs w:val="21"/>
          <w:highlight w:val="none"/>
        </w:rPr>
        <w:t>年</w:t>
      </w:r>
      <w:r>
        <w:rPr>
          <w:rFonts w:hint="eastAsia" w:ascii="宋体"/>
          <w:bCs/>
          <w:color w:val="auto"/>
          <w:szCs w:val="21"/>
          <w:highlight w:val="none"/>
          <w:u w:val="single"/>
        </w:rPr>
        <w:t xml:space="preserve">    </w:t>
      </w:r>
      <w:r>
        <w:rPr>
          <w:rFonts w:hint="eastAsia" w:ascii="宋体"/>
          <w:bCs/>
          <w:color w:val="auto"/>
          <w:szCs w:val="21"/>
          <w:highlight w:val="none"/>
        </w:rPr>
        <w:t>月</w:t>
      </w:r>
      <w:r>
        <w:rPr>
          <w:rFonts w:hint="eastAsia" w:ascii="宋体"/>
          <w:bCs/>
          <w:color w:val="auto"/>
          <w:szCs w:val="21"/>
          <w:highlight w:val="none"/>
          <w:u w:val="single"/>
        </w:rPr>
        <w:t xml:space="preserve">    </w:t>
      </w:r>
      <w:r>
        <w:rPr>
          <w:rFonts w:hint="eastAsia" w:ascii="宋体"/>
          <w:bCs/>
          <w:color w:val="auto"/>
          <w:szCs w:val="21"/>
          <w:highlight w:val="none"/>
        </w:rPr>
        <w:t>日</w:t>
      </w:r>
    </w:p>
    <w:p>
      <w:pPr>
        <w:keepNext w:val="0"/>
        <w:keepLines w:val="0"/>
        <w:pageBreakBefore w:val="0"/>
        <w:widowControl w:val="0"/>
        <w:kinsoku/>
        <w:overflowPunct/>
        <w:topLinePunct w:val="0"/>
        <w:bidi w:val="0"/>
        <w:adjustRightInd w:val="0"/>
        <w:snapToGrid w:val="0"/>
        <w:spacing w:before="120" w:beforeLines="50" w:after="120" w:afterLines="50" w:line="500" w:lineRule="exact"/>
        <w:rPr>
          <w:rFonts w:ascii="宋体"/>
          <w:bCs/>
          <w:color w:val="auto"/>
          <w:szCs w:val="21"/>
          <w:highlight w:val="none"/>
        </w:rPr>
      </w:pPr>
    </w:p>
    <w:p>
      <w:pPr>
        <w:pStyle w:val="71"/>
        <w:keepNext w:val="0"/>
        <w:keepLines w:val="0"/>
        <w:pageBreakBefore w:val="0"/>
        <w:widowControl w:val="0"/>
        <w:kinsoku/>
        <w:overflowPunct/>
        <w:topLinePunct w:val="0"/>
        <w:bidi w:val="0"/>
        <w:spacing w:before="120"/>
        <w:rPr>
          <w:color w:val="auto"/>
          <w:highlight w:val="none"/>
        </w:rPr>
      </w:pPr>
    </w:p>
    <w:p>
      <w:pPr>
        <w:pStyle w:val="23"/>
        <w:keepNext w:val="0"/>
        <w:keepLines w:val="0"/>
        <w:pageBreakBefore w:val="0"/>
        <w:widowControl w:val="0"/>
        <w:kinsoku/>
        <w:overflowPunct/>
        <w:topLinePunct w:val="0"/>
        <w:bidi w:val="0"/>
        <w:rPr>
          <w:bCs/>
          <w:color w:val="auto"/>
          <w:szCs w:val="21"/>
          <w:highlight w:val="none"/>
        </w:rPr>
      </w:pPr>
    </w:p>
    <w:p>
      <w:pPr>
        <w:pStyle w:val="23"/>
        <w:keepNext w:val="0"/>
        <w:keepLines w:val="0"/>
        <w:pageBreakBefore w:val="0"/>
        <w:widowControl w:val="0"/>
        <w:kinsoku/>
        <w:overflowPunct/>
        <w:topLinePunct w:val="0"/>
        <w:bidi w:val="0"/>
        <w:rPr>
          <w:bCs/>
          <w:color w:val="auto"/>
          <w:szCs w:val="21"/>
          <w:highlight w:val="none"/>
        </w:rPr>
      </w:pPr>
    </w:p>
    <w:p>
      <w:pPr>
        <w:pStyle w:val="23"/>
        <w:keepNext w:val="0"/>
        <w:keepLines w:val="0"/>
        <w:pageBreakBefore w:val="0"/>
        <w:widowControl w:val="0"/>
        <w:kinsoku/>
        <w:overflowPunct/>
        <w:topLinePunct w:val="0"/>
        <w:bidi w:val="0"/>
        <w:rPr>
          <w:bCs/>
          <w:color w:val="auto"/>
          <w:szCs w:val="21"/>
          <w:highlight w:val="none"/>
        </w:rPr>
      </w:pPr>
    </w:p>
    <w:p>
      <w:pPr>
        <w:pStyle w:val="23"/>
        <w:keepNext w:val="0"/>
        <w:keepLines w:val="0"/>
        <w:pageBreakBefore w:val="0"/>
        <w:widowControl w:val="0"/>
        <w:kinsoku/>
        <w:overflowPunct/>
        <w:topLinePunct w:val="0"/>
        <w:bidi w:val="0"/>
        <w:rPr>
          <w:bCs/>
          <w:color w:val="auto"/>
          <w:szCs w:val="21"/>
          <w:highlight w:val="none"/>
        </w:rPr>
      </w:pPr>
    </w:p>
    <w:p>
      <w:pPr>
        <w:pStyle w:val="23"/>
        <w:keepNext w:val="0"/>
        <w:keepLines w:val="0"/>
        <w:pageBreakBefore w:val="0"/>
        <w:widowControl w:val="0"/>
        <w:kinsoku/>
        <w:overflowPunct/>
        <w:topLinePunct w:val="0"/>
        <w:bidi w:val="0"/>
        <w:rPr>
          <w:bCs/>
          <w:color w:val="auto"/>
          <w:szCs w:val="21"/>
          <w:highlight w:val="none"/>
        </w:rPr>
      </w:pPr>
    </w:p>
    <w:p>
      <w:pPr>
        <w:pStyle w:val="23"/>
        <w:keepNext w:val="0"/>
        <w:keepLines w:val="0"/>
        <w:pageBreakBefore w:val="0"/>
        <w:widowControl w:val="0"/>
        <w:kinsoku/>
        <w:overflowPunct/>
        <w:topLinePunct w:val="0"/>
        <w:bidi w:val="0"/>
        <w:rPr>
          <w:bCs/>
          <w:color w:val="auto"/>
          <w:szCs w:val="21"/>
          <w:highlight w:val="none"/>
        </w:rPr>
      </w:pPr>
    </w:p>
    <w:p>
      <w:pPr>
        <w:pStyle w:val="23"/>
        <w:keepNext w:val="0"/>
        <w:keepLines w:val="0"/>
        <w:pageBreakBefore w:val="0"/>
        <w:widowControl w:val="0"/>
        <w:kinsoku/>
        <w:overflowPunct/>
        <w:topLinePunct w:val="0"/>
        <w:bidi w:val="0"/>
        <w:rPr>
          <w:bCs/>
          <w:color w:val="auto"/>
          <w:szCs w:val="21"/>
          <w:highlight w:val="none"/>
        </w:rPr>
      </w:pPr>
    </w:p>
    <w:p>
      <w:pPr>
        <w:pStyle w:val="23"/>
        <w:keepNext w:val="0"/>
        <w:keepLines w:val="0"/>
        <w:pageBreakBefore w:val="0"/>
        <w:widowControl w:val="0"/>
        <w:kinsoku/>
        <w:overflowPunct/>
        <w:topLinePunct w:val="0"/>
        <w:bidi w:val="0"/>
        <w:rPr>
          <w:bCs/>
          <w:color w:val="auto"/>
          <w:szCs w:val="21"/>
          <w:highlight w:val="none"/>
        </w:rPr>
      </w:pP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Cs/>
          <w:color w:val="auto"/>
          <w:szCs w:val="21"/>
          <w:highlight w:val="none"/>
        </w:rPr>
      </w:pPr>
      <w:r>
        <w:rPr>
          <w:rFonts w:hint="eastAsia" w:ascii="宋体"/>
          <w:b/>
          <w:color w:val="auto"/>
          <w:szCs w:val="21"/>
          <w:highlight w:val="none"/>
        </w:rPr>
        <w:t>二十</w:t>
      </w:r>
      <w:r>
        <w:rPr>
          <w:rFonts w:hint="eastAsia" w:ascii="宋体"/>
          <w:b/>
          <w:color w:val="auto"/>
          <w:szCs w:val="21"/>
          <w:highlight w:val="none"/>
          <w:lang w:eastAsia="zh-CN"/>
        </w:rPr>
        <w:t>一</w:t>
      </w:r>
      <w:r>
        <w:rPr>
          <w:rFonts w:hint="eastAsia" w:ascii="宋体"/>
          <w:b/>
          <w:color w:val="auto"/>
          <w:szCs w:val="21"/>
          <w:highlight w:val="none"/>
        </w:rPr>
        <w:t>、报价文件目录</w:t>
      </w:r>
    </w:p>
    <w:p>
      <w:pPr>
        <w:keepNext w:val="0"/>
        <w:keepLines w:val="0"/>
        <w:pageBreakBefore w:val="0"/>
        <w:widowControl w:val="0"/>
        <w:numPr>
          <w:ilvl w:val="0"/>
          <w:numId w:val="3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开标一览表（格式见附件）；</w:t>
      </w:r>
    </w:p>
    <w:p>
      <w:pPr>
        <w:keepNext w:val="0"/>
        <w:keepLines w:val="0"/>
        <w:pageBreakBefore w:val="0"/>
        <w:widowControl w:val="0"/>
        <w:numPr>
          <w:ilvl w:val="0"/>
          <w:numId w:val="30"/>
        </w:numPr>
        <w:kinsoku/>
        <w:overflowPunct/>
        <w:topLinePunct w:val="0"/>
        <w:bidi w:val="0"/>
        <w:adjustRightInd w:val="0"/>
        <w:snapToGrid w:val="0"/>
        <w:spacing w:line="400" w:lineRule="exact"/>
        <w:jc w:val="left"/>
        <w:rPr>
          <w:rFonts w:ascii="宋体" w:hAnsi="宋体" w:cs="宋体"/>
          <w:color w:val="auto"/>
          <w:szCs w:val="21"/>
          <w:highlight w:val="none"/>
        </w:rPr>
      </w:pPr>
      <w:r>
        <w:rPr>
          <w:rFonts w:hint="eastAsia" w:ascii="宋体"/>
          <w:color w:val="auto"/>
          <w:szCs w:val="21"/>
          <w:highlight w:val="none"/>
        </w:rPr>
        <w:t>投标人</w:t>
      </w:r>
      <w:r>
        <w:rPr>
          <w:rFonts w:hint="eastAsia" w:ascii="宋体" w:hAnsi="宋体" w:cs="宋体"/>
          <w:color w:val="auto"/>
          <w:szCs w:val="21"/>
          <w:highlight w:val="none"/>
        </w:rPr>
        <w:t>针对报价需要说明的其他文件和说明（格式自拟）。</w:t>
      </w:r>
    </w:p>
    <w:p>
      <w:pPr>
        <w:keepNext w:val="0"/>
        <w:keepLines w:val="0"/>
        <w:pageBreakBefore w:val="0"/>
        <w:widowControl w:val="0"/>
        <w:kinsoku/>
        <w:overflowPunct/>
        <w:topLinePunct w:val="0"/>
        <w:bidi w:val="0"/>
        <w:adjustRightInd w:val="0"/>
        <w:snapToGrid w:val="0"/>
        <w:spacing w:before="120" w:beforeLines="50" w:after="120" w:afterLines="50" w:line="500" w:lineRule="exact"/>
        <w:outlineLvl w:val="2"/>
        <w:rPr>
          <w:rFonts w:ascii="宋体"/>
          <w:b/>
          <w:color w:val="auto"/>
          <w:szCs w:val="21"/>
          <w:highlight w:val="none"/>
        </w:rPr>
      </w:pPr>
      <w:r>
        <w:rPr>
          <w:rFonts w:hint="eastAsia" w:ascii="宋体"/>
          <w:bCs/>
          <w:color w:val="auto"/>
          <w:szCs w:val="21"/>
          <w:highlight w:val="none"/>
        </w:rPr>
        <w:br w:type="page"/>
      </w:r>
      <w:bookmarkStart w:id="310" w:name="_Toc293916985"/>
      <w:r>
        <w:rPr>
          <w:rFonts w:hint="eastAsia" w:ascii="宋体"/>
          <w:b/>
          <w:bCs/>
          <w:color w:val="auto"/>
          <w:szCs w:val="21"/>
          <w:highlight w:val="none"/>
        </w:rPr>
        <w:t>二十</w:t>
      </w:r>
      <w:r>
        <w:rPr>
          <w:rFonts w:hint="eastAsia" w:ascii="宋体"/>
          <w:b/>
          <w:bCs/>
          <w:color w:val="auto"/>
          <w:szCs w:val="21"/>
          <w:highlight w:val="none"/>
          <w:lang w:eastAsia="zh-CN"/>
        </w:rPr>
        <w:t>二</w:t>
      </w:r>
      <w:r>
        <w:rPr>
          <w:rFonts w:hint="eastAsia" w:ascii="宋体"/>
          <w:b/>
          <w:color w:val="auto"/>
          <w:szCs w:val="21"/>
          <w:highlight w:val="none"/>
        </w:rPr>
        <w:t>、开标一览表</w:t>
      </w:r>
    </w:p>
    <w:p>
      <w:pPr>
        <w:keepNext w:val="0"/>
        <w:keepLines w:val="0"/>
        <w:pageBreakBefore w:val="0"/>
        <w:widowControl w:val="0"/>
        <w:kinsoku/>
        <w:overflowPunct/>
        <w:topLinePunct w:val="0"/>
        <w:bidi w:val="0"/>
        <w:snapToGrid w:val="0"/>
        <w:spacing w:line="440" w:lineRule="exact"/>
        <w:jc w:val="center"/>
        <w:rPr>
          <w:rFonts w:ascii="宋体"/>
          <w:b/>
          <w:color w:val="auto"/>
          <w:szCs w:val="21"/>
          <w:highlight w:val="none"/>
        </w:rPr>
      </w:pPr>
      <w:r>
        <w:rPr>
          <w:rFonts w:hint="eastAsia" w:ascii="宋体"/>
          <w:b/>
          <w:color w:val="auto"/>
          <w:szCs w:val="21"/>
          <w:highlight w:val="none"/>
        </w:rPr>
        <w:t>开标一览表</w:t>
      </w: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r>
        <w:rPr>
          <w:rFonts w:hint="eastAsia" w:ascii="宋体"/>
          <w:color w:val="auto"/>
          <w:szCs w:val="21"/>
          <w:highlight w:val="none"/>
        </w:rPr>
        <w:t>项目编号：</w:t>
      </w:r>
      <w:r>
        <w:rPr>
          <w:rFonts w:hint="eastAsia" w:ascii="宋体"/>
          <w:color w:val="auto"/>
          <w:szCs w:val="21"/>
          <w:highlight w:val="none"/>
          <w:lang w:val="en-US" w:eastAsia="zh-CN"/>
        </w:rPr>
        <w:t xml:space="preserve">                                           </w:t>
      </w:r>
      <w:r>
        <w:rPr>
          <w:rFonts w:hint="eastAsia" w:ascii="宋体"/>
          <w:color w:val="auto"/>
          <w:szCs w:val="21"/>
          <w:highlight w:val="none"/>
        </w:rPr>
        <w:t xml:space="preserve">项目名称：                                       </w:t>
      </w:r>
    </w:p>
    <w:tbl>
      <w:tblPr>
        <w:tblStyle w:val="61"/>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55"/>
        <w:gridCol w:w="1200"/>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0"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snapToGrid w:val="0"/>
                <w:color w:val="auto"/>
                <w:sz w:val="21"/>
                <w:szCs w:val="21"/>
                <w:highlight w:val="none"/>
                <w:lang w:eastAsia="zh-CN"/>
              </w:rPr>
              <w:t>序号</w:t>
            </w:r>
          </w:p>
        </w:tc>
        <w:tc>
          <w:tcPr>
            <w:tcW w:w="1555"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内容</w:t>
            </w:r>
          </w:p>
        </w:tc>
        <w:tc>
          <w:tcPr>
            <w:tcW w:w="1200"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snapToGrid w:val="0"/>
                <w:color w:val="auto"/>
                <w:sz w:val="21"/>
                <w:szCs w:val="21"/>
                <w:highlight w:val="none"/>
              </w:rPr>
              <w:t>数量</w:t>
            </w:r>
          </w:p>
        </w:tc>
        <w:tc>
          <w:tcPr>
            <w:tcW w:w="4971" w:type="dxa"/>
            <w:vAlign w:val="center"/>
          </w:tcPr>
          <w:p>
            <w:pPr>
              <w:keepNext w:val="0"/>
              <w:keepLines w:val="0"/>
              <w:pageBreakBefore w:val="0"/>
              <w:widowControl w:val="0"/>
              <w:kinsoku/>
              <w:overflowPunct/>
              <w:topLinePunct w:val="0"/>
              <w:bidi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55"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p>
        </w:tc>
        <w:tc>
          <w:tcPr>
            <w:tcW w:w="1200"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4971" w:type="dxa"/>
            <w:vAlign w:val="center"/>
          </w:tcPr>
          <w:p>
            <w:pPr>
              <w:pStyle w:val="23"/>
              <w:keepNext w:val="0"/>
              <w:keepLines w:val="0"/>
              <w:pageBreakBefore w:val="0"/>
              <w:widowControl w:val="0"/>
              <w:kinsoku/>
              <w:overflowPunct/>
              <w:topLinePunct w:val="0"/>
              <w:bidi w:val="0"/>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55"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项目负责人</w:t>
            </w:r>
          </w:p>
        </w:tc>
        <w:tc>
          <w:tcPr>
            <w:tcW w:w="6171" w:type="dxa"/>
            <w:gridSpan w:val="2"/>
            <w:vAlign w:val="center"/>
          </w:tcPr>
          <w:p>
            <w:pPr>
              <w:pStyle w:val="23"/>
              <w:keepNext w:val="0"/>
              <w:keepLines w:val="0"/>
              <w:pageBreakBefore w:val="0"/>
              <w:widowControl w:val="0"/>
              <w:kinsoku/>
              <w:overflowPunct/>
              <w:topLinePunct w:val="0"/>
              <w:bidi w:val="0"/>
              <w:spacing w:line="400" w:lineRule="exact"/>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1555" w:type="dxa"/>
            <w:vAlign w:val="center"/>
          </w:tcPr>
          <w:p>
            <w:pPr>
              <w:pStyle w:val="2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投标报价合计</w:t>
            </w:r>
          </w:p>
        </w:tc>
        <w:tc>
          <w:tcPr>
            <w:tcW w:w="6171" w:type="dxa"/>
            <w:gridSpan w:val="2"/>
            <w:vAlign w:val="center"/>
          </w:tcPr>
          <w:p>
            <w:pPr>
              <w:pStyle w:val="23"/>
              <w:keepNext w:val="0"/>
              <w:keepLines w:val="0"/>
              <w:pageBreakBefore w:val="0"/>
              <w:widowControl w:val="0"/>
              <w:kinsoku/>
              <w:overflowPunct/>
              <w:topLinePunct w:val="0"/>
              <w:bidi w:val="0"/>
              <w:spacing w:line="400" w:lineRule="exact"/>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小写：        </w:t>
            </w:r>
          </w:p>
          <w:p>
            <w:pPr>
              <w:pStyle w:val="23"/>
              <w:keepNext w:val="0"/>
              <w:keepLines w:val="0"/>
              <w:pageBreakBefore w:val="0"/>
              <w:widowControl w:val="0"/>
              <w:kinsoku/>
              <w:overflowPunct/>
              <w:topLinePunct w:val="0"/>
              <w:bidi w:val="0"/>
              <w:spacing w:line="400" w:lineRule="exact"/>
              <w:ind w:firstLine="0"/>
              <w:rPr>
                <w:rFonts w:hint="eastAsia" w:ascii="宋体" w:hAnsi="宋体" w:eastAsia="宋体" w:cs="宋体"/>
                <w:color w:val="auto"/>
                <w:sz w:val="21"/>
                <w:szCs w:val="21"/>
                <w:highlight w:val="none"/>
                <w:lang w:val="en-US" w:eastAsia="zh-CN"/>
              </w:rPr>
            </w:pPr>
          </w:p>
          <w:p>
            <w:pPr>
              <w:pStyle w:val="23"/>
              <w:keepNext w:val="0"/>
              <w:keepLines w:val="0"/>
              <w:pageBreakBefore w:val="0"/>
              <w:widowControl w:val="0"/>
              <w:kinsoku/>
              <w:overflowPunct/>
              <w:topLinePunct w:val="0"/>
              <w:bidi w:val="0"/>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大写：</w:t>
            </w:r>
          </w:p>
        </w:tc>
      </w:tr>
    </w:tbl>
    <w:p>
      <w:pPr>
        <w:keepNext w:val="0"/>
        <w:keepLines w:val="0"/>
        <w:pageBreakBefore w:val="0"/>
        <w:widowControl w:val="0"/>
        <w:kinsoku/>
        <w:overflowPunct/>
        <w:topLinePunct w:val="0"/>
        <w:bidi w:val="0"/>
        <w:snapToGrid w:val="0"/>
        <w:spacing w:after="120" w:afterLines="50" w:line="440" w:lineRule="exact"/>
        <w:rPr>
          <w:rFonts w:asci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r>
        <w:rPr>
          <w:rFonts w:hint="eastAsia" w:ascii="宋体"/>
          <w:color w:val="auto"/>
          <w:szCs w:val="21"/>
          <w:highlight w:val="none"/>
        </w:rPr>
        <w:t>法定代表人（签字</w:t>
      </w:r>
      <w:r>
        <w:rPr>
          <w:rFonts w:hint="eastAsia" w:ascii="宋体"/>
          <w:color w:val="auto"/>
          <w:szCs w:val="21"/>
          <w:highlight w:val="none"/>
          <w:lang w:eastAsia="zh-CN"/>
        </w:rPr>
        <w:t>或盖章</w:t>
      </w:r>
      <w:r>
        <w:rPr>
          <w:rFonts w:hint="eastAsia" w:ascii="宋体"/>
          <w:color w:val="auto"/>
          <w:szCs w:val="21"/>
          <w:highlight w:val="none"/>
        </w:rPr>
        <w:t>）：</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r>
        <w:rPr>
          <w:rFonts w:hint="eastAsia" w:ascii="宋体"/>
          <w:color w:val="auto"/>
          <w:szCs w:val="21"/>
          <w:highlight w:val="none"/>
        </w:rPr>
        <w:t>投标人名称（盖章）：</w:t>
      </w:r>
      <w:r>
        <w:rPr>
          <w:rFonts w:hint="eastAsia" w:ascii="宋体"/>
          <w:color w:val="auto"/>
          <w:szCs w:val="21"/>
          <w:highlight w:val="none"/>
          <w:u w:val="single"/>
        </w:rPr>
        <w:t xml:space="preserve">                     </w:t>
      </w:r>
    </w:p>
    <w:p>
      <w:pPr>
        <w:keepNext w:val="0"/>
        <w:keepLines w:val="0"/>
        <w:pageBreakBefore w:val="0"/>
        <w:widowControl w:val="0"/>
        <w:kinsoku/>
        <w:overflowPunct/>
        <w:topLinePunct w:val="0"/>
        <w:bidi w:val="0"/>
        <w:snapToGrid w:val="0"/>
        <w:spacing w:line="440" w:lineRule="exact"/>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keepNext w:val="0"/>
        <w:keepLines w:val="0"/>
        <w:pageBreakBefore w:val="0"/>
        <w:widowControl w:val="0"/>
        <w:kinsoku/>
        <w:overflowPunct/>
        <w:topLinePunct w:val="0"/>
        <w:bidi w:val="0"/>
        <w:adjustRightInd w:val="0"/>
        <w:snapToGrid w:val="0"/>
        <w:spacing w:before="120" w:beforeLines="50" w:after="120" w:afterLines="50" w:line="500" w:lineRule="exact"/>
        <w:rPr>
          <w:rFonts w:ascii="宋体"/>
          <w:color w:val="auto"/>
          <w:szCs w:val="21"/>
          <w:highlight w:val="none"/>
        </w:rPr>
      </w:pPr>
    </w:p>
    <w:p>
      <w:pPr>
        <w:keepNext w:val="0"/>
        <w:keepLines w:val="0"/>
        <w:pageBreakBefore w:val="0"/>
        <w:widowControl w:val="0"/>
        <w:kinsoku/>
        <w:overflowPunct/>
        <w:topLinePunct w:val="0"/>
        <w:bidi w:val="0"/>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70"/>
        <w:rPr>
          <w:color w:val="auto"/>
          <w:highlight w:val="none"/>
        </w:rPr>
      </w:pPr>
    </w:p>
    <w:p>
      <w:pPr>
        <w:rPr>
          <w:color w:val="auto"/>
          <w:highlight w:val="none"/>
        </w:rPr>
      </w:pPr>
    </w:p>
    <w:p>
      <w:pPr>
        <w:pStyle w:val="21"/>
      </w:pPr>
    </w:p>
    <w:p>
      <w:pPr>
        <w:pStyle w:val="70"/>
        <w:rPr>
          <w:color w:val="auto"/>
          <w:highlight w:val="none"/>
        </w:rPr>
      </w:pPr>
    </w:p>
    <w:p>
      <w:pPr>
        <w:rPr>
          <w:color w:val="auto"/>
          <w:highlight w:val="none"/>
        </w:rPr>
      </w:pPr>
    </w:p>
    <w:bookmarkEnd w:id="310"/>
    <w:p>
      <w:pPr>
        <w:keepNext w:val="0"/>
        <w:keepLines w:val="0"/>
        <w:pageBreakBefore w:val="0"/>
        <w:widowControl w:val="0"/>
        <w:numPr>
          <w:ilvl w:val="0"/>
          <w:numId w:val="31"/>
        </w:numPr>
        <w:kinsoku/>
        <w:overflowPunct/>
        <w:topLinePunct w:val="0"/>
        <w:bidi w:val="0"/>
        <w:spacing w:before="120" w:beforeLines="50" w:after="120" w:afterLines="50"/>
        <w:jc w:val="center"/>
        <w:outlineLvl w:val="0"/>
        <w:rPr>
          <w:rFonts w:ascii="宋体"/>
          <w:b/>
          <w:bCs/>
          <w:color w:val="auto"/>
          <w:sz w:val="32"/>
          <w:szCs w:val="30"/>
          <w:highlight w:val="none"/>
        </w:rPr>
      </w:pPr>
      <w:bookmarkStart w:id="311" w:name="_Toc12422"/>
      <w:bookmarkStart w:id="312" w:name="_Toc29138"/>
      <w:bookmarkStart w:id="313" w:name="_Toc8593"/>
      <w:bookmarkStart w:id="314" w:name="_Toc6179"/>
      <w:bookmarkStart w:id="315" w:name="_Toc4182"/>
      <w:bookmarkStart w:id="316" w:name="_Toc31405"/>
      <w:r>
        <w:rPr>
          <w:rFonts w:hint="eastAsia" w:ascii="宋体"/>
          <w:b/>
          <w:bCs/>
          <w:color w:val="auto"/>
          <w:sz w:val="32"/>
          <w:szCs w:val="30"/>
          <w:highlight w:val="none"/>
        </w:rPr>
        <w:t>专家评分索引表</w:t>
      </w:r>
      <w:bookmarkEnd w:id="311"/>
      <w:bookmarkEnd w:id="312"/>
      <w:bookmarkEnd w:id="313"/>
      <w:bookmarkEnd w:id="314"/>
      <w:bookmarkEnd w:id="315"/>
      <w:bookmarkEnd w:id="316"/>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648"/>
        <w:gridCol w:w="1087"/>
        <w:gridCol w:w="93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bidi w:val="0"/>
              <w:spacing w:line="360" w:lineRule="exact"/>
              <w:jc w:val="center"/>
              <w:rPr>
                <w:rFonts w:ascii="宋体"/>
                <w:b/>
                <w:bCs/>
                <w:color w:val="auto"/>
                <w:szCs w:val="21"/>
                <w:highlight w:val="none"/>
              </w:rPr>
            </w:pPr>
            <w:r>
              <w:rPr>
                <w:rFonts w:hint="eastAsia" w:ascii="宋体"/>
                <w:b/>
                <w:bCs/>
                <w:color w:val="auto"/>
                <w:szCs w:val="21"/>
                <w:highlight w:val="none"/>
              </w:rPr>
              <w:t>序号</w:t>
            </w:r>
          </w:p>
        </w:tc>
        <w:tc>
          <w:tcPr>
            <w:tcW w:w="3648" w:type="dxa"/>
            <w:vAlign w:val="center"/>
          </w:tcPr>
          <w:p>
            <w:pPr>
              <w:keepNext w:val="0"/>
              <w:keepLines w:val="0"/>
              <w:pageBreakBefore w:val="0"/>
              <w:widowControl w:val="0"/>
              <w:kinsoku/>
              <w:overflowPunct/>
              <w:topLinePunct w:val="0"/>
              <w:bidi w:val="0"/>
              <w:spacing w:line="360" w:lineRule="exact"/>
              <w:jc w:val="center"/>
              <w:rPr>
                <w:rFonts w:ascii="宋体"/>
                <w:b/>
                <w:bCs/>
                <w:color w:val="auto"/>
                <w:szCs w:val="21"/>
                <w:highlight w:val="none"/>
              </w:rPr>
            </w:pPr>
            <w:r>
              <w:rPr>
                <w:rFonts w:hint="eastAsia" w:ascii="宋体"/>
                <w:b/>
                <w:bCs/>
                <w:color w:val="auto"/>
                <w:szCs w:val="21"/>
                <w:highlight w:val="none"/>
              </w:rPr>
              <w:t>评分内容</w:t>
            </w:r>
          </w:p>
        </w:tc>
        <w:tc>
          <w:tcPr>
            <w:tcW w:w="1087" w:type="dxa"/>
            <w:vAlign w:val="center"/>
          </w:tcPr>
          <w:p>
            <w:pPr>
              <w:keepNext w:val="0"/>
              <w:keepLines w:val="0"/>
              <w:pageBreakBefore w:val="0"/>
              <w:widowControl w:val="0"/>
              <w:kinsoku/>
              <w:overflowPunct/>
              <w:topLinePunct w:val="0"/>
              <w:bidi w:val="0"/>
              <w:spacing w:line="360" w:lineRule="exact"/>
              <w:jc w:val="center"/>
              <w:rPr>
                <w:rFonts w:ascii="宋体"/>
                <w:b/>
                <w:bCs/>
                <w:color w:val="auto"/>
                <w:szCs w:val="21"/>
                <w:highlight w:val="none"/>
              </w:rPr>
            </w:pPr>
            <w:r>
              <w:rPr>
                <w:rFonts w:hint="eastAsia" w:ascii="宋体"/>
                <w:b/>
                <w:bCs/>
                <w:color w:val="auto"/>
                <w:szCs w:val="21"/>
                <w:highlight w:val="none"/>
              </w:rPr>
              <w:t>标准分</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b/>
                <w:bCs/>
                <w:color w:val="auto"/>
                <w:szCs w:val="21"/>
                <w:highlight w:val="none"/>
              </w:rPr>
            </w:pPr>
            <w:r>
              <w:rPr>
                <w:rFonts w:hint="eastAsia" w:ascii="宋体"/>
                <w:b/>
                <w:bCs/>
                <w:color w:val="auto"/>
                <w:szCs w:val="21"/>
                <w:highlight w:val="none"/>
              </w:rPr>
              <w:t>自评分</w:t>
            </w:r>
          </w:p>
        </w:tc>
        <w:tc>
          <w:tcPr>
            <w:tcW w:w="2025" w:type="dxa"/>
            <w:vAlign w:val="center"/>
          </w:tcPr>
          <w:p>
            <w:pPr>
              <w:keepNext w:val="0"/>
              <w:keepLines w:val="0"/>
              <w:pageBreakBefore w:val="0"/>
              <w:widowControl w:val="0"/>
              <w:kinsoku/>
              <w:overflowPunct/>
              <w:topLinePunct w:val="0"/>
              <w:bidi w:val="0"/>
              <w:spacing w:line="360" w:lineRule="exact"/>
              <w:jc w:val="center"/>
              <w:rPr>
                <w:rFonts w:ascii="宋体"/>
                <w:b/>
                <w:bCs/>
                <w:color w:val="auto"/>
                <w:szCs w:val="21"/>
                <w:highlight w:val="none"/>
              </w:rPr>
            </w:pPr>
            <w:r>
              <w:rPr>
                <w:rFonts w:hint="eastAsia" w:ascii="宋体"/>
                <w:b/>
                <w:bCs/>
                <w:color w:val="auto"/>
                <w:szCs w:val="21"/>
                <w:highlight w:val="none"/>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1</w:t>
            </w:r>
          </w:p>
        </w:tc>
        <w:tc>
          <w:tcPr>
            <w:tcW w:w="364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bCs w:val="0"/>
                <w:sz w:val="21"/>
                <w:szCs w:val="21"/>
                <w:lang w:val="en-US" w:eastAsia="zh-CN"/>
              </w:rPr>
              <w:t>整体方案设计(16分)</w:t>
            </w:r>
          </w:p>
        </w:tc>
        <w:tc>
          <w:tcPr>
            <w:tcW w:w="108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930" w:type="dxa"/>
            <w:vAlign w:val="center"/>
          </w:tcPr>
          <w:p>
            <w:pPr>
              <w:keepNext w:val="0"/>
              <w:keepLines w:val="0"/>
              <w:pageBreakBefore w:val="0"/>
              <w:widowControl w:val="0"/>
              <w:kinsoku/>
              <w:overflowPunct/>
              <w:topLinePunct w:val="0"/>
              <w:bidi w:val="0"/>
              <w:adjustRightInd w:val="0"/>
              <w:snapToGrid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2</w:t>
            </w:r>
          </w:p>
        </w:tc>
        <w:tc>
          <w:tcPr>
            <w:tcW w:w="364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公共艺术艺术感染力16分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3</w:t>
            </w:r>
          </w:p>
        </w:tc>
        <w:tc>
          <w:tcPr>
            <w:tcW w:w="364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空间布局12分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4</w:t>
            </w:r>
          </w:p>
        </w:tc>
        <w:tc>
          <w:tcPr>
            <w:tcW w:w="364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材料及人工分析</w:t>
            </w:r>
            <w:r>
              <w:rPr>
                <w:rFonts w:hint="eastAsia" w:ascii="宋体" w:hAnsi="宋体" w:eastAsia="宋体" w:cs="宋体"/>
                <w:b/>
                <w:bCs/>
                <w:sz w:val="21"/>
                <w:szCs w:val="21"/>
                <w:lang w:val="zh-CN" w:eastAsia="zh-CN"/>
              </w:rPr>
              <w:t>4</w:t>
            </w:r>
            <w:r>
              <w:rPr>
                <w:rFonts w:hint="eastAsia" w:ascii="宋体" w:hAnsi="宋体" w:eastAsia="宋体" w:cs="宋体"/>
                <w:b/>
                <w:bCs/>
                <w:sz w:val="21"/>
                <w:szCs w:val="21"/>
                <w:lang w:val="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5</w:t>
            </w:r>
          </w:p>
        </w:tc>
        <w:tc>
          <w:tcPr>
            <w:tcW w:w="364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bCs/>
                <w:sz w:val="21"/>
                <w:szCs w:val="21"/>
                <w:lang w:val="zh-CN"/>
              </w:rPr>
              <w:t>施工工艺5 分</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6</w:t>
            </w:r>
          </w:p>
        </w:tc>
        <w:tc>
          <w:tcPr>
            <w:tcW w:w="3648" w:type="dxa"/>
            <w:vAlign w:val="center"/>
          </w:tcPr>
          <w:p>
            <w:pPr>
              <w:keepNext w:val="0"/>
              <w:keepLines w:val="0"/>
              <w:pageBreakBefore w:val="0"/>
              <w:widowControl/>
              <w:numPr>
                <w:ilvl w:val="0"/>
                <w:numId w:val="0"/>
              </w:numPr>
              <w:tabs>
                <w:tab w:val="left" w:pos="984"/>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样品展示</w:t>
            </w:r>
            <w:r>
              <w:rPr>
                <w:rFonts w:hint="eastAsia" w:ascii="宋体" w:hAnsi="宋体" w:eastAsia="宋体" w:cs="宋体"/>
                <w:b/>
                <w:bCs/>
                <w:sz w:val="21"/>
                <w:szCs w:val="21"/>
                <w:lang w:val="zh-CN"/>
              </w:rPr>
              <w:t>5 分</w:t>
            </w:r>
          </w:p>
          <w:p>
            <w:pPr>
              <w:keepNext w:val="0"/>
              <w:keepLines w:val="0"/>
              <w:pageBreakBefore w:val="0"/>
              <w:widowControl/>
              <w:numPr>
                <w:ilvl w:val="0"/>
                <w:numId w:val="0"/>
              </w:numPr>
              <w:tabs>
                <w:tab w:val="left" w:pos="984"/>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kern w:val="2"/>
                <w:sz w:val="21"/>
                <w:szCs w:val="21"/>
                <w:lang w:val="en-US" w:eastAsia="zh-CN" w:bidi="ar-SA"/>
              </w:rPr>
            </w:pP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7</w:t>
            </w:r>
          </w:p>
        </w:tc>
        <w:tc>
          <w:tcPr>
            <w:tcW w:w="364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sz w:val="21"/>
                <w:szCs w:val="21"/>
                <w:highlight w:val="none"/>
                <w:lang w:val="en-US" w:eastAsia="zh-CN"/>
              </w:rPr>
              <w:t>投入本项目的人员4分</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8</w:t>
            </w:r>
          </w:p>
        </w:tc>
        <w:tc>
          <w:tcPr>
            <w:tcW w:w="364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eastAsia="zh-CN"/>
              </w:rPr>
              <w:t>同类项目业绩</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lang w:eastAsia="zh-CN"/>
              </w:rPr>
              <w:t>分</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9</w:t>
            </w:r>
          </w:p>
        </w:tc>
        <w:tc>
          <w:tcPr>
            <w:tcW w:w="364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eastAsia="zh-CN"/>
              </w:rPr>
              <w:t>售后服务方案及</w:t>
            </w:r>
            <w:r>
              <w:rPr>
                <w:rFonts w:hint="eastAsia" w:ascii="宋体" w:hAnsi="宋体" w:eastAsia="宋体" w:cs="宋体"/>
                <w:b/>
                <w:bCs/>
                <w:kern w:val="0"/>
                <w:sz w:val="21"/>
                <w:szCs w:val="21"/>
                <w:lang w:val="en-US" w:eastAsia="zh-CN"/>
              </w:rPr>
              <w:t>承诺4分</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10</w:t>
            </w:r>
          </w:p>
        </w:tc>
        <w:tc>
          <w:tcPr>
            <w:tcW w:w="364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工期保障措施4分</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kern w:val="2"/>
                <w:sz w:val="21"/>
                <w:szCs w:val="21"/>
                <w:highlight w:val="none"/>
                <w:lang w:val="en-US" w:eastAsia="zh-CN" w:bidi="ar-SA"/>
              </w:rPr>
              <w:t>4</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11</w:t>
            </w:r>
          </w:p>
        </w:tc>
        <w:tc>
          <w:tcPr>
            <w:tcW w:w="364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质量保障措施4分</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930" w:type="dxa"/>
            <w:vAlign w:val="center"/>
          </w:tcPr>
          <w:p>
            <w:pPr>
              <w:keepNext w:val="0"/>
              <w:keepLines w:val="0"/>
              <w:pageBreakBefore w:val="0"/>
              <w:widowControl w:val="0"/>
              <w:kinsoku/>
              <w:overflowPunct/>
              <w:topLinePunct w:val="0"/>
              <w:bidi w:val="0"/>
              <w:spacing w:line="36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12</w:t>
            </w:r>
          </w:p>
        </w:tc>
        <w:tc>
          <w:tcPr>
            <w:tcW w:w="364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安全保障措施4分</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930" w:type="dxa"/>
            <w:vAlign w:val="center"/>
          </w:tcPr>
          <w:p>
            <w:pPr>
              <w:keepNext w:val="0"/>
              <w:keepLines w:val="0"/>
              <w:pageBreakBefore w:val="0"/>
              <w:widowControl w:val="0"/>
              <w:kinsoku/>
              <w:overflowPunct/>
              <w:topLinePunct w:val="0"/>
              <w:bidi w:val="0"/>
              <w:adjustRightInd w:val="0"/>
              <w:snapToGrid w:val="0"/>
              <w:spacing w:line="32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48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合计</w:t>
            </w:r>
          </w:p>
        </w:tc>
        <w:tc>
          <w:tcPr>
            <w:tcW w:w="108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80</w:t>
            </w:r>
          </w:p>
        </w:tc>
        <w:tc>
          <w:tcPr>
            <w:tcW w:w="930" w:type="dxa"/>
            <w:vAlign w:val="center"/>
          </w:tcPr>
          <w:p>
            <w:pPr>
              <w:keepNext w:val="0"/>
              <w:keepLines w:val="0"/>
              <w:pageBreakBefore w:val="0"/>
              <w:widowControl w:val="0"/>
              <w:kinsoku/>
              <w:overflowPunct/>
              <w:topLinePunct w:val="0"/>
              <w:bidi w:val="0"/>
              <w:adjustRightInd w:val="0"/>
              <w:snapToGrid w:val="0"/>
              <w:spacing w:line="320" w:lineRule="exact"/>
              <w:jc w:val="center"/>
              <w:rPr>
                <w:rFonts w:ascii="宋体" w:hAnsi="宋体" w:cs="宋体"/>
                <w:color w:val="auto"/>
                <w:szCs w:val="21"/>
                <w:highlight w:val="none"/>
              </w:rPr>
            </w:pPr>
          </w:p>
        </w:tc>
        <w:tc>
          <w:tcPr>
            <w:tcW w:w="2025" w:type="dxa"/>
            <w:vAlign w:val="center"/>
          </w:tcPr>
          <w:p>
            <w:pPr>
              <w:keepNext w:val="0"/>
              <w:keepLines w:val="0"/>
              <w:pageBreakBefore w:val="0"/>
              <w:widowControl w:val="0"/>
              <w:kinsoku/>
              <w:overflowPunct/>
              <w:topLinePunct w:val="0"/>
              <w:bidi w:val="0"/>
              <w:spacing w:line="360" w:lineRule="exact"/>
              <w:rPr>
                <w:rFonts w:ascii="宋体"/>
                <w:color w:val="auto"/>
                <w:szCs w:val="21"/>
                <w:highlight w:val="none"/>
              </w:rPr>
            </w:pPr>
          </w:p>
        </w:tc>
      </w:tr>
    </w:tbl>
    <w:p>
      <w:pPr>
        <w:keepNext w:val="0"/>
        <w:keepLines w:val="0"/>
        <w:pageBreakBefore w:val="0"/>
        <w:widowControl w:val="0"/>
        <w:kinsoku/>
        <w:overflowPunct/>
        <w:topLinePunct w:val="0"/>
        <w:bidi w:val="0"/>
        <w:spacing w:line="400" w:lineRule="exact"/>
        <w:rPr>
          <w:rFonts w:ascii="宋体"/>
          <w:b/>
          <w:color w:val="auto"/>
          <w:highlight w:val="none"/>
        </w:rPr>
      </w:pPr>
    </w:p>
    <w:p>
      <w:pPr>
        <w:keepNext w:val="0"/>
        <w:keepLines w:val="0"/>
        <w:pageBreakBefore w:val="0"/>
        <w:widowControl w:val="0"/>
        <w:kinsoku/>
        <w:overflowPunct/>
        <w:topLinePunct w:val="0"/>
        <w:bidi w:val="0"/>
        <w:spacing w:line="400" w:lineRule="exact"/>
        <w:rPr>
          <w:rFonts w:ascii="宋体"/>
          <w:b/>
          <w:color w:val="auto"/>
          <w:highlight w:val="none"/>
        </w:rPr>
      </w:pPr>
      <w:r>
        <w:rPr>
          <w:rFonts w:hint="eastAsia" w:ascii="宋体"/>
          <w:b/>
          <w:color w:val="auto"/>
          <w:highlight w:val="none"/>
        </w:rPr>
        <w:t>注：“专家评分索引表”装订在商务技术文件首页。投标供应商应认真填写相关内容在投标文件中所对应的页码，否则有可能做无效标处理。</w:t>
      </w:r>
    </w:p>
    <w:p>
      <w:pPr>
        <w:keepNext w:val="0"/>
        <w:keepLines w:val="0"/>
        <w:pageBreakBefore w:val="0"/>
        <w:widowControl w:val="0"/>
        <w:kinsoku/>
        <w:overflowPunct/>
        <w:topLinePunct w:val="0"/>
        <w:bidi w:val="0"/>
        <w:rPr>
          <w:rFonts w:ascii="宋体"/>
          <w:b/>
          <w:color w:val="auto"/>
          <w:highlight w:val="none"/>
        </w:rPr>
      </w:pPr>
    </w:p>
    <w:p>
      <w:pPr>
        <w:pStyle w:val="70"/>
        <w:keepNext w:val="0"/>
        <w:keepLines w:val="0"/>
        <w:pageBreakBefore w:val="0"/>
        <w:widowControl w:val="0"/>
        <w:kinsoku/>
        <w:overflowPunct/>
        <w:topLinePunct w:val="0"/>
        <w:bidi w:val="0"/>
        <w:rPr>
          <w:b/>
          <w:color w:val="auto"/>
          <w:highlight w:val="none"/>
        </w:rPr>
      </w:pPr>
    </w:p>
    <w:p>
      <w:pPr>
        <w:keepNext w:val="0"/>
        <w:keepLines w:val="0"/>
        <w:pageBreakBefore w:val="0"/>
        <w:widowControl w:val="0"/>
        <w:kinsoku/>
        <w:overflowPunct/>
        <w:topLinePunct w:val="0"/>
        <w:bidi w:val="0"/>
        <w:rPr>
          <w:color w:val="auto"/>
          <w:highlight w:val="none"/>
        </w:rPr>
      </w:pPr>
    </w:p>
    <w:sectPr>
      <w:pgSz w:w="11906" w:h="16838"/>
      <w:pgMar w:top="1361" w:right="1701" w:bottom="1361" w:left="1701"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single" w:color="auto" w:sz="4" w:space="1"/>
      </w:pBdr>
      <w:ind w:right="45"/>
      <w:jc w:val="center"/>
      <w:rPr>
        <w:rFonts w:hint="eastAsia" w:ascii="仿宋_GB2312" w:eastAsia="仿宋_GB2312"/>
        <w:lang w:eastAsia="zh-CN"/>
      </w:rPr>
    </w:pPr>
    <w:r>
      <w:rPr>
        <w:rFonts w:hint="eastAsia" w:ascii="仿宋_GB2312" w:eastAsia="仿宋_GB2312"/>
        <w:lang w:eastAsia="zh-CN"/>
      </w:rPr>
      <w:t>杭州建设工程造价咨询有限公司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65"/>
      </w:rPr>
    </w:pPr>
    <w:r>
      <w:fldChar w:fldCharType="begin"/>
    </w:r>
    <w:r>
      <w:rPr>
        <w:rStyle w:val="65"/>
      </w:rPr>
      <w:instrText xml:space="preserve">PAGE  </w:instrText>
    </w:r>
    <w:r>
      <w:fldChar w:fldCharType="separate"/>
    </w:r>
    <w:r>
      <w:rPr>
        <w:rStyle w:val="65"/>
      </w:rPr>
      <w:t>26</w:t>
    </w:r>
    <w:r>
      <w:fldChar w:fldCharType="end"/>
    </w:r>
  </w:p>
  <w:p>
    <w:pPr>
      <w:pStyle w:val="3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Style w:val="65"/>
        <w:kern w:val="0"/>
        <w:szCs w:val="18"/>
      </w:rPr>
    </w:pPr>
    <w:r>
      <w:rPr>
        <w:rStyle w:val="65"/>
        <w:rFonts w:hint="eastAsia"/>
        <w:kern w:val="0"/>
        <w:szCs w:val="18"/>
        <w:lang w:eastAsia="zh-CN"/>
      </w:rPr>
      <w:t>浪漫山川旅游度假区基础设施一期建设工程之浪漫山川全域智慧旅游系统（标识标牌、智慧驿站）设计建设项目</w:t>
    </w:r>
    <w:r>
      <w:rPr>
        <w:rStyle w:val="65"/>
        <w:rFonts w:hint="eastAsia"/>
        <w:kern w:val="0"/>
        <w:szCs w:val="18"/>
      </w:rPr>
      <w:t xml:space="preserve">                                     第 </w:t>
    </w:r>
    <w:r>
      <w:rPr>
        <w:kern w:val="0"/>
        <w:szCs w:val="18"/>
      </w:rPr>
      <w:fldChar w:fldCharType="begin"/>
    </w:r>
    <w:r>
      <w:rPr>
        <w:rStyle w:val="65"/>
        <w:kern w:val="0"/>
        <w:szCs w:val="18"/>
      </w:rPr>
      <w:instrText xml:space="preserve"> PAGE </w:instrText>
    </w:r>
    <w:r>
      <w:rPr>
        <w:kern w:val="0"/>
        <w:szCs w:val="18"/>
      </w:rPr>
      <w:fldChar w:fldCharType="separate"/>
    </w:r>
    <w:r>
      <w:rPr>
        <w:rStyle w:val="65"/>
        <w:kern w:val="0"/>
        <w:szCs w:val="18"/>
      </w:rPr>
      <w:t>5</w:t>
    </w:r>
    <w:r>
      <w:rPr>
        <w:kern w:val="0"/>
        <w:szCs w:val="18"/>
      </w:rPr>
      <w:fldChar w:fldCharType="end"/>
    </w:r>
    <w:r>
      <w:rPr>
        <w:rStyle w:val="65"/>
        <w:rFonts w:hint="eastAsia"/>
        <w:kern w:val="0"/>
        <w:szCs w:val="18"/>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AACD7"/>
    <w:multiLevelType w:val="multilevel"/>
    <w:tmpl w:val="886AACD7"/>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
    <w:nsid w:val="8DEF337D"/>
    <w:multiLevelType w:val="singleLevel"/>
    <w:tmpl w:val="8DEF337D"/>
    <w:lvl w:ilvl="0" w:tentative="0">
      <w:start w:val="1"/>
      <w:numFmt w:val="decimal"/>
      <w:suff w:val="nothing"/>
      <w:lvlText w:val="%1、"/>
      <w:lvlJc w:val="left"/>
    </w:lvl>
  </w:abstractNum>
  <w:abstractNum w:abstractNumId="2">
    <w:nsid w:val="9B4072A4"/>
    <w:multiLevelType w:val="singleLevel"/>
    <w:tmpl w:val="9B4072A4"/>
    <w:lvl w:ilvl="0" w:tentative="0">
      <w:start w:val="2"/>
      <w:numFmt w:val="decimal"/>
      <w:suff w:val="nothing"/>
      <w:lvlText w:val="（%1）"/>
      <w:lvlJc w:val="left"/>
    </w:lvl>
  </w:abstractNum>
  <w:abstractNum w:abstractNumId="3">
    <w:nsid w:val="AB4E54BD"/>
    <w:multiLevelType w:val="singleLevel"/>
    <w:tmpl w:val="AB4E54BD"/>
    <w:lvl w:ilvl="0" w:tentative="0">
      <w:start w:val="1"/>
      <w:numFmt w:val="decimal"/>
      <w:suff w:val="nothing"/>
      <w:lvlText w:val="（%1）"/>
      <w:lvlJc w:val="left"/>
    </w:lvl>
  </w:abstractNum>
  <w:abstractNum w:abstractNumId="4">
    <w:nsid w:val="ACD7D097"/>
    <w:multiLevelType w:val="multilevel"/>
    <w:tmpl w:val="ACD7D097"/>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5">
    <w:nsid w:val="B2C88870"/>
    <w:multiLevelType w:val="multilevel"/>
    <w:tmpl w:val="B2C88870"/>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E60FE7D3"/>
    <w:multiLevelType w:val="multilevel"/>
    <w:tmpl w:val="E60FE7D3"/>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7">
    <w:nsid w:val="00000001"/>
    <w:multiLevelType w:val="multilevel"/>
    <w:tmpl w:val="00000001"/>
    <w:lvl w:ilvl="0" w:tentative="0">
      <w:start w:val="1"/>
      <w:numFmt w:val="japaneseCounting"/>
      <w:pStyle w:val="103"/>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8">
    <w:nsid w:val="00000002"/>
    <w:multiLevelType w:val="multilevel"/>
    <w:tmpl w:val="00000002"/>
    <w:lvl w:ilvl="0" w:tentative="0">
      <w:start w:val="1"/>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bullet"/>
      <w:pStyle w:val="15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pStyle w:val="85"/>
      <w:lvlText w:val="%5)"/>
      <w:lvlJc w:val="left"/>
      <w:pPr>
        <w:tabs>
          <w:tab w:val="left" w:pos="2280"/>
        </w:tabs>
        <w:ind w:left="2280" w:hanging="420"/>
      </w:pPr>
    </w:lvl>
    <w:lvl w:ilvl="5" w:tentative="0">
      <w:start w:val="1"/>
      <w:numFmt w:val="lowerRoman"/>
      <w:pStyle w:val="143"/>
      <w:lvlText w:val="%6."/>
      <w:lvlJc w:val="right"/>
      <w:pPr>
        <w:tabs>
          <w:tab w:val="left" w:pos="2700"/>
        </w:tabs>
        <w:ind w:left="2700" w:hanging="420"/>
      </w:pPr>
    </w:lvl>
    <w:lvl w:ilvl="6" w:tentative="0">
      <w:start w:val="1"/>
      <w:numFmt w:val="decimal"/>
      <w:pStyle w:val="114"/>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0">
    <w:nsid w:val="00000006"/>
    <w:multiLevelType w:val="multilevel"/>
    <w:tmpl w:val="00000006"/>
    <w:lvl w:ilvl="0" w:tentative="0">
      <w:start w:val="1"/>
      <w:numFmt w:val="decimal"/>
      <w:pStyle w:val="44"/>
      <w:lvlText w:val="%1."/>
      <w:lvlJc w:val="left"/>
      <w:pPr>
        <w:tabs>
          <w:tab w:val="left" w:pos="480"/>
        </w:tabs>
        <w:ind w:left="480" w:hanging="48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1"/>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1">
    <w:nsid w:val="00000007"/>
    <w:multiLevelType w:val="multilevel"/>
    <w:tmpl w:val="00000007"/>
    <w:lvl w:ilvl="0" w:tentative="0">
      <w:start w:val="1"/>
      <w:numFmt w:val="lowerLetter"/>
      <w:pStyle w:val="153"/>
      <w:lvlText w:val="%1)"/>
      <w:lvlJc w:val="left"/>
      <w:pPr>
        <w:tabs>
          <w:tab w:val="left" w:pos="900"/>
        </w:tabs>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0A"/>
    <w:multiLevelType w:val="multilevel"/>
    <w:tmpl w:val="0000000A"/>
    <w:lvl w:ilvl="0" w:tentative="0">
      <w:start w:val="1"/>
      <w:numFmt w:val="decimal"/>
      <w:pStyle w:val="128"/>
      <w:suff w:val="nothing"/>
      <w:lvlText w:val="%1."/>
      <w:lvlJc w:val="left"/>
      <w:pPr>
        <w:tabs>
          <w:tab w:val="left" w:pos="0"/>
        </w:tabs>
        <w:ind w:left="0" w:firstLine="0"/>
      </w:pPr>
      <w:rPr>
        <w:rFonts w:hint="eastAsia"/>
        <w:b/>
        <w:i w:val="0"/>
        <w:sz w:val="32"/>
        <w:szCs w:val="32"/>
      </w:rPr>
    </w:lvl>
    <w:lvl w:ilvl="1" w:tentative="0">
      <w:start w:val="0"/>
      <w:numFmt w:val="decimal"/>
      <w:pStyle w:val="124"/>
      <w:suff w:val="nothing"/>
      <w:lvlText w:val="%1.%2."/>
      <w:lvlJc w:val="left"/>
      <w:pPr>
        <w:tabs>
          <w:tab w:val="left" w:pos="0"/>
        </w:tabs>
        <w:ind w:left="380" w:hanging="380"/>
      </w:pPr>
      <w:rPr>
        <w:rFonts w:hint="eastAsia"/>
        <w:b/>
        <w:i w:val="0"/>
        <w:sz w:val="28"/>
        <w:szCs w:val="28"/>
      </w:rPr>
    </w:lvl>
    <w:lvl w:ilvl="2" w:tentative="0">
      <w:start w:val="1"/>
      <w:numFmt w:val="decimal"/>
      <w:pStyle w:val="107"/>
      <w:suff w:val="nothing"/>
      <w:lvlText w:val="%1.%2.%3."/>
      <w:lvlJc w:val="left"/>
      <w:pPr>
        <w:tabs>
          <w:tab w:val="left" w:pos="0"/>
        </w:tabs>
        <w:ind w:left="0" w:firstLine="0"/>
      </w:pPr>
      <w:rPr>
        <w:rFonts w:hint="eastAsia"/>
        <w:b/>
        <w:i w:val="0"/>
        <w:sz w:val="24"/>
        <w:szCs w:val="24"/>
      </w:rPr>
    </w:lvl>
    <w:lvl w:ilvl="3" w:tentative="0">
      <w:start w:val="1"/>
      <w:numFmt w:val="decimal"/>
      <w:pStyle w:val="50"/>
      <w:suff w:val="nothing"/>
      <w:lvlText w:val="%1.%2.%3.%4."/>
      <w:lvlJc w:val="left"/>
      <w:pPr>
        <w:tabs>
          <w:tab w:val="left" w:pos="0"/>
        </w:tabs>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0000000D"/>
    <w:multiLevelType w:val="multilevel"/>
    <w:tmpl w:val="0000000D"/>
    <w:lvl w:ilvl="0" w:tentative="0">
      <w:start w:val="1"/>
      <w:numFmt w:val="decimal"/>
      <w:pStyle w:val="15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4">
    <w:nsid w:val="00000010"/>
    <w:multiLevelType w:val="multilevel"/>
    <w:tmpl w:val="00000010"/>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17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5"/>
    <w:multiLevelType w:val="multilevel"/>
    <w:tmpl w:val="00000015"/>
    <w:lvl w:ilvl="0" w:tentative="0">
      <w:start w:val="1"/>
      <w:numFmt w:val="decimal"/>
      <w:pStyle w:val="1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00000019"/>
    <w:multiLevelType w:val="singleLevel"/>
    <w:tmpl w:val="00000019"/>
    <w:lvl w:ilvl="0" w:tentative="0">
      <w:start w:val="1"/>
      <w:numFmt w:val="bullet"/>
      <w:pStyle w:val="47"/>
      <w:lvlText w:val=""/>
      <w:lvlJc w:val="left"/>
      <w:pPr>
        <w:tabs>
          <w:tab w:val="left" w:pos="360"/>
        </w:tabs>
        <w:ind w:left="360" w:hanging="360"/>
      </w:pPr>
      <w:rPr>
        <w:rFonts w:hint="default" w:ascii="Wingdings" w:hAnsi="Wingdings"/>
      </w:rPr>
    </w:lvl>
  </w:abstractNum>
  <w:abstractNum w:abstractNumId="17">
    <w:nsid w:val="0000001A"/>
    <w:multiLevelType w:val="multilevel"/>
    <w:tmpl w:val="0000001A"/>
    <w:lvl w:ilvl="0" w:tentative="0">
      <w:start w:val="1"/>
      <w:numFmt w:val="decimal"/>
      <w:lvlText w:val="%1、"/>
      <w:lvlJc w:val="left"/>
      <w:pPr>
        <w:tabs>
          <w:tab w:val="left" w:pos="360"/>
        </w:tabs>
        <w:ind w:left="360" w:hanging="360"/>
      </w:pPr>
      <w:rPr>
        <w:rFonts w:hint="eastAsia"/>
      </w:rPr>
    </w:lvl>
    <w:lvl w:ilvl="1" w:tentative="0">
      <w:start w:val="1"/>
      <w:numFmt w:val="lowerLetter"/>
      <w:pStyle w:val="1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F"/>
    <w:multiLevelType w:val="multilevel"/>
    <w:tmpl w:val="0000001F"/>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9">
    <w:nsid w:val="00000023"/>
    <w:multiLevelType w:val="multilevel"/>
    <w:tmpl w:val="00000023"/>
    <w:lvl w:ilvl="0" w:tentative="0">
      <w:start w:val="1"/>
      <w:numFmt w:val="decimal"/>
      <w:pStyle w:val="88"/>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6"/>
    <w:multiLevelType w:val="multilevel"/>
    <w:tmpl w:val="00000026"/>
    <w:lvl w:ilvl="0" w:tentative="0">
      <w:start w:val="0"/>
      <w:numFmt w:val="bullet"/>
      <w:pStyle w:val="176"/>
      <w:lvlText w:val="▲"/>
      <w:lvlJc w:val="left"/>
      <w:pPr>
        <w:tabs>
          <w:tab w:val="left" w:pos="360"/>
        </w:tabs>
        <w:ind w:left="360" w:hanging="360"/>
      </w:pPr>
      <w:rPr>
        <w:rFonts w:hint="default" w:ascii="Times New Roman" w:hAnsi="Times New Roman"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49"/>
      <w:lvlText w:val=""/>
      <w:lvlJc w:val="left"/>
      <w:pPr>
        <w:tabs>
          <w:tab w:val="left" w:pos="1260"/>
        </w:tabs>
        <w:ind w:left="1260" w:hanging="420"/>
      </w:pPr>
      <w:rPr>
        <w:rFonts w:hint="default" w:ascii="Wingdings" w:hAnsi="Wingdings"/>
      </w:rPr>
    </w:lvl>
    <w:lvl w:ilvl="3" w:tentative="0">
      <w:start w:val="1"/>
      <w:numFmt w:val="bullet"/>
      <w:pStyle w:val="54"/>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0B5C6610"/>
    <w:multiLevelType w:val="singleLevel"/>
    <w:tmpl w:val="0B5C6610"/>
    <w:lvl w:ilvl="0" w:tentative="0">
      <w:start w:val="5"/>
      <w:numFmt w:val="decimal"/>
      <w:suff w:val="nothing"/>
      <w:lvlText w:val="%1、"/>
      <w:lvlJc w:val="left"/>
    </w:lvl>
  </w:abstractNum>
  <w:abstractNum w:abstractNumId="22">
    <w:nsid w:val="2726651E"/>
    <w:multiLevelType w:val="singleLevel"/>
    <w:tmpl w:val="2726651E"/>
    <w:lvl w:ilvl="0" w:tentative="0">
      <w:start w:val="1"/>
      <w:numFmt w:val="chineseCounting"/>
      <w:suff w:val="nothing"/>
      <w:lvlText w:val="（%1）"/>
      <w:lvlJc w:val="left"/>
      <w:rPr>
        <w:rFonts w:hint="eastAsia"/>
      </w:rPr>
    </w:lvl>
  </w:abstractNum>
  <w:abstractNum w:abstractNumId="23">
    <w:nsid w:val="29671BF8"/>
    <w:multiLevelType w:val="multilevel"/>
    <w:tmpl w:val="29671BF8"/>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2E4B4"/>
    <w:multiLevelType w:val="singleLevel"/>
    <w:tmpl w:val="2CC2E4B4"/>
    <w:lvl w:ilvl="0" w:tentative="0">
      <w:start w:val="1"/>
      <w:numFmt w:val="decimal"/>
      <w:suff w:val="space"/>
      <w:lvlText w:val="%1."/>
      <w:lvlJc w:val="left"/>
    </w:lvl>
  </w:abstractNum>
  <w:abstractNum w:abstractNumId="25">
    <w:nsid w:val="31DF12E3"/>
    <w:multiLevelType w:val="multilevel"/>
    <w:tmpl w:val="31DF12E3"/>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6">
    <w:nsid w:val="32274AAE"/>
    <w:multiLevelType w:val="multilevel"/>
    <w:tmpl w:val="32274AAE"/>
    <w:lvl w:ilvl="0" w:tentative="0">
      <w:start w:val="1"/>
      <w:numFmt w:val="decimal"/>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7">
    <w:nsid w:val="50374994"/>
    <w:multiLevelType w:val="multilevel"/>
    <w:tmpl w:val="50374994"/>
    <w:lvl w:ilvl="0" w:tentative="0">
      <w:start w:val="1"/>
      <w:numFmt w:val="decimal"/>
      <w:lvlText w:val="%1)"/>
      <w:lvlJc w:val="left"/>
      <w:pPr>
        <w:tabs>
          <w:tab w:val="left" w:pos="0"/>
        </w:tabs>
        <w:ind w:left="840" w:hanging="420"/>
      </w:p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8">
    <w:nsid w:val="63243B7C"/>
    <w:multiLevelType w:val="singleLevel"/>
    <w:tmpl w:val="63243B7C"/>
    <w:lvl w:ilvl="0" w:tentative="0">
      <w:start w:val="7"/>
      <w:numFmt w:val="chineseCounting"/>
      <w:suff w:val="nothing"/>
      <w:lvlText w:val="第%1章、"/>
      <w:lvlJc w:val="left"/>
      <w:rPr>
        <w:rFonts w:hint="eastAsia"/>
      </w:rPr>
    </w:lvl>
  </w:abstractNum>
  <w:abstractNum w:abstractNumId="29">
    <w:nsid w:val="76340BEF"/>
    <w:multiLevelType w:val="multilevel"/>
    <w:tmpl w:val="76340BEF"/>
    <w:lvl w:ilvl="0" w:tentative="0">
      <w:start w:val="1"/>
      <w:numFmt w:val="chineseCountingThousand"/>
      <w:lvlText w:val="%1. "/>
      <w:lvlJc w:val="left"/>
      <w:pPr>
        <w:tabs>
          <w:tab w:val="left" w:pos="0"/>
        </w:tabs>
        <w:ind w:left="0" w:firstLine="0"/>
      </w:pPr>
      <w:rPr>
        <w:sz w:val="32"/>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9"/>
      <w:suff w:val="nothing"/>
      <w:lvlText w:val=""/>
      <w:lvlJc w:val="left"/>
      <w:pPr>
        <w:tabs>
          <w:tab w:val="left" w:pos="0"/>
        </w:tabs>
        <w:ind w:left="0" w:firstLine="0"/>
      </w:pPr>
    </w:lvl>
    <w:lvl w:ilvl="7" w:tentative="0">
      <w:start w:val="1"/>
      <w:numFmt w:val="none"/>
      <w:pStyle w:val="10"/>
      <w:suff w:val="nothing"/>
      <w:lvlText w:val=""/>
      <w:lvlJc w:val="left"/>
      <w:pPr>
        <w:tabs>
          <w:tab w:val="left" w:pos="0"/>
        </w:tabs>
        <w:ind w:left="0" w:firstLine="0"/>
      </w:pPr>
    </w:lvl>
    <w:lvl w:ilvl="8" w:tentative="0">
      <w:start w:val="1"/>
      <w:numFmt w:val="none"/>
      <w:pStyle w:val="11"/>
      <w:suff w:val="nothing"/>
      <w:lvlText w:val=""/>
      <w:lvlJc w:val="left"/>
      <w:pPr>
        <w:tabs>
          <w:tab w:val="left" w:pos="0"/>
        </w:tabs>
        <w:ind w:left="0" w:firstLine="0"/>
      </w:pPr>
    </w:lvl>
  </w:abstractNum>
  <w:abstractNum w:abstractNumId="30">
    <w:nsid w:val="7A7839E4"/>
    <w:multiLevelType w:val="singleLevel"/>
    <w:tmpl w:val="7A7839E4"/>
    <w:lvl w:ilvl="0" w:tentative="0">
      <w:start w:val="2"/>
      <w:numFmt w:val="decimal"/>
      <w:suff w:val="nothing"/>
      <w:lvlText w:val="%1、"/>
      <w:lvlJc w:val="left"/>
    </w:lvl>
  </w:abstractNum>
  <w:num w:numId="1">
    <w:abstractNumId w:val="29"/>
  </w:num>
  <w:num w:numId="2">
    <w:abstractNumId w:val="9"/>
  </w:num>
  <w:num w:numId="3">
    <w:abstractNumId w:val="15"/>
  </w:num>
  <w:num w:numId="4">
    <w:abstractNumId w:val="10"/>
  </w:num>
  <w:num w:numId="5">
    <w:abstractNumId w:val="16"/>
  </w:num>
  <w:num w:numId="6">
    <w:abstractNumId w:val="20"/>
  </w:num>
  <w:num w:numId="7">
    <w:abstractNumId w:val="12"/>
  </w:num>
  <w:num w:numId="8">
    <w:abstractNumId w:val="19"/>
  </w:num>
  <w:num w:numId="9">
    <w:abstractNumId w:val="7"/>
  </w:num>
  <w:num w:numId="10">
    <w:abstractNumId w:val="17"/>
  </w:num>
  <w:num w:numId="11">
    <w:abstractNumId w:val="11"/>
  </w:num>
  <w:num w:numId="12">
    <w:abstractNumId w:val="8"/>
  </w:num>
  <w:num w:numId="13">
    <w:abstractNumId w:val="13"/>
  </w:num>
  <w:num w:numId="14">
    <w:abstractNumId w:val="14"/>
  </w:num>
  <w:num w:numId="15">
    <w:abstractNumId w:val="23"/>
  </w:num>
  <w:num w:numId="16">
    <w:abstractNumId w:val="21"/>
  </w:num>
  <w:num w:numId="17">
    <w:abstractNumId w:val="1"/>
  </w:num>
  <w:num w:numId="18">
    <w:abstractNumId w:val="18"/>
  </w:num>
  <w:num w:numId="19">
    <w:abstractNumId w:val="27"/>
  </w:num>
  <w:num w:numId="20">
    <w:abstractNumId w:val="4"/>
  </w:num>
  <w:num w:numId="21">
    <w:abstractNumId w:val="6"/>
  </w:num>
  <w:num w:numId="22">
    <w:abstractNumId w:val="22"/>
  </w:num>
  <w:num w:numId="23">
    <w:abstractNumId w:val="3"/>
  </w:num>
  <w:num w:numId="24">
    <w:abstractNumId w:val="2"/>
  </w:num>
  <w:num w:numId="25">
    <w:abstractNumId w:val="5"/>
  </w:num>
  <w:num w:numId="26">
    <w:abstractNumId w:val="24"/>
  </w:num>
  <w:num w:numId="27">
    <w:abstractNumId w:val="30"/>
  </w:num>
  <w:num w:numId="28">
    <w:abstractNumId w:val="25"/>
  </w:num>
  <w:num w:numId="29">
    <w:abstractNumId w:val="0"/>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DRiZWUzMTIxYjQwMmYyZDczMjdmZTc0Nzc3NmIifQ=="/>
  </w:docVars>
  <w:rsids>
    <w:rsidRoot w:val="00172A27"/>
    <w:rsid w:val="00025F30"/>
    <w:rsid w:val="000306C0"/>
    <w:rsid w:val="000366AD"/>
    <w:rsid w:val="00037A77"/>
    <w:rsid w:val="000550FE"/>
    <w:rsid w:val="00063757"/>
    <w:rsid w:val="00063D40"/>
    <w:rsid w:val="00074DB3"/>
    <w:rsid w:val="0007519F"/>
    <w:rsid w:val="00082766"/>
    <w:rsid w:val="000A13A1"/>
    <w:rsid w:val="000A5897"/>
    <w:rsid w:val="000B3227"/>
    <w:rsid w:val="000D0170"/>
    <w:rsid w:val="000D0936"/>
    <w:rsid w:val="000D1393"/>
    <w:rsid w:val="000D2CF9"/>
    <w:rsid w:val="000D7CA1"/>
    <w:rsid w:val="000F375B"/>
    <w:rsid w:val="0011070D"/>
    <w:rsid w:val="00127619"/>
    <w:rsid w:val="00135F7F"/>
    <w:rsid w:val="00142557"/>
    <w:rsid w:val="00142FB4"/>
    <w:rsid w:val="001502DB"/>
    <w:rsid w:val="00157C9B"/>
    <w:rsid w:val="00166D53"/>
    <w:rsid w:val="00172A27"/>
    <w:rsid w:val="001817DD"/>
    <w:rsid w:val="00185EA5"/>
    <w:rsid w:val="0019077E"/>
    <w:rsid w:val="00195755"/>
    <w:rsid w:val="00197ADA"/>
    <w:rsid w:val="001B38B0"/>
    <w:rsid w:val="001B424A"/>
    <w:rsid w:val="001C28A8"/>
    <w:rsid w:val="001C47B3"/>
    <w:rsid w:val="001C580A"/>
    <w:rsid w:val="001C6794"/>
    <w:rsid w:val="001D3F0C"/>
    <w:rsid w:val="001E3AA1"/>
    <w:rsid w:val="001E4D9C"/>
    <w:rsid w:val="0020342A"/>
    <w:rsid w:val="00204D90"/>
    <w:rsid w:val="0021040F"/>
    <w:rsid w:val="00211F64"/>
    <w:rsid w:val="0021460F"/>
    <w:rsid w:val="002370D3"/>
    <w:rsid w:val="002607B0"/>
    <w:rsid w:val="00272228"/>
    <w:rsid w:val="0028138E"/>
    <w:rsid w:val="002902E7"/>
    <w:rsid w:val="002919FE"/>
    <w:rsid w:val="002B648F"/>
    <w:rsid w:val="002E39B7"/>
    <w:rsid w:val="002E7D3A"/>
    <w:rsid w:val="002F2892"/>
    <w:rsid w:val="00304565"/>
    <w:rsid w:val="00317428"/>
    <w:rsid w:val="003202D5"/>
    <w:rsid w:val="00336A96"/>
    <w:rsid w:val="00341500"/>
    <w:rsid w:val="003479DC"/>
    <w:rsid w:val="00352C46"/>
    <w:rsid w:val="00354630"/>
    <w:rsid w:val="00355175"/>
    <w:rsid w:val="00371826"/>
    <w:rsid w:val="003A308B"/>
    <w:rsid w:val="003A7C9C"/>
    <w:rsid w:val="003B3C25"/>
    <w:rsid w:val="003B5655"/>
    <w:rsid w:val="003B5758"/>
    <w:rsid w:val="003C06E2"/>
    <w:rsid w:val="003D2E0E"/>
    <w:rsid w:val="003D3368"/>
    <w:rsid w:val="003D7961"/>
    <w:rsid w:val="003E0B55"/>
    <w:rsid w:val="003E1B7A"/>
    <w:rsid w:val="003E2B63"/>
    <w:rsid w:val="003F3698"/>
    <w:rsid w:val="004125E2"/>
    <w:rsid w:val="00420FE3"/>
    <w:rsid w:val="00437421"/>
    <w:rsid w:val="00447833"/>
    <w:rsid w:val="004506A0"/>
    <w:rsid w:val="0045306F"/>
    <w:rsid w:val="00462814"/>
    <w:rsid w:val="00466C09"/>
    <w:rsid w:val="00477751"/>
    <w:rsid w:val="00483981"/>
    <w:rsid w:val="0049252B"/>
    <w:rsid w:val="0049761C"/>
    <w:rsid w:val="004B2AB7"/>
    <w:rsid w:val="004E5ACE"/>
    <w:rsid w:val="004F272E"/>
    <w:rsid w:val="0051085D"/>
    <w:rsid w:val="005145B8"/>
    <w:rsid w:val="00515C8B"/>
    <w:rsid w:val="00520BAA"/>
    <w:rsid w:val="005466D7"/>
    <w:rsid w:val="00546B3C"/>
    <w:rsid w:val="00570018"/>
    <w:rsid w:val="00575B22"/>
    <w:rsid w:val="00577A03"/>
    <w:rsid w:val="00587ACF"/>
    <w:rsid w:val="00592308"/>
    <w:rsid w:val="0059487E"/>
    <w:rsid w:val="00596619"/>
    <w:rsid w:val="00597ADE"/>
    <w:rsid w:val="005B4CA4"/>
    <w:rsid w:val="005B694E"/>
    <w:rsid w:val="005C21F0"/>
    <w:rsid w:val="005C4BF6"/>
    <w:rsid w:val="005D0D6F"/>
    <w:rsid w:val="005D3ABD"/>
    <w:rsid w:val="005D7400"/>
    <w:rsid w:val="005D7CFB"/>
    <w:rsid w:val="005E2839"/>
    <w:rsid w:val="005F362C"/>
    <w:rsid w:val="005F5A4D"/>
    <w:rsid w:val="005F693A"/>
    <w:rsid w:val="00605F47"/>
    <w:rsid w:val="00614972"/>
    <w:rsid w:val="006261C8"/>
    <w:rsid w:val="00637D45"/>
    <w:rsid w:val="00641A5F"/>
    <w:rsid w:val="00655865"/>
    <w:rsid w:val="00663B2C"/>
    <w:rsid w:val="00684E31"/>
    <w:rsid w:val="00687342"/>
    <w:rsid w:val="00694993"/>
    <w:rsid w:val="006976DC"/>
    <w:rsid w:val="006B0C80"/>
    <w:rsid w:val="006B41C9"/>
    <w:rsid w:val="006C4C71"/>
    <w:rsid w:val="006D2380"/>
    <w:rsid w:val="006D77E8"/>
    <w:rsid w:val="006D7C31"/>
    <w:rsid w:val="00703482"/>
    <w:rsid w:val="00703BDD"/>
    <w:rsid w:val="00703FB4"/>
    <w:rsid w:val="007047B5"/>
    <w:rsid w:val="007129E8"/>
    <w:rsid w:val="00720B7F"/>
    <w:rsid w:val="00722DD6"/>
    <w:rsid w:val="007619DF"/>
    <w:rsid w:val="0076608D"/>
    <w:rsid w:val="00766814"/>
    <w:rsid w:val="00773B7E"/>
    <w:rsid w:val="007854C1"/>
    <w:rsid w:val="00785AA5"/>
    <w:rsid w:val="0079746B"/>
    <w:rsid w:val="007A2E03"/>
    <w:rsid w:val="007A415A"/>
    <w:rsid w:val="007B0AC7"/>
    <w:rsid w:val="007B704C"/>
    <w:rsid w:val="007C1618"/>
    <w:rsid w:val="007C3DCE"/>
    <w:rsid w:val="007C63F6"/>
    <w:rsid w:val="008014BF"/>
    <w:rsid w:val="00801DD2"/>
    <w:rsid w:val="008304FC"/>
    <w:rsid w:val="008443D4"/>
    <w:rsid w:val="00851376"/>
    <w:rsid w:val="0086150D"/>
    <w:rsid w:val="00866F3B"/>
    <w:rsid w:val="00890365"/>
    <w:rsid w:val="00894F9C"/>
    <w:rsid w:val="008B3450"/>
    <w:rsid w:val="008B5DA0"/>
    <w:rsid w:val="008C180C"/>
    <w:rsid w:val="008C6B6D"/>
    <w:rsid w:val="008D5172"/>
    <w:rsid w:val="008D6A2A"/>
    <w:rsid w:val="008E5B96"/>
    <w:rsid w:val="008E61C5"/>
    <w:rsid w:val="00905D07"/>
    <w:rsid w:val="0092013D"/>
    <w:rsid w:val="009237D9"/>
    <w:rsid w:val="009335D7"/>
    <w:rsid w:val="00940E0C"/>
    <w:rsid w:val="00943032"/>
    <w:rsid w:val="00947489"/>
    <w:rsid w:val="00951081"/>
    <w:rsid w:val="00954D1E"/>
    <w:rsid w:val="00956D13"/>
    <w:rsid w:val="00957020"/>
    <w:rsid w:val="009637A7"/>
    <w:rsid w:val="00981DD0"/>
    <w:rsid w:val="00986B77"/>
    <w:rsid w:val="00995D64"/>
    <w:rsid w:val="009A6841"/>
    <w:rsid w:val="009B52E4"/>
    <w:rsid w:val="009F3857"/>
    <w:rsid w:val="009F4D8C"/>
    <w:rsid w:val="00A00E6B"/>
    <w:rsid w:val="00A01450"/>
    <w:rsid w:val="00A050DD"/>
    <w:rsid w:val="00A14296"/>
    <w:rsid w:val="00A221D1"/>
    <w:rsid w:val="00A30423"/>
    <w:rsid w:val="00A36AA2"/>
    <w:rsid w:val="00A447D6"/>
    <w:rsid w:val="00A55C6B"/>
    <w:rsid w:val="00A5621E"/>
    <w:rsid w:val="00A5639B"/>
    <w:rsid w:val="00A718B2"/>
    <w:rsid w:val="00A755A9"/>
    <w:rsid w:val="00AC3CFE"/>
    <w:rsid w:val="00AD0DBC"/>
    <w:rsid w:val="00AD70A2"/>
    <w:rsid w:val="00AD7D59"/>
    <w:rsid w:val="00AF2109"/>
    <w:rsid w:val="00AF4286"/>
    <w:rsid w:val="00AF74BF"/>
    <w:rsid w:val="00B00CB8"/>
    <w:rsid w:val="00B108FA"/>
    <w:rsid w:val="00B130E4"/>
    <w:rsid w:val="00B13511"/>
    <w:rsid w:val="00B2002F"/>
    <w:rsid w:val="00B23555"/>
    <w:rsid w:val="00B27F26"/>
    <w:rsid w:val="00B676F2"/>
    <w:rsid w:val="00B72B8F"/>
    <w:rsid w:val="00B75504"/>
    <w:rsid w:val="00B903BF"/>
    <w:rsid w:val="00BA7D3B"/>
    <w:rsid w:val="00BC2420"/>
    <w:rsid w:val="00BD030C"/>
    <w:rsid w:val="00BD0F15"/>
    <w:rsid w:val="00BD64ED"/>
    <w:rsid w:val="00BE5D7B"/>
    <w:rsid w:val="00BE67B5"/>
    <w:rsid w:val="00BE6A93"/>
    <w:rsid w:val="00BF1816"/>
    <w:rsid w:val="00C11CE7"/>
    <w:rsid w:val="00C1563D"/>
    <w:rsid w:val="00C15DAB"/>
    <w:rsid w:val="00C45CE5"/>
    <w:rsid w:val="00C6581A"/>
    <w:rsid w:val="00C764E4"/>
    <w:rsid w:val="00C83F63"/>
    <w:rsid w:val="00C86DBC"/>
    <w:rsid w:val="00C969CB"/>
    <w:rsid w:val="00C97F7F"/>
    <w:rsid w:val="00CD30E7"/>
    <w:rsid w:val="00CD41C3"/>
    <w:rsid w:val="00CD62D9"/>
    <w:rsid w:val="00CE26D1"/>
    <w:rsid w:val="00CE3B90"/>
    <w:rsid w:val="00CE6D2F"/>
    <w:rsid w:val="00CE71D6"/>
    <w:rsid w:val="00CF0751"/>
    <w:rsid w:val="00CF0E11"/>
    <w:rsid w:val="00CF7187"/>
    <w:rsid w:val="00D0281C"/>
    <w:rsid w:val="00D0307A"/>
    <w:rsid w:val="00D05698"/>
    <w:rsid w:val="00D05A40"/>
    <w:rsid w:val="00D06D1B"/>
    <w:rsid w:val="00D178D9"/>
    <w:rsid w:val="00D31961"/>
    <w:rsid w:val="00D41F14"/>
    <w:rsid w:val="00D57BE3"/>
    <w:rsid w:val="00D640CD"/>
    <w:rsid w:val="00D70D16"/>
    <w:rsid w:val="00DB21A9"/>
    <w:rsid w:val="00DC0C85"/>
    <w:rsid w:val="00DE5212"/>
    <w:rsid w:val="00DE7B2E"/>
    <w:rsid w:val="00E0544B"/>
    <w:rsid w:val="00E118A1"/>
    <w:rsid w:val="00E205FC"/>
    <w:rsid w:val="00E27099"/>
    <w:rsid w:val="00E33E5C"/>
    <w:rsid w:val="00E34CC1"/>
    <w:rsid w:val="00E47820"/>
    <w:rsid w:val="00E51D62"/>
    <w:rsid w:val="00E624D2"/>
    <w:rsid w:val="00E641AC"/>
    <w:rsid w:val="00E82E6F"/>
    <w:rsid w:val="00E83A21"/>
    <w:rsid w:val="00E86F29"/>
    <w:rsid w:val="00E877B6"/>
    <w:rsid w:val="00EA77B0"/>
    <w:rsid w:val="00EC407D"/>
    <w:rsid w:val="00EC4C38"/>
    <w:rsid w:val="00ED773E"/>
    <w:rsid w:val="00EE2658"/>
    <w:rsid w:val="00EE3532"/>
    <w:rsid w:val="00EF3E60"/>
    <w:rsid w:val="00F10554"/>
    <w:rsid w:val="00F120FE"/>
    <w:rsid w:val="00F15922"/>
    <w:rsid w:val="00F23979"/>
    <w:rsid w:val="00F4511F"/>
    <w:rsid w:val="00F4527A"/>
    <w:rsid w:val="00F45952"/>
    <w:rsid w:val="00F91EF3"/>
    <w:rsid w:val="00F96936"/>
    <w:rsid w:val="00F96E45"/>
    <w:rsid w:val="00F97181"/>
    <w:rsid w:val="00FA22C5"/>
    <w:rsid w:val="00FB041C"/>
    <w:rsid w:val="00FC5D92"/>
    <w:rsid w:val="00FD0D5C"/>
    <w:rsid w:val="00FD42F9"/>
    <w:rsid w:val="00FD57AA"/>
    <w:rsid w:val="00FD7483"/>
    <w:rsid w:val="00FE0125"/>
    <w:rsid w:val="00FF222C"/>
    <w:rsid w:val="011577F0"/>
    <w:rsid w:val="013C7878"/>
    <w:rsid w:val="018B50A1"/>
    <w:rsid w:val="02D54707"/>
    <w:rsid w:val="04320F73"/>
    <w:rsid w:val="045E752A"/>
    <w:rsid w:val="04A91437"/>
    <w:rsid w:val="054E4CF2"/>
    <w:rsid w:val="05A70AA8"/>
    <w:rsid w:val="060D7C10"/>
    <w:rsid w:val="0661254F"/>
    <w:rsid w:val="06991F52"/>
    <w:rsid w:val="07835D07"/>
    <w:rsid w:val="08543BE0"/>
    <w:rsid w:val="08D665CF"/>
    <w:rsid w:val="09272D99"/>
    <w:rsid w:val="09595A5E"/>
    <w:rsid w:val="09F7083F"/>
    <w:rsid w:val="0A181C42"/>
    <w:rsid w:val="0A375B68"/>
    <w:rsid w:val="0B250C24"/>
    <w:rsid w:val="0BD82180"/>
    <w:rsid w:val="0C007023"/>
    <w:rsid w:val="0C76020F"/>
    <w:rsid w:val="0C9C5202"/>
    <w:rsid w:val="0C9F31F7"/>
    <w:rsid w:val="0D233BFF"/>
    <w:rsid w:val="0E10622A"/>
    <w:rsid w:val="0E922C1D"/>
    <w:rsid w:val="0EA762AF"/>
    <w:rsid w:val="0EE30F3A"/>
    <w:rsid w:val="0EFB51A5"/>
    <w:rsid w:val="0F40431F"/>
    <w:rsid w:val="10154AAA"/>
    <w:rsid w:val="10BD06DF"/>
    <w:rsid w:val="10F01CEC"/>
    <w:rsid w:val="11510F99"/>
    <w:rsid w:val="1163561F"/>
    <w:rsid w:val="12182F60"/>
    <w:rsid w:val="128F6177"/>
    <w:rsid w:val="13AA5273"/>
    <w:rsid w:val="156A7C3C"/>
    <w:rsid w:val="16E67F86"/>
    <w:rsid w:val="172A2826"/>
    <w:rsid w:val="19A40EDC"/>
    <w:rsid w:val="19B465B5"/>
    <w:rsid w:val="1A4E648D"/>
    <w:rsid w:val="1A6639B4"/>
    <w:rsid w:val="1B456003"/>
    <w:rsid w:val="1B6A330D"/>
    <w:rsid w:val="1C330414"/>
    <w:rsid w:val="1C356769"/>
    <w:rsid w:val="1C3C3C55"/>
    <w:rsid w:val="1CB344EE"/>
    <w:rsid w:val="1CC6300B"/>
    <w:rsid w:val="1D0847AA"/>
    <w:rsid w:val="1DF73F32"/>
    <w:rsid w:val="1E18436E"/>
    <w:rsid w:val="1E462387"/>
    <w:rsid w:val="1E6F4A3E"/>
    <w:rsid w:val="1E9F1A2C"/>
    <w:rsid w:val="1F2C1838"/>
    <w:rsid w:val="1FE70B09"/>
    <w:rsid w:val="1FEA3B24"/>
    <w:rsid w:val="203E1074"/>
    <w:rsid w:val="20E36342"/>
    <w:rsid w:val="20E56222"/>
    <w:rsid w:val="212C2DB5"/>
    <w:rsid w:val="212E7EEB"/>
    <w:rsid w:val="21B662BF"/>
    <w:rsid w:val="21BB2E9A"/>
    <w:rsid w:val="21DC3EF7"/>
    <w:rsid w:val="223816FE"/>
    <w:rsid w:val="22C209EA"/>
    <w:rsid w:val="2391178A"/>
    <w:rsid w:val="23AE22F5"/>
    <w:rsid w:val="240E0768"/>
    <w:rsid w:val="24A42690"/>
    <w:rsid w:val="24B142B0"/>
    <w:rsid w:val="24D844C7"/>
    <w:rsid w:val="25202022"/>
    <w:rsid w:val="266A7BA3"/>
    <w:rsid w:val="2680240B"/>
    <w:rsid w:val="273E1482"/>
    <w:rsid w:val="2769096E"/>
    <w:rsid w:val="28E367D5"/>
    <w:rsid w:val="291730EC"/>
    <w:rsid w:val="297B1C09"/>
    <w:rsid w:val="2A4B7CC0"/>
    <w:rsid w:val="2A700188"/>
    <w:rsid w:val="2AB0153D"/>
    <w:rsid w:val="2B024D8D"/>
    <w:rsid w:val="2B575EA1"/>
    <w:rsid w:val="2C283071"/>
    <w:rsid w:val="2CA016C9"/>
    <w:rsid w:val="2D5D4886"/>
    <w:rsid w:val="2D6E20B5"/>
    <w:rsid w:val="2DBA2E0B"/>
    <w:rsid w:val="2E1B2E93"/>
    <w:rsid w:val="2EBC58E3"/>
    <w:rsid w:val="2EEA56C8"/>
    <w:rsid w:val="2F4A6ED6"/>
    <w:rsid w:val="2F837BED"/>
    <w:rsid w:val="2FA61486"/>
    <w:rsid w:val="2FBD1D25"/>
    <w:rsid w:val="303C6A98"/>
    <w:rsid w:val="30580CF5"/>
    <w:rsid w:val="30DC6445"/>
    <w:rsid w:val="31117149"/>
    <w:rsid w:val="312F1563"/>
    <w:rsid w:val="318D1A91"/>
    <w:rsid w:val="31AF6924"/>
    <w:rsid w:val="31D94E47"/>
    <w:rsid w:val="3284088A"/>
    <w:rsid w:val="33802572"/>
    <w:rsid w:val="33AA3FE4"/>
    <w:rsid w:val="341F3F7C"/>
    <w:rsid w:val="343E27CB"/>
    <w:rsid w:val="34D675C6"/>
    <w:rsid w:val="352722E5"/>
    <w:rsid w:val="354103E8"/>
    <w:rsid w:val="35A1178A"/>
    <w:rsid w:val="36211CB5"/>
    <w:rsid w:val="363E1D9F"/>
    <w:rsid w:val="36484DD0"/>
    <w:rsid w:val="37465ADE"/>
    <w:rsid w:val="375F185A"/>
    <w:rsid w:val="37B8429E"/>
    <w:rsid w:val="37D1291E"/>
    <w:rsid w:val="37D90117"/>
    <w:rsid w:val="389C4F20"/>
    <w:rsid w:val="38B158B1"/>
    <w:rsid w:val="38E53BA7"/>
    <w:rsid w:val="39067BE4"/>
    <w:rsid w:val="393A4E98"/>
    <w:rsid w:val="394531C5"/>
    <w:rsid w:val="39AD7840"/>
    <w:rsid w:val="3A3A23B2"/>
    <w:rsid w:val="3A666AF2"/>
    <w:rsid w:val="3AC95E46"/>
    <w:rsid w:val="3AEB08CC"/>
    <w:rsid w:val="3B110285"/>
    <w:rsid w:val="3B7D37B5"/>
    <w:rsid w:val="3BB75B25"/>
    <w:rsid w:val="3C1D3F7F"/>
    <w:rsid w:val="3C243B4E"/>
    <w:rsid w:val="3C29117D"/>
    <w:rsid w:val="3C894E42"/>
    <w:rsid w:val="3D2C2281"/>
    <w:rsid w:val="3D445312"/>
    <w:rsid w:val="3E4C7231"/>
    <w:rsid w:val="3EB24CC5"/>
    <w:rsid w:val="3F5B53BD"/>
    <w:rsid w:val="3FC6247E"/>
    <w:rsid w:val="3FD53AE5"/>
    <w:rsid w:val="3FEC62BF"/>
    <w:rsid w:val="40654B6C"/>
    <w:rsid w:val="407108CE"/>
    <w:rsid w:val="40CF1B73"/>
    <w:rsid w:val="41157949"/>
    <w:rsid w:val="41532240"/>
    <w:rsid w:val="41686997"/>
    <w:rsid w:val="42035D2E"/>
    <w:rsid w:val="42B33C50"/>
    <w:rsid w:val="42CB0DC7"/>
    <w:rsid w:val="42CB12DA"/>
    <w:rsid w:val="43BD1A3C"/>
    <w:rsid w:val="44112EB8"/>
    <w:rsid w:val="44E00428"/>
    <w:rsid w:val="45536D82"/>
    <w:rsid w:val="465311CD"/>
    <w:rsid w:val="46736F40"/>
    <w:rsid w:val="47FC1857"/>
    <w:rsid w:val="485B0690"/>
    <w:rsid w:val="487914A6"/>
    <w:rsid w:val="489709EA"/>
    <w:rsid w:val="48D00101"/>
    <w:rsid w:val="4976626B"/>
    <w:rsid w:val="49C10DC5"/>
    <w:rsid w:val="49C343C4"/>
    <w:rsid w:val="4A665018"/>
    <w:rsid w:val="4B152832"/>
    <w:rsid w:val="4BFA684F"/>
    <w:rsid w:val="4E0F0B87"/>
    <w:rsid w:val="4E802F63"/>
    <w:rsid w:val="4EA129E7"/>
    <w:rsid w:val="4EEA1138"/>
    <w:rsid w:val="4F170DB4"/>
    <w:rsid w:val="4F192942"/>
    <w:rsid w:val="4F706945"/>
    <w:rsid w:val="4F814151"/>
    <w:rsid w:val="4FDB6E60"/>
    <w:rsid w:val="4FF049BA"/>
    <w:rsid w:val="506A3F02"/>
    <w:rsid w:val="50BF5D49"/>
    <w:rsid w:val="50C04909"/>
    <w:rsid w:val="50C114E3"/>
    <w:rsid w:val="5120384B"/>
    <w:rsid w:val="51DE0653"/>
    <w:rsid w:val="522A036F"/>
    <w:rsid w:val="522D34D7"/>
    <w:rsid w:val="52443011"/>
    <w:rsid w:val="52D06E52"/>
    <w:rsid w:val="530D4C55"/>
    <w:rsid w:val="537E1D7C"/>
    <w:rsid w:val="53C478FE"/>
    <w:rsid w:val="540E72EB"/>
    <w:rsid w:val="541D21E1"/>
    <w:rsid w:val="54B56440"/>
    <w:rsid w:val="54DB484E"/>
    <w:rsid w:val="54ED4473"/>
    <w:rsid w:val="5581329E"/>
    <w:rsid w:val="55CA6201"/>
    <w:rsid w:val="57153D6C"/>
    <w:rsid w:val="57E3223E"/>
    <w:rsid w:val="58252987"/>
    <w:rsid w:val="582565E7"/>
    <w:rsid w:val="58F46E86"/>
    <w:rsid w:val="59292222"/>
    <w:rsid w:val="598D62E6"/>
    <w:rsid w:val="5BB16B09"/>
    <w:rsid w:val="5BE4311F"/>
    <w:rsid w:val="5BE76260"/>
    <w:rsid w:val="5C7E2AAE"/>
    <w:rsid w:val="5CE3704A"/>
    <w:rsid w:val="5D1174C5"/>
    <w:rsid w:val="5D8170B4"/>
    <w:rsid w:val="5D9F125F"/>
    <w:rsid w:val="5DEE6BF8"/>
    <w:rsid w:val="5E647DE8"/>
    <w:rsid w:val="5EC07652"/>
    <w:rsid w:val="5F045EDA"/>
    <w:rsid w:val="5F9F3AEC"/>
    <w:rsid w:val="60637E92"/>
    <w:rsid w:val="60713450"/>
    <w:rsid w:val="6116563B"/>
    <w:rsid w:val="61563910"/>
    <w:rsid w:val="620A43A2"/>
    <w:rsid w:val="624316D9"/>
    <w:rsid w:val="626C0DAA"/>
    <w:rsid w:val="62BE32AB"/>
    <w:rsid w:val="635823FD"/>
    <w:rsid w:val="63A755EC"/>
    <w:rsid w:val="642C0428"/>
    <w:rsid w:val="64DA25B4"/>
    <w:rsid w:val="65941616"/>
    <w:rsid w:val="65B44484"/>
    <w:rsid w:val="65B71234"/>
    <w:rsid w:val="65FD2708"/>
    <w:rsid w:val="66346800"/>
    <w:rsid w:val="66446199"/>
    <w:rsid w:val="669A1BEC"/>
    <w:rsid w:val="671B7A0A"/>
    <w:rsid w:val="685C1AB4"/>
    <w:rsid w:val="68BB0A2D"/>
    <w:rsid w:val="69B603A7"/>
    <w:rsid w:val="69DE4AF2"/>
    <w:rsid w:val="6A9E1F30"/>
    <w:rsid w:val="6B4E6AE2"/>
    <w:rsid w:val="6BB334C7"/>
    <w:rsid w:val="6DCF33BC"/>
    <w:rsid w:val="6DE5550B"/>
    <w:rsid w:val="6E695A07"/>
    <w:rsid w:val="6EF50AFC"/>
    <w:rsid w:val="6F787F4D"/>
    <w:rsid w:val="7117743B"/>
    <w:rsid w:val="71427D7A"/>
    <w:rsid w:val="716F1E18"/>
    <w:rsid w:val="71EB4948"/>
    <w:rsid w:val="725418F8"/>
    <w:rsid w:val="72FB3513"/>
    <w:rsid w:val="73BC7D54"/>
    <w:rsid w:val="74423D59"/>
    <w:rsid w:val="745D02DE"/>
    <w:rsid w:val="74F14E64"/>
    <w:rsid w:val="752904FE"/>
    <w:rsid w:val="75D56DC3"/>
    <w:rsid w:val="762B546D"/>
    <w:rsid w:val="768C0FAF"/>
    <w:rsid w:val="7721268A"/>
    <w:rsid w:val="775076BF"/>
    <w:rsid w:val="77895332"/>
    <w:rsid w:val="77B363EF"/>
    <w:rsid w:val="77E8632C"/>
    <w:rsid w:val="77F63934"/>
    <w:rsid w:val="78101E28"/>
    <w:rsid w:val="78C82968"/>
    <w:rsid w:val="790007A3"/>
    <w:rsid w:val="79B22494"/>
    <w:rsid w:val="79B943EC"/>
    <w:rsid w:val="7A0976B0"/>
    <w:rsid w:val="7A1E1952"/>
    <w:rsid w:val="7A9C15FD"/>
    <w:rsid w:val="7BBB2034"/>
    <w:rsid w:val="7BCE5BC5"/>
    <w:rsid w:val="7BDC6BB4"/>
    <w:rsid w:val="7C993744"/>
    <w:rsid w:val="7D045FF3"/>
    <w:rsid w:val="7D1F127E"/>
    <w:rsid w:val="7D315C16"/>
    <w:rsid w:val="7D3E0118"/>
    <w:rsid w:val="7D5241DF"/>
    <w:rsid w:val="7D917D9D"/>
    <w:rsid w:val="7EB670BD"/>
    <w:rsid w:val="7F422CFE"/>
    <w:rsid w:val="7FD31429"/>
    <w:rsid w:val="7FED3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宋体" w:eastAsia="黑体"/>
      <w:b/>
      <w:color w:val="000000"/>
      <w:kern w:val="44"/>
      <w:sz w:val="36"/>
      <w:szCs w:val="20"/>
    </w:rPr>
  </w:style>
  <w:style w:type="paragraph" w:styleId="4">
    <w:name w:val="heading 2"/>
    <w:basedOn w:val="1"/>
    <w:next w:val="1"/>
    <w:qFormat/>
    <w:uiPriority w:val="0"/>
    <w:pPr>
      <w:keepNext/>
      <w:keepLines/>
      <w:spacing w:before="260" w:after="260" w:line="410" w:lineRule="auto"/>
      <w:outlineLvl w:val="1"/>
    </w:pPr>
    <w:rPr>
      <w:rFonts w:ascii="Arial" w:hAnsi="Arial" w:eastAsia="黑体"/>
      <w:b/>
      <w:bCs/>
      <w:sz w:val="32"/>
      <w:szCs w:val="32"/>
    </w:rPr>
  </w:style>
  <w:style w:type="paragraph" w:styleId="5">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6"/>
    <w:basedOn w:val="1"/>
    <w:next w:val="1"/>
    <w:qFormat/>
    <w:uiPriority w:val="0"/>
    <w:pPr>
      <w:keepNext/>
      <w:keepLines/>
      <w:spacing w:before="240" w:after="64" w:line="314" w:lineRule="auto"/>
      <w:outlineLvl w:val="5"/>
    </w:pPr>
    <w:rPr>
      <w:rFonts w:ascii="Arial" w:hAnsi="Arial" w:eastAsia="黑体"/>
      <w:b/>
      <w:bCs/>
      <w:sz w:val="24"/>
      <w:szCs w:val="20"/>
    </w:rPr>
  </w:style>
  <w:style w:type="paragraph" w:styleId="9">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hAnsi="宋体" w:eastAsia="仿宋_GB2312"/>
      <w:b/>
      <w:kern w:val="0"/>
      <w:sz w:val="24"/>
      <w:szCs w:val="20"/>
    </w:rPr>
  </w:style>
  <w:style w:type="paragraph" w:styleId="10">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next w:val="1"/>
    <w:qFormat/>
    <w:uiPriority w:val="0"/>
    <w:pPr>
      <w:pBdr>
        <w:bottom w:val="single" w:color="auto" w:sz="6" w:space="1"/>
      </w:pBdr>
      <w:jc w:val="center"/>
    </w:pPr>
    <w:rPr>
      <w:rFonts w:ascii="Arial"/>
      <w:vanish/>
      <w:sz w:val="16"/>
    </w:r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pPr>
      <w:widowControl/>
      <w:numPr>
        <w:ilvl w:val="0"/>
        <w:numId w:val="2"/>
      </w:numPr>
      <w:tabs>
        <w:tab w:val="left" w:pos="454"/>
        <w:tab w:val="left" w:pos="720"/>
        <w:tab w:val="clear" w:pos="900"/>
      </w:tabs>
      <w:spacing w:afterLines="50"/>
      <w:ind w:left="454" w:hanging="284"/>
      <w:jc w:val="left"/>
    </w:pPr>
    <w:rPr>
      <w:kern w:val="0"/>
      <w:sz w:val="24"/>
      <w:szCs w:val="20"/>
    </w:rPr>
  </w:style>
  <w:style w:type="paragraph" w:styleId="14">
    <w:name w:val="Normal Indent"/>
    <w:basedOn w:val="1"/>
    <w:qFormat/>
    <w:uiPriority w:val="0"/>
    <w:pPr>
      <w:ind w:firstLine="42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numPr>
        <w:ilvl w:val="0"/>
        <w:numId w:val="3"/>
      </w:numPr>
      <w:spacing w:before="100" w:beforeAutospacing="1" w:afterLines="50" w:afterAutospacing="1"/>
      <w:jc w:val="left"/>
    </w:pPr>
    <w:rPr>
      <w:kern w:val="0"/>
      <w:szCs w:val="20"/>
    </w:rPr>
  </w:style>
  <w:style w:type="paragraph" w:styleId="17">
    <w:name w:val="Document Map"/>
    <w:basedOn w:val="1"/>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after="120"/>
    </w:pPr>
    <w:rPr>
      <w:sz w:val="16"/>
      <w:szCs w:val="16"/>
    </w:rPr>
  </w:style>
  <w:style w:type="paragraph" w:styleId="20">
    <w:name w:val="Body Text"/>
    <w:basedOn w:val="1"/>
    <w:next w:val="21"/>
    <w:qFormat/>
    <w:uiPriority w:val="0"/>
    <w:pPr>
      <w:spacing w:after="120"/>
    </w:pPr>
    <w:rPr>
      <w:sz w:val="28"/>
    </w:rPr>
  </w:style>
  <w:style w:type="paragraph" w:styleId="21">
    <w:name w:val="Body Text First Indent"/>
    <w:basedOn w:val="20"/>
    <w:next w:val="22"/>
    <w:qFormat/>
    <w:uiPriority w:val="0"/>
    <w:pPr>
      <w:spacing w:line="360" w:lineRule="auto"/>
      <w:ind w:firstLine="200" w:firstLineChars="200"/>
      <w:jc w:val="left"/>
    </w:pPr>
    <w:rPr>
      <w:bCs/>
      <w:sz w:val="24"/>
    </w:rPr>
  </w:style>
  <w:style w:type="paragraph" w:styleId="22">
    <w:name w:val="toc 6"/>
    <w:basedOn w:val="1"/>
    <w:next w:val="1"/>
    <w:qFormat/>
    <w:uiPriority w:val="0"/>
    <w:pPr>
      <w:ind w:left="1050"/>
      <w:jc w:val="left"/>
    </w:pPr>
    <w:rPr>
      <w:sz w:val="18"/>
      <w:szCs w:val="18"/>
    </w:rPr>
  </w:style>
  <w:style w:type="paragraph" w:styleId="23">
    <w:name w:val="Body Text Indent"/>
    <w:basedOn w:val="1"/>
    <w:link w:val="76"/>
    <w:qFormat/>
    <w:uiPriority w:val="0"/>
    <w:pPr>
      <w:spacing w:line="200" w:lineRule="exact"/>
      <w:ind w:firstLine="301"/>
    </w:pPr>
    <w:rPr>
      <w:rFonts w:ascii="宋体"/>
      <w:spacing w:val="-4"/>
      <w:sz w:val="18"/>
      <w:szCs w:val="20"/>
    </w:rPr>
  </w:style>
  <w:style w:type="paragraph" w:styleId="24">
    <w:name w:val="List Number 3"/>
    <w:basedOn w:val="1"/>
    <w:qFormat/>
    <w:uiPriority w:val="0"/>
    <w:pPr>
      <w:tabs>
        <w:tab w:val="left" w:pos="1200"/>
      </w:tabs>
      <w:ind w:left="1200" w:hanging="360"/>
    </w:pPr>
  </w:style>
  <w:style w:type="paragraph" w:styleId="25">
    <w:name w:val="List Bullet 2"/>
    <w:basedOn w:val="1"/>
    <w:qFormat/>
    <w:uiPriority w:val="0"/>
    <w:pPr>
      <w:tabs>
        <w:tab w:val="left" w:pos="360"/>
        <w:tab w:val="left" w:pos="1191"/>
      </w:tabs>
      <w:snapToGrid w:val="0"/>
      <w:spacing w:line="360" w:lineRule="auto"/>
      <w:ind w:left="200" w:hanging="200" w:hangingChars="200"/>
      <w:jc w:val="left"/>
    </w:pPr>
    <w:rPr>
      <w:b/>
      <w:bCs/>
      <w:sz w:val="24"/>
      <w:szCs w:val="32"/>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79"/>
    <w:qFormat/>
    <w:uiPriority w:val="0"/>
    <w:pPr>
      <w:tabs>
        <w:tab w:val="left" w:pos="1200"/>
      </w:tabs>
      <w:spacing w:beforeLines="50" w:afterLines="50" w:line="400" w:lineRule="exact"/>
      <w:ind w:left="1200" w:hanging="360"/>
    </w:pPr>
    <w:rPr>
      <w:rFonts w:ascii="宋体"/>
      <w:sz w:val="24"/>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0"/>
    <w:qFormat/>
    <w:uiPriority w:val="0"/>
    <w:pPr>
      <w:ind w:left="2500" w:leftChars="2500"/>
    </w:pPr>
    <w:rPr>
      <w:rFonts w:eastAsia="楷体_GB2312"/>
      <w:sz w:val="32"/>
      <w:szCs w:val="20"/>
    </w:rPr>
  </w:style>
  <w:style w:type="paragraph" w:styleId="31">
    <w:name w:val="Body Text Indent 2"/>
    <w:basedOn w:val="1"/>
    <w:qFormat/>
    <w:uiPriority w:val="0"/>
    <w:pPr>
      <w:spacing w:after="120" w:line="480" w:lineRule="auto"/>
      <w:ind w:left="200" w:leftChars="200"/>
    </w:pPr>
  </w:style>
  <w:style w:type="paragraph" w:styleId="32">
    <w:name w:val="endnote text"/>
    <w:basedOn w:val="1"/>
    <w:qFormat/>
    <w:uiPriority w:val="0"/>
    <w:pPr>
      <w:snapToGrid w:val="0"/>
      <w:spacing w:afterLines="50"/>
      <w:jc w:val="left"/>
    </w:pPr>
    <w:rPr>
      <w:rFonts w:ascii="宋体"/>
      <w:snapToGrid w:val="0"/>
      <w:kern w:val="0"/>
      <w:szCs w:val="20"/>
    </w:rPr>
  </w:style>
  <w:style w:type="paragraph" w:styleId="33">
    <w:name w:val="Balloon Text"/>
    <w:basedOn w:val="1"/>
    <w:qFormat/>
    <w:uiPriority w:val="0"/>
    <w:rPr>
      <w:sz w:val="18"/>
      <w:szCs w:val="18"/>
    </w:rPr>
  </w:style>
  <w:style w:type="paragraph" w:styleId="34">
    <w:name w:val="footer"/>
    <w:basedOn w:val="1"/>
    <w:qFormat/>
    <w:uiPriority w:val="0"/>
    <w:pPr>
      <w:tabs>
        <w:tab w:val="center" w:pos="4153"/>
        <w:tab w:val="right" w:pos="8306"/>
      </w:tabs>
      <w:snapToGrid w:val="0"/>
      <w:jc w:val="left"/>
    </w:pPr>
    <w:rPr>
      <w:rFonts w:eastAsia="黑体"/>
      <w:snapToGrid w:val="0"/>
      <w:sz w:val="18"/>
      <w:szCs w:val="18"/>
    </w:rPr>
  </w:style>
  <w:style w:type="paragraph" w:styleId="35">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6">
    <w:name w:val="toc 1"/>
    <w:basedOn w:val="28"/>
    <w:next w:val="37"/>
    <w:qFormat/>
    <w:uiPriority w:val="0"/>
    <w:pPr>
      <w:spacing w:beforeLines="0" w:afterLines="0" w:line="240" w:lineRule="auto"/>
      <w:ind w:left="0" w:firstLine="0"/>
      <w:jc w:val="left"/>
    </w:pPr>
    <w:rPr>
      <w:rFonts w:ascii="Times New Roman"/>
      <w:b/>
      <w:bCs/>
      <w:caps/>
      <w:sz w:val="20"/>
      <w:szCs w:val="20"/>
    </w:rPr>
  </w:style>
  <w:style w:type="paragraph" w:customStyle="1" w:styleId="37">
    <w:name w:val="Char"/>
    <w:basedOn w:val="1"/>
    <w:qFormat/>
    <w:uiPriority w:val="0"/>
    <w:rPr>
      <w:sz w:val="24"/>
    </w:rPr>
  </w:style>
  <w:style w:type="paragraph" w:styleId="38">
    <w:name w:val="toc 4"/>
    <w:basedOn w:val="1"/>
    <w:next w:val="1"/>
    <w:qFormat/>
    <w:uiPriority w:val="0"/>
    <w:pPr>
      <w:ind w:left="630"/>
      <w:jc w:val="left"/>
    </w:pPr>
    <w:rPr>
      <w:sz w:val="18"/>
      <w:szCs w:val="18"/>
    </w:rPr>
  </w:style>
  <w:style w:type="paragraph" w:styleId="39">
    <w:name w:val="Subtitle"/>
    <w:basedOn w:val="1"/>
    <w:qFormat/>
    <w:uiPriority w:val="0"/>
    <w:pPr>
      <w:spacing w:afterLines="50"/>
      <w:jc w:val="center"/>
    </w:pPr>
    <w:rPr>
      <w:rFonts w:ascii="宋体"/>
      <w:i/>
      <w:snapToGrid w:val="0"/>
      <w:kern w:val="0"/>
      <w:sz w:val="36"/>
      <w:szCs w:val="20"/>
      <w:lang w:val="en-AU" w:eastAsia="en-AU"/>
    </w:rPr>
  </w:style>
  <w:style w:type="paragraph" w:styleId="40">
    <w:name w:val="List"/>
    <w:basedOn w:val="1"/>
    <w:qFormat/>
    <w:uiPriority w:val="0"/>
    <w:pPr>
      <w:ind w:left="200" w:hanging="200" w:hangingChars="200"/>
    </w:pPr>
    <w:rPr>
      <w:sz w:val="28"/>
    </w:rPr>
  </w:style>
  <w:style w:type="paragraph" w:styleId="41">
    <w:name w:val="Body Text Indent 3"/>
    <w:basedOn w:val="1"/>
    <w:qFormat/>
    <w:uiPriority w:val="0"/>
    <w:pPr>
      <w:spacing w:line="500" w:lineRule="atLeast"/>
      <w:ind w:firstLine="300" w:firstLineChars="300"/>
    </w:pPr>
    <w:rPr>
      <w:sz w:val="24"/>
    </w:rPr>
  </w:style>
  <w:style w:type="paragraph" w:styleId="42">
    <w:name w:val="toc 2"/>
    <w:basedOn w:val="1"/>
    <w:next w:val="1"/>
    <w:qFormat/>
    <w:uiPriority w:val="0"/>
    <w:pPr>
      <w:ind w:left="210"/>
      <w:jc w:val="left"/>
    </w:pPr>
    <w:rPr>
      <w:smallCaps/>
      <w:sz w:val="20"/>
      <w:szCs w:val="20"/>
    </w:rPr>
  </w:style>
  <w:style w:type="paragraph" w:styleId="43">
    <w:name w:val="toc 9"/>
    <w:basedOn w:val="44"/>
    <w:next w:val="1"/>
    <w:qFormat/>
    <w:uiPriority w:val="0"/>
    <w:pPr>
      <w:keepNext w:val="0"/>
      <w:numPr>
        <w:numId w:val="0"/>
      </w:numPr>
      <w:tabs>
        <w:tab w:val="left" w:pos="480"/>
      </w:tabs>
      <w:spacing w:before="0" w:after="0"/>
      <w:ind w:left="1680"/>
      <w:outlineLvl w:val="9"/>
    </w:pPr>
    <w:rPr>
      <w:rFonts w:ascii="Times New Roman" w:hAnsi="Times New Roman" w:cs="Times New Roman"/>
      <w:b w:val="0"/>
      <w:snapToGrid/>
      <w:kern w:val="2"/>
      <w:sz w:val="18"/>
      <w:szCs w:val="18"/>
    </w:rPr>
  </w:style>
  <w:style w:type="paragraph" w:customStyle="1" w:styleId="44">
    <w:name w:val="样式 标题1"/>
    <w:basedOn w:val="45"/>
    <w:next w:val="46"/>
    <w:qFormat/>
    <w:uiPriority w:val="0"/>
    <w:pPr>
      <w:numPr>
        <w:ilvl w:val="0"/>
        <w:numId w:val="4"/>
      </w:numPr>
      <w:spacing w:afterLines="0"/>
    </w:pPr>
    <w:rPr>
      <w:bCs w:val="0"/>
      <w:sz w:val="32"/>
    </w:rPr>
  </w:style>
  <w:style w:type="paragraph" w:customStyle="1" w:styleId="45">
    <w:name w:val="样式 标题 1 + 段后: 0.5 行"/>
    <w:basedOn w:val="3"/>
    <w:qFormat/>
    <w:uiPriority w:val="0"/>
    <w:pPr>
      <w:keepLines w:val="0"/>
      <w:tabs>
        <w:tab w:val="clear" w:pos="360"/>
      </w:tabs>
      <w:autoSpaceDE/>
      <w:autoSpaceDN/>
      <w:adjustRightInd/>
      <w:spacing w:before="120" w:afterLines="50" w:line="240" w:lineRule="auto"/>
      <w:textAlignment w:val="auto"/>
    </w:pPr>
    <w:rPr>
      <w:rFonts w:eastAsia="宋体" w:cs="宋体"/>
      <w:bCs/>
      <w:snapToGrid w:val="0"/>
      <w:color w:val="auto"/>
      <w:kern w:val="0"/>
      <w:sz w:val="28"/>
    </w:rPr>
  </w:style>
  <w:style w:type="paragraph" w:customStyle="1" w:styleId="46">
    <w:name w:val="最新标题2"/>
    <w:basedOn w:val="47"/>
    <w:next w:val="48"/>
    <w:qFormat/>
    <w:uiPriority w:val="0"/>
    <w:pPr>
      <w:numPr>
        <w:numId w:val="0"/>
      </w:numPr>
      <w:tabs>
        <w:tab w:val="left" w:pos="0"/>
        <w:tab w:val="left" w:pos="1680"/>
      </w:tabs>
      <w:spacing w:afterLines="0"/>
      <w:ind w:left="380" w:hanging="380"/>
    </w:pPr>
  </w:style>
  <w:style w:type="paragraph" w:customStyle="1" w:styleId="47">
    <w:name w:val="样式 标题 2"/>
    <w:basedOn w:val="4"/>
    <w:next w:val="48"/>
    <w:qFormat/>
    <w:uiPriority w:val="0"/>
    <w:pPr>
      <w:keepLines w:val="0"/>
      <w:numPr>
        <w:ilvl w:val="0"/>
        <w:numId w:val="5"/>
      </w:numPr>
      <w:tabs>
        <w:tab w:val="left" w:pos="1680"/>
        <w:tab w:val="clear" w:pos="360"/>
      </w:tabs>
      <w:spacing w:before="120" w:afterLines="50" w:line="240" w:lineRule="auto"/>
      <w:ind w:left="380" w:hanging="380"/>
      <w:jc w:val="left"/>
    </w:pPr>
    <w:rPr>
      <w:rFonts w:ascii="宋体" w:eastAsia="宋体" w:cs="宋体"/>
      <w:snapToGrid w:val="0"/>
      <w:kern w:val="0"/>
      <w:sz w:val="28"/>
      <w:szCs w:val="20"/>
    </w:rPr>
  </w:style>
  <w:style w:type="paragraph" w:customStyle="1" w:styleId="48">
    <w:name w:val="最新标题3"/>
    <w:basedOn w:val="49"/>
    <w:next w:val="50"/>
    <w:qFormat/>
    <w:uiPriority w:val="0"/>
    <w:pPr>
      <w:tabs>
        <w:tab w:val="left" w:pos="1260"/>
      </w:tabs>
      <w:spacing w:afterLines="0"/>
    </w:pPr>
  </w:style>
  <w:style w:type="paragraph" w:customStyle="1" w:styleId="49">
    <w:name w:val="样式 标题 3"/>
    <w:basedOn w:val="5"/>
    <w:next w:val="50"/>
    <w:qFormat/>
    <w:uiPriority w:val="0"/>
    <w:pPr>
      <w:keepNext/>
      <w:numPr>
        <w:ilvl w:val="2"/>
        <w:numId w:val="6"/>
      </w:numPr>
      <w:tabs>
        <w:tab w:val="clear" w:pos="709"/>
      </w:tabs>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50">
    <w:name w:val="最新标题4"/>
    <w:basedOn w:val="51"/>
    <w:next w:val="1"/>
    <w:qFormat/>
    <w:uiPriority w:val="0"/>
    <w:pPr>
      <w:numPr>
        <w:numId w:val="7"/>
      </w:numPr>
      <w:tabs>
        <w:tab w:val="left" w:pos="0"/>
        <w:tab w:val="left" w:pos="1080"/>
      </w:tabs>
      <w:spacing w:after="120"/>
    </w:pPr>
  </w:style>
  <w:style w:type="paragraph" w:customStyle="1" w:styleId="51">
    <w:name w:val="样式 标题 4"/>
    <w:basedOn w:val="52"/>
    <w:next w:val="54"/>
    <w:qFormat/>
    <w:uiPriority w:val="0"/>
    <w:pPr>
      <w:numPr>
        <w:ilvl w:val="3"/>
        <w:numId w:val="4"/>
      </w:numPr>
      <w:spacing w:after="50"/>
    </w:pPr>
  </w:style>
  <w:style w:type="paragraph" w:customStyle="1" w:styleId="52">
    <w:name w:val="样式 标题 4Chapter X.X.X.X. + 段后: 0.5 行1"/>
    <w:basedOn w:val="53"/>
    <w:qFormat/>
    <w:uiPriority w:val="0"/>
    <w:pPr>
      <w:spacing w:afterLines="0"/>
    </w:pPr>
  </w:style>
  <w:style w:type="paragraph" w:customStyle="1" w:styleId="53">
    <w:name w:val="样式 标题 4 + 段后: 0.5 行"/>
    <w:basedOn w:val="6"/>
    <w:qFormat/>
    <w:uiPriority w:val="0"/>
    <w:pPr>
      <w:keepLines w:val="0"/>
      <w:spacing w:before="120" w:afterLines="50" w:line="240" w:lineRule="auto"/>
      <w:jc w:val="left"/>
    </w:pPr>
    <w:rPr>
      <w:rFonts w:ascii="宋体" w:eastAsia="宋体" w:cs="宋体"/>
      <w:snapToGrid w:val="0"/>
      <w:kern w:val="0"/>
      <w:sz w:val="21"/>
      <w:szCs w:val="20"/>
    </w:rPr>
  </w:style>
  <w:style w:type="paragraph" w:customStyle="1" w:styleId="54">
    <w:name w:val="样式 正文"/>
    <w:basedOn w:val="1"/>
    <w:next w:val="1"/>
    <w:qFormat/>
    <w:uiPriority w:val="0"/>
    <w:pPr>
      <w:numPr>
        <w:ilvl w:val="3"/>
        <w:numId w:val="6"/>
      </w:numPr>
      <w:spacing w:afterLines="50"/>
      <w:jc w:val="left"/>
    </w:pPr>
    <w:rPr>
      <w:rFonts w:ascii="宋体" w:cs="宋体"/>
      <w:snapToGrid w:val="0"/>
      <w:kern w:val="0"/>
      <w:szCs w:val="20"/>
    </w:rPr>
  </w:style>
  <w:style w:type="paragraph" w:styleId="55">
    <w:name w:val="Body Text 2"/>
    <w:basedOn w:val="1"/>
    <w:qFormat/>
    <w:uiPriority w:val="0"/>
    <w:pPr>
      <w:autoSpaceDE w:val="0"/>
      <w:autoSpaceDN w:val="0"/>
      <w:adjustRightInd w:val="0"/>
    </w:pPr>
    <w:rPr>
      <w:color w:val="000000"/>
    </w:rPr>
  </w:style>
  <w:style w:type="paragraph" w:styleId="56">
    <w:name w:val="HTML Preformatted"/>
    <w:basedOn w:val="1"/>
    <w:qFormat/>
    <w:uiPriority w:val="0"/>
    <w:rPr>
      <w:rFonts w:ascii="Courier New" w:hAnsi="Courier New" w:cs="Courier New"/>
      <w:sz w:val="20"/>
      <w:szCs w:val="20"/>
    </w:rPr>
  </w:style>
  <w:style w:type="paragraph" w:styleId="57">
    <w:name w:val="Normal (Web)"/>
    <w:basedOn w:val="1"/>
    <w:qFormat/>
    <w:uiPriority w:val="99"/>
    <w:pPr>
      <w:widowControl/>
      <w:spacing w:before="100" w:beforeAutospacing="1" w:after="100" w:afterAutospacing="1"/>
      <w:jc w:val="left"/>
    </w:pPr>
    <w:rPr>
      <w:rFonts w:ascii="宋体"/>
      <w:color w:val="000000"/>
      <w:kern w:val="0"/>
      <w:sz w:val="24"/>
    </w:rPr>
  </w:style>
  <w:style w:type="paragraph" w:styleId="58">
    <w:name w:val="Title"/>
    <w:basedOn w:val="1"/>
    <w:qFormat/>
    <w:uiPriority w:val="0"/>
    <w:pPr>
      <w:widowControl/>
      <w:overflowPunct w:val="0"/>
      <w:autoSpaceDE w:val="0"/>
      <w:autoSpaceDN w:val="0"/>
      <w:adjustRightInd w:val="0"/>
      <w:jc w:val="center"/>
      <w:textAlignment w:val="baseline"/>
    </w:pPr>
    <w:rPr>
      <w:b/>
      <w:kern w:val="0"/>
      <w:sz w:val="24"/>
      <w:szCs w:val="20"/>
      <w:lang w:val="en-GB" w:eastAsia="en-GB"/>
    </w:rPr>
  </w:style>
  <w:style w:type="paragraph" w:styleId="59">
    <w:name w:val="annotation subject"/>
    <w:basedOn w:val="18"/>
    <w:next w:val="18"/>
    <w:qFormat/>
    <w:uiPriority w:val="0"/>
    <w:rPr>
      <w:b/>
      <w:bCs/>
    </w:rPr>
  </w:style>
  <w:style w:type="paragraph" w:styleId="60">
    <w:name w:val="Body Text First Indent 2"/>
    <w:basedOn w:val="23"/>
    <w:link w:val="75"/>
    <w:qFormat/>
    <w:uiPriority w:val="0"/>
    <w:pPr>
      <w:spacing w:after="120" w:line="240" w:lineRule="auto"/>
      <w:ind w:left="420" w:leftChars="200" w:firstLine="420" w:firstLineChars="200"/>
    </w:pPr>
    <w:rPr>
      <w:rFonts w:ascii="Times New Roman"/>
      <w:spacing w:val="0"/>
      <w:sz w:val="21"/>
      <w:szCs w:val="24"/>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page number"/>
    <w:basedOn w:val="63"/>
    <w:qFormat/>
    <w:uiPriority w:val="0"/>
  </w:style>
  <w:style w:type="character" w:styleId="66">
    <w:name w:val="FollowedHyperlink"/>
    <w:qFormat/>
    <w:uiPriority w:val="0"/>
    <w:rPr>
      <w:color w:val="800080"/>
      <w:u w:val="none"/>
    </w:rPr>
  </w:style>
  <w:style w:type="character" w:styleId="67">
    <w:name w:val="Emphasis"/>
    <w:qFormat/>
    <w:uiPriority w:val="0"/>
    <w:rPr>
      <w:color w:val="CC0000"/>
    </w:rPr>
  </w:style>
  <w:style w:type="character" w:styleId="68">
    <w:name w:val="Hyperlink"/>
    <w:qFormat/>
    <w:uiPriority w:val="0"/>
    <w:rPr>
      <w:color w:val="0000FF"/>
      <w:u w:val="none"/>
    </w:rPr>
  </w:style>
  <w:style w:type="character" w:styleId="69">
    <w:name w:val="annotation reference"/>
    <w:qFormat/>
    <w:uiPriority w:val="0"/>
    <w:rPr>
      <w:sz w:val="21"/>
      <w:szCs w:val="21"/>
    </w:rPr>
  </w:style>
  <w:style w:type="paragraph" w:customStyle="1" w:styleId="70">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71">
    <w:name w:val="章正文"/>
    <w:basedOn w:val="1"/>
    <w:qFormat/>
    <w:uiPriority w:val="0"/>
    <w:pPr>
      <w:spacing w:beforeLines="50" w:after="120" w:line="300" w:lineRule="auto"/>
      <w:ind w:firstLine="480"/>
    </w:pPr>
    <w:rPr>
      <w:rFonts w:ascii="Helvetica" w:hAnsi="Helvetica"/>
      <w:kern w:val="0"/>
      <w:sz w:val="24"/>
    </w:rPr>
  </w:style>
  <w:style w:type="character" w:customStyle="1" w:styleId="72">
    <w:name w:val="newsitemtext1"/>
    <w:qFormat/>
    <w:uiPriority w:val="0"/>
    <w:rPr>
      <w:color w:val="000000"/>
      <w:spacing w:val="320"/>
      <w:sz w:val="21"/>
      <w:szCs w:val="21"/>
    </w:rPr>
  </w:style>
  <w:style w:type="character" w:customStyle="1" w:styleId="73">
    <w:name w:val="font01"/>
    <w:qFormat/>
    <w:uiPriority w:val="0"/>
    <w:rPr>
      <w:rFonts w:hint="eastAsia" w:ascii="宋体" w:hAnsi="宋体" w:eastAsia="宋体" w:cs="宋体"/>
      <w:color w:val="000000"/>
      <w:sz w:val="21"/>
      <w:szCs w:val="21"/>
      <w:u w:val="none"/>
    </w:rPr>
  </w:style>
  <w:style w:type="character" w:customStyle="1" w:styleId="74">
    <w:name w:val="无"/>
    <w:qFormat/>
    <w:uiPriority w:val="0"/>
  </w:style>
  <w:style w:type="character" w:customStyle="1" w:styleId="75">
    <w:name w:val="正文首行缩进 2 Char"/>
    <w:basedOn w:val="76"/>
    <w:link w:val="60"/>
    <w:qFormat/>
    <w:uiPriority w:val="0"/>
    <w:rPr>
      <w:rFonts w:ascii="宋体" w:hAnsi="Times New Roman"/>
      <w:spacing w:val="-4"/>
      <w:kern w:val="2"/>
      <w:sz w:val="18"/>
    </w:rPr>
  </w:style>
  <w:style w:type="character" w:customStyle="1" w:styleId="76">
    <w:name w:val="正文文本缩进 Char"/>
    <w:link w:val="23"/>
    <w:qFormat/>
    <w:uiPriority w:val="0"/>
    <w:rPr>
      <w:rFonts w:ascii="宋体" w:hAnsi="Times New Roman"/>
      <w:spacing w:val="-4"/>
      <w:kern w:val="2"/>
      <w:sz w:val="18"/>
    </w:rPr>
  </w:style>
  <w:style w:type="character" w:customStyle="1" w:styleId="77">
    <w:name w:val="style31"/>
    <w:qFormat/>
    <w:uiPriority w:val="0"/>
    <w:rPr>
      <w:b/>
      <w:bCs/>
      <w:color w:val="0465BE"/>
      <w:sz w:val="28"/>
      <w:szCs w:val="28"/>
    </w:rPr>
  </w:style>
  <w:style w:type="character" w:customStyle="1" w:styleId="78">
    <w:name w:val="Char Char16"/>
    <w:qFormat/>
    <w:uiPriority w:val="0"/>
    <w:rPr>
      <w:rFonts w:ascii="Tahoma" w:hAnsi="Tahoma" w:eastAsia="宋体"/>
      <w:kern w:val="2"/>
      <w:sz w:val="21"/>
      <w:szCs w:val="20"/>
      <w:lang w:val="en-US" w:eastAsia="zh-CN" w:bidi="ar-SA"/>
    </w:rPr>
  </w:style>
  <w:style w:type="character" w:customStyle="1" w:styleId="79">
    <w:name w:val="纯文本 Char"/>
    <w:link w:val="28"/>
    <w:qFormat/>
    <w:uiPriority w:val="0"/>
    <w:rPr>
      <w:rFonts w:ascii="宋体"/>
      <w:kern w:val="2"/>
      <w:sz w:val="24"/>
      <w:szCs w:val="24"/>
    </w:rPr>
  </w:style>
  <w:style w:type="character" w:customStyle="1" w:styleId="80">
    <w:name w:val="日期 Char"/>
    <w:link w:val="30"/>
    <w:qFormat/>
    <w:uiPriority w:val="0"/>
    <w:rPr>
      <w:rFonts w:ascii="Times New Roman" w:hAnsi="Times New Roman" w:eastAsia="楷体_GB2312"/>
      <w:kern w:val="2"/>
      <w:sz w:val="32"/>
    </w:rPr>
  </w:style>
  <w:style w:type="character" w:customStyle="1" w:styleId="81">
    <w:name w:val="font21"/>
    <w:qFormat/>
    <w:uiPriority w:val="0"/>
    <w:rPr>
      <w:rFonts w:hint="eastAsia" w:ascii="宋体" w:hAnsi="宋体" w:eastAsia="宋体" w:cs="宋体"/>
      <w:b/>
      <w:color w:val="000000"/>
      <w:sz w:val="21"/>
      <w:szCs w:val="21"/>
      <w:u w:val="none"/>
    </w:rPr>
  </w:style>
  <w:style w:type="character" w:customStyle="1" w:styleId="82">
    <w:name w:val="bulletintext1"/>
    <w:qFormat/>
    <w:uiPriority w:val="0"/>
    <w:rPr>
      <w:color w:val="000000"/>
      <w:sz w:val="18"/>
      <w:szCs w:val="18"/>
    </w:rPr>
  </w:style>
  <w:style w:type="character" w:customStyle="1" w:styleId="83">
    <w:name w:val="正文1 Char"/>
    <w:qFormat/>
    <w:uiPriority w:val="0"/>
    <w:rPr>
      <w:rFonts w:ascii="宋体" w:eastAsia="宋体"/>
      <w:snapToGrid w:val="0"/>
      <w:color w:val="000000"/>
      <w:kern w:val="28"/>
      <w:sz w:val="28"/>
      <w:lang w:val="en-US" w:eastAsia="zh-CN" w:bidi="ar-SA"/>
    </w:rPr>
  </w:style>
  <w:style w:type="character" w:customStyle="1" w:styleId="84">
    <w:name w:val="font31"/>
    <w:qFormat/>
    <w:uiPriority w:val="0"/>
    <w:rPr>
      <w:rFonts w:hint="eastAsia" w:ascii="仿宋" w:hAnsi="仿宋" w:eastAsia="仿宋" w:cs="仿宋"/>
      <w:color w:val="000000"/>
      <w:sz w:val="21"/>
      <w:szCs w:val="21"/>
      <w:u w:val="none"/>
    </w:rPr>
  </w:style>
  <w:style w:type="paragraph" w:customStyle="1" w:styleId="85">
    <w:name w:val="Figure Description"/>
    <w:next w:val="1"/>
    <w:qFormat/>
    <w:uiPriority w:val="0"/>
    <w:pPr>
      <w:numPr>
        <w:ilvl w:val="4"/>
        <w:numId w:val="2"/>
      </w:numPr>
      <w:snapToGrid w:val="0"/>
      <w:spacing w:before="80" w:after="320"/>
      <w:jc w:val="center"/>
    </w:pPr>
    <w:rPr>
      <w:rFonts w:ascii="Arial" w:hAnsi="Arial" w:eastAsia="黑体" w:cs="Times New Roman"/>
      <w:sz w:val="18"/>
      <w:lang w:val="en-US" w:eastAsia="en-US" w:bidi="ar-SA"/>
    </w:rPr>
  </w:style>
  <w:style w:type="paragraph" w:customStyle="1" w:styleId="86">
    <w:name w:val="标准标题3"/>
    <w:basedOn w:val="5"/>
    <w:qFormat/>
    <w:uiPriority w:val="0"/>
    <w:pPr>
      <w:keepNext/>
      <w:keepLines/>
      <w:tabs>
        <w:tab w:val="left" w:pos="1200"/>
        <w:tab w:val="clear" w:pos="709"/>
      </w:tabs>
      <w:autoSpaceDE/>
      <w:autoSpaceDN/>
      <w:adjustRightInd/>
      <w:spacing w:before="260" w:after="260" w:line="240" w:lineRule="auto"/>
      <w:ind w:left="-258" w:leftChars="-258" w:firstLine="0"/>
      <w:textAlignment w:val="auto"/>
    </w:pPr>
    <w:rPr>
      <w:rFonts w:ascii="Times New Roman" w:eastAsia="仿宋_GB2312"/>
      <w:bCs/>
      <w:color w:val="auto"/>
      <w:kern w:val="2"/>
      <w:szCs w:val="32"/>
    </w:rPr>
  </w:style>
  <w:style w:type="paragraph" w:customStyle="1" w:styleId="87">
    <w:name w:val="Table - Text"/>
    <w:basedOn w:val="1"/>
    <w:qFormat/>
    <w:uiPriority w:val="0"/>
    <w:pPr>
      <w:widowControl/>
      <w:spacing w:before="60" w:afterLines="50"/>
      <w:jc w:val="left"/>
    </w:pPr>
    <w:rPr>
      <w:kern w:val="0"/>
      <w:szCs w:val="20"/>
      <w:lang w:eastAsia="en-US"/>
    </w:rPr>
  </w:style>
  <w:style w:type="paragraph" w:customStyle="1" w:styleId="88">
    <w:name w:val="样式 标题 2Chapter X.X. Statementh22Header 2l2Level 2 Headhea...1"/>
    <w:basedOn w:val="5"/>
    <w:qFormat/>
    <w:uiPriority w:val="0"/>
    <w:pPr>
      <w:keepNext/>
      <w:numPr>
        <w:ilvl w:val="0"/>
        <w:numId w:val="8"/>
      </w:numPr>
      <w:tabs>
        <w:tab w:val="clear" w:pos="36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89">
    <w:name w:val="样式 样式 正文文本缩进 + 仿宋_GB2312 小四 首行缩进:  0 厘米 行距: 1.5 倍行距 + (中文) 仿宋_GB..."/>
    <w:basedOn w:val="90"/>
    <w:qFormat/>
    <w:uiPriority w:val="0"/>
    <w:pPr>
      <w:ind w:firstLine="200" w:firstLineChars="200"/>
    </w:pPr>
  </w:style>
  <w:style w:type="paragraph" w:customStyle="1" w:styleId="90">
    <w:name w:val="样式 正文文本缩进 + 仿宋_GB2312 小四 首行缩进:  0 厘米 行距: 1.5 倍行距"/>
    <w:basedOn w:val="23"/>
    <w:qFormat/>
    <w:uiPriority w:val="0"/>
    <w:pPr>
      <w:spacing w:line="360" w:lineRule="auto"/>
      <w:ind w:firstLine="0"/>
    </w:pPr>
    <w:rPr>
      <w:rFonts w:ascii="仿宋_GB2312" w:hAnsi="仿宋_GB2312" w:eastAsia="新宋体"/>
      <w:spacing w:val="0"/>
      <w:sz w:val="24"/>
    </w:rPr>
  </w:style>
  <w:style w:type="paragraph" w:customStyle="1" w:styleId="91">
    <w:name w:val="Paragraph4"/>
    <w:basedOn w:val="1"/>
    <w:qFormat/>
    <w:uiPriority w:val="0"/>
    <w:pPr>
      <w:spacing w:before="80" w:afterLines="50"/>
      <w:ind w:left="2250"/>
    </w:pPr>
    <w:rPr>
      <w:rFonts w:ascii="宋体"/>
      <w:snapToGrid w:val="0"/>
      <w:kern w:val="0"/>
      <w:szCs w:val="20"/>
    </w:rPr>
  </w:style>
  <w:style w:type="paragraph" w:customStyle="1" w:styleId="92">
    <w:name w:val="Bullet2"/>
    <w:basedOn w:val="1"/>
    <w:qFormat/>
    <w:uiPriority w:val="0"/>
    <w:pPr>
      <w:spacing w:afterLines="50"/>
      <w:ind w:left="1440" w:hanging="360"/>
      <w:jc w:val="left"/>
    </w:pPr>
    <w:rPr>
      <w:rFonts w:ascii="宋体"/>
      <w:snapToGrid w:val="0"/>
      <w:color w:val="000080"/>
      <w:kern w:val="0"/>
      <w:szCs w:val="20"/>
    </w:rPr>
  </w:style>
  <w:style w:type="paragraph" w:customStyle="1" w:styleId="93">
    <w:name w:val="样式 标题 2 + 五号"/>
    <w:basedOn w:val="4"/>
    <w:qFormat/>
    <w:uiPriority w:val="0"/>
    <w:pPr>
      <w:spacing w:before="0" w:after="0" w:line="240" w:lineRule="auto"/>
    </w:pPr>
    <w:rPr>
      <w:rFonts w:ascii="宋体" w:eastAsia="宋体"/>
      <w:sz w:val="21"/>
    </w:rPr>
  </w:style>
  <w:style w:type="paragraph" w:customStyle="1" w:styleId="9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
    <w:name w:val="此正文"/>
    <w:basedOn w:val="1"/>
    <w:qFormat/>
    <w:uiPriority w:val="0"/>
    <w:pPr>
      <w:spacing w:line="360" w:lineRule="auto"/>
      <w:ind w:firstLine="200" w:firstLineChars="200"/>
    </w:pPr>
    <w:rPr>
      <w:sz w:val="24"/>
      <w:szCs w:val="20"/>
    </w:rPr>
  </w:style>
  <w:style w:type="paragraph" w:customStyle="1" w:styleId="9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样式 标题 4 + 段后: 0.5 行1"/>
    <w:basedOn w:val="53"/>
    <w:next w:val="32"/>
    <w:qFormat/>
    <w:uiPriority w:val="0"/>
    <w:pPr>
      <w:spacing w:afterLines="0"/>
    </w:pPr>
  </w:style>
  <w:style w:type="paragraph" w:customStyle="1" w:styleId="98">
    <w:name w:val="样式6"/>
    <w:basedOn w:val="1"/>
    <w:qFormat/>
    <w:uiPriority w:val="0"/>
    <w:pPr>
      <w:adjustRightInd w:val="0"/>
      <w:spacing w:beforeLines="50" w:afterLines="50"/>
      <w:ind w:firstLine="669"/>
      <w:textAlignment w:val="baseline"/>
    </w:pPr>
    <w:rPr>
      <w:rFonts w:ascii="宋体"/>
      <w:kern w:val="0"/>
      <w:sz w:val="28"/>
      <w:szCs w:val="20"/>
    </w:rPr>
  </w:style>
  <w:style w:type="paragraph" w:customStyle="1" w:styleId="99">
    <w:name w:val="样式1"/>
    <w:basedOn w:val="58"/>
    <w:qFormat/>
    <w:uiPriority w:val="0"/>
    <w:pPr>
      <w:spacing w:line="480" w:lineRule="auto"/>
      <w:ind w:left="600"/>
    </w:pPr>
    <w:rPr>
      <w:rFonts w:ascii="宋体"/>
      <w:b w:val="0"/>
      <w:sz w:val="36"/>
      <w:szCs w:val="36"/>
    </w:rPr>
  </w:style>
  <w:style w:type="paragraph" w:customStyle="1" w:styleId="100">
    <w:name w:val="标题1"/>
    <w:basedOn w:val="28"/>
    <w:qFormat/>
    <w:uiPriority w:val="0"/>
    <w:pPr>
      <w:spacing w:beforeLines="0" w:afterLines="0" w:line="360" w:lineRule="auto"/>
      <w:ind w:left="0" w:firstLine="0"/>
    </w:pPr>
    <w:rPr>
      <w:b/>
      <w:sz w:val="30"/>
      <w:szCs w:val="20"/>
    </w:rPr>
  </w:style>
  <w:style w:type="paragraph" w:customStyle="1" w:styleId="101">
    <w:name w:val="默认段落字体 Para Char Char Char Char Char Char Char"/>
    <w:basedOn w:val="1"/>
    <w:qFormat/>
    <w:uiPriority w:val="0"/>
    <w:rPr>
      <w:rFonts w:ascii="Tahoma" w:hAnsi="Tahoma" w:cs="Tahoma"/>
      <w:sz w:val="24"/>
    </w:rPr>
  </w:style>
  <w:style w:type="paragraph" w:customStyle="1" w:styleId="102">
    <w:name w:val="样式7"/>
    <w:basedOn w:val="1"/>
    <w:qFormat/>
    <w:uiPriority w:val="0"/>
    <w:pPr>
      <w:adjustRightInd w:val="0"/>
      <w:spacing w:beforeLines="50" w:afterLines="50" w:line="360" w:lineRule="auto"/>
      <w:ind w:firstLine="669"/>
      <w:textAlignment w:val="baseline"/>
    </w:pPr>
    <w:rPr>
      <w:rFonts w:ascii="宋体"/>
      <w:kern w:val="0"/>
      <w:sz w:val="28"/>
      <w:szCs w:val="20"/>
    </w:rPr>
  </w:style>
  <w:style w:type="paragraph" w:customStyle="1" w:styleId="103">
    <w:name w:val="S4-L15-No"/>
    <w:basedOn w:val="104"/>
    <w:qFormat/>
    <w:uiPriority w:val="0"/>
    <w:pPr>
      <w:numPr>
        <w:ilvl w:val="0"/>
        <w:numId w:val="9"/>
      </w:numPr>
    </w:pPr>
  </w:style>
  <w:style w:type="paragraph" w:customStyle="1" w:styleId="104">
    <w:name w:val="S4-L15"/>
    <w:basedOn w:val="1"/>
    <w:qFormat/>
    <w:uiPriority w:val="0"/>
    <w:pPr>
      <w:spacing w:after="120" w:line="360" w:lineRule="auto"/>
      <w:ind w:left="720" w:firstLine="392"/>
    </w:pPr>
    <w:rPr>
      <w:szCs w:val="21"/>
      <w:lang w:val="fr-FR" w:eastAsia="fr-FR"/>
    </w:rPr>
  </w:style>
  <w:style w:type="paragraph" w:customStyle="1" w:styleId="105">
    <w:name w:val="标准标题1"/>
    <w:basedOn w:val="3"/>
    <w:qFormat/>
    <w:uiPriority w:val="0"/>
    <w:pPr>
      <w:pageBreakBefore/>
      <w:tabs>
        <w:tab w:val="left" w:pos="1080"/>
        <w:tab w:val="clear" w:pos="360"/>
      </w:tabs>
      <w:autoSpaceDE/>
      <w:autoSpaceDN/>
      <w:adjustRightInd/>
      <w:spacing w:line="576" w:lineRule="auto"/>
      <w:ind w:left="425" w:hanging="425"/>
      <w:jc w:val="both"/>
      <w:textAlignment w:val="auto"/>
    </w:pPr>
    <w:rPr>
      <w:rFonts w:ascii="Times New Roman" w:hAnsi="Times New Roman" w:eastAsia="仿宋_GB2312"/>
      <w:bCs/>
      <w:color w:val="auto"/>
      <w:sz w:val="32"/>
      <w:szCs w:val="44"/>
    </w:rPr>
  </w:style>
  <w:style w:type="paragraph" w:customStyle="1" w:styleId="106">
    <w:name w:val="样式 样式 正文文本缩进 + 仿宋_GB2312 小四 首行缩进:  0 厘米 行距: 1.5 倍行距 + (中文) 仿宋_GB... Char Char"/>
    <w:basedOn w:val="90"/>
    <w:qFormat/>
    <w:uiPriority w:val="0"/>
    <w:pPr>
      <w:ind w:firstLine="200" w:firstLineChars="200"/>
    </w:pPr>
  </w:style>
  <w:style w:type="paragraph" w:customStyle="1" w:styleId="107">
    <w:name w:val="Char1 Char Char Char"/>
    <w:basedOn w:val="1"/>
    <w:qFormat/>
    <w:uiPriority w:val="0"/>
    <w:pPr>
      <w:numPr>
        <w:ilvl w:val="2"/>
        <w:numId w:val="7"/>
      </w:numPr>
    </w:pPr>
    <w:rPr>
      <w:rFonts w:ascii="宋体"/>
      <w:spacing w:val="-6"/>
      <w:szCs w:val="20"/>
    </w:rPr>
  </w:style>
  <w:style w:type="paragraph" w:customStyle="1" w:styleId="1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09">
    <w:name w:val="表格文字"/>
    <w:basedOn w:val="1"/>
    <w:next w:val="20"/>
    <w:qFormat/>
    <w:uiPriority w:val="0"/>
    <w:pPr>
      <w:adjustRightInd w:val="0"/>
      <w:spacing w:line="420" w:lineRule="atLeast"/>
      <w:jc w:val="left"/>
      <w:textAlignment w:val="baseline"/>
    </w:pPr>
    <w:rPr>
      <w:kern w:val="0"/>
    </w:rPr>
  </w:style>
  <w:style w:type="paragraph" w:customStyle="1" w:styleId="110">
    <w:name w:val="S4-B-L15"/>
    <w:basedOn w:val="1"/>
    <w:qFormat/>
    <w:uiPriority w:val="0"/>
    <w:pPr>
      <w:spacing w:line="360" w:lineRule="auto"/>
    </w:pPr>
    <w:rPr>
      <w:b/>
      <w:bCs/>
      <w:sz w:val="24"/>
    </w:rPr>
  </w:style>
  <w:style w:type="paragraph" w:customStyle="1" w:styleId="11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12">
    <w:name w:val="表格标题"/>
    <w:basedOn w:val="113"/>
    <w:qFormat/>
    <w:uiPriority w:val="0"/>
    <w:pPr>
      <w:jc w:val="center"/>
    </w:pPr>
    <w:rPr>
      <w:b/>
      <w:bCs/>
      <w:i/>
      <w:iCs/>
    </w:rPr>
  </w:style>
  <w:style w:type="paragraph" w:customStyle="1" w:styleId="113">
    <w:name w:val="表格内容"/>
    <w:basedOn w:val="20"/>
    <w:qFormat/>
    <w:uiPriority w:val="0"/>
    <w:pPr>
      <w:suppressLineNumbers/>
      <w:suppressAutoHyphens/>
    </w:pPr>
    <w:rPr>
      <w:sz w:val="21"/>
      <w:lang w:eastAsia="ar-SA"/>
    </w:rPr>
  </w:style>
  <w:style w:type="paragraph" w:customStyle="1" w:styleId="114">
    <w:name w:val="首行缩进"/>
    <w:basedOn w:val="1"/>
    <w:qFormat/>
    <w:uiPriority w:val="0"/>
    <w:pPr>
      <w:widowControl/>
      <w:numPr>
        <w:ilvl w:val="6"/>
        <w:numId w:val="2"/>
      </w:numPr>
      <w:tabs>
        <w:tab w:val="left" w:pos="822"/>
        <w:tab w:val="clear" w:pos="3120"/>
      </w:tabs>
      <w:snapToGrid w:val="0"/>
      <w:spacing w:before="40" w:after="40" w:line="300" w:lineRule="atLeast"/>
    </w:pPr>
    <w:rPr>
      <w:rFonts w:ascii="Arial" w:hAnsi="Arial"/>
      <w:kern w:val="0"/>
      <w:szCs w:val="20"/>
    </w:rPr>
  </w:style>
  <w:style w:type="paragraph" w:customStyle="1" w:styleId="115">
    <w:name w:val="样式 标题 4Chapter X.X.X. + 段后: 0.5 行1 + 段后: 0.5 行"/>
    <w:basedOn w:val="116"/>
    <w:qFormat/>
    <w:uiPriority w:val="0"/>
    <w:rPr>
      <w:szCs w:val="21"/>
    </w:rPr>
  </w:style>
  <w:style w:type="paragraph" w:customStyle="1" w:styleId="116">
    <w:name w:val="样式 标题 4Chapter X.X.X. + 段后: 0.5 行1"/>
    <w:basedOn w:val="6"/>
    <w:next w:val="6"/>
    <w:qFormat/>
    <w:uiPriority w:val="0"/>
    <w:pPr>
      <w:keepLines w:val="0"/>
      <w:spacing w:before="120" w:afterLines="50" w:line="240" w:lineRule="auto"/>
      <w:ind w:left="425" w:hanging="425"/>
      <w:jc w:val="left"/>
    </w:pPr>
    <w:rPr>
      <w:rFonts w:ascii="宋体" w:eastAsia="宋体" w:cs="宋体"/>
      <w:snapToGrid w:val="0"/>
      <w:kern w:val="0"/>
      <w:sz w:val="21"/>
      <w:szCs w:val="20"/>
    </w:rPr>
  </w:style>
  <w:style w:type="paragraph" w:customStyle="1" w:styleId="117">
    <w:name w:val="Char1"/>
    <w:basedOn w:val="1"/>
    <w:qFormat/>
    <w:uiPriority w:val="0"/>
    <w:rPr>
      <w:rFonts w:ascii="仿宋_GB2312" w:eastAsia="仿宋_GB2312"/>
      <w:b/>
      <w:sz w:val="32"/>
      <w:szCs w:val="32"/>
    </w:rPr>
  </w:style>
  <w:style w:type="paragraph" w:customStyle="1" w:styleId="118">
    <w:name w:val="Paragraph1"/>
    <w:basedOn w:val="1"/>
    <w:qFormat/>
    <w:uiPriority w:val="0"/>
    <w:pPr>
      <w:spacing w:before="80" w:afterLines="50"/>
    </w:pPr>
    <w:rPr>
      <w:rFonts w:ascii="宋体"/>
      <w:snapToGrid w:val="0"/>
      <w:kern w:val="0"/>
      <w:szCs w:val="20"/>
    </w:rPr>
  </w:style>
  <w:style w:type="paragraph" w:customStyle="1" w:styleId="119">
    <w:name w:val="样式 样式 标题 4 + 段后: 0.5 行 + 段后: 0.5 行"/>
    <w:basedOn w:val="53"/>
    <w:qFormat/>
    <w:uiPriority w:val="0"/>
  </w:style>
  <w:style w:type="paragraph" w:customStyle="1" w:styleId="120">
    <w:name w:val="InfoBlue"/>
    <w:basedOn w:val="1"/>
    <w:next w:val="20"/>
    <w:qFormat/>
    <w:uiPriority w:val="0"/>
    <w:pPr>
      <w:spacing w:afterLines="50"/>
      <w:ind w:left="720"/>
      <w:jc w:val="left"/>
    </w:pPr>
    <w:rPr>
      <w:rFonts w:ascii="宋体"/>
      <w:i/>
      <w:snapToGrid w:val="0"/>
      <w:color w:val="0000FF"/>
      <w:kern w:val="0"/>
      <w:szCs w:val="20"/>
    </w:rPr>
  </w:style>
  <w:style w:type="paragraph" w:customStyle="1" w:styleId="12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122">
    <w:name w:val="Paragraph2"/>
    <w:basedOn w:val="1"/>
    <w:qFormat/>
    <w:uiPriority w:val="0"/>
    <w:pPr>
      <w:spacing w:before="80" w:afterLines="50"/>
      <w:ind w:left="720"/>
    </w:pPr>
    <w:rPr>
      <w:rFonts w:ascii="宋体"/>
      <w:snapToGrid w:val="0"/>
      <w:color w:val="000000"/>
      <w:kern w:val="0"/>
      <w:szCs w:val="20"/>
      <w:lang w:val="en-AU" w:eastAsia="en-AU"/>
    </w:rPr>
  </w:style>
  <w:style w:type="paragraph" w:customStyle="1" w:styleId="123">
    <w:name w:val="样式 标题 1 + 五号1 Char Char Char Char Char Char Char Char Char Char Char Char Char Char Char Char Char"/>
    <w:basedOn w:val="3"/>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24">
    <w:name w:val="样式　标题4"/>
    <w:basedOn w:val="116"/>
    <w:next w:val="1"/>
    <w:qFormat/>
    <w:uiPriority w:val="0"/>
    <w:pPr>
      <w:numPr>
        <w:ilvl w:val="1"/>
        <w:numId w:val="7"/>
      </w:numPr>
      <w:ind w:left="425" w:hanging="425"/>
    </w:pPr>
  </w:style>
  <w:style w:type="paragraph" w:customStyle="1" w:styleId="125">
    <w:name w:val="Blockquote"/>
    <w:basedOn w:val="1"/>
    <w:qFormat/>
    <w:uiPriority w:val="0"/>
    <w:pPr>
      <w:widowControl/>
      <w:spacing w:before="100" w:afterLines="50"/>
      <w:ind w:left="360" w:right="360"/>
      <w:jc w:val="left"/>
    </w:pPr>
    <w:rPr>
      <w:rFonts w:ascii="宋体"/>
      <w:snapToGrid w:val="0"/>
      <w:kern w:val="0"/>
      <w:sz w:val="24"/>
      <w:szCs w:val="20"/>
      <w:lang w:val="en-CA" w:eastAsia="en-CA"/>
    </w:rPr>
  </w:style>
  <w:style w:type="paragraph" w:customStyle="1" w:styleId="126">
    <w:name w:val="样式 标题 2Chapter X.X. Statementh22Header 2l2Level 2 Headhea..."/>
    <w:basedOn w:val="4"/>
    <w:qFormat/>
    <w:uiPriority w:val="0"/>
    <w:pPr>
      <w:keepLines w:val="0"/>
      <w:spacing w:before="120" w:afterLines="50" w:line="240" w:lineRule="auto"/>
      <w:jc w:val="left"/>
    </w:pPr>
    <w:rPr>
      <w:rFonts w:ascii="宋体" w:eastAsia="宋体" w:cs="宋体"/>
      <w:snapToGrid w:val="0"/>
      <w:kern w:val="0"/>
      <w:sz w:val="24"/>
      <w:szCs w:val="24"/>
    </w:rPr>
  </w:style>
  <w:style w:type="paragraph" w:customStyle="1" w:styleId="127">
    <w:name w:val="4"/>
    <w:basedOn w:val="1"/>
    <w:qFormat/>
    <w:uiPriority w:val="0"/>
    <w:pPr>
      <w:widowControl/>
      <w:spacing w:before="100" w:beforeAutospacing="1" w:after="100" w:afterAutospacing="1"/>
      <w:jc w:val="left"/>
    </w:pPr>
    <w:rPr>
      <w:rFonts w:ascii="宋体" w:cs="宋体"/>
      <w:kern w:val="0"/>
      <w:sz w:val="24"/>
    </w:rPr>
  </w:style>
  <w:style w:type="paragraph" w:customStyle="1" w:styleId="128">
    <w:name w:val="样式 模板描述"/>
    <w:basedOn w:val="1"/>
    <w:next w:val="54"/>
    <w:qFormat/>
    <w:uiPriority w:val="0"/>
    <w:pPr>
      <w:numPr>
        <w:ilvl w:val="0"/>
        <w:numId w:val="7"/>
      </w:numPr>
      <w:spacing w:afterLines="50"/>
      <w:jc w:val="left"/>
    </w:pPr>
    <w:rPr>
      <w:rFonts w:ascii="宋体" w:cs="宋体"/>
      <w:i/>
      <w:iCs/>
      <w:snapToGrid w:val="0"/>
      <w:color w:val="0000FF"/>
      <w:kern w:val="0"/>
      <w:szCs w:val="21"/>
    </w:rPr>
  </w:style>
  <w:style w:type="paragraph" w:customStyle="1" w:styleId="129">
    <w:name w:val="样式 标题 3Chapter X.X.X. +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30">
    <w:name w:val="Tabletext"/>
    <w:basedOn w:val="1"/>
    <w:qFormat/>
    <w:uiPriority w:val="0"/>
    <w:pPr>
      <w:keepLines/>
      <w:spacing w:afterLines="50"/>
      <w:jc w:val="left"/>
    </w:pPr>
    <w:rPr>
      <w:rFonts w:ascii="宋体"/>
      <w:snapToGrid w:val="0"/>
      <w:kern w:val="0"/>
      <w:szCs w:val="20"/>
    </w:rPr>
  </w:style>
  <w:style w:type="paragraph" w:customStyle="1" w:styleId="131">
    <w:name w:val="样式 标题 3Chapter X.X.X. + 五号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132">
    <w:name w:val="IBM 正文"/>
    <w:basedOn w:val="1"/>
    <w:qFormat/>
    <w:uiPriority w:val="0"/>
    <w:pPr>
      <w:spacing w:line="360" w:lineRule="atLeast"/>
    </w:pPr>
    <w:rPr>
      <w:sz w:val="24"/>
      <w:szCs w:val="20"/>
    </w:rPr>
  </w:style>
  <w:style w:type="paragraph" w:customStyle="1" w:styleId="133">
    <w:name w:val="P3"/>
    <w:basedOn w:val="1"/>
    <w:qFormat/>
    <w:uiPriority w:val="0"/>
    <w:pPr>
      <w:widowControl/>
      <w:spacing w:before="240" w:line="240" w:lineRule="atLeast"/>
      <w:ind w:left="1152"/>
      <w:jc w:val="left"/>
    </w:pPr>
    <w:rPr>
      <w:b/>
      <w:kern w:val="0"/>
      <w:szCs w:val="21"/>
      <w:lang w:val="en-AU" w:eastAsia="en-US"/>
    </w:rPr>
  </w:style>
  <w:style w:type="paragraph" w:styleId="134">
    <w:name w:val="List Paragraph"/>
    <w:basedOn w:val="1"/>
    <w:qFormat/>
    <w:uiPriority w:val="0"/>
    <w:pPr>
      <w:ind w:firstLine="200" w:firstLineChars="200"/>
    </w:pPr>
    <w:rPr>
      <w:rFonts w:ascii="Calibri" w:hAnsi="Calibri"/>
      <w:szCs w:val="22"/>
    </w:rPr>
  </w:style>
  <w:style w:type="paragraph" w:customStyle="1" w:styleId="135">
    <w:name w:val="S4-I-U-L15-No-dot"/>
    <w:basedOn w:val="1"/>
    <w:qFormat/>
    <w:uiPriority w:val="0"/>
    <w:pPr>
      <w:numPr>
        <w:ilvl w:val="1"/>
        <w:numId w:val="10"/>
      </w:numPr>
      <w:tabs>
        <w:tab w:val="left" w:pos="1112"/>
        <w:tab w:val="clear" w:pos="840"/>
      </w:tabs>
      <w:spacing w:after="120" w:line="360" w:lineRule="auto"/>
      <w:ind w:left="1112"/>
    </w:pPr>
    <w:rPr>
      <w:i/>
      <w:sz w:val="24"/>
      <w:u w:val="single"/>
    </w:rPr>
  </w:style>
  <w:style w:type="paragraph" w:customStyle="1" w:styleId="136">
    <w:name w:val="样式 标题 3(A-3)sect1.2.3h3H3level_3PIM 3Level 3 HeadHeading..."/>
    <w:basedOn w:val="5"/>
    <w:qFormat/>
    <w:uiPriority w:val="0"/>
    <w:pPr>
      <w:keepNext/>
      <w:keepLines/>
      <w:tabs>
        <w:tab w:val="left" w:pos="0"/>
      </w:tabs>
      <w:autoSpaceDE/>
      <w:autoSpaceDN/>
      <w:adjustRightInd/>
      <w:spacing w:before="260" w:after="260" w:line="410" w:lineRule="auto"/>
      <w:ind w:left="0" w:firstLine="0"/>
      <w:textAlignment w:val="auto"/>
    </w:pPr>
    <w:rPr>
      <w:rFonts w:ascii="Arial" w:hAnsi="Arial" w:eastAsia="宋体"/>
      <w:bCs/>
      <w:color w:val="auto"/>
      <w:kern w:val="2"/>
      <w:sz w:val="30"/>
      <w:szCs w:val="32"/>
    </w:rPr>
  </w:style>
  <w:style w:type="paragraph" w:customStyle="1" w:styleId="137">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 + 五号"/>
    <w:basedOn w:val="3"/>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40">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41">
    <w:name w:val="Char Char Char Char Char Char Char"/>
    <w:basedOn w:val="1"/>
    <w:qFormat/>
    <w:uiPriority w:val="0"/>
    <w:rPr>
      <w:rFonts w:ascii="仿宋_GB2312" w:eastAsia="仿宋_GB2312"/>
      <w:b/>
      <w:sz w:val="32"/>
      <w:szCs w:val="32"/>
    </w:rPr>
  </w:style>
  <w:style w:type="paragraph" w:customStyle="1" w:styleId="14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43">
    <w:name w:val="Table Description"/>
    <w:next w:val="1"/>
    <w:qFormat/>
    <w:uiPriority w:val="0"/>
    <w:pPr>
      <w:keepNext/>
      <w:numPr>
        <w:ilvl w:val="5"/>
        <w:numId w:val="2"/>
      </w:numPr>
      <w:snapToGrid w:val="0"/>
      <w:spacing w:before="160" w:after="80"/>
      <w:jc w:val="center"/>
    </w:pPr>
    <w:rPr>
      <w:rFonts w:ascii="Arial" w:hAnsi="Arial" w:eastAsia="黑体" w:cs="Times New Roman"/>
      <w:sz w:val="18"/>
      <w:lang w:val="en-US" w:eastAsia="en-US" w:bidi="ar-SA"/>
    </w:rPr>
  </w:style>
  <w:style w:type="paragraph" w:customStyle="1" w:styleId="144">
    <w:name w:val="Char Char1 Char"/>
    <w:basedOn w:val="1"/>
    <w:qFormat/>
    <w:uiPriority w:val="0"/>
    <w:rPr>
      <w:rFonts w:ascii="仿宋_GB2312" w:eastAsia="仿宋_GB2312"/>
      <w:b/>
      <w:sz w:val="32"/>
      <w:szCs w:val="32"/>
    </w:rPr>
  </w:style>
  <w:style w:type="paragraph" w:customStyle="1" w:styleId="145">
    <w:name w:val="样式 样式 标题 3Chapter X.X.X. + 段后: 0.5 行 + 段后: 0.5 行"/>
    <w:basedOn w:val="129"/>
    <w:qFormat/>
    <w:uiPriority w:val="0"/>
    <w:pPr/>
  </w:style>
  <w:style w:type="paragraph" w:customStyle="1" w:styleId="146">
    <w:name w:val="P1"/>
    <w:basedOn w:val="1"/>
    <w:qFormat/>
    <w:uiPriority w:val="0"/>
    <w:pPr>
      <w:widowControl/>
      <w:spacing w:before="240" w:line="240" w:lineRule="atLeast"/>
      <w:jc w:val="left"/>
    </w:pPr>
    <w:rPr>
      <w:b/>
      <w:kern w:val="0"/>
      <w:szCs w:val="21"/>
      <w:lang w:val="en-AU" w:eastAsia="en-US"/>
    </w:rPr>
  </w:style>
  <w:style w:type="paragraph" w:customStyle="1" w:styleId="147">
    <w:name w:val="paragraph1"/>
    <w:basedOn w:val="1"/>
    <w:qFormat/>
    <w:uiPriority w:val="0"/>
    <w:pPr>
      <w:spacing w:afterLines="30" w:line="360" w:lineRule="auto"/>
      <w:ind w:firstLine="200" w:firstLineChars="200"/>
    </w:pPr>
    <w:rPr>
      <w:rFonts w:eastAsia="楷体_GB2312"/>
      <w:sz w:val="24"/>
      <w:szCs w:val="20"/>
    </w:rPr>
  </w:style>
  <w:style w:type="paragraph" w:customStyle="1" w:styleId="14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49">
    <w:name w:val="表内文字"/>
    <w:basedOn w:val="1"/>
    <w:qFormat/>
    <w:uiPriority w:val="0"/>
    <w:pPr>
      <w:tabs>
        <w:tab w:val="left" w:pos="1418"/>
      </w:tabs>
      <w:spacing w:line="360" w:lineRule="auto"/>
      <w:jc w:val="center"/>
    </w:pPr>
    <w:rPr>
      <w:rFonts w:ascii="宋体"/>
      <w:spacing w:val="-20"/>
      <w:kern w:val="0"/>
      <w:sz w:val="24"/>
    </w:rPr>
  </w:style>
  <w:style w:type="paragraph" w:customStyle="1" w:styleId="150">
    <w:name w:val="Bullet1"/>
    <w:basedOn w:val="1"/>
    <w:qFormat/>
    <w:uiPriority w:val="0"/>
    <w:pPr>
      <w:spacing w:afterLines="50"/>
      <w:ind w:left="720" w:hanging="432"/>
      <w:jc w:val="left"/>
    </w:pPr>
    <w:rPr>
      <w:rFonts w:ascii="宋体"/>
      <w:snapToGrid w:val="0"/>
      <w:kern w:val="0"/>
      <w:szCs w:val="20"/>
    </w:rPr>
  </w:style>
  <w:style w:type="paragraph" w:customStyle="1" w:styleId="151">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Bullet"/>
    <w:basedOn w:val="1"/>
    <w:qFormat/>
    <w:uiPriority w:val="0"/>
    <w:pPr>
      <w:widowControl/>
      <w:numPr>
        <w:ilvl w:val="0"/>
        <w:numId w:val="11"/>
      </w:numPr>
      <w:tabs>
        <w:tab w:val="left" w:pos="720"/>
        <w:tab w:val="clear" w:pos="900"/>
      </w:tabs>
      <w:spacing w:before="120" w:afterLines="50"/>
      <w:ind w:left="720" w:right="360"/>
    </w:pPr>
    <w:rPr>
      <w:rFonts w:ascii="宋体"/>
      <w:snapToGrid w:val="0"/>
      <w:kern w:val="0"/>
      <w:szCs w:val="20"/>
    </w:rPr>
  </w:style>
  <w:style w:type="paragraph" w:customStyle="1" w:styleId="154">
    <w:name w:val="样式2"/>
    <w:basedOn w:val="4"/>
    <w:qFormat/>
    <w:uiPriority w:val="0"/>
    <w:pPr>
      <w:numPr>
        <w:ilvl w:val="1"/>
        <w:numId w:val="12"/>
      </w:numPr>
    </w:pPr>
    <w:rPr>
      <w:rFonts w:eastAsia="宋体"/>
    </w:rPr>
  </w:style>
  <w:style w:type="paragraph" w:customStyle="1" w:styleId="155">
    <w:name w:val="P2"/>
    <w:basedOn w:val="1"/>
    <w:qFormat/>
    <w:uiPriority w:val="0"/>
    <w:pPr>
      <w:widowControl/>
      <w:spacing w:before="240" w:line="240" w:lineRule="atLeast"/>
      <w:ind w:left="578"/>
      <w:jc w:val="left"/>
    </w:pPr>
    <w:rPr>
      <w:b/>
      <w:kern w:val="0"/>
      <w:szCs w:val="21"/>
      <w:lang w:val="en-AU" w:eastAsia="en-US"/>
    </w:rPr>
  </w:style>
  <w:style w:type="paragraph" w:customStyle="1" w:styleId="156">
    <w:name w:val="Main Title"/>
    <w:basedOn w:val="1"/>
    <w:qFormat/>
    <w:uiPriority w:val="0"/>
    <w:pPr>
      <w:spacing w:before="480" w:afterLines="50"/>
      <w:jc w:val="center"/>
    </w:pPr>
    <w:rPr>
      <w:rFonts w:ascii="宋体"/>
      <w:b/>
      <w:snapToGrid w:val="0"/>
      <w:kern w:val="28"/>
      <w:sz w:val="32"/>
      <w:szCs w:val="20"/>
    </w:rPr>
  </w:style>
  <w:style w:type="paragraph" w:customStyle="1" w:styleId="157">
    <w:name w:val="Item List"/>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15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59">
    <w:name w:val="样式 标题 3Chapter X.X.X. + 段后: 0.5 行1"/>
    <w:basedOn w:val="5"/>
    <w:next w:val="1"/>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60">
    <w:name w:val="标题 3Chapter X.X.X. + 段后: 0.5 行 + 段后: 0.5 行 + 段后: 0.5 行1"/>
    <w:basedOn w:val="145"/>
    <w:qFormat/>
    <w:uiPriority w:val="0"/>
    <w:pPr/>
  </w:style>
  <w:style w:type="paragraph" w:customStyle="1" w:styleId="161">
    <w:name w:val="文本框内文字"/>
    <w:basedOn w:val="1"/>
    <w:qFormat/>
    <w:uiPriority w:val="0"/>
    <w:pPr>
      <w:spacing w:line="0" w:lineRule="atLeast"/>
    </w:pPr>
    <w:rPr>
      <w:rFonts w:eastAsia="仿宋_GB2312"/>
      <w:sz w:val="2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Char Char23 Char Char Char Char Char Char Char Char"/>
    <w:basedOn w:val="1"/>
    <w:qFormat/>
    <w:uiPriority w:val="0"/>
    <w:pPr>
      <w:jc w:val="center"/>
    </w:pPr>
    <w:rPr>
      <w:rFonts w:ascii="仿宋_GB2312" w:eastAsia="仿宋_GB2312"/>
      <w:b/>
      <w:kern w:val="0"/>
      <w:sz w:val="32"/>
      <w:szCs w:val="32"/>
      <w:lang w:val="en-GB" w:eastAsia="en-GB"/>
    </w:rPr>
  </w:style>
  <w:style w:type="paragraph" w:customStyle="1" w:styleId="164">
    <w:name w:val="[Normal]"/>
    <w:qFormat/>
    <w:uiPriority w:val="0"/>
    <w:rPr>
      <w:rFonts w:ascii="宋体" w:hAnsi="宋体" w:eastAsia="宋体" w:cs="Times New Roman"/>
      <w:sz w:val="24"/>
      <w:lang w:val="en-US" w:eastAsia="en-US" w:bidi="ar-SA"/>
    </w:rPr>
  </w:style>
  <w:style w:type="paragraph" w:customStyle="1" w:styleId="165">
    <w:name w:val="S4-L15-C"/>
    <w:basedOn w:val="1"/>
    <w:qFormat/>
    <w:uiPriority w:val="0"/>
    <w:pPr>
      <w:spacing w:after="120" w:line="360" w:lineRule="auto"/>
      <w:jc w:val="center"/>
    </w:pPr>
    <w:rPr>
      <w:szCs w:val="21"/>
    </w:rPr>
  </w:style>
  <w:style w:type="paragraph" w:customStyle="1" w:styleId="166">
    <w:name w:val="Char Char Char Char1"/>
    <w:basedOn w:val="1"/>
    <w:qFormat/>
    <w:uiPriority w:val="0"/>
    <w:rPr>
      <w:rFonts w:ascii="仿宋_GB2312" w:eastAsia="仿宋_GB2312"/>
      <w:b/>
      <w:sz w:val="32"/>
      <w:szCs w:val="32"/>
    </w:rPr>
  </w:style>
  <w:style w:type="paragraph" w:customStyle="1" w:styleId="167">
    <w:name w:val="样式 样式 样式 标题 3Chapter X.X.X. + 段后: 0.5 行 + 段后: 0.5 行 + 段后: 0.5 行"/>
    <w:basedOn w:val="145"/>
    <w:qFormat/>
    <w:uiPriority w:val="0"/>
    <w:pPr>
      <w:spacing w:afterLines="0"/>
    </w:pPr>
  </w:style>
  <w:style w:type="paragraph" w:customStyle="1" w:styleId="168">
    <w:name w:val="标准标题2"/>
    <w:basedOn w:val="4"/>
    <w:qFormat/>
    <w:uiPriority w:val="0"/>
    <w:pPr>
      <w:spacing w:line="360" w:lineRule="auto"/>
    </w:pPr>
    <w:rPr>
      <w:rFonts w:eastAsia="仿宋_GB2312"/>
      <w:bCs w:val="0"/>
      <w:sz w:val="28"/>
    </w:rPr>
  </w:style>
  <w:style w:type="paragraph" w:customStyle="1" w:styleId="1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0">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71">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172">
    <w:name w:val="Style-正文"/>
    <w:basedOn w:val="1"/>
    <w:qFormat/>
    <w:uiPriority w:val="0"/>
    <w:pPr>
      <w:spacing w:line="360" w:lineRule="auto"/>
      <w:ind w:firstLine="420"/>
    </w:pPr>
    <w:rPr>
      <w:rFonts w:ascii="宋体"/>
      <w:sz w:val="24"/>
    </w:rPr>
  </w:style>
  <w:style w:type="paragraph" w:customStyle="1" w:styleId="173">
    <w:name w:val="标准有序列表（L1）"/>
    <w:basedOn w:val="14"/>
    <w:qFormat/>
    <w:uiPriority w:val="0"/>
    <w:pPr>
      <w:numPr>
        <w:ilvl w:val="4"/>
        <w:numId w:val="14"/>
      </w:numPr>
      <w:tabs>
        <w:tab w:val="left" w:pos="0"/>
        <w:tab w:val="left" w:pos="2100"/>
        <w:tab w:val="clear" w:pos="2040"/>
      </w:tabs>
      <w:spacing w:line="360" w:lineRule="auto"/>
      <w:ind w:left="0" w:firstLine="0"/>
    </w:pPr>
    <w:rPr>
      <w:rFonts w:ascii="黑体" w:eastAsia="黑体"/>
      <w:color w:val="000000"/>
      <w:sz w:val="24"/>
    </w:rPr>
  </w:style>
  <w:style w:type="paragraph" w:customStyle="1" w:styleId="174">
    <w:name w:val="样式 样式3 + 宋体 五号 Char Char Char"/>
    <w:basedOn w:val="1"/>
    <w:qFormat/>
    <w:uiPriority w:val="0"/>
    <w:pPr>
      <w:keepNext/>
      <w:keepLines/>
      <w:tabs>
        <w:tab w:val="left" w:pos="1200"/>
      </w:tabs>
      <w:ind w:left="1200" w:hanging="360"/>
      <w:jc w:val="left"/>
      <w:outlineLvl w:val="7"/>
    </w:pPr>
    <w:rPr>
      <w:rFonts w:ascii="宋体"/>
      <w:b/>
      <w:bCs/>
    </w:rPr>
  </w:style>
  <w:style w:type="paragraph" w:customStyle="1" w:styleId="175">
    <w:name w:val="Char Char Char"/>
    <w:basedOn w:val="1"/>
    <w:qFormat/>
    <w:uiPriority w:val="0"/>
    <w:rPr>
      <w:rFonts w:ascii="仿宋_GB2312" w:eastAsia="仿宋_GB2312"/>
      <w:b/>
      <w:sz w:val="32"/>
      <w:szCs w:val="32"/>
    </w:rPr>
  </w:style>
  <w:style w:type="paragraph" w:customStyle="1" w:styleId="176">
    <w:name w:val="最新标题1"/>
    <w:basedOn w:val="44"/>
    <w:next w:val="46"/>
    <w:qFormat/>
    <w:uiPriority w:val="0"/>
    <w:pPr>
      <w:numPr>
        <w:numId w:val="6"/>
      </w:numPr>
      <w:tabs>
        <w:tab w:val="left" w:pos="360"/>
        <w:tab w:val="left" w:pos="1140"/>
      </w:tabs>
      <w:spacing w:after="120"/>
      <w:ind w:left="1140" w:hanging="720"/>
    </w:pPr>
    <w:rPr>
      <w:bCs/>
    </w:rPr>
  </w:style>
  <w:style w:type="paragraph" w:customStyle="1" w:styleId="17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78">
    <w:name w:val="Plain Text1"/>
    <w:basedOn w:val="1"/>
    <w:qFormat/>
    <w:uiPriority w:val="0"/>
    <w:pPr>
      <w:autoSpaceDE w:val="0"/>
      <w:autoSpaceDN w:val="0"/>
      <w:adjustRightInd w:val="0"/>
      <w:spacing w:line="360" w:lineRule="auto"/>
    </w:pPr>
    <w:rPr>
      <w:rFonts w:ascii="宋体"/>
      <w:sz w:val="24"/>
      <w:szCs w:val="20"/>
    </w:rPr>
  </w:style>
  <w:style w:type="paragraph" w:customStyle="1" w:styleId="179">
    <w:name w:val="沈标题四"/>
    <w:basedOn w:val="6"/>
    <w:next w:val="1"/>
    <w:qFormat/>
    <w:uiPriority w:val="0"/>
    <w:pPr>
      <w:keepNext w:val="0"/>
      <w:keepLines w:val="0"/>
      <w:spacing w:line="374" w:lineRule="auto"/>
    </w:pPr>
    <w:rPr>
      <w:rFonts w:ascii="Arial Narrow" w:hAnsi="Arial Narrow" w:eastAsia="方正姚体"/>
      <w:b w:val="0"/>
      <w:sz w:val="24"/>
      <w:szCs w:val="24"/>
    </w:rPr>
  </w:style>
  <w:style w:type="paragraph" w:customStyle="1" w:styleId="180">
    <w:name w:val="Body"/>
    <w:basedOn w:val="1"/>
    <w:qFormat/>
    <w:uiPriority w:val="0"/>
    <w:pPr>
      <w:widowControl/>
      <w:spacing w:before="120" w:afterLines="50"/>
    </w:pPr>
    <w:rPr>
      <w:rFonts w:ascii="宋体"/>
      <w:snapToGrid w:val="0"/>
      <w:kern w:val="0"/>
      <w:szCs w:val="20"/>
    </w:rPr>
  </w:style>
  <w:style w:type="paragraph" w:customStyle="1" w:styleId="181">
    <w:name w:val="样式 标题 3Chapter X.X.X"/>
    <w:basedOn w:val="160"/>
    <w:qFormat/>
    <w:uiPriority w:val="0"/>
    <w:pPr>
      <w:spacing w:afterLines="0"/>
    </w:pPr>
  </w:style>
  <w:style w:type="paragraph" w:customStyle="1" w:styleId="182">
    <w:name w:val="Paragraph3"/>
    <w:basedOn w:val="1"/>
    <w:qFormat/>
    <w:uiPriority w:val="0"/>
    <w:pPr>
      <w:spacing w:before="80" w:afterLines="50"/>
      <w:ind w:left="1530"/>
    </w:pPr>
    <w:rPr>
      <w:rFonts w:ascii="宋体"/>
      <w:snapToGrid w:val="0"/>
      <w:kern w:val="0"/>
      <w:szCs w:val="20"/>
    </w:rPr>
  </w:style>
  <w:style w:type="paragraph" w:customStyle="1" w:styleId="183">
    <w:name w:val="Char11"/>
    <w:basedOn w:val="1"/>
    <w:qFormat/>
    <w:uiPriority w:val="0"/>
    <w:rPr>
      <w:szCs w:val="20"/>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S4-I-L15-U"/>
    <w:basedOn w:val="1"/>
    <w:qFormat/>
    <w:uiPriority w:val="0"/>
    <w:pPr>
      <w:spacing w:line="360" w:lineRule="auto"/>
    </w:pPr>
    <w:rPr>
      <w:b/>
      <w:i/>
      <w:sz w:val="24"/>
      <w:u w:val="single"/>
    </w:rPr>
  </w:style>
  <w:style w:type="paragraph" w:customStyle="1" w:styleId="187">
    <w:name w:val="正文111"/>
    <w:basedOn w:val="1"/>
    <w:qFormat/>
    <w:uiPriority w:val="0"/>
    <w:pPr>
      <w:spacing w:line="360" w:lineRule="auto"/>
      <w:ind w:firstLine="200" w:firstLineChars="200"/>
    </w:pPr>
    <w:rPr>
      <w:rFonts w:eastAsia="仿宋"/>
      <w:sz w:val="28"/>
    </w:rPr>
  </w:style>
  <w:style w:type="character" w:customStyle="1" w:styleId="188">
    <w:name w:val="font11"/>
    <w:basedOn w:val="63"/>
    <w:qFormat/>
    <w:uiPriority w:val="0"/>
    <w:rPr>
      <w:rFonts w:ascii="微软雅黑" w:hAnsi="微软雅黑" w:eastAsia="微软雅黑" w:cs="微软雅黑"/>
      <w:color w:val="000000"/>
      <w:sz w:val="18"/>
      <w:szCs w:val="18"/>
      <w:u w:val="none"/>
    </w:rPr>
  </w:style>
  <w:style w:type="character" w:customStyle="1" w:styleId="189">
    <w:name w:val="font41"/>
    <w:basedOn w:val="63"/>
    <w:qFormat/>
    <w:uiPriority w:val="0"/>
    <w:rPr>
      <w:rFonts w:hint="eastAsia" w:ascii="宋体" w:hAnsi="宋体" w:eastAsia="宋体" w:cs="宋体"/>
      <w:color w:val="000000"/>
      <w:sz w:val="18"/>
      <w:szCs w:val="18"/>
      <w:u w:val="none"/>
    </w:rPr>
  </w:style>
  <w:style w:type="paragraph" w:customStyle="1" w:styleId="190">
    <w:name w:val="Body Text 3"/>
    <w:basedOn w:val="1"/>
    <w:qFormat/>
    <w:uiPriority w:val="0"/>
    <w:pPr>
      <w:spacing w:after="120" w:afterLines="0"/>
    </w:pPr>
    <w:rPr>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28105</Words>
  <Characters>29783</Characters>
  <Lines>665</Lines>
  <Paragraphs>187</Paragraphs>
  <TotalTime>7</TotalTime>
  <ScaleCrop>false</ScaleCrop>
  <LinksUpToDate>false</LinksUpToDate>
  <CharactersWithSpaces>32871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2020-08-11T07:36:00Z</dcterms:created>
  <dc:creator>user</dc:creator>
  <cp:lastModifiedBy>Admin</cp:lastModifiedBy>
  <cp:lastPrinted>2021-07-12T06:20:00Z</cp:lastPrinted>
  <dcterms:modified xsi:type="dcterms:W3CDTF">2023-05-12T08:22:28Z</dcterms:modified>
  <dc:title>浙江华夏</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3365064A36EA478EAAFFAB7B5DE2661B_13</vt:lpwstr>
  </property>
</Properties>
</file>