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杭州市大数据管理服务中心</w:t>
      </w: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（杭州市人民政府电子政务中心）</w:t>
      </w: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办公设备软硬件维护项目（2025年)</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HZZFCG-2025-113</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杭州市大数据管理服务中心（杭州市人民政府电子政务中心）</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杭州市大数据管理服务中心（杭州市人民政府电子政务中心）办公设备软硬件维护项目（2025年)</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HZZFCG-2025-113</w:t>
      </w:r>
      <w:bookmarkStart w:id="419" w:name="_GoBack"/>
      <w:bookmarkEnd w:id="419"/>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杭州市大数据管理服务中心（杭州市人民政府电子政务中心）办公设备软硬件维护项目（2025年)</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1100000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1100000</w:t>
      </w:r>
      <w:r>
        <w:rPr>
          <w:rFonts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杭州市大数据管理服务中心（杭州市人民政府电子政务中心）办公设备软硬件维护项目（2025年)</w:t>
      </w: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rPr>
        <w:t>1、市政府办公厅、市数据资源局、市大数据管理服务中心的所有电子资产（含国产化终端）的资产管理和设备软硬件维护工作（桌面操作系统、耗材更换、设备硬件故障排查修复、投影设备连接调试、室内网络布线、市民中心无线网络的申请开通、网络故障排查修复等）；市民中心行政区域之内其余各单位的政务外网（VPN2、VPN3）前端故障排查维护工作（网络端口开通、端口调整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需提供驻场服务人员7人，并提供7*24小时技术支持（维护人员安排轮流值班，保证7*24小时随时响应的服务机制）。技术维护人员要具备两年以上相关工作经验。人员服从采购人统一安排管理，协助采购人做好日常软硬件设备维护及应对突发性、临时性软硬件设备维护保障等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3、提供视频会议服务及视频导播服务。会议采用会议直播平台（浙政钉会议、钉钉会议、腾讯会议、ZOOM会议、瞩目会议、小鱼易连会议等）。根据需求提供相应的视频导播会议服务。</w:t>
      </w:r>
    </w:p>
    <w:p>
      <w:pPr>
        <w:pStyle w:val="6"/>
        <w:spacing w:line="360" w:lineRule="auto"/>
        <w:ind w:firstLine="480"/>
        <w:rPr>
          <w:rFonts w:hAnsi="宋体" w:cs="宋体"/>
          <w:bCs/>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本项目服务期限为1年，即2025年7月1日至2026年6月30日</w:t>
      </w:r>
      <w:r>
        <w:rPr>
          <w:rFonts w:hint="eastAsia" w:hAnsi="宋体" w:cs="宋体"/>
          <w:bCs/>
          <w:color w:val="auto"/>
          <w:szCs w:val="24"/>
          <w:highlight w:val="none"/>
        </w:rPr>
        <w:t>。</w:t>
      </w:r>
      <w:r>
        <w:rPr>
          <w:rFonts w:ascii="宋体" w:hAnsi="宋体" w:cs="宋体"/>
          <w:color w:val="auto"/>
          <w:highlight w:val="none"/>
        </w:rPr>
        <w:t xml:space="preserve"> </w:t>
      </w:r>
      <w:r>
        <w:rPr>
          <w:rFonts w:hint="eastAsia" w:ascii="宋体" w:hAnsi="宋体" w:cs="宋体"/>
          <w:b/>
          <w:snapToGrid w:val="0"/>
          <w:color w:val="auto"/>
          <w:highlight w:val="none"/>
          <w:lang w:val="zh-CN"/>
        </w:rPr>
        <w:t>特别说明：202</w:t>
      </w:r>
      <w:r>
        <w:rPr>
          <w:rFonts w:hint="eastAsia" w:ascii="宋体" w:hAnsi="宋体" w:cs="宋体"/>
          <w:b/>
          <w:snapToGrid w:val="0"/>
          <w:color w:val="auto"/>
          <w:highlight w:val="none"/>
          <w:lang w:val="en-US" w:eastAsia="zh-CN"/>
        </w:rPr>
        <w:t>5</w:t>
      </w:r>
      <w:r>
        <w:rPr>
          <w:rFonts w:hint="eastAsia" w:ascii="宋体" w:hAnsi="宋体" w:cs="宋体"/>
          <w:b/>
          <w:snapToGrid w:val="0"/>
          <w:color w:val="auto"/>
          <w:highlight w:val="none"/>
          <w:lang w:val="zh-CN"/>
        </w:rPr>
        <w:t>年</w:t>
      </w:r>
      <w:r>
        <w:rPr>
          <w:rFonts w:hint="eastAsia" w:ascii="宋体" w:hAnsi="宋体" w:cs="宋体"/>
          <w:b/>
          <w:snapToGrid w:val="0"/>
          <w:color w:val="auto"/>
          <w:highlight w:val="none"/>
          <w:lang w:val="en-US" w:eastAsia="zh-CN"/>
        </w:rPr>
        <w:t>7</w:t>
      </w:r>
      <w:r>
        <w:rPr>
          <w:rFonts w:hint="eastAsia" w:ascii="宋体" w:hAnsi="宋体" w:cs="宋体"/>
          <w:b/>
          <w:snapToGrid w:val="0"/>
          <w:color w:val="auto"/>
          <w:highlight w:val="none"/>
          <w:lang w:val="zh-CN"/>
        </w:rPr>
        <w:t>月1日至合同签订之日前的空档期服务由原供应商承担，费用由中标人按本次中标价单日金额乘以实际服务天数，与原供应商结算</w:t>
      </w:r>
      <w:r>
        <w:rPr>
          <w:rFonts w:hint="eastAsia" w:ascii="宋体" w:hAnsi="宋体" w:cs="宋体"/>
          <w:b/>
          <w:color w:val="auto"/>
          <w:highlight w:val="none"/>
        </w:rPr>
        <w:t>。</w:t>
      </w:r>
    </w:p>
    <w:p>
      <w:pPr>
        <w:pStyle w:val="131"/>
        <w:ind w:firstLine="482"/>
        <w:outlineLvl w:val="2"/>
        <w:rPr>
          <w:rFonts w:ascii="宋体" w:hAnsi="宋体" w:cs="宋体"/>
          <w:color w:val="auto"/>
          <w:highlight w:val="none"/>
        </w:rPr>
      </w:pP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杭州市大数据管理服务中心（杭州市人民政府电子政务中心）</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址：杭州市上城区解放东路18号</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真：0571-85250535</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裘老师</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项目联系方式（询问）：0571-85250451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质疑联系人：张颖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质疑联系方式：0571-85250572</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89587861、89587802</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杭州市大数据管理服务中心（杭州市人民政府电子政务中心）办公设备软硬件维护项目（2025年)</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软件和信息技术服务业  </w:t>
            </w:r>
            <w:r>
              <w:rPr>
                <w:rFonts w:hint="eastAsia" w:ascii="宋体" w:hAnsi="宋体" w:cs="宋体"/>
                <w:color w:val="auto"/>
                <w:kern w:val="0"/>
                <w:sz w:val="24"/>
                <w:highlight w:val="none"/>
              </w:rPr>
              <w:t>行业；</w:t>
            </w:r>
          </w:p>
          <w:p>
            <w:pPr>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视频会议导播服务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pPr>
              <w:spacing w:line="360" w:lineRule="auto"/>
              <w:rPr>
                <w:color w:val="auto"/>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pPr>
              <w:pStyle w:val="2"/>
              <w:spacing w:line="360" w:lineRule="auto"/>
              <w:jc w:val="both"/>
              <w:rPr>
                <w:rFonts w:hint="eastAsia" w:ascii="宋体" w:hAnsi="宋体" w:eastAsia="宋体" w:cs="宋体"/>
                <w:color w:val="auto"/>
                <w:kern w:val="0"/>
                <w:sz w:val="24"/>
                <w:highlight w:val="none"/>
                <w:shd w:val="clear" w:color="auto" w:fill="auto"/>
                <w:lang w:val="zh-CN"/>
              </w:rPr>
            </w:pPr>
            <w:sdt>
              <w:sdtPr>
                <w:rPr>
                  <w:rFonts w:hint="eastAsia" w:ascii="宋体" w:hAnsi="宋体" w:eastAsia="宋体" w:cs="宋体"/>
                  <w:color w:val="auto"/>
                  <w:kern w:val="2"/>
                  <w:sz w:val="24"/>
                  <w:szCs w:val="24"/>
                  <w:highlight w:val="none"/>
                  <w:lang w:val="en-US" w:eastAsia="zh-CN" w:bidi="ar-SA"/>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w:t>
            </w:r>
            <w:r>
              <w:rPr>
                <w:rFonts w:hint="eastAsia" w:ascii="宋体" w:hAnsi="宋体" w:eastAsia="宋体" w:cs="宋体"/>
                <w:color w:val="auto"/>
                <w:kern w:val="2"/>
                <w:sz w:val="24"/>
                <w:szCs w:val="24"/>
                <w:highlight w:val="none"/>
                <w:shd w:val="clear" w:color="auto" w:fill="auto"/>
                <w:lang w:val="en-US" w:eastAsia="zh-CN" w:bidi="ar-SA"/>
              </w:rPr>
              <w:t>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对实施政府强制采购，</w:t>
            </w:r>
            <w:r>
              <w:rPr>
                <w:rFonts w:hint="eastAsia" w:ascii="宋体" w:hAnsi="宋体" w:eastAsia="宋体" w:cs="宋体"/>
                <w:b/>
                <w:bCs/>
                <w:color w:val="auto"/>
                <w:kern w:val="0"/>
                <w:sz w:val="24"/>
                <w:highlight w:val="none"/>
                <w:shd w:val="clear" w:color="auto" w:fill="auto"/>
                <w:lang w:val="zh-CN"/>
              </w:rPr>
              <w:t>投标人</w:t>
            </w:r>
            <w:r>
              <w:rPr>
                <w:rFonts w:hint="eastAsia" w:ascii="宋体" w:hAnsi="宋体" w:eastAsia="宋体" w:cs="宋体"/>
                <w:b/>
                <w:bCs/>
                <w:color w:val="auto"/>
                <w:kern w:val="0"/>
                <w:sz w:val="24"/>
                <w:highlight w:val="none"/>
                <w:shd w:val="clear" w:color="auto" w:fill="auto"/>
              </w:rPr>
              <w:t>就</w:t>
            </w:r>
            <w:r>
              <w:rPr>
                <w:rFonts w:hint="eastAsia" w:ascii="宋体" w:hAnsi="宋体" w:eastAsia="宋体" w:cs="宋体"/>
                <w:b/>
                <w:bCs/>
                <w:color w:val="auto"/>
                <w:kern w:val="0"/>
                <w:sz w:val="24"/>
                <w:highlight w:val="none"/>
                <w:shd w:val="clear" w:color="auto" w:fill="auto"/>
                <w:lang w:val="zh-CN"/>
              </w:rPr>
              <w:t>相应的投标产品未</w:t>
            </w:r>
            <w:r>
              <w:rPr>
                <w:rFonts w:hint="eastAsia" w:ascii="宋体" w:hAnsi="宋体" w:eastAsia="宋体" w:cs="宋体"/>
                <w:b/>
                <w:bCs/>
                <w:color w:val="auto"/>
                <w:kern w:val="0"/>
                <w:sz w:val="24"/>
                <w:highlight w:val="none"/>
                <w:shd w:val="clear" w:color="auto" w:fill="auto"/>
              </w:rPr>
              <w:t>提供</w:t>
            </w:r>
            <w:r>
              <w:rPr>
                <w:rFonts w:hint="eastAsia" w:ascii="宋体" w:hAnsi="宋体" w:eastAsia="宋体" w:cs="宋体"/>
                <w:b/>
                <w:bCs/>
                <w:color w:val="auto"/>
                <w:kern w:val="0"/>
                <w:sz w:val="24"/>
                <w:highlight w:val="none"/>
                <w:shd w:val="clear" w:color="auto" w:fill="auto"/>
                <w:lang w:val="zh-CN"/>
              </w:rPr>
              <w:t>国家确定的认证机构出具的、处于有效期之内的节能产品认证证书的，投标无效</w:t>
            </w:r>
            <w:r>
              <w:rPr>
                <w:rFonts w:hint="eastAsia" w:ascii="宋体" w:hAnsi="宋体" w:eastAsia="宋体" w:cs="宋体"/>
                <w:color w:val="auto"/>
                <w:kern w:val="0"/>
                <w:sz w:val="24"/>
                <w:highlight w:val="none"/>
                <w:shd w:val="clear" w:color="auto" w:fill="auto"/>
                <w:lang w:val="zh-CN"/>
              </w:rPr>
              <w:t>。</w:t>
            </w:r>
          </w:p>
          <w:p>
            <w:pPr>
              <w:pStyle w:val="2"/>
              <w:spacing w:line="360" w:lineRule="auto"/>
              <w:jc w:val="both"/>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□优先采购节能产品。产品：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pPr>
              <w:pStyle w:val="2"/>
              <w:spacing w:line="360" w:lineRule="auto"/>
              <w:jc w:val="both"/>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□优先采购环保产品。产品：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p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Arial"/>
                <w:color w:val="auto"/>
                <w:kern w:val="0"/>
                <w:sz w:val="24"/>
                <w:highlight w:val="none"/>
                <w:lang w:val="en" w:eastAsia="zh-CN"/>
              </w:rPr>
            </w:pPr>
            <w:r>
              <w:rPr>
                <w:rFonts w:hint="eastAsia" w:ascii="宋体" w:hAnsi="宋体" w:cs="Arial"/>
                <w:color w:val="auto"/>
                <w:kern w:val="0"/>
                <w:sz w:val="24"/>
                <w:highlight w:val="none"/>
                <w:lang w:val="en" w:eastAsia="zh-CN"/>
              </w:rPr>
              <w:t>本项目推荐的中标候选人数：</w:t>
            </w:r>
            <w:r>
              <w:rPr>
                <w:rFonts w:hint="eastAsia" w:ascii="宋体" w:hAnsi="宋体" w:cs="Arial"/>
                <w:color w:val="auto"/>
                <w:kern w:val="0"/>
                <w:sz w:val="24"/>
                <w:highlight w:val="none"/>
                <w:u w:val="single"/>
                <w:lang w:val="en-US" w:eastAsia="zh-CN"/>
              </w:rPr>
              <w:t xml:space="preserve">   1    </w:t>
            </w:r>
            <w:r>
              <w:rPr>
                <w:rFonts w:hint="eastAsia" w:ascii="宋体" w:hAnsi="宋体" w:cs="Arial"/>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本项目不收取代理费。</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pPr>
        <w:adjustRightInd w:val="0"/>
        <w:snapToGrid w:val="0"/>
        <w:spacing w:line="360" w:lineRule="auto"/>
        <w:ind w:firstLine="480" w:firstLineChars="200"/>
        <w:rPr>
          <w:rFonts w:hint="eastAsia" w:ascii="宋体" w:hAnsi="宋体" w:cs="仿宋"/>
          <w:color w:val="auto"/>
          <w:sz w:val="24"/>
          <w:highlight w:val="none"/>
        </w:rPr>
      </w:pP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89"/>
        <w:shd w:val="clear" w:color="auto" w:fill="FFFFFF"/>
        <w:snapToGrid w:val="0"/>
        <w:spacing w:before="0" w:beforeAutospacing="0" w:after="240" w:afterAutospacing="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rPr>
          <w:rFonts w:hint="eastAsia"/>
          <w:color w:val="auto"/>
          <w:highlight w:val="none"/>
        </w:rPr>
      </w:pP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r>
        <w:rPr>
          <w:rFonts w:hint="eastAsia"/>
          <w:color w:val="auto"/>
          <w:sz w:val="24"/>
          <w:szCs w:val="24"/>
          <w:highlight w:val="none"/>
          <w:shd w:val="clear" w:color="auto" w:fill="FFFFFF"/>
          <w:lang w:val="en-US" w:eastAsia="zh-CN"/>
        </w:rPr>
        <w:t>投标人可事先在公开官网查询、核对相关证书和报告内容，确保投标文件资料准确无误。</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31"/>
        <w:spacing w:before="0"/>
        <w:ind w:firstLine="643"/>
        <w:rPr>
          <w:rFonts w:ascii="宋体" w:hAnsi="宋体" w:cs="宋体"/>
          <w:b/>
          <w:color w:val="auto"/>
          <w:sz w:val="32"/>
          <w:highlight w:val="none"/>
        </w:rPr>
      </w:pPr>
    </w:p>
    <w:p>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1"/>
        <w:spacing w:before="0"/>
        <w:ind w:firstLine="0" w:firstLineChars="0"/>
        <w:rPr>
          <w:rFonts w:ascii="宋体" w:hAnsi="宋体" w:cs="宋体"/>
          <w:b/>
          <w:color w:val="auto"/>
          <w:sz w:val="24"/>
          <w:highlight w:val="none"/>
        </w:rPr>
      </w:pPr>
      <w:r>
        <w:rPr>
          <w:rFonts w:hint="eastAsia" w:ascii="宋体" w:hAnsi="宋体" w:cs="宋体"/>
          <w:b/>
          <w:color w:val="auto"/>
          <w:sz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2"/>
        <w:numPr>
          <w:ilvl w:val="0"/>
          <w:numId w:val="0"/>
        </w:numPr>
        <w:spacing w:line="360" w:lineRule="auto"/>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lang w:val="en-US" w:eastAsia="zh-CN" w:bidi="ar-SA"/>
        </w:rPr>
        <w:t>24.</w:t>
      </w:r>
      <w:r>
        <w:rPr>
          <w:rFonts w:hint="eastAsia" w:ascii="宋体" w:hAnsi="宋体" w:eastAsia="宋体" w:cs="宋体"/>
          <w:b/>
          <w:color w:val="auto"/>
          <w:kern w:val="2"/>
          <w:sz w:val="24"/>
          <w:szCs w:val="24"/>
          <w:highlight w:val="none"/>
          <w:lang w:val="en-US" w:eastAsia="zh-CN"/>
        </w:rPr>
        <w:t>及时复核供应商材料。</w:t>
      </w:r>
      <w:r>
        <w:rPr>
          <w:rFonts w:hint="eastAsia" w:ascii="宋体" w:hAnsi="宋体" w:eastAsia="宋体" w:cs="宋体"/>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八</w:t>
      </w:r>
      <w:r>
        <w:rPr>
          <w:rFonts w:hint="eastAsia" w:ascii="宋体" w:hAnsi="宋体" w:cs="宋体"/>
          <w:b/>
          <w:color w:val="auto"/>
          <w:sz w:val="32"/>
          <w:highlight w:val="none"/>
        </w:rPr>
        <w:t>、合同授予</w:t>
      </w:r>
    </w:p>
    <w:p>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4"/>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val="en-US" w:eastAsia="zh-CN"/>
        </w:rPr>
        <w:t>九</w:t>
      </w:r>
      <w:r>
        <w:rPr>
          <w:rFonts w:hint="eastAsia" w:ascii="宋体" w:hAnsi="宋体" w:cs="宋体"/>
          <w:b/>
          <w:color w:val="auto"/>
          <w:sz w:val="32"/>
          <w:highlight w:val="none"/>
        </w:rPr>
        <w:t>、电子交易活动的中止</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十</w:t>
      </w:r>
      <w:r>
        <w:rPr>
          <w:rFonts w:hint="eastAsia" w:ascii="宋体" w:hAnsi="宋体" w:cs="宋体"/>
          <w:b/>
          <w:color w:val="auto"/>
          <w:sz w:val="32"/>
          <w:highlight w:val="none"/>
        </w:rPr>
        <w:t>、验收</w:t>
      </w:r>
    </w:p>
    <w:p>
      <w:pPr>
        <w:pStyle w:val="25"/>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80"/>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29768"/>
      <w:bookmarkEnd w:id="16"/>
      <w:bookmarkStart w:id="17" w:name="_Hlt68072990"/>
      <w:bookmarkEnd w:id="17"/>
      <w:bookmarkStart w:id="18" w:name="_Hlt75236011"/>
      <w:bookmarkEnd w:id="18"/>
      <w:bookmarkStart w:id="19" w:name="_Hlt68073093"/>
      <w:bookmarkEnd w:id="19"/>
      <w:bookmarkStart w:id="20" w:name="_Hlt75236290"/>
      <w:bookmarkEnd w:id="20"/>
      <w:bookmarkStart w:id="21" w:name="_Hlt68057669"/>
      <w:bookmarkEnd w:id="21"/>
      <w:bookmarkStart w:id="22" w:name="_Hlt75236101"/>
      <w:bookmarkEnd w:id="22"/>
      <w:bookmarkStart w:id="23" w:name="_Hlt74714665"/>
      <w:bookmarkEnd w:id="23"/>
      <w:bookmarkStart w:id="24" w:name="_Hlt74707468"/>
      <w:bookmarkEnd w:id="24"/>
      <w:bookmarkStart w:id="25" w:name="_Hlt68403820"/>
      <w:bookmarkEnd w:id="25"/>
      <w:bookmarkStart w:id="26" w:name="_Hlt7473029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5"/>
        <w:rPr>
          <w:rFonts w:hint="eastAsia" w:ascii="宋体" w:hAnsi="宋体" w:cs="宋体"/>
          <w:color w:val="auto"/>
          <w:sz w:val="24"/>
          <w:szCs w:val="24"/>
          <w:highlight w:val="none"/>
        </w:rPr>
      </w:pPr>
      <w:r>
        <w:rPr>
          <w:rFonts w:hint="eastAsia" w:ascii="宋体" w:hAnsi="宋体" w:cs="宋体"/>
          <w:color w:val="auto"/>
          <w:sz w:val="24"/>
          <w:szCs w:val="24"/>
          <w:highlight w:val="none"/>
        </w:rPr>
        <w:t>属于实质性要求条款的，已用符号“▲”标明，否则属于非实质性要求。</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一、项目服务期限</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本项目服务期限为1年，即2025年7月1日至2026年6月30日。</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二、项目内容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1、承担市政府办公厅的所有电子资产（含国产设备）的资产管理和设备软硬件维护工作（桌面操作系统、硬件故障排查修复、投影设备连接调试、室内网络布线、网络故障排查修复等）：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（1）市政府办公厅所属非国产电脑的设备安装、软件安装、操作系统安装、系统故障的排除，保证办公电脑的正常运行。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（2）协助市政府办公厅开展国产电脑常用办公软件、操作系统的日常维护与故障排除等。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（3）市政府办公厅所属国产/非国产打印机、扫描仪等设备的安装连接、故障排查、耗材申领更换、多媒体会议的投影仪连接调试等。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（4）市政府办公厅所属电子资产的硬件故障排查和及时报修，如现场无法修复的，要求立刻联系设备厂家或保修服务厂商上门进行设备的原厂保修服务，两个工作日之内解决故障并归还使用者。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（5）市政府办公厅人员处室调整后的电子设备拆装；室内网络线路的布置连线；办公厅工作人员的WIFI开通与设备连接；办公厅工作区域内政务外网（VPN2、VPN3）端口开通、需求调整等。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2、承担数据资源管理局、大数据管理服务中心的所有电子资产（含国产设备）的资产管理和软硬件维护工作（桌面操作系统、硬件故障排查修复、室内网络布线、网络故障排查修复、投影设备连接调试等）：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（1）数据资源管理局和大数据管理服务中心所属非国产计算机终端的操作系统、常用软件等安装、维护、故障排除，保证办公电脑的正常使用。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（2）协助数据资源管理局和大数据管理服务中心开展国产计算机终端的常用办公软件、操作系统的日常维护与故障排查。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数据资源管理局和大数据管理服务中心各类打印机、传真一体机、复印机、扫描仪、投影机等设备的驱动安装连接、打印故障排查、视频会议设备的连接调试、大数据管理服务中心的电子资产申领与耗材更换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（4）保障大数据管理服务中心的硬件故障排查和及时报修，如现场无法修复的，要求立刻联系设备厂家或保修服务厂商上门进行设备的原厂保修服务，两个工作日之内解决故障并归还使用者。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（5）数据资源管理局及大数据管理服务中心人员处室调整后的电子设备拆装；室内网络线路的布置连线；工作人员的WIFI开通与设备连接；办公区域的政务外网（VPN2、VPN3）端口开通、需求调整等。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bookmarkStart w:id="28" w:name="_Hlk199171925"/>
      <w:r>
        <w:rPr>
          <w:rFonts w:hint="eastAsia" w:ascii="宋体" w:hAnsi="宋体" w:cs="宋体"/>
          <w:color w:val="auto"/>
          <w:sz w:val="24"/>
          <w:highlight w:val="none"/>
        </w:rPr>
        <w:t>承担市民中心区域内其余各单位的网络维护服务(以政务网交换机为界)工作：</w:t>
      </w:r>
    </w:p>
    <w:p>
      <w:pPr>
        <w:pStyle w:val="61"/>
        <w:rPr>
          <w:rFonts w:hint="eastAsia" w:hAnsi="宋体" w:cs="宋体"/>
          <w:color w:val="auto"/>
          <w:highlight w:val="none"/>
        </w:rPr>
      </w:pPr>
      <w:r>
        <w:rPr>
          <w:rFonts w:hint="eastAsia" w:hAnsi="宋体" w:cs="宋体"/>
          <w:color w:val="auto"/>
          <w:highlight w:val="none"/>
        </w:rPr>
        <w:t>市民中心办公区域之内的其余各单位的政务外网（VPN2、VPN3）网络前端故障排查维护工作，如网络端口开通、需求调整等</w:t>
      </w:r>
      <w:bookmarkEnd w:id="28"/>
      <w:r>
        <w:rPr>
          <w:rFonts w:hint="eastAsia" w:hAnsi="宋体" w:cs="宋体"/>
          <w:color w:val="auto"/>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提供视频会议服务。</w:t>
      </w:r>
      <w:r>
        <w:rPr>
          <w:rFonts w:hint="eastAsia" w:ascii="宋体" w:hAnsi="宋体" w:cs="宋体"/>
          <w:color w:val="auto"/>
          <w:sz w:val="24"/>
          <w:szCs w:val="20"/>
          <w:highlight w:val="none"/>
          <w:lang w:val="zh-CN"/>
        </w:rPr>
        <w:t>能充分理解</w:t>
      </w:r>
      <w:r>
        <w:rPr>
          <w:rFonts w:hint="eastAsia" w:ascii="宋体" w:hAnsi="宋体" w:cs="宋体"/>
          <w:color w:val="auto"/>
          <w:sz w:val="24"/>
          <w:szCs w:val="20"/>
          <w:highlight w:val="none"/>
        </w:rPr>
        <w:t>视频会议服务的</w:t>
      </w:r>
      <w:r>
        <w:rPr>
          <w:rFonts w:hint="eastAsia" w:ascii="宋体" w:hAnsi="宋体" w:cs="宋体"/>
          <w:color w:val="auto"/>
          <w:sz w:val="24"/>
          <w:szCs w:val="20"/>
          <w:highlight w:val="none"/>
          <w:lang w:val="zh-CN"/>
        </w:rPr>
        <w:t>需求，</w:t>
      </w:r>
      <w:r>
        <w:rPr>
          <w:rFonts w:hint="eastAsia" w:ascii="宋体" w:hAnsi="宋体" w:cs="宋体"/>
          <w:color w:val="auto"/>
          <w:sz w:val="24"/>
          <w:szCs w:val="20"/>
          <w:highlight w:val="none"/>
        </w:rPr>
        <w:t>提供科学</w:t>
      </w:r>
      <w:r>
        <w:rPr>
          <w:rFonts w:hint="eastAsia" w:ascii="宋体" w:hAnsi="宋体" w:cs="宋体"/>
          <w:color w:val="auto"/>
          <w:sz w:val="24"/>
          <w:szCs w:val="20"/>
          <w:highlight w:val="none"/>
          <w:lang w:val="zh-CN"/>
        </w:rPr>
        <w:t>完整的</w:t>
      </w:r>
      <w:r>
        <w:rPr>
          <w:rFonts w:hint="eastAsia" w:ascii="宋体" w:hAnsi="宋体" w:cs="宋体"/>
          <w:color w:val="auto"/>
          <w:sz w:val="24"/>
          <w:szCs w:val="20"/>
          <w:highlight w:val="none"/>
        </w:rPr>
        <w:t>会议</w:t>
      </w:r>
      <w:r>
        <w:rPr>
          <w:rFonts w:hint="eastAsia" w:ascii="宋体" w:hAnsi="宋体" w:cs="宋体"/>
          <w:color w:val="auto"/>
          <w:sz w:val="24"/>
          <w:szCs w:val="20"/>
          <w:highlight w:val="none"/>
          <w:lang w:val="zh-CN"/>
        </w:rPr>
        <w:t>服务</w:t>
      </w:r>
      <w:r>
        <w:rPr>
          <w:rFonts w:hint="eastAsia" w:ascii="宋体" w:hAnsi="宋体" w:cs="宋体"/>
          <w:color w:val="auto"/>
          <w:sz w:val="24"/>
          <w:szCs w:val="20"/>
          <w:highlight w:val="none"/>
        </w:rPr>
        <w:t>保障</w:t>
      </w:r>
      <w:r>
        <w:rPr>
          <w:rFonts w:hint="eastAsia" w:ascii="宋体" w:hAnsi="宋体" w:cs="宋体"/>
          <w:color w:val="auto"/>
          <w:sz w:val="24"/>
          <w:szCs w:val="20"/>
          <w:highlight w:val="none"/>
          <w:lang w:val="zh-CN"/>
        </w:rPr>
        <w:t>方案。</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用会议直播平台包含浙政钉（钉钉）会议、腾讯会议、ZOOM会议、瞩目会议、小鱼易连视频会议直播。开通腾讯会议、ZOOM会议、瞩目会议、小鱼易连视频会议管理账号，提供麦克风、摄像头、声音采集卡等设备。</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0"/>
          <w:highlight w:val="none"/>
        </w:rPr>
        <w:t>提供</w:t>
      </w:r>
      <w:r>
        <w:rPr>
          <w:rFonts w:hint="eastAsia" w:ascii="宋体" w:hAnsi="宋体" w:cs="宋体"/>
          <w:color w:val="auto"/>
          <w:sz w:val="24"/>
          <w:highlight w:val="none"/>
        </w:rPr>
        <w:t>视频会议的连接、调试，全程监控本地会场画面，应对会议期间出现各种问题或者突发紧急故障，保障视频会议正常运行。</w:t>
      </w:r>
    </w:p>
    <w:p>
      <w:pPr>
        <w:pStyle w:val="5"/>
        <w:numPr>
          <w:ilvl w:val="0"/>
          <w:numId w:val="1"/>
        </w:numPr>
        <w:spacing w:before="0" w:after="0" w:line="360" w:lineRule="auto"/>
        <w:ind w:left="0"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提供视频会议导播服务。</w:t>
      </w:r>
      <w:r>
        <w:rPr>
          <w:rFonts w:hint="eastAsia" w:ascii="宋体" w:hAnsi="宋体" w:cs="宋体"/>
          <w:b w:val="0"/>
          <w:bCs w:val="0"/>
          <w:color w:val="auto"/>
          <w:sz w:val="24"/>
          <w:szCs w:val="24"/>
          <w:highlight w:val="none"/>
          <w:lang w:val="zh-CN"/>
        </w:rPr>
        <w:t>能充分理解</w:t>
      </w:r>
      <w:r>
        <w:rPr>
          <w:rFonts w:hint="eastAsia" w:ascii="宋体" w:hAnsi="宋体" w:cs="宋体"/>
          <w:b w:val="0"/>
          <w:bCs w:val="0"/>
          <w:color w:val="auto"/>
          <w:sz w:val="24"/>
          <w:szCs w:val="24"/>
          <w:highlight w:val="none"/>
        </w:rPr>
        <w:t>视频会议导播服务的</w:t>
      </w:r>
      <w:r>
        <w:rPr>
          <w:rFonts w:hint="eastAsia" w:ascii="宋体" w:hAnsi="宋体" w:cs="宋体"/>
          <w:b w:val="0"/>
          <w:bCs w:val="0"/>
          <w:color w:val="auto"/>
          <w:sz w:val="24"/>
          <w:szCs w:val="24"/>
          <w:highlight w:val="none"/>
          <w:lang w:val="zh-CN"/>
        </w:rPr>
        <w:t>需求，提供完整的</w:t>
      </w:r>
      <w:r>
        <w:rPr>
          <w:rFonts w:hint="eastAsia" w:ascii="宋体" w:hAnsi="宋体" w:cs="宋体"/>
          <w:b w:val="0"/>
          <w:bCs w:val="0"/>
          <w:color w:val="auto"/>
          <w:sz w:val="24"/>
          <w:szCs w:val="24"/>
          <w:highlight w:val="none"/>
        </w:rPr>
        <w:t>会议</w:t>
      </w:r>
      <w:r>
        <w:rPr>
          <w:rFonts w:hint="eastAsia" w:ascii="宋体" w:hAnsi="宋体" w:cs="宋体"/>
          <w:b w:val="0"/>
          <w:bCs w:val="0"/>
          <w:color w:val="auto"/>
          <w:sz w:val="24"/>
          <w:szCs w:val="24"/>
          <w:highlight w:val="none"/>
          <w:lang w:val="zh-CN"/>
        </w:rPr>
        <w:t>服务</w:t>
      </w:r>
      <w:r>
        <w:rPr>
          <w:rFonts w:hint="eastAsia" w:ascii="宋体" w:hAnsi="宋体" w:cs="宋体"/>
          <w:b w:val="0"/>
          <w:bCs w:val="0"/>
          <w:color w:val="auto"/>
          <w:sz w:val="24"/>
          <w:szCs w:val="24"/>
          <w:highlight w:val="none"/>
        </w:rPr>
        <w:t>保障</w:t>
      </w:r>
      <w:r>
        <w:rPr>
          <w:rFonts w:hint="eastAsia" w:ascii="宋体" w:hAnsi="宋体" w:cs="宋体"/>
          <w:b w:val="0"/>
          <w:bCs w:val="0"/>
          <w:color w:val="auto"/>
          <w:sz w:val="24"/>
          <w:szCs w:val="24"/>
          <w:highlight w:val="none"/>
          <w:lang w:val="zh-CN"/>
        </w:rPr>
        <w:t>方案。</w:t>
      </w:r>
    </w:p>
    <w:p>
      <w:pPr>
        <w:pStyle w:val="5"/>
        <w:spacing w:before="0" w:after="0" w:line="360" w:lineRule="auto"/>
        <w:ind w:left="0"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采用高清摄像机、高清导播台、直播机、视频采集卡、音频采集卡、移动网络基站等专业设备，按照广播电视标准，提供拍摄、导播服务，含画面成像系统、画面导播系统、场内通话系统、会议传输系统、移动网络系统服务。</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（2）摄像机具备1920*1080P信号输出能力，导播台具备1920*1080P信号采集和输出能力。采用网络带宽下载不小于50Mbps/上传不小于50Mbps移动网络基站，并具备网络冗余备份，具备视频画面制作能力。</w:t>
      </w:r>
    </w:p>
    <w:p>
      <w:pPr>
        <w:pStyle w:val="131"/>
        <w:spacing w:before="0"/>
        <w:ind w:firstLineChars="0"/>
        <w:outlineLvl w:val="2"/>
        <w:rPr>
          <w:rFonts w:hint="eastAsia" w:ascii="宋体" w:hAnsi="宋体" w:cs="宋体"/>
          <w:color w:val="auto"/>
          <w:szCs w:val="24"/>
          <w:highlight w:val="none"/>
        </w:rPr>
      </w:pPr>
      <w:r>
        <w:rPr>
          <w:rFonts w:hint="eastAsia" w:ascii="宋体" w:hAnsi="宋体" w:cs="宋体"/>
          <w:color w:val="auto"/>
          <w:szCs w:val="24"/>
          <w:highlight w:val="none"/>
        </w:rPr>
        <w:t>（3）需保障视频导播台1台、摄像机3台、三脚架3个、无线图传3台，直播机1台、50米 3G-SDI线5根、视频采集卡1套、声音采集卡1套、场内通话系统1套，信号通道指标系统TALLY系统。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（4）提供视频会议导播服务的连接、调试与保障，实时监控本地会场画面，提供有视频延时播出10-60秒安全播出方案，应对会议期间出现各种问题或者突发紧急故障，保障视频会议正常运行。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维护服务需采统一工单管理，利用工单派送系统记录多渠道的下单服务，实现的服务填报、服务受理、工单派送、月报年报统计等功能，有针对性的记载整个服务活动，工单系统需调用IRS平台组织架构组件和浙政钉消息提醒组件，工单数据留存本地，并通过一体化智能化公共数据平台透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7、定期提供项目的相应运行报告和维护文档。</w:t>
      </w:r>
    </w:p>
    <w:p>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8、协助开展固定资产整理服务。协助资产管理员做好数据资源管理局、大数据服务中心固定资产的盘点、整理。</w:t>
      </w:r>
    </w:p>
    <w:p>
      <w:pPr>
        <w:pStyle w:val="61"/>
        <w:ind w:firstLine="480" w:firstLineChars="200"/>
        <w:rPr>
          <w:rFonts w:hint="eastAsia" w:hAnsi="宋体" w:cs="宋体"/>
          <w:color w:val="auto"/>
          <w:szCs w:val="24"/>
          <w:highlight w:val="none"/>
        </w:rPr>
      </w:pPr>
      <w:r>
        <w:rPr>
          <w:rFonts w:hint="eastAsia" w:hAnsi="宋体" w:cs="宋体"/>
          <w:color w:val="auto"/>
          <w:highlight w:val="none"/>
          <w:lang w:val="en-US"/>
        </w:rPr>
        <w:t>9、</w:t>
      </w:r>
      <w:r>
        <w:rPr>
          <w:rFonts w:hint="eastAsia" w:hAnsi="宋体" w:cs="宋体"/>
          <w:color w:val="auto"/>
          <w:szCs w:val="24"/>
          <w:highlight w:val="none"/>
          <w:lang w:val="en-US" w:bidi="ar"/>
        </w:rPr>
        <w:t>采购人</w:t>
      </w:r>
      <w:r>
        <w:rPr>
          <w:rFonts w:hint="eastAsia" w:hAnsi="宋体" w:cs="宋体"/>
          <w:color w:val="auto"/>
          <w:szCs w:val="24"/>
          <w:highlight w:val="none"/>
          <w:lang w:bidi="ar"/>
        </w:rPr>
        <w:t>临时交办的其他信息化工作。</w:t>
      </w:r>
    </w:p>
    <w:p>
      <w:pPr>
        <w:pStyle w:val="61"/>
        <w:ind w:firstLine="241" w:firstLineChars="100"/>
        <w:rPr>
          <w:rFonts w:hint="eastAsia" w:hAnsi="宋体" w:cs="宋体"/>
          <w:b/>
          <w:bCs/>
          <w:color w:val="auto"/>
          <w:highlight w:val="none"/>
        </w:rPr>
      </w:pPr>
      <w:r>
        <w:rPr>
          <w:rFonts w:hint="eastAsia" w:hAnsi="宋体" w:cs="宋体"/>
          <w:b/>
          <w:bCs/>
          <w:color w:val="auto"/>
          <w:highlight w:val="none"/>
        </w:rPr>
        <w:t>三、项目实施要求</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1、充分了解项目需求，考虑项目的现状和将来的发展，提供维护服务总体方案和操作规范、实施管理方案，并按照方案和操作规范提供服务。</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2、协助采购人制订日常运行管理规范；协助用户正确使用和维护系统；根据用户的要求做好维保设备软硬件常规维护；解决用户提出的其它各种技术问题等。</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3、做好信息安全工作，严格做好保密检查，根据服务需要在系统维护期内提供足够的应急响应服务，保证7*24小时随时响应的服务机制。</w:t>
      </w:r>
    </w:p>
    <w:p>
      <w:pPr>
        <w:snapToGrid w:val="0"/>
        <w:spacing w:line="360" w:lineRule="auto"/>
        <w:ind w:firstLine="480" w:firstLineChars="200"/>
        <w:rPr>
          <w:color w:val="auto"/>
          <w:highlight w:val="none"/>
        </w:rPr>
      </w:pPr>
      <w:r>
        <w:rPr>
          <w:rFonts w:hint="eastAsia" w:ascii="宋体" w:hAnsi="宋体" w:cs="宋体"/>
          <w:color w:val="auto"/>
          <w:sz w:val="24"/>
          <w:highlight w:val="none"/>
        </w:rPr>
        <w:t>4、办公软硬件维护服务采用工单派送系统。能记录多渠道的下单服务，实现的服务填报、服务受理、工单派送、月报年报统计等功能，有针对性的记载整个服务活动，通过一体化智能化公共数据平台透出，定期提供相应的运行报告和维护文档。要求流程环节合理，契合业主工作；能考虑各种故障情况，无遗漏；能自动生成统计数据，形成运行报告或维护文档。</w:t>
      </w:r>
    </w:p>
    <w:p>
      <w:pPr>
        <w:pStyle w:val="61"/>
        <w:rPr>
          <w:rFonts w:hint="eastAsia" w:hAnsi="宋体" w:cs="宋体"/>
          <w:b/>
          <w:bCs/>
          <w:color w:val="auto"/>
          <w:highlight w:val="none"/>
          <w:lang w:val="en-US"/>
        </w:rPr>
      </w:pPr>
      <w:r>
        <w:rPr>
          <w:rFonts w:hint="eastAsia" w:hAnsi="宋体" w:cs="宋体"/>
          <w:b/>
          <w:bCs/>
          <w:color w:val="auto"/>
          <w:highlight w:val="none"/>
          <w:lang w:val="en-US"/>
        </w:rPr>
        <w:t>四、人员要求：</w:t>
      </w:r>
    </w:p>
    <w:p>
      <w:pPr>
        <w:snapToGrid w:val="0"/>
        <w:spacing w:line="360" w:lineRule="auto"/>
        <w:ind w:firstLine="480" w:firstLineChars="200"/>
        <w:rPr>
          <w:rFonts w:hint="eastAsia" w:ascii="宋体" w:hAnsi="宋体" w:cs="宋体"/>
          <w:b/>
          <w:bCs/>
          <w:color w:val="auto"/>
          <w:sz w:val="24"/>
          <w:highlight w:val="none"/>
          <w:u w:val="single"/>
        </w:rPr>
      </w:pPr>
      <w:r>
        <w:rPr>
          <w:rFonts w:hint="eastAsia" w:ascii="宋体" w:hAnsi="宋体" w:cs="宋体"/>
          <w:color w:val="auto"/>
          <w:sz w:val="24"/>
          <w:highlight w:val="none"/>
        </w:rPr>
        <w:t>1、</w:t>
      </w:r>
      <w:r>
        <w:rPr>
          <w:rFonts w:hint="eastAsia" w:ascii="宋体" w:hAnsi="宋体" w:cs="宋体"/>
          <w:b/>
          <w:bCs/>
          <w:color w:val="auto"/>
          <w:sz w:val="24"/>
          <w:highlight w:val="none"/>
          <w:u w:val="single"/>
        </w:rPr>
        <w:t>▲提供驻场服务人员7人</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在投标文件中提供驻场人员花名册或承诺。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（1）熟练掌握相关操作，了解与办公设备相衔接的技术环节，具备两年以上运维服务工作经验。</w:t>
      </w:r>
    </w:p>
    <w:p>
      <w:pPr>
        <w:snapToGrid w:val="0"/>
        <w:spacing w:line="360" w:lineRule="auto"/>
        <w:ind w:firstLine="480" w:firstLineChars="200"/>
        <w:rPr>
          <w:color w:val="auto"/>
          <w:highlight w:val="none"/>
        </w:rPr>
      </w:pPr>
      <w:r>
        <w:rPr>
          <w:rFonts w:hint="eastAsia" w:ascii="宋体" w:hAnsi="宋体" w:cs="宋体"/>
          <w:color w:val="auto"/>
          <w:sz w:val="24"/>
          <w:highlight w:val="none"/>
        </w:rPr>
        <w:t>（2）7名驻场人员组成中，配备1名人员负责业务事务协调联系工作。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（3）驻场人员由采购人统一安排管理，协助采购人应对突发性、临时性软硬件设备维护等工作。</w:t>
      </w:r>
    </w:p>
    <w:p>
      <w:pPr>
        <w:pStyle w:val="5"/>
        <w:spacing w:before="0" w:after="0" w:line="360" w:lineRule="auto"/>
        <w:ind w:left="0"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（4）驻场技术人员每次在故障排查，维护服务完成后，必须得到用户方确认后方可离开现场。驻场人员要做好维护登记，在工单系统中形成闭环。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w:t>
      </w:r>
      <w:r>
        <w:rPr>
          <w:rFonts w:hint="eastAsia" w:ascii="宋体" w:hAnsi="宋体" w:cs="宋体"/>
          <w:color w:val="auto"/>
          <w:sz w:val="24"/>
          <w:highlight w:val="none"/>
          <w:lang w:eastAsia="zh-CN"/>
        </w:rPr>
        <w:t>负责人</w:t>
      </w:r>
      <w:r>
        <w:rPr>
          <w:rFonts w:hint="eastAsia" w:ascii="宋体" w:hAnsi="宋体" w:cs="宋体"/>
          <w:color w:val="auto"/>
          <w:sz w:val="24"/>
          <w:highlight w:val="none"/>
        </w:rPr>
        <w:t>具备相应的专业素质、技术能力、经验、资质。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（1）具有专业技术能力（具有项目管理、信息安全、云计算等方面技术能力）。</w:t>
      </w:r>
    </w:p>
    <w:p>
      <w:pPr>
        <w:spacing w:line="360" w:lineRule="auto"/>
        <w:ind w:firstLine="480" w:firstLineChars="200"/>
        <w:rPr>
          <w:color w:val="auto"/>
          <w:highlight w:val="none"/>
        </w:rPr>
      </w:pPr>
      <w:r>
        <w:rPr>
          <w:rFonts w:hint="eastAsia" w:ascii="宋体" w:hAnsi="宋体" w:cs="宋体"/>
          <w:color w:val="auto"/>
          <w:sz w:val="24"/>
          <w:highlight w:val="none"/>
        </w:rPr>
        <w:t>（2）具有类似项目服务经验等情况。</w:t>
      </w:r>
    </w:p>
    <w:p>
      <w:pPr>
        <w:pStyle w:val="5"/>
        <w:spacing w:before="0" w:after="0" w:line="360" w:lineRule="auto"/>
        <w:ind w:left="0"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3、提供夜间、法定假日轮流值班。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维护人员安排轮流值班，保证7*24小时随时响应的服务机制。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4、规范维护服务的应急预案（应急保障）。</w:t>
      </w:r>
    </w:p>
    <w:p>
      <w:pPr>
        <w:pStyle w:val="5"/>
        <w:numPr>
          <w:ilvl w:val="0"/>
          <w:numId w:val="3"/>
        </w:numPr>
        <w:spacing w:before="0" w:after="0" w:line="360" w:lineRule="auto"/>
        <w:ind w:left="0"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建有科学、完善的运行服务保障应急预案。方案对项目维护中可能遇到的问题及其应对措施的考虑情况，故障处理的组织和联系机制的合理性、有效性等。</w:t>
      </w:r>
    </w:p>
    <w:p>
      <w:pPr>
        <w:pStyle w:val="5"/>
        <w:spacing w:before="0" w:after="0" w:line="360" w:lineRule="auto"/>
        <w:ind w:left="0"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（2）接到报修电话或工单派送后，应认真进行故障分析判定等准备工作，及时做出响应，10分钟内赶赴现场提供现场服务。</w:t>
      </w:r>
    </w:p>
    <w:p>
      <w:pPr>
        <w:pStyle w:val="5"/>
        <w:spacing w:before="0" w:after="0" w:line="360" w:lineRule="auto"/>
        <w:ind w:left="0"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（3）驻场技术人员服务过程中，如遇驻场技术人员的流动（变动）或调整时，应提前报备，预留交接时间，要求公司尽快安排临时替代的驻场技术人员，必须在驻场人员变动后的48小时内到岗。</w:t>
      </w:r>
    </w:p>
    <w:p>
      <w:pPr>
        <w:pStyle w:val="5"/>
        <w:spacing w:before="0" w:after="0" w:line="360" w:lineRule="auto"/>
        <w:ind w:left="0" w:firstLine="480" w:firstLineChars="200"/>
        <w:rPr>
          <w:color w:val="auto"/>
          <w:highlight w:val="none"/>
        </w:rPr>
      </w:pPr>
      <w:r>
        <w:rPr>
          <w:rFonts w:hint="eastAsia" w:ascii="宋体" w:hAnsi="宋体" w:cs="宋体"/>
          <w:b w:val="0"/>
          <w:bCs w:val="0"/>
          <w:color w:val="auto"/>
          <w:sz w:val="24"/>
          <w:szCs w:val="24"/>
          <w:highlight w:val="none"/>
        </w:rPr>
        <w:t>（4）视频会议导播服务。提供7*24小时随时响应的服务机制和安全播出管理。</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五、服务、培训与验收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1.服务工期：本项目服务期限为1年</w:t>
      </w:r>
      <w:r>
        <w:rPr>
          <w:rFonts w:hint="eastAsia" w:ascii="宋体" w:hAnsi="宋体" w:cs="宋体"/>
          <w:b/>
          <w:bCs/>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2.实施地点：杭州市政府</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3.验收要求：（1）确保市政府办公厅的办公设备软硬件系统正常运行（包括软件系统、硬件系统及网络系统等）；（2）确保全年7*24小时人员值守；（3）确保</w:t>
      </w:r>
      <w:r>
        <w:rPr>
          <w:rFonts w:hint="eastAsia" w:ascii="宋体" w:hAnsi="宋体" w:cs="宋体"/>
          <w:color w:val="auto"/>
          <w:kern w:val="0"/>
          <w:sz w:val="24"/>
          <w:highlight w:val="none"/>
        </w:rPr>
        <w:t>每次视频会议安全播出，每次视频拍摄任务视频为高清信号，无中断，提供7*24小时响应服务。</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宋体" w:hAnsi="宋体" w:cs="宋体"/>
          <w:b/>
          <w:bCs/>
          <w:color w:val="auto"/>
          <w:sz w:val="24"/>
          <w:highlight w:val="none"/>
        </w:rPr>
        <w:t>六、外包服务机构的网络、数据安全责任及相关违约条款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color w:val="auto"/>
          <w:sz w:val="24"/>
          <w:highlight w:val="none"/>
        </w:rPr>
        <w:t>、安全责任（中标人义务）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1.中标人应按照《中华人民共和国网络安全法》《中华人民共和国数据安全法》《中华人民共和国个人信息保护法》等法律法规及规章制度的要求，履行网络和数据安全保护义务。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2.项目涉及中标人工作人员均需签订《保密承诺书》，且中标人应对项目涉及工作人员进行背景审查，存在泄密风险的工作人员不得接触项目。中标人应做好人员保密教育工作。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应当采取技术措施和其他必要措施，确保其网络和数据安全，防止信息泄露、毁损、丢失等风险。在发生或者可能发生信息泄露、毁损、丢失的情况时，应当立即采取补救措施，并将在相关情况及时知采购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4.项目中所包含的建设、运营、运维的信息系统、应用、数据库等，开通相关账号、权限等必须经过采购人审批允许，中标人不得私开账号、擅自更改权限等。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5.中标人应合理使用操作账号，严禁中标人存在多名工作人员共用操作账号的情形，同时操作账号应采用高强度的密码，并妥善保管密码并定期更新账号密码。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6.未经采购人允许，中标人不得对项目云资源私开端口，不得利用项目资源进行与该项目无关的工作，不得将政务网和互联网私自打通。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中标人应严格按照相关要求收集、归集、存储、加工、传输、共享、开放、利用数据资源。做好数据落地相应的数据保护工作，严格执行数据安全技术标准和安全管理措施，避免相关数据出现篡改、破坏、泄露、丢失、非法利用等的风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8.中标人应认真组织开展各项数据处理活动，查找项目数据安全隐患和漏洞，对薄弱环节和潜在威胁采取有力措施并进行及时整改，避免和消除数据安全风险，履行数据安全保护义务。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中标人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采购人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10.中标人应及时响应、处置采购人布置的安全工作，对其主管的系统、组件、云资源等所属安全事件、隐患及时发现、阻断、排查、处置、溯源（包括但不限于攻防演练等相关活动中发现的）。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项目中所建设的系统、提供的基础设施服务等，中标人应无偿提供操作、告警等安全日志以及资产清单，并且按照规范要求实现与审计平台实现对接，并且提供相关解析服务（如日志字典等）供采购人进行安全审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12.中标人派驻的驻场人员应按照采购人要求进行入场、离场等手续，并且遵守采购人劳动、工作纪律，按照采购人要求的工作时间进行出勤。</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cs="宋体"/>
          <w:color w:val="auto"/>
          <w:sz w:val="24"/>
          <w:highlight w:val="none"/>
        </w:rPr>
        <w:t>、安全部分违约条款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1.由于中标人原因，受到国家级安全问题通报的、或造成特别重大事故的，出现1次，每次从合同金额扣除10万元。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2.由于中标人原因，受到省级安全问题通报的、或造成重大事故的，出现1次，每次从合同金额扣除5万元。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3.由于中标人原因，受到市级安全问题通报的、或造成较大事故（一般事故）的，出现1次，每次从合同金额扣除1万元。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4.中标人不及时处置所属安全事件、隐患的，出现1次，每次从合同金额扣除3000元。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5.中标人所主管的系统、云资源等账号出现弱口令的（强口令需至少包含数字、大小写字母、特殊字符等，且无明显规律），出现1次，每次从合同金额扣除2000元。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6.中标人未按照采购人相关要求办理入场、离场手续的，出现1次，每人次从合同金额扣除1万元。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bookmarkStart w:id="29" w:name="_Hlk105856030"/>
      <w:r>
        <w:rPr>
          <w:rFonts w:hint="eastAsia" w:ascii="宋体" w:hAnsi="宋体" w:cs="宋体"/>
          <w:color w:val="auto"/>
          <w:sz w:val="24"/>
          <w:highlight w:val="none"/>
        </w:rPr>
        <w:t>.中标人派驻的驻场人员</w:t>
      </w:r>
      <w:bookmarkEnd w:id="29"/>
      <w:r>
        <w:rPr>
          <w:rFonts w:hint="eastAsia" w:ascii="宋体" w:hAnsi="宋体" w:cs="宋体"/>
          <w:color w:val="auto"/>
          <w:sz w:val="24"/>
          <w:highlight w:val="none"/>
        </w:rPr>
        <w:t xml:space="preserve">未按照采购人工作要求进行出勤的，每出现1次从合同金额扣除500元。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8.若中标人所提供的操作记录、安全日志等不完整、存在缺失的，每发现1次，扣除1万元。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9.中标方拒不配合网络数据安全检查或经检查后拒不进行整改的，每出现一次从合同金额中扣除3000元。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10.未经采购人审批允许，中标方私开账号、擅自更改权限，对项目云资源私开端口，利用项目资源进行与该项目无关的工作，将政务网和互联网私自打通的，每出现一次从合同金额中扣除3000元。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11.项目结束后，中标方未按约删除其在项目过程中获取的数据资料并擅自使用或许可他人使用的，承担项目合同总金额10%的违约责任。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中标方应当按照《中华人民共和国网络安全法》《中华人民共和国数据安全法》《中华人民共和国个人信息保护法》等法律法规及规章制度要求开展工作，中标方不履行合同义务或者履行合同义务不符合约定的，应当依照法律及合同约定承担相应违约责任。</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每次通报后，中标人应及时解决并递交书面整改报告，若中标人未根据整改报告按期整改的，出现1次，每人次从合同金额扣除1万元。</w:t>
      </w:r>
    </w:p>
    <w:p>
      <w:pPr>
        <w:widowControl/>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其它：</w:t>
      </w:r>
      <w:r>
        <w:rPr>
          <w:rFonts w:hint="eastAsia" w:ascii="宋体" w:hAnsi="宋体" w:cs="宋体"/>
          <w:color w:val="auto"/>
          <w:sz w:val="24"/>
          <w:highlight w:val="none"/>
        </w:rPr>
        <w:t>招标文件第四部分评分办法中评审因素相应的其它要求及第五部分采购合同中相应的其他要求。</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0" w:name="_Toc184310278"/>
      <w:bookmarkEnd w:id="30"/>
      <w:bookmarkStart w:id="31" w:name="_Toc184310273"/>
      <w:bookmarkEnd w:id="31"/>
      <w:bookmarkStart w:id="32" w:name="_Toc184312109"/>
      <w:bookmarkEnd w:id="32"/>
      <w:bookmarkStart w:id="33" w:name="_Toc184308102"/>
      <w:bookmarkEnd w:id="33"/>
      <w:bookmarkStart w:id="34" w:name="_Toc184312092"/>
      <w:bookmarkEnd w:id="34"/>
      <w:bookmarkStart w:id="35" w:name="_Toc184310279"/>
      <w:bookmarkEnd w:id="35"/>
      <w:bookmarkStart w:id="36" w:name="_Toc184310331"/>
      <w:bookmarkEnd w:id="36"/>
      <w:bookmarkStart w:id="37" w:name="_Toc184310320"/>
      <w:bookmarkEnd w:id="37"/>
      <w:bookmarkStart w:id="38" w:name="_Toc184313285"/>
      <w:bookmarkEnd w:id="38"/>
      <w:bookmarkStart w:id="39" w:name="_Toc184312075"/>
      <w:bookmarkEnd w:id="39"/>
      <w:bookmarkStart w:id="40" w:name="_Toc184313240"/>
      <w:bookmarkEnd w:id="40"/>
      <w:bookmarkStart w:id="41" w:name="_Toc184312110"/>
      <w:bookmarkEnd w:id="41"/>
      <w:bookmarkStart w:id="42" w:name="_Toc184310341"/>
      <w:bookmarkEnd w:id="42"/>
      <w:bookmarkStart w:id="43" w:name="_Toc184314411"/>
      <w:bookmarkEnd w:id="43"/>
      <w:bookmarkStart w:id="44" w:name="_Toc184308074"/>
      <w:bookmarkEnd w:id="44"/>
      <w:bookmarkStart w:id="45" w:name="_Toc184313291"/>
      <w:bookmarkEnd w:id="45"/>
      <w:bookmarkStart w:id="46" w:name="_Toc184310272"/>
      <w:bookmarkEnd w:id="46"/>
      <w:bookmarkStart w:id="47" w:name="_Toc184314465"/>
      <w:bookmarkEnd w:id="47"/>
      <w:bookmarkStart w:id="48" w:name="_Toc184310319"/>
      <w:bookmarkEnd w:id="48"/>
      <w:bookmarkStart w:id="49" w:name="_Toc184308066"/>
      <w:bookmarkEnd w:id="49"/>
      <w:bookmarkStart w:id="50" w:name="_Toc184308093"/>
      <w:bookmarkEnd w:id="50"/>
      <w:bookmarkStart w:id="51" w:name="_Toc184310325"/>
      <w:bookmarkEnd w:id="51"/>
      <w:bookmarkStart w:id="52" w:name="_Toc184313268"/>
      <w:bookmarkEnd w:id="52"/>
      <w:bookmarkStart w:id="53" w:name="_Toc184313266"/>
      <w:bookmarkEnd w:id="53"/>
      <w:bookmarkStart w:id="54" w:name="_Toc184313257"/>
      <w:bookmarkEnd w:id="54"/>
      <w:bookmarkStart w:id="55" w:name="_Toc184314476"/>
      <w:bookmarkEnd w:id="55"/>
      <w:bookmarkStart w:id="56" w:name="_Toc184308037"/>
      <w:bookmarkEnd w:id="56"/>
      <w:bookmarkStart w:id="57" w:name="_Toc184308065"/>
      <w:bookmarkEnd w:id="57"/>
      <w:bookmarkStart w:id="58" w:name="_Toc184308040"/>
      <w:bookmarkEnd w:id="58"/>
      <w:bookmarkStart w:id="59" w:name="_Toc184314436"/>
      <w:bookmarkEnd w:id="59"/>
      <w:bookmarkStart w:id="60" w:name="_Toc184308039"/>
      <w:bookmarkEnd w:id="60"/>
      <w:bookmarkStart w:id="61" w:name="_Toc184310305"/>
      <w:bookmarkEnd w:id="61"/>
      <w:bookmarkStart w:id="62" w:name="_Toc184308100"/>
      <w:bookmarkEnd w:id="62"/>
      <w:bookmarkStart w:id="63" w:name="_Toc184314414"/>
      <w:bookmarkEnd w:id="63"/>
      <w:bookmarkStart w:id="64" w:name="_Toc184314462"/>
      <w:bookmarkEnd w:id="64"/>
      <w:bookmarkStart w:id="65" w:name="_Toc184308069"/>
      <w:bookmarkEnd w:id="65"/>
      <w:bookmarkStart w:id="66" w:name="_Toc184313250"/>
      <w:bookmarkEnd w:id="66"/>
      <w:bookmarkStart w:id="67" w:name="_Toc184313299"/>
      <w:bookmarkEnd w:id="67"/>
      <w:bookmarkStart w:id="68" w:name="_Toc184310295"/>
      <w:bookmarkEnd w:id="68"/>
      <w:bookmarkStart w:id="69" w:name="_Toc184312118"/>
      <w:bookmarkEnd w:id="69"/>
      <w:bookmarkStart w:id="70" w:name="_Toc184314433"/>
      <w:bookmarkEnd w:id="70"/>
      <w:bookmarkStart w:id="71" w:name="_Toc184308095"/>
      <w:bookmarkEnd w:id="71"/>
      <w:bookmarkStart w:id="72" w:name="_Toc184314457"/>
      <w:bookmarkEnd w:id="72"/>
      <w:bookmarkStart w:id="73" w:name="_Toc184314423"/>
      <w:bookmarkEnd w:id="73"/>
      <w:bookmarkStart w:id="74" w:name="_Toc184312085"/>
      <w:bookmarkEnd w:id="74"/>
      <w:bookmarkStart w:id="75" w:name="_Toc184312098"/>
      <w:bookmarkEnd w:id="75"/>
      <w:bookmarkStart w:id="76" w:name="_Toc184312114"/>
      <w:bookmarkEnd w:id="76"/>
      <w:bookmarkStart w:id="77" w:name="_Toc184312125"/>
      <w:bookmarkEnd w:id="77"/>
      <w:bookmarkStart w:id="78" w:name="_Toc184314459"/>
      <w:bookmarkEnd w:id="78"/>
      <w:bookmarkStart w:id="79" w:name="_Toc184313290"/>
      <w:bookmarkEnd w:id="79"/>
      <w:bookmarkStart w:id="80" w:name="_Toc184308060"/>
      <w:bookmarkEnd w:id="80"/>
      <w:bookmarkStart w:id="81" w:name="_Toc184312070"/>
      <w:bookmarkEnd w:id="81"/>
      <w:bookmarkStart w:id="82" w:name="_Toc184312081"/>
      <w:bookmarkEnd w:id="82"/>
      <w:bookmarkStart w:id="83" w:name="_Toc184312130"/>
      <w:bookmarkEnd w:id="83"/>
      <w:bookmarkStart w:id="84" w:name="_Toc184314419"/>
      <w:bookmarkEnd w:id="84"/>
      <w:bookmarkStart w:id="85" w:name="_Toc184310308"/>
      <w:bookmarkEnd w:id="85"/>
      <w:bookmarkStart w:id="86" w:name="_Toc184314472"/>
      <w:bookmarkEnd w:id="86"/>
      <w:bookmarkStart w:id="87" w:name="_Toc184313270"/>
      <w:bookmarkEnd w:id="87"/>
      <w:bookmarkStart w:id="88" w:name="_Toc184308059"/>
      <w:bookmarkEnd w:id="88"/>
      <w:bookmarkStart w:id="89" w:name="_Toc184310283"/>
      <w:bookmarkEnd w:id="89"/>
      <w:bookmarkStart w:id="90" w:name="_Toc184308090"/>
      <w:bookmarkEnd w:id="90"/>
      <w:bookmarkStart w:id="91" w:name="_Toc184314446"/>
      <w:bookmarkEnd w:id="91"/>
      <w:bookmarkStart w:id="92" w:name="_Toc184308098"/>
      <w:bookmarkEnd w:id="92"/>
      <w:bookmarkStart w:id="93" w:name="_Toc184312082"/>
      <w:bookmarkEnd w:id="93"/>
      <w:bookmarkStart w:id="94" w:name="_Toc184310282"/>
      <w:bookmarkEnd w:id="94"/>
      <w:bookmarkStart w:id="95" w:name="_Toc184312124"/>
      <w:bookmarkEnd w:id="95"/>
      <w:bookmarkStart w:id="96" w:name="_Toc184310297"/>
      <w:bookmarkEnd w:id="96"/>
      <w:bookmarkStart w:id="97" w:name="_Toc184313241"/>
      <w:bookmarkEnd w:id="97"/>
      <w:bookmarkStart w:id="98" w:name="_Toc184314475"/>
      <w:bookmarkEnd w:id="98"/>
      <w:bookmarkStart w:id="99" w:name="_Toc184308052"/>
      <w:bookmarkEnd w:id="99"/>
      <w:bookmarkStart w:id="100" w:name="_Toc184314430"/>
      <w:bookmarkEnd w:id="100"/>
      <w:bookmarkStart w:id="101" w:name="_Toc184313261"/>
      <w:bookmarkEnd w:id="101"/>
      <w:bookmarkStart w:id="102" w:name="_Toc184313276"/>
      <w:bookmarkEnd w:id="102"/>
      <w:bookmarkStart w:id="103" w:name="_Toc184313244"/>
      <w:bookmarkEnd w:id="103"/>
      <w:bookmarkStart w:id="104" w:name="_Toc184313273"/>
      <w:bookmarkEnd w:id="104"/>
      <w:bookmarkStart w:id="105" w:name="_Toc184314445"/>
      <w:bookmarkEnd w:id="105"/>
      <w:bookmarkStart w:id="106" w:name="_Toc184312128"/>
      <w:bookmarkEnd w:id="106"/>
      <w:bookmarkStart w:id="107" w:name="_Toc184308049"/>
      <w:bookmarkEnd w:id="107"/>
      <w:bookmarkStart w:id="108" w:name="_Toc184313253"/>
      <w:bookmarkEnd w:id="108"/>
      <w:bookmarkStart w:id="109" w:name="_Toc184308083"/>
      <w:bookmarkEnd w:id="109"/>
      <w:bookmarkStart w:id="110" w:name="_Toc184314431"/>
      <w:bookmarkEnd w:id="110"/>
      <w:bookmarkStart w:id="111" w:name="_Toc184313245"/>
      <w:bookmarkEnd w:id="111"/>
      <w:bookmarkStart w:id="112" w:name="_Toc184314434"/>
      <w:bookmarkEnd w:id="112"/>
      <w:bookmarkStart w:id="113" w:name="_Toc184308045"/>
      <w:bookmarkEnd w:id="113"/>
      <w:bookmarkStart w:id="114" w:name="_Toc184310318"/>
      <w:bookmarkEnd w:id="114"/>
      <w:bookmarkStart w:id="115" w:name="_Toc184310326"/>
      <w:bookmarkEnd w:id="115"/>
      <w:bookmarkStart w:id="116" w:name="_Toc184312139"/>
      <w:bookmarkEnd w:id="116"/>
      <w:bookmarkStart w:id="117" w:name="_Toc184312104"/>
      <w:bookmarkEnd w:id="117"/>
      <w:bookmarkStart w:id="118" w:name="_Toc184308106"/>
      <w:bookmarkEnd w:id="118"/>
      <w:bookmarkStart w:id="119" w:name="_Toc184313264"/>
      <w:bookmarkEnd w:id="119"/>
      <w:bookmarkStart w:id="120" w:name="_Toc184314468"/>
      <w:bookmarkEnd w:id="120"/>
      <w:bookmarkStart w:id="121" w:name="_Toc184313301"/>
      <w:bookmarkEnd w:id="121"/>
      <w:bookmarkStart w:id="122" w:name="_Toc184310310"/>
      <w:bookmarkEnd w:id="122"/>
      <w:bookmarkStart w:id="123" w:name="_Toc184313265"/>
      <w:bookmarkEnd w:id="123"/>
      <w:bookmarkStart w:id="124" w:name="_Toc184314471"/>
      <w:bookmarkEnd w:id="124"/>
      <w:bookmarkStart w:id="125" w:name="_Toc184312131"/>
      <w:bookmarkEnd w:id="125"/>
      <w:bookmarkStart w:id="126" w:name="_Toc184312117"/>
      <w:bookmarkEnd w:id="126"/>
      <w:bookmarkStart w:id="127" w:name="_Toc184312111"/>
      <w:bookmarkEnd w:id="127"/>
      <w:bookmarkStart w:id="128" w:name="_Toc184314428"/>
      <w:bookmarkEnd w:id="128"/>
      <w:bookmarkStart w:id="129" w:name="_Toc184312119"/>
      <w:bookmarkEnd w:id="129"/>
      <w:bookmarkStart w:id="130" w:name="_Toc184314422"/>
      <w:bookmarkEnd w:id="130"/>
      <w:bookmarkStart w:id="131" w:name="_Toc184313305"/>
      <w:bookmarkEnd w:id="131"/>
      <w:bookmarkStart w:id="132" w:name="_Toc184313288"/>
      <w:bookmarkEnd w:id="132"/>
      <w:bookmarkStart w:id="133" w:name="_Toc184312123"/>
      <w:bookmarkEnd w:id="133"/>
      <w:bookmarkStart w:id="134" w:name="_Toc184310312"/>
      <w:bookmarkEnd w:id="134"/>
      <w:bookmarkStart w:id="135" w:name="_Toc184312100"/>
      <w:bookmarkEnd w:id="135"/>
      <w:bookmarkStart w:id="136" w:name="_Toc184312086"/>
      <w:bookmarkEnd w:id="136"/>
      <w:bookmarkStart w:id="137" w:name="_Toc184308053"/>
      <w:bookmarkEnd w:id="137"/>
      <w:bookmarkStart w:id="138" w:name="_Toc184314454"/>
      <w:bookmarkEnd w:id="138"/>
      <w:bookmarkStart w:id="139" w:name="_Toc184312084"/>
      <w:bookmarkEnd w:id="139"/>
      <w:bookmarkStart w:id="140" w:name="_Toc184308057"/>
      <w:bookmarkEnd w:id="140"/>
      <w:bookmarkStart w:id="141" w:name="_Toc184310342"/>
      <w:bookmarkEnd w:id="141"/>
      <w:bookmarkStart w:id="142" w:name="_Toc184312133"/>
      <w:bookmarkEnd w:id="142"/>
      <w:bookmarkStart w:id="143" w:name="_Toc184310332"/>
      <w:bookmarkEnd w:id="143"/>
      <w:bookmarkStart w:id="144" w:name="_Toc184314455"/>
      <w:bookmarkEnd w:id="144"/>
      <w:bookmarkStart w:id="145" w:name="_Toc184310280"/>
      <w:bookmarkEnd w:id="145"/>
      <w:bookmarkStart w:id="146" w:name="_Toc184310277"/>
      <w:bookmarkEnd w:id="146"/>
      <w:bookmarkStart w:id="147" w:name="_Toc184312136"/>
      <w:bookmarkEnd w:id="147"/>
      <w:bookmarkStart w:id="148" w:name="_Toc184313308"/>
      <w:bookmarkEnd w:id="148"/>
      <w:bookmarkStart w:id="149" w:name="_Toc184308068"/>
      <w:bookmarkEnd w:id="149"/>
      <w:bookmarkStart w:id="150" w:name="_Toc184314447"/>
      <w:bookmarkEnd w:id="150"/>
      <w:bookmarkStart w:id="151" w:name="_Toc184313278"/>
      <w:bookmarkEnd w:id="151"/>
      <w:bookmarkStart w:id="152" w:name="_Toc184312089"/>
      <w:bookmarkEnd w:id="152"/>
      <w:bookmarkStart w:id="153" w:name="_Toc184308078"/>
      <w:bookmarkEnd w:id="153"/>
      <w:bookmarkStart w:id="154" w:name="_Toc184314461"/>
      <w:bookmarkEnd w:id="154"/>
      <w:bookmarkStart w:id="155" w:name="_Toc184310324"/>
      <w:bookmarkEnd w:id="155"/>
      <w:bookmarkStart w:id="156" w:name="_Toc184313275"/>
      <w:bookmarkEnd w:id="156"/>
      <w:bookmarkStart w:id="157" w:name="_Toc184314435"/>
      <w:bookmarkEnd w:id="157"/>
      <w:bookmarkStart w:id="158" w:name="_Toc184312116"/>
      <w:bookmarkEnd w:id="158"/>
      <w:bookmarkStart w:id="159" w:name="_Toc184308073"/>
      <w:bookmarkEnd w:id="159"/>
      <w:bookmarkStart w:id="160" w:name="_Toc184310303"/>
      <w:bookmarkEnd w:id="160"/>
      <w:bookmarkStart w:id="161" w:name="_Toc184310335"/>
      <w:bookmarkEnd w:id="161"/>
      <w:bookmarkStart w:id="162" w:name="_Toc184310299"/>
      <w:bookmarkEnd w:id="162"/>
      <w:bookmarkStart w:id="163" w:name="_Toc184310294"/>
      <w:bookmarkEnd w:id="163"/>
      <w:bookmarkStart w:id="164" w:name="_Toc184313283"/>
      <w:bookmarkEnd w:id="164"/>
      <w:bookmarkStart w:id="165" w:name="_Toc184310274"/>
      <w:bookmarkEnd w:id="165"/>
      <w:bookmarkStart w:id="166" w:name="_Toc184314463"/>
      <w:bookmarkEnd w:id="166"/>
      <w:bookmarkStart w:id="167" w:name="_Toc184312071"/>
      <w:bookmarkEnd w:id="167"/>
      <w:bookmarkStart w:id="168" w:name="_Toc184312120"/>
      <w:bookmarkEnd w:id="168"/>
      <w:bookmarkStart w:id="169" w:name="_Toc184313249"/>
      <w:bookmarkEnd w:id="169"/>
      <w:bookmarkStart w:id="170" w:name="_Toc184314444"/>
      <w:bookmarkEnd w:id="170"/>
      <w:bookmarkStart w:id="171" w:name="_Toc184308044"/>
      <w:bookmarkEnd w:id="171"/>
      <w:bookmarkStart w:id="172" w:name="_Toc184310292"/>
      <w:bookmarkEnd w:id="172"/>
      <w:bookmarkStart w:id="173" w:name="_Toc184313293"/>
      <w:bookmarkEnd w:id="173"/>
      <w:bookmarkStart w:id="174" w:name="_Toc184308086"/>
      <w:bookmarkEnd w:id="174"/>
      <w:bookmarkStart w:id="175" w:name="_Toc184308080"/>
      <w:bookmarkEnd w:id="175"/>
      <w:bookmarkStart w:id="176" w:name="_Toc184312115"/>
      <w:bookmarkEnd w:id="176"/>
      <w:bookmarkStart w:id="177" w:name="_Toc184312073"/>
      <w:bookmarkEnd w:id="177"/>
      <w:bookmarkStart w:id="178" w:name="_Toc184314469"/>
      <w:bookmarkEnd w:id="178"/>
      <w:bookmarkStart w:id="179" w:name="_Toc184308099"/>
      <w:bookmarkEnd w:id="179"/>
      <w:bookmarkStart w:id="180" w:name="_Toc184312093"/>
      <w:bookmarkEnd w:id="180"/>
      <w:bookmarkStart w:id="181" w:name="_Toc184313274"/>
      <w:bookmarkEnd w:id="181"/>
      <w:bookmarkStart w:id="182" w:name="_Toc184312076"/>
      <w:bookmarkEnd w:id="182"/>
      <w:bookmarkStart w:id="183" w:name="_Toc184314470"/>
      <w:bookmarkEnd w:id="183"/>
      <w:bookmarkStart w:id="184" w:name="_Toc184312132"/>
      <w:bookmarkEnd w:id="184"/>
      <w:bookmarkStart w:id="185" w:name="_Toc184310313"/>
      <w:bookmarkEnd w:id="185"/>
      <w:bookmarkStart w:id="186" w:name="_Toc184308062"/>
      <w:bookmarkEnd w:id="186"/>
      <w:bookmarkStart w:id="187" w:name="_Toc184308092"/>
      <w:bookmarkEnd w:id="187"/>
      <w:bookmarkStart w:id="188" w:name="_Toc184314466"/>
      <w:bookmarkEnd w:id="188"/>
      <w:bookmarkStart w:id="189" w:name="_Toc184312135"/>
      <w:bookmarkEnd w:id="189"/>
      <w:bookmarkStart w:id="190" w:name="_Toc184314450"/>
      <w:bookmarkEnd w:id="190"/>
      <w:bookmarkStart w:id="191" w:name="_Toc184312088"/>
      <w:bookmarkEnd w:id="191"/>
      <w:bookmarkStart w:id="192" w:name="_Toc184310296"/>
      <w:bookmarkEnd w:id="192"/>
      <w:bookmarkStart w:id="193" w:name="_Toc184312074"/>
      <w:bookmarkEnd w:id="193"/>
      <w:bookmarkStart w:id="194" w:name="_Toc184310336"/>
      <w:bookmarkEnd w:id="194"/>
      <w:bookmarkStart w:id="195" w:name="_Toc184310307"/>
      <w:bookmarkEnd w:id="195"/>
      <w:bookmarkStart w:id="196" w:name="_Toc184314464"/>
      <w:bookmarkEnd w:id="196"/>
      <w:bookmarkStart w:id="197" w:name="_Toc184310321"/>
      <w:bookmarkEnd w:id="197"/>
      <w:bookmarkStart w:id="198" w:name="_Toc184308046"/>
      <w:bookmarkEnd w:id="198"/>
      <w:bookmarkStart w:id="199" w:name="_Toc184312121"/>
      <w:bookmarkEnd w:id="199"/>
      <w:bookmarkStart w:id="200" w:name="_Toc184308091"/>
      <w:bookmarkEnd w:id="200"/>
      <w:bookmarkStart w:id="201" w:name="_Toc184313309"/>
      <w:bookmarkEnd w:id="201"/>
      <w:bookmarkStart w:id="202" w:name="_Toc184308088"/>
      <w:bookmarkEnd w:id="202"/>
      <w:bookmarkStart w:id="203" w:name="_Toc184313294"/>
      <w:bookmarkEnd w:id="203"/>
      <w:bookmarkStart w:id="204" w:name="_Toc184313246"/>
      <w:bookmarkEnd w:id="204"/>
      <w:bookmarkStart w:id="205" w:name="_Toc184308050"/>
      <w:bookmarkEnd w:id="205"/>
      <w:bookmarkStart w:id="206" w:name="_Toc184312127"/>
      <w:bookmarkEnd w:id="206"/>
      <w:bookmarkStart w:id="207" w:name="_Toc184314456"/>
      <w:bookmarkEnd w:id="207"/>
      <w:bookmarkStart w:id="208" w:name="_Toc184313306"/>
      <w:bookmarkEnd w:id="208"/>
      <w:bookmarkStart w:id="209" w:name="_Toc184310301"/>
      <w:bookmarkEnd w:id="209"/>
      <w:bookmarkStart w:id="210" w:name="_Toc184314420"/>
      <w:bookmarkEnd w:id="210"/>
      <w:bookmarkStart w:id="211" w:name="_Toc184310289"/>
      <w:bookmarkEnd w:id="211"/>
      <w:bookmarkStart w:id="212" w:name="_Toc184312096"/>
      <w:bookmarkEnd w:id="212"/>
      <w:bookmarkStart w:id="213" w:name="_Toc184314448"/>
      <w:bookmarkEnd w:id="213"/>
      <w:bookmarkStart w:id="214" w:name="_Toc184314482"/>
      <w:bookmarkEnd w:id="214"/>
      <w:bookmarkStart w:id="215" w:name="_Toc184314460"/>
      <w:bookmarkEnd w:id="215"/>
      <w:bookmarkStart w:id="216" w:name="_Toc184314426"/>
      <w:bookmarkEnd w:id="216"/>
      <w:bookmarkStart w:id="217" w:name="_Toc184308041"/>
      <w:bookmarkEnd w:id="217"/>
      <w:bookmarkStart w:id="218" w:name="_Toc184313260"/>
      <w:bookmarkEnd w:id="218"/>
      <w:bookmarkStart w:id="219" w:name="_Toc184308075"/>
      <w:bookmarkEnd w:id="219"/>
      <w:bookmarkStart w:id="220" w:name="_Toc184312137"/>
      <w:bookmarkEnd w:id="220"/>
      <w:bookmarkStart w:id="221" w:name="_Toc184312101"/>
      <w:bookmarkEnd w:id="221"/>
      <w:bookmarkStart w:id="222" w:name="_Toc184313238"/>
      <w:bookmarkEnd w:id="222"/>
      <w:bookmarkStart w:id="223" w:name="_Toc184308085"/>
      <w:bookmarkEnd w:id="223"/>
      <w:bookmarkStart w:id="224" w:name="_Toc184312069"/>
      <w:bookmarkEnd w:id="224"/>
      <w:bookmarkStart w:id="225" w:name="_Toc184310298"/>
      <w:bookmarkEnd w:id="225"/>
      <w:bookmarkStart w:id="226" w:name="_Toc184314427"/>
      <w:bookmarkEnd w:id="226"/>
      <w:bookmarkStart w:id="227" w:name="_Toc184314412"/>
      <w:bookmarkEnd w:id="227"/>
      <w:bookmarkStart w:id="228" w:name="_Toc184310276"/>
      <w:bookmarkEnd w:id="228"/>
      <w:bookmarkStart w:id="229" w:name="_Toc184313292"/>
      <w:bookmarkEnd w:id="229"/>
      <w:bookmarkStart w:id="230" w:name="_Toc184310300"/>
      <w:bookmarkEnd w:id="230"/>
      <w:bookmarkStart w:id="231" w:name="_Toc184310323"/>
      <w:bookmarkEnd w:id="231"/>
      <w:bookmarkStart w:id="232" w:name="_Toc184313307"/>
      <w:bookmarkEnd w:id="232"/>
      <w:bookmarkStart w:id="233" w:name="_Toc184314442"/>
      <w:bookmarkEnd w:id="233"/>
      <w:bookmarkStart w:id="234" w:name="_Toc184308067"/>
      <w:bookmarkEnd w:id="234"/>
      <w:bookmarkStart w:id="235" w:name="_Toc184308103"/>
      <w:bookmarkEnd w:id="235"/>
      <w:bookmarkStart w:id="236" w:name="_Toc184314416"/>
      <w:bookmarkEnd w:id="236"/>
      <w:bookmarkStart w:id="237" w:name="_Toc184313258"/>
      <w:bookmarkEnd w:id="237"/>
      <w:bookmarkStart w:id="238" w:name="_Toc184310304"/>
      <w:bookmarkEnd w:id="238"/>
      <w:bookmarkStart w:id="239" w:name="_Toc184310333"/>
      <w:bookmarkEnd w:id="239"/>
      <w:bookmarkStart w:id="240" w:name="_Toc184310288"/>
      <w:bookmarkEnd w:id="240"/>
      <w:bookmarkStart w:id="241" w:name="_Toc184313303"/>
      <w:bookmarkEnd w:id="241"/>
      <w:bookmarkStart w:id="242" w:name="_Toc184314452"/>
      <w:bookmarkEnd w:id="242"/>
      <w:bookmarkStart w:id="243" w:name="_Toc184310275"/>
      <w:bookmarkEnd w:id="243"/>
      <w:bookmarkStart w:id="244" w:name="_Toc184313297"/>
      <w:bookmarkEnd w:id="244"/>
      <w:bookmarkStart w:id="245" w:name="_Toc184310322"/>
      <w:bookmarkEnd w:id="245"/>
      <w:bookmarkStart w:id="246" w:name="_Toc184310290"/>
      <w:bookmarkEnd w:id="246"/>
      <w:bookmarkStart w:id="247" w:name="_Toc184308081"/>
      <w:bookmarkEnd w:id="247"/>
      <w:bookmarkStart w:id="248" w:name="_Toc184308087"/>
      <w:bookmarkEnd w:id="248"/>
      <w:bookmarkStart w:id="249" w:name="_Toc184308071"/>
      <w:bookmarkEnd w:id="249"/>
      <w:bookmarkStart w:id="250" w:name="_Toc184308054"/>
      <w:bookmarkEnd w:id="250"/>
      <w:bookmarkStart w:id="251" w:name="_Toc184314458"/>
      <w:bookmarkEnd w:id="251"/>
      <w:bookmarkStart w:id="252" w:name="_Toc184308056"/>
      <w:bookmarkEnd w:id="252"/>
      <w:bookmarkStart w:id="253" w:name="_Toc184314481"/>
      <w:bookmarkEnd w:id="253"/>
      <w:bookmarkStart w:id="254" w:name="_Toc184314478"/>
      <w:bookmarkEnd w:id="254"/>
      <w:bookmarkStart w:id="255" w:name="_Toc184314453"/>
      <w:bookmarkEnd w:id="255"/>
      <w:bookmarkStart w:id="256" w:name="_Toc184312080"/>
      <w:bookmarkEnd w:id="256"/>
      <w:bookmarkStart w:id="257" w:name="_Toc184312067"/>
      <w:bookmarkEnd w:id="257"/>
      <w:bookmarkStart w:id="258" w:name="_Toc184308043"/>
      <w:bookmarkEnd w:id="258"/>
      <w:bookmarkStart w:id="259" w:name="_Toc184308051"/>
      <w:bookmarkEnd w:id="259"/>
      <w:bookmarkStart w:id="260" w:name="_Toc184310281"/>
      <w:bookmarkEnd w:id="260"/>
      <w:bookmarkStart w:id="261" w:name="_Toc184310284"/>
      <w:bookmarkEnd w:id="261"/>
      <w:bookmarkStart w:id="262" w:name="_Toc184310315"/>
      <w:bookmarkEnd w:id="262"/>
      <w:bookmarkStart w:id="263" w:name="_Toc184310311"/>
      <w:bookmarkEnd w:id="263"/>
      <w:bookmarkStart w:id="264" w:name="_Toc184314467"/>
      <w:bookmarkEnd w:id="264"/>
      <w:bookmarkStart w:id="265" w:name="_Toc184313263"/>
      <w:bookmarkEnd w:id="265"/>
      <w:bookmarkStart w:id="266" w:name="_Toc184314441"/>
      <w:bookmarkEnd w:id="266"/>
      <w:bookmarkStart w:id="267" w:name="_Toc184313286"/>
      <w:bookmarkEnd w:id="267"/>
      <w:bookmarkStart w:id="268" w:name="_Toc184308084"/>
      <w:bookmarkEnd w:id="268"/>
      <w:bookmarkStart w:id="269" w:name="_Toc184313272"/>
      <w:bookmarkEnd w:id="269"/>
      <w:bookmarkStart w:id="270" w:name="_Toc184314474"/>
      <w:bookmarkEnd w:id="270"/>
      <w:bookmarkStart w:id="271" w:name="_Toc184308064"/>
      <w:bookmarkEnd w:id="271"/>
      <w:bookmarkStart w:id="272" w:name="_Toc184308082"/>
      <w:bookmarkEnd w:id="272"/>
      <w:bookmarkStart w:id="273" w:name="_Toc184310337"/>
      <w:bookmarkEnd w:id="273"/>
      <w:bookmarkStart w:id="274" w:name="_Toc184314439"/>
      <w:bookmarkEnd w:id="274"/>
      <w:bookmarkStart w:id="275" w:name="_Toc184312077"/>
      <w:bookmarkEnd w:id="275"/>
      <w:bookmarkStart w:id="276" w:name="_Toc184312129"/>
      <w:bookmarkEnd w:id="276"/>
      <w:bookmarkStart w:id="277" w:name="_Toc184312108"/>
      <w:bookmarkEnd w:id="277"/>
      <w:bookmarkStart w:id="278" w:name="_Toc184312079"/>
      <w:bookmarkEnd w:id="278"/>
      <w:bookmarkStart w:id="279" w:name="_Toc184314438"/>
      <w:bookmarkEnd w:id="279"/>
      <w:bookmarkStart w:id="280" w:name="_Toc184313282"/>
      <w:bookmarkEnd w:id="280"/>
      <w:bookmarkStart w:id="281" w:name="_Toc184308076"/>
      <w:bookmarkEnd w:id="281"/>
      <w:bookmarkStart w:id="282" w:name="_Toc184313259"/>
      <w:bookmarkEnd w:id="282"/>
      <w:bookmarkStart w:id="283" w:name="_Toc184308061"/>
      <w:bookmarkEnd w:id="283"/>
      <w:bookmarkStart w:id="284" w:name="_Toc184313289"/>
      <w:bookmarkEnd w:id="284"/>
      <w:bookmarkStart w:id="285" w:name="_Toc184312078"/>
      <w:bookmarkEnd w:id="285"/>
      <w:bookmarkStart w:id="286" w:name="_Toc184313279"/>
      <w:bookmarkEnd w:id="286"/>
      <w:bookmarkStart w:id="287" w:name="_Toc184313302"/>
      <w:bookmarkEnd w:id="287"/>
      <w:bookmarkStart w:id="288" w:name="_Toc184308042"/>
      <w:bookmarkEnd w:id="288"/>
      <w:bookmarkStart w:id="289" w:name="_Toc184313255"/>
      <w:bookmarkEnd w:id="289"/>
      <w:bookmarkStart w:id="290" w:name="_Toc184312107"/>
      <w:bookmarkEnd w:id="290"/>
      <w:bookmarkStart w:id="291" w:name="_Toc184310293"/>
      <w:bookmarkEnd w:id="291"/>
      <w:bookmarkStart w:id="292" w:name="_Toc184310285"/>
      <w:bookmarkEnd w:id="292"/>
      <w:bookmarkStart w:id="293" w:name="_Toc184313271"/>
      <w:bookmarkEnd w:id="293"/>
      <w:bookmarkStart w:id="294" w:name="_Toc184312087"/>
      <w:bookmarkEnd w:id="294"/>
      <w:bookmarkStart w:id="295" w:name="_Toc184312094"/>
      <w:bookmarkEnd w:id="295"/>
      <w:bookmarkStart w:id="296" w:name="_Toc184313242"/>
      <w:bookmarkEnd w:id="296"/>
      <w:bookmarkStart w:id="297" w:name="_Toc184308063"/>
      <w:bookmarkEnd w:id="297"/>
      <w:bookmarkStart w:id="298" w:name="_Toc184313300"/>
      <w:bookmarkEnd w:id="298"/>
      <w:bookmarkStart w:id="299" w:name="_Toc184313295"/>
      <w:bookmarkEnd w:id="299"/>
      <w:bookmarkStart w:id="300" w:name="_Toc184313248"/>
      <w:bookmarkEnd w:id="300"/>
      <w:bookmarkStart w:id="301" w:name="_Toc184313256"/>
      <w:bookmarkEnd w:id="301"/>
      <w:bookmarkStart w:id="302" w:name="_Toc184313251"/>
      <w:bookmarkEnd w:id="302"/>
      <w:bookmarkStart w:id="303" w:name="_Toc184312083"/>
      <w:bookmarkEnd w:id="303"/>
      <w:bookmarkStart w:id="304" w:name="_Toc184308048"/>
      <w:bookmarkEnd w:id="304"/>
      <w:bookmarkStart w:id="305" w:name="_Toc184313239"/>
      <w:bookmarkEnd w:id="305"/>
      <w:bookmarkStart w:id="306" w:name="_Toc184310339"/>
      <w:bookmarkEnd w:id="306"/>
      <w:bookmarkStart w:id="307" w:name="_Toc184313277"/>
      <w:bookmarkEnd w:id="307"/>
      <w:bookmarkStart w:id="308" w:name="_Toc184313310"/>
      <w:bookmarkEnd w:id="308"/>
      <w:bookmarkStart w:id="309" w:name="_Toc184313267"/>
      <w:bookmarkEnd w:id="309"/>
      <w:bookmarkStart w:id="310" w:name="_Toc184314413"/>
      <w:bookmarkEnd w:id="310"/>
      <w:bookmarkStart w:id="311" w:name="_Toc184314421"/>
      <w:bookmarkEnd w:id="311"/>
      <w:bookmarkStart w:id="312" w:name="_Toc184313254"/>
      <w:bookmarkEnd w:id="312"/>
      <w:bookmarkStart w:id="313" w:name="_Toc184312099"/>
      <w:bookmarkEnd w:id="313"/>
      <w:bookmarkStart w:id="314" w:name="_Toc184312102"/>
      <w:bookmarkEnd w:id="314"/>
      <w:bookmarkStart w:id="315" w:name="_Toc184312122"/>
      <w:bookmarkEnd w:id="315"/>
      <w:bookmarkStart w:id="316" w:name="_Toc184310340"/>
      <w:bookmarkEnd w:id="316"/>
      <w:bookmarkStart w:id="317" w:name="_Toc184313296"/>
      <w:bookmarkEnd w:id="317"/>
      <w:bookmarkStart w:id="318" w:name="_Toc184308097"/>
      <w:bookmarkEnd w:id="318"/>
      <w:bookmarkStart w:id="319" w:name="_Toc184308089"/>
      <w:bookmarkEnd w:id="319"/>
      <w:bookmarkStart w:id="320" w:name="_Toc184308058"/>
      <w:bookmarkEnd w:id="320"/>
      <w:bookmarkStart w:id="321" w:name="_Toc184308070"/>
      <w:bookmarkEnd w:id="321"/>
      <w:bookmarkStart w:id="322" w:name="_Toc184312091"/>
      <w:bookmarkEnd w:id="322"/>
      <w:bookmarkStart w:id="323" w:name="_Toc184314479"/>
      <w:bookmarkEnd w:id="323"/>
      <w:bookmarkStart w:id="324" w:name="_Toc184310327"/>
      <w:bookmarkEnd w:id="324"/>
      <w:bookmarkStart w:id="325" w:name="_Toc184313269"/>
      <w:bookmarkEnd w:id="325"/>
      <w:bookmarkStart w:id="326" w:name="_Toc184314432"/>
      <w:bookmarkEnd w:id="326"/>
      <w:bookmarkStart w:id="327" w:name="_Toc184308047"/>
      <w:bookmarkEnd w:id="327"/>
      <w:bookmarkStart w:id="328" w:name="_Toc184308108"/>
      <w:bookmarkEnd w:id="328"/>
      <w:bookmarkStart w:id="329" w:name="_Toc184312068"/>
      <w:bookmarkEnd w:id="329"/>
      <w:bookmarkStart w:id="330" w:name="_Toc184314480"/>
      <w:bookmarkEnd w:id="330"/>
      <w:bookmarkStart w:id="331" w:name="_Toc184314410"/>
      <w:bookmarkEnd w:id="331"/>
      <w:bookmarkStart w:id="332" w:name="_Toc184310338"/>
      <w:bookmarkEnd w:id="332"/>
      <w:bookmarkStart w:id="333" w:name="_Toc184312134"/>
      <w:bookmarkEnd w:id="333"/>
      <w:bookmarkStart w:id="334" w:name="_Toc184314451"/>
      <w:bookmarkEnd w:id="334"/>
      <w:bookmarkStart w:id="335" w:name="_Toc184314418"/>
      <w:bookmarkEnd w:id="335"/>
      <w:bookmarkStart w:id="336" w:name="_Toc184313281"/>
      <w:bookmarkEnd w:id="336"/>
      <w:bookmarkStart w:id="337" w:name="_Toc184308105"/>
      <w:bookmarkEnd w:id="337"/>
      <w:bookmarkStart w:id="338" w:name="_Toc184314443"/>
      <w:bookmarkEnd w:id="338"/>
      <w:bookmarkStart w:id="339" w:name="_Toc184310306"/>
      <w:bookmarkEnd w:id="339"/>
      <w:bookmarkStart w:id="340" w:name="_Toc184310309"/>
      <w:bookmarkEnd w:id="340"/>
      <w:bookmarkStart w:id="341" w:name="_Toc184310316"/>
      <w:bookmarkEnd w:id="341"/>
      <w:bookmarkStart w:id="342" w:name="_Toc184308072"/>
      <w:bookmarkEnd w:id="342"/>
      <w:bookmarkStart w:id="343" w:name="_Toc184310329"/>
      <w:bookmarkEnd w:id="343"/>
      <w:bookmarkStart w:id="344" w:name="_Toc184314449"/>
      <w:bookmarkEnd w:id="344"/>
      <w:bookmarkStart w:id="345" w:name="_Toc184308104"/>
      <w:bookmarkEnd w:id="345"/>
      <w:bookmarkStart w:id="346" w:name="_Toc184314473"/>
      <w:bookmarkEnd w:id="346"/>
      <w:bookmarkStart w:id="347" w:name="_Toc184312126"/>
      <w:bookmarkEnd w:id="347"/>
      <w:bookmarkStart w:id="348" w:name="_Toc184312072"/>
      <w:bookmarkEnd w:id="348"/>
      <w:bookmarkStart w:id="349" w:name="_Toc184312095"/>
      <w:bookmarkEnd w:id="349"/>
      <w:bookmarkStart w:id="350" w:name="_Toc184310291"/>
      <w:bookmarkEnd w:id="350"/>
      <w:bookmarkStart w:id="351" w:name="_Toc184312105"/>
      <w:bookmarkEnd w:id="351"/>
      <w:bookmarkStart w:id="352" w:name="_Toc184312103"/>
      <w:bookmarkEnd w:id="352"/>
      <w:bookmarkStart w:id="353" w:name="_Toc184312090"/>
      <w:bookmarkEnd w:id="353"/>
      <w:bookmarkStart w:id="354" w:name="_Toc184312097"/>
      <w:bookmarkEnd w:id="354"/>
      <w:bookmarkStart w:id="355" w:name="_Toc184314424"/>
      <w:bookmarkEnd w:id="355"/>
      <w:bookmarkStart w:id="356" w:name="_Toc184314429"/>
      <w:bookmarkEnd w:id="356"/>
      <w:bookmarkStart w:id="357" w:name="_Toc184312138"/>
      <w:bookmarkEnd w:id="357"/>
      <w:bookmarkStart w:id="358" w:name="_Toc184314415"/>
      <w:bookmarkEnd w:id="358"/>
      <w:bookmarkStart w:id="359" w:name="_Toc184313284"/>
      <w:bookmarkEnd w:id="359"/>
      <w:bookmarkStart w:id="360" w:name="_Toc184310286"/>
      <w:bookmarkEnd w:id="360"/>
      <w:bookmarkStart w:id="361" w:name="_Toc184312112"/>
      <w:bookmarkEnd w:id="361"/>
      <w:bookmarkStart w:id="362" w:name="_Toc184310343"/>
      <w:bookmarkEnd w:id="362"/>
      <w:bookmarkStart w:id="363" w:name="_Toc184308036"/>
      <w:bookmarkEnd w:id="363"/>
      <w:bookmarkStart w:id="364" w:name="_Toc184314477"/>
      <w:bookmarkEnd w:id="364"/>
      <w:bookmarkStart w:id="365" w:name="_Toc184314425"/>
      <w:bookmarkEnd w:id="365"/>
      <w:bookmarkStart w:id="366" w:name="_Toc184310330"/>
      <w:bookmarkEnd w:id="366"/>
      <w:bookmarkStart w:id="367" w:name="_Toc184310287"/>
      <w:bookmarkEnd w:id="367"/>
      <w:bookmarkStart w:id="368" w:name="_Toc184313298"/>
      <w:bookmarkEnd w:id="368"/>
      <w:bookmarkStart w:id="369" w:name="_Toc184313243"/>
      <w:bookmarkEnd w:id="369"/>
      <w:bookmarkStart w:id="370" w:name="_Toc184308079"/>
      <w:bookmarkEnd w:id="370"/>
      <w:bookmarkStart w:id="371" w:name="_Toc184308096"/>
      <w:bookmarkEnd w:id="371"/>
      <w:bookmarkStart w:id="372" w:name="_Toc184308077"/>
      <w:bookmarkEnd w:id="372"/>
      <w:bookmarkStart w:id="373" w:name="_Toc184313262"/>
      <w:bookmarkEnd w:id="373"/>
      <w:bookmarkStart w:id="374" w:name="_Toc184314417"/>
      <w:bookmarkEnd w:id="374"/>
      <w:bookmarkStart w:id="375" w:name="_Toc184313304"/>
      <w:bookmarkEnd w:id="375"/>
      <w:bookmarkStart w:id="376" w:name="_Toc184308038"/>
      <w:bookmarkEnd w:id="376"/>
      <w:bookmarkStart w:id="377" w:name="_Toc184314440"/>
      <w:bookmarkEnd w:id="377"/>
      <w:bookmarkStart w:id="378" w:name="_Toc184308107"/>
      <w:bookmarkEnd w:id="378"/>
      <w:bookmarkStart w:id="379" w:name="_Toc184310328"/>
      <w:bookmarkEnd w:id="379"/>
      <w:bookmarkStart w:id="380" w:name="_Toc184313247"/>
      <w:bookmarkEnd w:id="380"/>
      <w:bookmarkStart w:id="381" w:name="_Toc184313287"/>
      <w:bookmarkEnd w:id="381"/>
      <w:bookmarkStart w:id="382" w:name="_Toc184308101"/>
      <w:bookmarkEnd w:id="382"/>
      <w:bookmarkStart w:id="383" w:name="_Toc184310334"/>
      <w:bookmarkEnd w:id="383"/>
      <w:bookmarkStart w:id="384" w:name="_Toc184310302"/>
      <w:bookmarkEnd w:id="384"/>
      <w:bookmarkStart w:id="385" w:name="_Toc184308094"/>
      <w:bookmarkEnd w:id="385"/>
      <w:bookmarkStart w:id="386" w:name="_Toc184313280"/>
      <w:bookmarkEnd w:id="386"/>
      <w:bookmarkStart w:id="387" w:name="_Toc184310344"/>
      <w:bookmarkEnd w:id="387"/>
      <w:bookmarkStart w:id="388" w:name="_Toc184313252"/>
      <w:bookmarkEnd w:id="388"/>
      <w:bookmarkStart w:id="389" w:name="_Toc184310317"/>
      <w:bookmarkEnd w:id="389"/>
      <w:bookmarkStart w:id="390" w:name="_Toc184312106"/>
      <w:bookmarkEnd w:id="390"/>
      <w:bookmarkStart w:id="391" w:name="_Toc184310314"/>
      <w:bookmarkEnd w:id="391"/>
      <w:bookmarkStart w:id="392" w:name="_Toc184314437"/>
      <w:bookmarkEnd w:id="392"/>
      <w:bookmarkStart w:id="393" w:name="_Toc184312113"/>
      <w:bookmarkEnd w:id="393"/>
      <w:bookmarkStart w:id="394" w:name="_Toc184308055"/>
      <w:bookmarkEnd w:id="394"/>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573"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356"/>
        <w:gridCol w:w="590"/>
        <w:gridCol w:w="76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35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59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最高分值</w:t>
            </w:r>
          </w:p>
        </w:tc>
        <w:tc>
          <w:tcPr>
            <w:tcW w:w="763"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35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1" w:hRule="atLeast"/>
        </w:trPr>
        <w:tc>
          <w:tcPr>
            <w:tcW w:w="51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356" w:type="dxa"/>
            <w:vAlign w:val="center"/>
          </w:tcPr>
          <w:p>
            <w:pPr>
              <w:spacing w:line="276"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承担市政府办公厅的所有电子资产（含国产设备）的资产管理和设备软硬件维护工作（桌面操作系统、硬件故障排查修复、投影设备连接调试、室内网络布线、网络故障排查修复等）,满足采购人要求：（1）市政府办公厅所属非国产电脑的设备安装、软件安装、操作系统安装、系统故障的排除，保证办公电脑的正常运行。</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（2）协助市政府办公厅开展国产电脑常用办公软件、操作系统的日常维护与故障排除等。</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（3）市政府办公厅所属国产/非国产打印机、扫描仪等设备的安装连接、故障排查、耗材申领更换、多媒体会议的投影仪连接调试等。</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（4） 市政府办公厅所属电子资产的硬件故障排查和及时报修，如现场无法修复的，要求立刻联系设备厂家或保修服务厂商上门进行设备的原厂保修服务，两个工作日之内解决故障并归还使用者。</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p>
            <w:pPr>
              <w:spacing w:line="276" w:lineRule="auto"/>
              <w:rPr>
                <w:rFonts w:hint="default" w:cs="仿宋_GB2312" w:asciiTheme="minorEastAsia" w:hAnsiTheme="minorEastAsia" w:eastAsiaTheme="minorEastAsia"/>
                <w:color w:val="auto"/>
                <w:sz w:val="24"/>
                <w:highlight w:val="none"/>
              </w:rPr>
            </w:pPr>
            <w:r>
              <w:rPr>
                <w:rFonts w:hint="eastAsia" w:ascii="宋体" w:hAnsi="宋体" w:cs="宋体"/>
                <w:color w:val="auto"/>
                <w:sz w:val="24"/>
                <w:highlight w:val="none"/>
              </w:rPr>
              <w:t>（5） 市政府办公厅人员处室调整后的电子设备拆装；室内网络线路的布置连线；办公厅工作人员的WIFI开通与设备连接；办公厅工作区域内政务外网（VPN2、VPN3）端口开通、需求调整等。</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tc>
        <w:tc>
          <w:tcPr>
            <w:tcW w:w="590"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0</w:t>
            </w:r>
          </w:p>
        </w:tc>
        <w:tc>
          <w:tcPr>
            <w:tcW w:w="76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主观分</w:t>
            </w:r>
          </w:p>
        </w:tc>
        <w:tc>
          <w:tcPr>
            <w:tcW w:w="1351"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技术和服务方案提供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356" w:type="dxa"/>
            <w:vAlign w:val="center"/>
          </w:tcPr>
          <w:p>
            <w:pPr>
              <w:spacing w:line="276"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承担数据资源管理局、大数据管理服务中心的所有电子资产（含国产设备）的资产管理和软硬件维护工作（桌面操作系统、硬件故障排查修复、室内网络布线、网络故障排查修复、投影设备连接调试等）：</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（1）数据资源管理局和大数据管理服务中心所属非国产计算机终端的操作系统、常用软件等安装、维护、故障排除，保证办公电脑的正常使用。</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（2）协助数据资源管理局和大数据管理服务中心开展国产计算机终端的常用办公软件、操作系统的日常维护与故障排查。</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3）数据资源管理局和大数据管理服务中心各类打印机、传真一体机、复印机、扫描仪、投影机等设备的驱动安装连接、打印故障排查、视频会议设备的连接调试、大数据管理服务中心的电子资产申领与耗材更换等。</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（4）保障大数据管理服务中心的硬件故障排查和及时报修，如现场无法修复的，要求立刻联系设备厂家或保修服务厂商上门进行设备的原厂保修服务，两个工作日之内解决故障并归还使用者。</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p>
            <w:pPr>
              <w:rPr>
                <w:color w:val="auto"/>
              </w:rPr>
            </w:pPr>
            <w:r>
              <w:rPr>
                <w:rFonts w:hint="eastAsia" w:ascii="宋体" w:hAnsi="宋体" w:cs="宋体"/>
                <w:color w:val="auto"/>
                <w:sz w:val="24"/>
                <w:highlight w:val="none"/>
              </w:rPr>
              <w:t>（5）数据资源管理局及大数据管理服务中心人员处室调整后的电子设备拆装；室内网络线路的布置连线；工作人员的WIFI开通与设备连接；办公区域的政务外网（VPN2、VPN3）端口开通、需求调整等。</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p>
            <w:pPr>
              <w:spacing w:line="276" w:lineRule="auto"/>
              <w:rPr>
                <w:rFonts w:hint="default"/>
                <w:color w:val="auto"/>
              </w:rPr>
            </w:pPr>
          </w:p>
        </w:tc>
        <w:tc>
          <w:tcPr>
            <w:tcW w:w="590"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0</w:t>
            </w:r>
          </w:p>
        </w:tc>
        <w:tc>
          <w:tcPr>
            <w:tcW w:w="76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主观分</w:t>
            </w:r>
          </w:p>
        </w:tc>
        <w:tc>
          <w:tcPr>
            <w:tcW w:w="1351" w:type="dxa"/>
            <w:vMerge w:val="restart"/>
            <w:vAlign w:val="center"/>
          </w:tcPr>
          <w:p>
            <w:pPr>
              <w:snapToGrid w:val="0"/>
              <w:spacing w:line="276"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356" w:type="dxa"/>
            <w:vAlign w:val="center"/>
          </w:tcPr>
          <w:p>
            <w:pPr>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维护服务方案的优势情况：</w:t>
            </w:r>
          </w:p>
          <w:p>
            <w:pPr>
              <w:spacing w:line="27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承担市民中心区域内其余各单位的网络维护服务(以政务网交换机为界)工作：</w:t>
            </w:r>
          </w:p>
          <w:p>
            <w:pPr>
              <w:spacing w:line="276" w:lineRule="auto"/>
              <w:ind w:firstLine="480" w:firstLineChars="200"/>
              <w:jc w:val="left"/>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市民中心办公区域之内的其余各单位的政务外网（VPN2、VPN3）网络前端故障排查维护工作，如网络端口开通、需求调整等。</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得4分，部分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tc>
        <w:tc>
          <w:tcPr>
            <w:tcW w:w="590"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4</w:t>
            </w:r>
          </w:p>
        </w:tc>
        <w:tc>
          <w:tcPr>
            <w:tcW w:w="76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主观分</w:t>
            </w:r>
          </w:p>
        </w:tc>
        <w:tc>
          <w:tcPr>
            <w:tcW w:w="1351"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356" w:type="dxa"/>
            <w:vAlign w:val="center"/>
          </w:tcPr>
          <w:p>
            <w:pPr>
              <w:spacing w:line="276" w:lineRule="auto"/>
              <w:ind w:firstLine="480" w:firstLineChars="200"/>
              <w:rPr>
                <w:rFonts w:hint="default" w:cs="仿宋_GB2312" w:asciiTheme="minorEastAsia" w:hAnsiTheme="minorEastAsia" w:eastAsiaTheme="majorEastAsia"/>
                <w:color w:val="auto"/>
                <w:sz w:val="24"/>
                <w:highlight w:val="none"/>
                <w:lang w:val="en-US" w:eastAsia="zh-CN"/>
              </w:rPr>
            </w:pPr>
            <w:r>
              <w:rPr>
                <w:rFonts w:hint="eastAsia" w:ascii="宋体" w:hAnsi="宋体" w:eastAsia="宋体" w:cs="宋体"/>
                <w:color w:val="auto"/>
                <w:sz w:val="24"/>
                <w:highlight w:val="none"/>
              </w:rPr>
              <w:t>①</w:t>
            </w:r>
            <w:r>
              <w:rPr>
                <w:rFonts w:hint="eastAsia" w:cs="宋体" w:asciiTheme="majorEastAsia" w:hAnsiTheme="majorEastAsia" w:eastAsiaTheme="majorEastAsia"/>
                <w:color w:val="auto"/>
                <w:sz w:val="24"/>
                <w:highlight w:val="none"/>
              </w:rPr>
              <w:t>能充分理解视频会议的需求，提供完整的建设方案和服务方案，满足视频会议服务连接、调试与保障。</w:t>
            </w:r>
            <w:r>
              <w:rPr>
                <w:rFonts w:hint="eastAsia" w:ascii="宋体" w:hAnsi="宋体" w:eastAsia="宋体" w:cs="宋体"/>
                <w:color w:val="auto"/>
                <w:sz w:val="24"/>
                <w:highlight w:val="none"/>
              </w:rPr>
              <w:t>②</w:t>
            </w:r>
            <w:r>
              <w:rPr>
                <w:rFonts w:hint="eastAsia" w:cs="宋体" w:asciiTheme="majorEastAsia" w:hAnsiTheme="majorEastAsia" w:eastAsiaTheme="majorEastAsia"/>
                <w:color w:val="auto"/>
                <w:sz w:val="24"/>
                <w:highlight w:val="none"/>
              </w:rPr>
              <w:t>开通腾讯会议、ZOOM会议、瞩目会议、小鱼易连视频会议管理账号，提供麦克风、摄像头、声音采集卡等设备，全程监控本地会场画面，应对会议期间出现各种问题或者突发紧急故障，保障视频会议正常运行。</w:t>
            </w:r>
            <w:r>
              <w:rPr>
                <w:rFonts w:hint="eastAsia" w:cs="宋体" w:asciiTheme="majorEastAsia" w:hAnsiTheme="majorEastAsia" w:eastAsiaTheme="majorEastAsia"/>
                <w:color w:val="auto"/>
                <w:sz w:val="24"/>
                <w:highlight w:val="none"/>
                <w:lang w:val="en-US" w:eastAsia="zh-CN"/>
              </w:rPr>
              <w:t>每一项符合</w:t>
            </w:r>
            <w:r>
              <w:rPr>
                <w:rFonts w:hint="eastAsia" w:cs="宋体" w:asciiTheme="majorEastAsia" w:hAnsiTheme="majorEastAsia" w:eastAsiaTheme="majorEastAsia"/>
                <w:color w:val="auto"/>
                <w:sz w:val="24"/>
                <w:highlight w:val="none"/>
              </w:rPr>
              <w:t>得</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分，部分</w:t>
            </w:r>
            <w:r>
              <w:rPr>
                <w:rFonts w:hint="eastAsia" w:cs="宋体" w:asciiTheme="majorEastAsia" w:hAnsiTheme="majorEastAsia" w:eastAsiaTheme="majorEastAsia"/>
                <w:color w:val="auto"/>
                <w:sz w:val="24"/>
                <w:highlight w:val="none"/>
                <w:lang w:val="en-US" w:eastAsia="zh-CN"/>
              </w:rPr>
              <w:t>符合</w:t>
            </w:r>
            <w:r>
              <w:rPr>
                <w:rFonts w:hint="eastAsia" w:cs="宋体" w:asciiTheme="majorEastAsia" w:hAnsiTheme="majorEastAsia" w:eastAsiaTheme="majorEastAsia"/>
                <w:color w:val="auto"/>
                <w:sz w:val="24"/>
                <w:highlight w:val="none"/>
              </w:rPr>
              <w:t>得</w:t>
            </w:r>
            <w:r>
              <w:rPr>
                <w:rFonts w:hint="eastAsia" w:cs="宋体" w:asciiTheme="majorEastAsia" w:hAnsiTheme="majorEastAsia" w:eastAsiaTheme="majorEastAsia"/>
                <w:color w:val="auto"/>
                <w:sz w:val="24"/>
                <w:highlight w:val="none"/>
                <w:lang w:val="en-US" w:eastAsia="zh-CN"/>
              </w:rPr>
              <w:t>1</w:t>
            </w:r>
            <w:r>
              <w:rPr>
                <w:rFonts w:hint="eastAsia" w:cs="宋体" w:asciiTheme="majorEastAsia" w:hAnsiTheme="majorEastAsia" w:eastAsiaTheme="majorEastAsia"/>
                <w:color w:val="auto"/>
                <w:sz w:val="24"/>
                <w:highlight w:val="none"/>
              </w:rPr>
              <w:t>分，不</w:t>
            </w:r>
            <w:r>
              <w:rPr>
                <w:rFonts w:hint="eastAsia" w:cs="宋体" w:asciiTheme="majorEastAsia" w:hAnsiTheme="majorEastAsia" w:eastAsiaTheme="majorEastAsia"/>
                <w:color w:val="auto"/>
                <w:sz w:val="24"/>
                <w:highlight w:val="none"/>
                <w:lang w:val="en-US" w:eastAsia="zh-CN"/>
              </w:rPr>
              <w:t>符合</w:t>
            </w:r>
            <w:r>
              <w:rPr>
                <w:rFonts w:hint="eastAsia" w:cs="宋体" w:asciiTheme="majorEastAsia" w:hAnsiTheme="majorEastAsia" w:eastAsiaTheme="majorEastAsia"/>
                <w:color w:val="auto"/>
                <w:sz w:val="24"/>
                <w:highlight w:val="none"/>
              </w:rPr>
              <w:t>不得分。</w:t>
            </w:r>
            <w:r>
              <w:rPr>
                <w:rFonts w:hint="eastAsia" w:cs="宋体" w:asciiTheme="majorEastAsia" w:hAnsiTheme="majorEastAsia" w:eastAsiaTheme="majorEastAsia"/>
                <w:color w:val="auto"/>
                <w:sz w:val="24"/>
                <w:highlight w:val="none"/>
                <w:lang w:val="en-US" w:eastAsia="zh-CN"/>
              </w:rPr>
              <w:t>共6分。</w:t>
            </w:r>
          </w:p>
        </w:tc>
        <w:tc>
          <w:tcPr>
            <w:tcW w:w="590"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ajorEastAsia" w:hAnsiTheme="majorEastAsia" w:eastAsiaTheme="majorEastAsia"/>
                <w:color w:val="auto"/>
                <w:sz w:val="24"/>
                <w:highlight w:val="none"/>
              </w:rPr>
              <w:t>6</w:t>
            </w:r>
          </w:p>
        </w:tc>
        <w:tc>
          <w:tcPr>
            <w:tcW w:w="76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ajorEastAsia" w:hAnsiTheme="majorEastAsia" w:eastAsiaTheme="majorEastAsia"/>
                <w:color w:val="auto"/>
                <w:sz w:val="24"/>
                <w:highlight w:val="none"/>
              </w:rPr>
              <w:t>主观分</w:t>
            </w:r>
          </w:p>
        </w:tc>
        <w:tc>
          <w:tcPr>
            <w:tcW w:w="1351"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5356" w:type="dxa"/>
            <w:vAlign w:val="center"/>
          </w:tcPr>
          <w:p>
            <w:pPr>
              <w:snapToGrid w:val="0"/>
              <w:spacing w:line="276"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能充分理解视频会议导播实施过程中需求，提供完整的建设方案和服务方案；能够实现与已有视频会议系统对接，提供视频会议导播服务。</w:t>
            </w:r>
          </w:p>
          <w:p>
            <w:pPr>
              <w:numPr>
                <w:ilvl w:val="0"/>
                <w:numId w:val="4"/>
              </w:numPr>
              <w:snapToGrid w:val="0"/>
              <w:spacing w:line="276"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用高清摄像机、高清导播台、直播机、视频采集卡、音频采集卡、移动网络基站等专业设备，按照广播电视标准，提供拍摄、导播服务，含画面成像系统、画面导播系统、场内通话系统、会议传输系统、移动网络系统服务。</w:t>
            </w:r>
          </w:p>
          <w:p>
            <w:pPr>
              <w:numPr>
                <w:ilvl w:val="0"/>
                <w:numId w:val="4"/>
              </w:numPr>
              <w:snapToGrid w:val="0"/>
              <w:spacing w:line="276"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摄像机具备1920*1080P信号输出能力，导播台具备1920*1080P信号采集和输出能力。采用网络带宽下载不小于50Mbps/上传不小于50Mbps移动网络基站，并具备网络冗余备份，具备视频画面制作能力。</w:t>
            </w:r>
          </w:p>
          <w:p>
            <w:pPr>
              <w:snapToGrid w:val="0"/>
              <w:spacing w:line="276"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（3）需要提供1台视频导播台、3台摄像机、3个三脚架、3台无线图传，1台直播机、5根50米 3G-SDI线、1套视频采集卡、1套声音采集卡、1套场内通话系统，信号通道指标系统TALLY系统。</w:t>
            </w:r>
          </w:p>
          <w:p>
            <w:pPr>
              <w:snapToGrid w:val="0"/>
              <w:spacing w:line="276"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（4）提供视频会议导播服务的连接、调试与保障，实时监控本地会场画面，提供有视频延时播出10-60秒安全播出方案，应对会议期间出现各种问题或者突发紧急故障，保障视频会议正常运行。</w:t>
            </w:r>
          </w:p>
          <w:p>
            <w:pPr>
              <w:snapToGrid w:val="0"/>
              <w:spacing w:line="276" w:lineRule="auto"/>
              <w:ind w:firstLine="480" w:firstLineChars="200"/>
              <w:rPr>
                <w:rFonts w:cs="仿宋_GB2312" w:asciiTheme="minorEastAsia" w:hAnsiTheme="minorEastAsia" w:eastAsiaTheme="minorEastAsia"/>
                <w:color w:val="auto"/>
                <w:sz w:val="24"/>
                <w:highlight w:val="none"/>
              </w:rPr>
            </w:pPr>
            <w:r>
              <w:rPr>
                <w:rFonts w:hint="eastAsia" w:asciiTheme="majorEastAsia" w:hAnsiTheme="majorEastAsia" w:eastAsiaTheme="majorEastAsia"/>
                <w:color w:val="auto"/>
                <w:sz w:val="24"/>
                <w:highlight w:val="none"/>
              </w:rPr>
              <w:t>每项完全</w:t>
            </w:r>
            <w:r>
              <w:rPr>
                <w:rFonts w:hint="eastAsia" w:asciiTheme="majorEastAsia" w:hAnsiTheme="majorEastAsia" w:eastAsiaTheme="majorEastAsia"/>
                <w:color w:val="auto"/>
                <w:sz w:val="24"/>
                <w:highlight w:val="none"/>
                <w:lang w:val="en-US" w:eastAsia="zh-CN"/>
              </w:rPr>
              <w:t>符合</w:t>
            </w:r>
            <w:r>
              <w:rPr>
                <w:rFonts w:hint="eastAsia" w:asciiTheme="majorEastAsia" w:hAnsiTheme="majorEastAsia" w:eastAsiaTheme="majorEastAsia"/>
                <w:color w:val="auto"/>
                <w:sz w:val="24"/>
                <w:highlight w:val="none"/>
              </w:rPr>
              <w:t>得2分，部分</w:t>
            </w:r>
            <w:r>
              <w:rPr>
                <w:rFonts w:hint="eastAsia" w:asciiTheme="majorEastAsia" w:hAnsiTheme="majorEastAsia" w:eastAsiaTheme="majorEastAsia"/>
                <w:color w:val="auto"/>
                <w:sz w:val="24"/>
                <w:highlight w:val="none"/>
                <w:lang w:val="en-US" w:eastAsia="zh-CN"/>
              </w:rPr>
              <w:t>符合</w:t>
            </w:r>
            <w:r>
              <w:rPr>
                <w:rFonts w:hint="eastAsia" w:asciiTheme="majorEastAsia" w:hAnsiTheme="majorEastAsia" w:eastAsiaTheme="majorEastAsia"/>
                <w:color w:val="auto"/>
                <w:sz w:val="24"/>
                <w:highlight w:val="none"/>
              </w:rPr>
              <w:t>得1分，不</w:t>
            </w:r>
            <w:r>
              <w:rPr>
                <w:rFonts w:hint="eastAsia" w:asciiTheme="majorEastAsia" w:hAnsiTheme="majorEastAsia" w:eastAsiaTheme="majorEastAsia"/>
                <w:color w:val="auto"/>
                <w:sz w:val="24"/>
                <w:highlight w:val="none"/>
                <w:lang w:val="en-US" w:eastAsia="zh-CN"/>
              </w:rPr>
              <w:t>符合</w:t>
            </w:r>
            <w:r>
              <w:rPr>
                <w:rFonts w:hint="eastAsia" w:asciiTheme="majorEastAsia" w:hAnsiTheme="majorEastAsia" w:eastAsiaTheme="majorEastAsia"/>
                <w:color w:val="auto"/>
                <w:sz w:val="24"/>
                <w:highlight w:val="none"/>
              </w:rPr>
              <w:t>不得分。总计8分。</w:t>
            </w:r>
          </w:p>
        </w:tc>
        <w:tc>
          <w:tcPr>
            <w:tcW w:w="590"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ajorEastAsia" w:hAnsiTheme="majorEastAsia" w:eastAsiaTheme="majorEastAsia"/>
                <w:color w:val="auto"/>
                <w:sz w:val="24"/>
                <w:highlight w:val="none"/>
              </w:rPr>
              <w:t>8</w:t>
            </w:r>
          </w:p>
        </w:tc>
        <w:tc>
          <w:tcPr>
            <w:tcW w:w="76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cs="仿宋_GB2312" w:asciiTheme="majorEastAsia" w:hAnsiTheme="majorEastAsia" w:eastAsiaTheme="majorEastAsia"/>
                <w:color w:val="auto"/>
                <w:sz w:val="24"/>
                <w:highlight w:val="none"/>
              </w:rPr>
              <w:t>主观分</w:t>
            </w:r>
          </w:p>
        </w:tc>
        <w:tc>
          <w:tcPr>
            <w:tcW w:w="1351"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5356" w:type="dxa"/>
            <w:vAlign w:val="center"/>
          </w:tcPr>
          <w:p>
            <w:pPr>
              <w:keepNext w:val="0"/>
              <w:keepLines w:val="0"/>
              <w:tabs>
                <w:tab w:val="left" w:pos="432"/>
              </w:tabs>
              <w:spacing w:line="276" w:lineRule="auto"/>
              <w:ind w:left="0" w:firstLine="480" w:firstLineChars="200"/>
              <w:jc w:val="both"/>
              <w:outlineLvl w:val="1"/>
              <w:rPr>
                <w:rFonts w:hint="eastAsia" w:ascii="宋体" w:hAnsi="宋体" w:cs="宋体"/>
                <w:color w:val="auto"/>
                <w:sz w:val="24"/>
                <w:highlight w:val="none"/>
              </w:rPr>
            </w:pPr>
            <w:r>
              <w:rPr>
                <w:rFonts w:hint="eastAsia" w:ascii="宋体" w:hAnsi="宋体" w:eastAsia="宋体" w:cs="宋体"/>
                <w:color w:val="auto"/>
                <w:sz w:val="24"/>
                <w:highlight w:val="none"/>
              </w:rPr>
              <w:t>①</w:t>
            </w:r>
            <w:r>
              <w:rPr>
                <w:rFonts w:hint="eastAsia" w:ascii="宋体" w:hAnsi="宋体" w:cs="宋体"/>
                <w:color w:val="auto"/>
                <w:sz w:val="24"/>
                <w:highlight w:val="none"/>
              </w:rPr>
              <w:t>办公软硬件维护服务采用工单派送系统。</w:t>
            </w:r>
            <w:r>
              <w:rPr>
                <w:rFonts w:hint="eastAsia" w:ascii="宋体" w:hAnsi="宋体" w:eastAsia="宋体" w:cs="宋体"/>
                <w:color w:val="auto"/>
                <w:sz w:val="24"/>
                <w:highlight w:val="none"/>
              </w:rPr>
              <w:t>②</w:t>
            </w:r>
            <w:r>
              <w:rPr>
                <w:rFonts w:hint="eastAsia" w:ascii="宋体" w:hAnsi="宋体" w:cs="宋体"/>
                <w:color w:val="auto"/>
                <w:sz w:val="24"/>
                <w:highlight w:val="none"/>
              </w:rPr>
              <w:t>能记录多渠道的下单服务，实现服务填报、服务受理、工单派送、月报年报统计等功能，有针对性的记载整个服务活动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③</w:t>
            </w:r>
            <w:r>
              <w:rPr>
                <w:rFonts w:hint="eastAsia" w:ascii="宋体" w:hAnsi="宋体" w:cs="宋体"/>
                <w:color w:val="auto"/>
                <w:sz w:val="24"/>
                <w:highlight w:val="none"/>
              </w:rPr>
              <w:t>工单系统需调用IRS平台组织架构组件和浙政钉消息提醒组件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④</w:t>
            </w:r>
            <w:r>
              <w:rPr>
                <w:rFonts w:hint="eastAsia" w:ascii="宋体" w:hAnsi="宋体" w:cs="宋体"/>
                <w:color w:val="auto"/>
                <w:sz w:val="24"/>
                <w:highlight w:val="none"/>
              </w:rPr>
              <w:t>工单数据留存本地，通过一体化智能化公共数据平台透出，定期提供相应的运行报告和维护文档。</w:t>
            </w:r>
          </w:p>
          <w:p>
            <w:pPr>
              <w:rPr>
                <w:color w:val="auto"/>
                <w:highlight w:val="none"/>
              </w:rPr>
            </w:pPr>
            <w:r>
              <w:rPr>
                <w:rFonts w:hint="eastAsia" w:ascii="宋体" w:hAnsi="宋体" w:cs="宋体"/>
                <w:color w:val="auto"/>
                <w:sz w:val="24"/>
                <w:highlight w:val="none"/>
                <w:lang w:val="en-US" w:eastAsia="zh-CN"/>
              </w:rPr>
              <w:t>每一项</w:t>
            </w:r>
            <w:r>
              <w:rPr>
                <w:rFonts w:hint="eastAsia" w:ascii="宋体" w:hAnsi="宋体" w:cs="宋体"/>
                <w:color w:val="auto"/>
                <w:sz w:val="24"/>
                <w:highlight w:val="none"/>
              </w:rPr>
              <w:t>内容详细可行，完全</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采购人要求的得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r>
              <w:rPr>
                <w:rFonts w:hint="eastAsia" w:ascii="宋体" w:hAnsi="宋体" w:cs="宋体"/>
                <w:color w:val="auto"/>
                <w:sz w:val="24"/>
                <w:highlight w:val="none"/>
                <w:lang w:eastAsia="zh-CN"/>
              </w:rPr>
              <w:t>。</w:t>
            </w:r>
            <w:r>
              <w:rPr>
                <w:rFonts w:hint="eastAsia" w:ascii="宋体" w:hAnsi="宋体" w:cs="宋体"/>
                <w:color w:val="auto"/>
                <w:sz w:val="24"/>
                <w:highlight w:val="none"/>
              </w:rPr>
              <w:t>共8分。</w:t>
            </w:r>
          </w:p>
          <w:p>
            <w:pPr>
              <w:spacing w:line="276" w:lineRule="auto"/>
              <w:ind w:firstLine="480" w:firstLineChars="200"/>
              <w:rPr>
                <w:rFonts w:cs="仿宋_GB2312" w:asciiTheme="minorEastAsia" w:hAnsiTheme="minorEastAsia" w:eastAsiaTheme="minorEastAsia"/>
                <w:color w:val="auto"/>
                <w:sz w:val="24"/>
                <w:highlight w:val="none"/>
              </w:rPr>
            </w:pPr>
          </w:p>
        </w:tc>
        <w:tc>
          <w:tcPr>
            <w:tcW w:w="590"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8</w:t>
            </w:r>
          </w:p>
        </w:tc>
        <w:tc>
          <w:tcPr>
            <w:tcW w:w="763" w:type="dxa"/>
            <w:vAlign w:val="center"/>
          </w:tcPr>
          <w:p>
            <w:pPr>
              <w:snapToGrid w:val="0"/>
              <w:spacing w:line="276"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主观分</w:t>
            </w:r>
          </w:p>
        </w:tc>
        <w:tc>
          <w:tcPr>
            <w:tcW w:w="1351" w:type="dxa"/>
            <w:vAlign w:val="center"/>
          </w:tcPr>
          <w:p>
            <w:pPr>
              <w:snapToGrid w:val="0"/>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5356" w:type="dxa"/>
            <w:vAlign w:val="center"/>
          </w:tcPr>
          <w:p>
            <w:pPr>
              <w:snapToGrid w:val="0"/>
              <w:spacing w:line="276" w:lineRule="auto"/>
              <w:ind w:firstLine="0" w:firstLineChars="0"/>
            </w:pPr>
            <w:r>
              <w:rPr>
                <w:rFonts w:hint="eastAsia" w:ascii="宋体" w:hAnsi="宋体" w:eastAsia="宋体" w:cs="宋体"/>
                <w:b/>
                <w:bCs/>
                <w:sz w:val="24"/>
                <w:szCs w:val="24"/>
              </w:rPr>
              <w:t>1.项目负责人：</w:t>
            </w:r>
            <w:r>
              <w:rPr>
                <w:rFonts w:hint="eastAsia" w:ascii="宋体" w:hAnsi="宋体" w:eastAsia="宋体" w:cs="宋体"/>
                <w:sz w:val="24"/>
                <w:szCs w:val="24"/>
              </w:rPr>
              <w:br w:type="textWrapping"/>
            </w:r>
            <w:r>
              <w:rPr>
                <w:rFonts w:hint="eastAsia" w:ascii="宋体" w:hAnsi="宋体" w:eastAsia="宋体" w:cs="宋体"/>
                <w:sz w:val="24"/>
                <w:szCs w:val="24"/>
              </w:rPr>
              <w:t>投入项目负责人具有人力资源和社会保障部门颁发的高级信息系统项目管理师证书得2分，具有人力资源和社会保障部门颁发的系统集成项目管理工程师证书得2分；共4分。【证明材料：提供职业资格证书复印件、社保证明，否则不得分。】</w:t>
            </w:r>
            <w:r>
              <w:rPr>
                <w:rFonts w:hint="eastAsia" w:ascii="宋体" w:hAnsi="宋体" w:eastAsia="宋体" w:cs="宋体"/>
                <w:sz w:val="24"/>
                <w:szCs w:val="24"/>
              </w:rPr>
              <w:br w:type="textWrapping"/>
            </w:r>
            <w:r>
              <w:rPr>
                <w:rFonts w:hint="eastAsia" w:ascii="宋体" w:hAnsi="宋体" w:eastAsia="宋体" w:cs="宋体"/>
                <w:b/>
                <w:bCs/>
                <w:sz w:val="24"/>
                <w:szCs w:val="24"/>
              </w:rPr>
              <w:t>2.项目团队人员</w:t>
            </w:r>
            <w:r>
              <w:rPr>
                <w:rFonts w:hint="eastAsia" w:ascii="宋体" w:hAnsi="宋体" w:eastAsia="宋体" w:cs="宋体"/>
                <w:b/>
                <w:bCs/>
                <w:sz w:val="24"/>
                <w:szCs w:val="24"/>
                <w:lang w:eastAsia="zh-CN"/>
              </w:rPr>
              <w:t>（除</w:t>
            </w:r>
            <w:r>
              <w:rPr>
                <w:rFonts w:hint="eastAsia" w:ascii="宋体" w:hAnsi="宋体" w:eastAsia="宋体" w:cs="宋体"/>
                <w:b/>
                <w:bCs/>
                <w:sz w:val="24"/>
                <w:szCs w:val="24"/>
              </w:rPr>
              <w:t>项目负责人</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具备人力资源和社会保障部门颁发的高级信息系统项目管理师证书,每一人得2分，最高4分；提供证书复印件，否则不得分。项目派驻人员都需具备两年及以上从事政府单位有关运维服务工作经验，提供合同复印件或业主单位证明，符合得2分，不符合不得分；</w:t>
            </w:r>
            <w:r>
              <w:rPr>
                <w:rFonts w:hint="eastAsia" w:ascii="宋体" w:hAnsi="宋体" w:cs="宋体"/>
                <w:color w:val="auto"/>
                <w:sz w:val="24"/>
                <w:highlight w:val="none"/>
              </w:rPr>
              <w:t>【</w:t>
            </w:r>
            <w:r>
              <w:rPr>
                <w:rFonts w:hint="eastAsia" w:ascii="宋体" w:hAnsi="宋体" w:cs="宋体"/>
                <w:color w:val="auto"/>
                <w:sz w:val="24"/>
                <w:highlight w:val="none"/>
                <w:lang w:eastAsia="zh-CN"/>
              </w:rPr>
              <w:t>注：</w:t>
            </w:r>
            <w:r>
              <w:rPr>
                <w:rFonts w:hint="eastAsia" w:ascii="宋体" w:hAnsi="宋体" w:cs="宋体"/>
                <w:color w:val="auto"/>
                <w:sz w:val="24"/>
                <w:highlight w:val="none"/>
              </w:rPr>
              <w:t>提供</w:t>
            </w:r>
            <w:r>
              <w:rPr>
                <w:rFonts w:hint="eastAsia" w:ascii="宋体" w:hAnsi="宋体" w:cs="宋体"/>
                <w:color w:val="auto"/>
                <w:sz w:val="24"/>
                <w:highlight w:val="none"/>
                <w:lang w:eastAsia="zh-CN"/>
              </w:rPr>
              <w:t>人员</w:t>
            </w:r>
            <w:r>
              <w:rPr>
                <w:rFonts w:hint="eastAsia" w:ascii="宋体" w:hAnsi="宋体" w:cs="宋体"/>
                <w:color w:val="auto"/>
                <w:sz w:val="24"/>
                <w:highlight w:val="none"/>
              </w:rPr>
              <w:t>社保</w:t>
            </w:r>
            <w:r>
              <w:rPr>
                <w:rFonts w:hint="eastAsia" w:ascii="宋体" w:hAnsi="宋体" w:cs="宋体"/>
                <w:color w:val="auto"/>
                <w:sz w:val="24"/>
                <w:highlight w:val="none"/>
                <w:lang w:eastAsia="zh-CN"/>
              </w:rPr>
              <w:t>缴纳</w:t>
            </w:r>
            <w:r>
              <w:rPr>
                <w:rFonts w:hint="eastAsia" w:ascii="宋体" w:hAnsi="宋体" w:cs="宋体"/>
                <w:color w:val="auto"/>
                <w:sz w:val="24"/>
                <w:highlight w:val="none"/>
              </w:rPr>
              <w:t>证明</w:t>
            </w:r>
            <w:r>
              <w:rPr>
                <w:rFonts w:hint="eastAsia" w:ascii="宋体" w:hAnsi="宋体" w:cs="宋体"/>
                <w:color w:val="auto"/>
                <w:sz w:val="24"/>
                <w:highlight w:val="none"/>
                <w:lang w:eastAsia="zh-CN"/>
              </w:rPr>
              <w:t>，否则不得分</w:t>
            </w:r>
            <w:r>
              <w:rPr>
                <w:rFonts w:hint="eastAsia" w:ascii="宋体" w:hAnsi="宋体" w:cs="宋体"/>
                <w:color w:val="auto"/>
                <w:sz w:val="24"/>
                <w:highlight w:val="none"/>
              </w:rPr>
              <w:t>】。</w:t>
            </w:r>
          </w:p>
        </w:tc>
        <w:tc>
          <w:tcPr>
            <w:tcW w:w="59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10</w:t>
            </w:r>
          </w:p>
        </w:tc>
        <w:tc>
          <w:tcPr>
            <w:tcW w:w="76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客观分</w:t>
            </w:r>
          </w:p>
        </w:tc>
        <w:tc>
          <w:tcPr>
            <w:tcW w:w="1351"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356" w:type="dxa"/>
            <w:vAlign w:val="center"/>
          </w:tcPr>
          <w:p>
            <w:pPr>
              <w:pStyle w:val="58"/>
              <w:spacing w:before="0" w:beforeAutospacing="0" w:after="0" w:afterAutospacing="0" w:line="276" w:lineRule="auto"/>
              <w:rPr>
                <w:rFonts w:cs="仿宋_GB2312" w:asciiTheme="minorEastAsia" w:hAnsiTheme="minorEastAsia" w:eastAsiaTheme="minorEastAsia"/>
                <w:color w:val="auto"/>
                <w:sz w:val="24"/>
                <w:highlight w:val="none"/>
              </w:rPr>
            </w:pPr>
            <w:r>
              <w:rPr>
                <w:rFonts w:ascii="Helvetica" w:hAnsi="Helvetica" w:eastAsia="Helvetica" w:cs="Helvetica"/>
                <w:color w:val="auto"/>
                <w:sz w:val="24"/>
                <w:szCs w:val="24"/>
                <w:highlight w:val="none"/>
                <w:lang w:bidi="ar"/>
              </w:rPr>
              <w:t>投标人具有有效的信息安全管理体系认证证书、质量管理体系认</w:t>
            </w:r>
            <w:r>
              <w:rPr>
                <w:rFonts w:ascii="Helvetica" w:hAnsi="Helvetica" w:eastAsia="Helvetica" w:cs="Helvetica"/>
                <w:color w:val="auto"/>
                <w:highlight w:val="none"/>
                <w:lang w:bidi="ar"/>
              </w:rPr>
              <w:t>证证书、信息技术服务管理体系认证的，每提供一个</w:t>
            </w:r>
            <w:r>
              <w:rPr>
                <w:rFonts w:hint="eastAsia" w:ascii="宋体" w:hAnsi="宋体" w:eastAsia="宋体" w:cs="宋体"/>
                <w:color w:val="auto"/>
                <w:highlight w:val="none"/>
                <w:lang w:bidi="ar"/>
              </w:rPr>
              <w:t>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bidi="ar"/>
              </w:rPr>
              <w:t>分，</w:t>
            </w:r>
            <w:r>
              <w:rPr>
                <w:rFonts w:hint="eastAsia" w:ascii="宋体" w:hAnsi="宋体" w:eastAsia="宋体" w:cs="宋体"/>
                <w:color w:val="auto"/>
                <w:highlight w:val="none"/>
                <w:lang w:val="en-US" w:eastAsia="zh-CN" w:bidi="ar"/>
              </w:rPr>
              <w:t>最高得6</w:t>
            </w:r>
            <w:r>
              <w:rPr>
                <w:rFonts w:hint="eastAsia" w:ascii="宋体" w:hAnsi="宋体" w:eastAsia="宋体" w:cs="宋体"/>
                <w:color w:val="auto"/>
                <w:highlight w:val="none"/>
                <w:lang w:bidi="ar"/>
              </w:rPr>
              <w:t>分</w:t>
            </w:r>
            <w:r>
              <w:rPr>
                <w:rFonts w:hint="eastAsia" w:cs="宋体"/>
                <w:color w:val="auto"/>
                <w:highlight w:val="none"/>
                <w:lang w:bidi="ar"/>
              </w:rPr>
              <w:t>。</w:t>
            </w:r>
            <w:r>
              <w:rPr>
                <w:rFonts w:hint="eastAsia" w:ascii="Helvetica" w:hAnsi="Helvetica" w:cs="Helvetica" w:eastAsiaTheme="minorEastAsia"/>
                <w:color w:val="auto"/>
                <w:highlight w:val="none"/>
                <w:lang w:bidi="ar"/>
              </w:rPr>
              <w:t>（</w:t>
            </w:r>
            <w:r>
              <w:rPr>
                <w:rFonts w:ascii="Helvetica" w:hAnsi="Helvetica" w:eastAsia="Helvetica" w:cs="Helvetica"/>
                <w:color w:val="auto"/>
                <w:highlight w:val="none"/>
                <w:lang w:bidi="ar"/>
              </w:rPr>
              <w:t>备注：投标文件中提供有效证书复印件并加盖公章，未提供或提供的证书未在有效期内的不得分。</w:t>
            </w:r>
            <w:r>
              <w:rPr>
                <w:rFonts w:hint="eastAsia" w:cs="宋体"/>
                <w:color w:val="auto"/>
                <w:highlight w:val="none"/>
                <w:lang w:bidi="ar"/>
              </w:rPr>
              <w:t>）</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kern w:val="0"/>
                <w:sz w:val="24"/>
                <w:szCs w:val="24"/>
                <w:highlight w:val="none"/>
                <w:lang w:val="en-US" w:eastAsia="zh-CN"/>
              </w:rPr>
              <w:t>6</w:t>
            </w:r>
          </w:p>
        </w:tc>
        <w:tc>
          <w:tcPr>
            <w:tcW w:w="76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kern w:val="0"/>
                <w:sz w:val="24"/>
                <w:szCs w:val="24"/>
                <w:highlight w:val="none"/>
              </w:rPr>
              <w:t>客观分</w:t>
            </w:r>
          </w:p>
        </w:tc>
        <w:tc>
          <w:tcPr>
            <w:tcW w:w="1351" w:type="dxa"/>
            <w:vAlign w:val="center"/>
          </w:tcPr>
          <w:p>
            <w:pPr>
              <w:snapToGrid w:val="0"/>
              <w:spacing w:line="276" w:lineRule="auto"/>
              <w:jc w:val="center"/>
              <w:rPr>
                <w:rFonts w:hint="eastAsia" w:eastAsia="宋体" w:cs="仿宋_GB2312" w:asciiTheme="minorEastAsia" w:hAnsiTheme="minorEastAsia"/>
                <w:color w:val="auto"/>
                <w:sz w:val="24"/>
                <w:highlight w:val="none"/>
                <w:lang w:eastAsia="zh-CN"/>
              </w:rPr>
            </w:pPr>
            <w:r>
              <w:rPr>
                <w:rFonts w:hint="eastAsia" w:ascii="宋体" w:hAnsi="宋体" w:cs="仿宋_GB2312"/>
                <w:color w:val="auto"/>
                <w:sz w:val="24"/>
                <w:highlight w:val="none"/>
                <w:lang w:val="en-US" w:eastAsia="zh-CN"/>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5356" w:type="dxa"/>
            <w:vAlign w:val="center"/>
          </w:tcPr>
          <w:p>
            <w:pPr>
              <w:spacing w:line="276"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建有科学、完善的运行服务保障应急预案，对项目维护中可能遇到的问题及其应对措施的考虑情况。故障处理的组织和联系机制的合理性、有效性等。能提供7*24小时的响应服务方案。</w:t>
            </w:r>
          </w:p>
          <w:p>
            <w:pPr>
              <w:spacing w:line="276"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提供夜间、法定假日轮流值班。②值班人员接到报修电话后，10分钟内赶到现场，排查故障原因，尽快为用户修复设备故障；③驻场技术人员服务过程中，如遇驻场技术人员的流动（变动）或调整时，应提前报备，预留交接时间，要求公司尽快安排临时替代的驻场技术人员，必须在驻场人员变动后的48小时内到岗。</w:t>
            </w:r>
            <w:r>
              <w:rPr>
                <w:rFonts w:hint="eastAsia" w:cs="宋体" w:asciiTheme="minorEastAsia" w:hAnsiTheme="minorEastAsia" w:eastAsiaTheme="minorEastAsia"/>
                <w:color w:val="auto"/>
                <w:sz w:val="24"/>
                <w:highlight w:val="none"/>
              </w:rPr>
              <w:fldChar w:fldCharType="begin"/>
            </w:r>
            <w:r>
              <w:rPr>
                <w:rFonts w:hint="eastAsia" w:cs="宋体" w:asciiTheme="minorEastAsia" w:hAnsiTheme="minorEastAsia" w:eastAsiaTheme="minorEastAsia"/>
                <w:color w:val="auto"/>
                <w:sz w:val="24"/>
                <w:highlight w:val="none"/>
              </w:rPr>
              <w:instrText xml:space="preserve"> = 4 \* GB3 \* MERGEFORMAT </w:instrText>
            </w:r>
            <w:r>
              <w:rPr>
                <w:rFonts w:hint="eastAsia" w:cs="宋体" w:asciiTheme="minorEastAsia" w:hAnsiTheme="minorEastAsia" w:eastAsiaTheme="minorEastAsia"/>
                <w:color w:val="auto"/>
                <w:sz w:val="24"/>
                <w:highlight w:val="none"/>
              </w:rPr>
              <w:fldChar w:fldCharType="separate"/>
            </w:r>
            <w:r>
              <w:rPr>
                <w:rFonts w:asciiTheme="minorEastAsia" w:hAnsiTheme="minorEastAsia" w:eastAsiaTheme="minorEastAsia"/>
                <w:color w:val="auto"/>
                <w:sz w:val="24"/>
                <w:highlight w:val="none"/>
              </w:rPr>
              <w:t>④</w:t>
            </w:r>
            <w:r>
              <w:rPr>
                <w:rFonts w:hint="eastAsia"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color w:val="auto"/>
                <w:sz w:val="24"/>
                <w:highlight w:val="none"/>
              </w:rPr>
              <w:t>视频会议导播服务，提供7*24小时响应服务，确保每次直播安全播出。</w:t>
            </w:r>
            <w:r>
              <w:rPr>
                <w:rFonts w:hint="eastAsia" w:asciiTheme="minorEastAsia" w:hAnsiTheme="minorEastAsia" w:eastAsiaTheme="minorEastAsia"/>
                <w:color w:val="auto"/>
                <w:sz w:val="24"/>
                <w:highlight w:val="none"/>
              </w:rPr>
              <w:t>每项</w:t>
            </w:r>
            <w:r>
              <w:rPr>
                <w:rFonts w:hint="eastAsia" w:asciiTheme="minorEastAsia" w:hAnsiTheme="minorEastAsia" w:eastAsiaTheme="minorEastAsia"/>
                <w:color w:val="auto"/>
                <w:sz w:val="24"/>
                <w:highlight w:val="none"/>
                <w:lang w:val="en-US" w:eastAsia="zh-CN"/>
              </w:rPr>
              <w:t>符合</w:t>
            </w:r>
            <w:r>
              <w:rPr>
                <w:rFonts w:hint="eastAsia" w:asciiTheme="minorEastAsia" w:hAnsiTheme="minorEastAsia" w:eastAsiaTheme="minorEastAsia"/>
                <w:color w:val="auto"/>
                <w:sz w:val="24"/>
                <w:highlight w:val="none"/>
              </w:rPr>
              <w:t>得2分，不</w:t>
            </w:r>
            <w:r>
              <w:rPr>
                <w:rFonts w:hint="eastAsia" w:asciiTheme="minorEastAsia" w:hAnsiTheme="minorEastAsia" w:eastAsiaTheme="minorEastAsia"/>
                <w:color w:val="auto"/>
                <w:sz w:val="24"/>
                <w:highlight w:val="none"/>
                <w:lang w:val="en-US" w:eastAsia="zh-CN"/>
              </w:rPr>
              <w:t>符合</w:t>
            </w:r>
            <w:r>
              <w:rPr>
                <w:rFonts w:hint="eastAsia" w:asciiTheme="minorEastAsia" w:hAnsiTheme="minorEastAsia" w:eastAsiaTheme="minorEastAsia"/>
                <w:color w:val="auto"/>
                <w:sz w:val="24"/>
                <w:highlight w:val="none"/>
              </w:rPr>
              <w:t>不得分。总计8分。</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76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51"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5356" w:type="dxa"/>
            <w:vAlign w:val="center"/>
          </w:tcPr>
          <w:p>
            <w:pPr>
              <w:snapToGrid w:val="0"/>
              <w:spacing w:line="276"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承诺技术维护人员由采购人统一安排管理，协助采购人应对突发性、临时性软硬件设备维护等工作。</w:t>
            </w:r>
            <w:r>
              <w:rPr>
                <w:rFonts w:hint="eastAsia" w:cs="宋体" w:asciiTheme="minorEastAsia" w:hAnsiTheme="minorEastAsia" w:eastAsiaTheme="minorEastAsia"/>
                <w:color w:val="auto"/>
                <w:sz w:val="24"/>
                <w:highlight w:val="none"/>
                <w:lang w:val="en-US" w:eastAsia="zh-CN"/>
              </w:rPr>
              <w:t>承诺</w:t>
            </w:r>
            <w:r>
              <w:rPr>
                <w:rFonts w:hint="eastAsia" w:cs="宋体" w:asciiTheme="minorEastAsia" w:hAnsiTheme="minorEastAsia" w:eastAsiaTheme="minorEastAsia"/>
                <w:color w:val="auto"/>
                <w:sz w:val="24"/>
                <w:highlight w:val="none"/>
              </w:rPr>
              <w:t>得</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分，</w:t>
            </w:r>
            <w:r>
              <w:rPr>
                <w:rFonts w:hint="eastAsia" w:cs="宋体" w:asciiTheme="minorEastAsia" w:hAnsiTheme="minorEastAsia" w:eastAsiaTheme="minorEastAsia"/>
                <w:color w:val="auto"/>
                <w:sz w:val="24"/>
                <w:highlight w:val="none"/>
                <w:lang w:val="en-US" w:eastAsia="zh-CN"/>
              </w:rPr>
              <w:t>不承诺或承诺的内容</w:t>
            </w:r>
            <w:r>
              <w:rPr>
                <w:rFonts w:hint="eastAsia" w:cs="宋体" w:asciiTheme="minorEastAsia" w:hAnsiTheme="minorEastAsia" w:eastAsiaTheme="minorEastAsia"/>
                <w:color w:val="auto"/>
                <w:sz w:val="24"/>
                <w:highlight w:val="none"/>
              </w:rPr>
              <w:t>不</w:t>
            </w:r>
            <w:r>
              <w:rPr>
                <w:rFonts w:hint="eastAsia" w:cs="宋体" w:asciiTheme="minorEastAsia" w:hAnsiTheme="minorEastAsia" w:eastAsiaTheme="minorEastAsia"/>
                <w:color w:val="auto"/>
                <w:sz w:val="24"/>
                <w:highlight w:val="none"/>
                <w:lang w:val="en-US" w:eastAsia="zh-CN"/>
              </w:rPr>
              <w:t>符合</w:t>
            </w:r>
            <w:r>
              <w:rPr>
                <w:rFonts w:hint="eastAsia" w:cs="宋体" w:asciiTheme="minorEastAsia" w:hAnsiTheme="minorEastAsia" w:eastAsiaTheme="minorEastAsia"/>
                <w:color w:val="auto"/>
                <w:sz w:val="24"/>
                <w:highlight w:val="none"/>
              </w:rPr>
              <w:t>不得分。</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76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351" w:type="dxa"/>
            <w:vMerge w:val="restart"/>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承诺要求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5356" w:type="dxa"/>
            <w:vAlign w:val="center"/>
          </w:tcPr>
          <w:p>
            <w:pPr>
              <w:snapToGrid w:val="0"/>
              <w:spacing w:line="276"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承诺场技术人员每次在故障排查，维护服务完成后，需要求驻场人员做好维护登记</w:t>
            </w:r>
            <w:r>
              <w:rPr>
                <w:rFonts w:ascii="宋体" w:hAnsi="宋体" w:cs="宋体"/>
                <w:color w:val="auto"/>
                <w:sz w:val="24"/>
                <w:highlight w:val="none"/>
              </w:rPr>
              <w:t>，在工单系统形成记录闭环</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lang w:val="en-US" w:eastAsia="zh-CN"/>
              </w:rPr>
              <w:t>承诺</w:t>
            </w:r>
            <w:r>
              <w:rPr>
                <w:rFonts w:hint="eastAsia" w:cs="宋体" w:asciiTheme="minorEastAsia" w:hAnsiTheme="minorEastAsia" w:eastAsiaTheme="minorEastAsia"/>
                <w:color w:val="auto"/>
                <w:sz w:val="24"/>
                <w:highlight w:val="none"/>
              </w:rPr>
              <w:t>得</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分，</w:t>
            </w:r>
            <w:r>
              <w:rPr>
                <w:rFonts w:hint="eastAsia" w:cs="宋体" w:asciiTheme="minorEastAsia" w:hAnsiTheme="minorEastAsia" w:eastAsiaTheme="minorEastAsia"/>
                <w:color w:val="auto"/>
                <w:sz w:val="24"/>
                <w:highlight w:val="none"/>
                <w:lang w:val="en-US" w:eastAsia="zh-CN"/>
              </w:rPr>
              <w:t>不承诺或承诺的内容</w:t>
            </w:r>
            <w:r>
              <w:rPr>
                <w:rFonts w:hint="eastAsia" w:cs="宋体" w:asciiTheme="minorEastAsia" w:hAnsiTheme="minorEastAsia" w:eastAsiaTheme="minorEastAsia"/>
                <w:color w:val="auto"/>
                <w:sz w:val="24"/>
                <w:highlight w:val="none"/>
              </w:rPr>
              <w:t>不</w:t>
            </w:r>
            <w:r>
              <w:rPr>
                <w:rFonts w:hint="eastAsia" w:cs="宋体" w:asciiTheme="minorEastAsia" w:hAnsiTheme="minorEastAsia" w:eastAsiaTheme="minorEastAsia"/>
                <w:color w:val="auto"/>
                <w:sz w:val="24"/>
                <w:highlight w:val="none"/>
                <w:lang w:val="en-US" w:eastAsia="zh-CN"/>
              </w:rPr>
              <w:t>符合</w:t>
            </w:r>
            <w:r>
              <w:rPr>
                <w:rFonts w:hint="eastAsia" w:cs="宋体" w:asciiTheme="minorEastAsia" w:hAnsiTheme="minorEastAsia" w:eastAsiaTheme="minorEastAsia"/>
                <w:color w:val="auto"/>
                <w:sz w:val="24"/>
                <w:highlight w:val="none"/>
              </w:rPr>
              <w:t>不得分</w:t>
            </w:r>
            <w:r>
              <w:rPr>
                <w:rFonts w:hint="eastAsia" w:ascii="宋体" w:hAnsi="宋体" w:cs="宋体"/>
                <w:color w:val="auto"/>
                <w:sz w:val="24"/>
                <w:highlight w:val="none"/>
              </w:rPr>
              <w:t>。</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ascii="宋体" w:hAnsi="宋体" w:cs="仿宋_GB2312"/>
                <w:color w:val="auto"/>
                <w:sz w:val="24"/>
                <w:highlight w:val="none"/>
              </w:rPr>
              <w:t>2</w:t>
            </w:r>
          </w:p>
        </w:tc>
        <w:tc>
          <w:tcPr>
            <w:tcW w:w="76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客观分</w:t>
            </w:r>
          </w:p>
        </w:tc>
        <w:tc>
          <w:tcPr>
            <w:tcW w:w="1351" w:type="dxa"/>
            <w:vMerge w:val="continue"/>
            <w:vAlign w:val="center"/>
          </w:tcPr>
          <w:p>
            <w:pPr>
              <w:spacing w:line="276"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5356" w:type="dxa"/>
            <w:vAlign w:val="center"/>
          </w:tcPr>
          <w:p>
            <w:pPr>
              <w:snapToGrid w:val="0"/>
              <w:spacing w:line="276"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承诺履行外包服务机构的网络、数据安全责任及相关处罚条，做好信息安全工作，严格做好安全保密工作。</w:t>
            </w:r>
            <w:r>
              <w:rPr>
                <w:rFonts w:hint="eastAsia" w:cs="宋体" w:asciiTheme="minorEastAsia" w:hAnsiTheme="minorEastAsia" w:eastAsiaTheme="minorEastAsia"/>
                <w:color w:val="auto"/>
                <w:sz w:val="24"/>
                <w:highlight w:val="none"/>
                <w:lang w:val="en-US" w:eastAsia="zh-CN"/>
              </w:rPr>
              <w:t>承诺</w:t>
            </w:r>
            <w:r>
              <w:rPr>
                <w:rFonts w:hint="eastAsia" w:cs="宋体" w:asciiTheme="minorEastAsia" w:hAnsiTheme="minorEastAsia" w:eastAsiaTheme="minorEastAsia"/>
                <w:color w:val="auto"/>
                <w:sz w:val="24"/>
                <w:highlight w:val="none"/>
              </w:rPr>
              <w:t>得</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分，</w:t>
            </w:r>
            <w:r>
              <w:rPr>
                <w:rFonts w:hint="eastAsia" w:cs="宋体" w:asciiTheme="minorEastAsia" w:hAnsiTheme="minorEastAsia" w:eastAsiaTheme="minorEastAsia"/>
                <w:color w:val="auto"/>
                <w:sz w:val="24"/>
                <w:highlight w:val="none"/>
                <w:lang w:val="en-US" w:eastAsia="zh-CN"/>
              </w:rPr>
              <w:t>不承诺或承诺的内容</w:t>
            </w:r>
            <w:r>
              <w:rPr>
                <w:rFonts w:hint="eastAsia" w:cs="宋体" w:asciiTheme="minorEastAsia" w:hAnsiTheme="minorEastAsia" w:eastAsiaTheme="minorEastAsia"/>
                <w:color w:val="auto"/>
                <w:sz w:val="24"/>
                <w:highlight w:val="none"/>
              </w:rPr>
              <w:t>不</w:t>
            </w:r>
            <w:r>
              <w:rPr>
                <w:rFonts w:hint="eastAsia" w:cs="宋体" w:asciiTheme="minorEastAsia" w:hAnsiTheme="minorEastAsia" w:eastAsiaTheme="minorEastAsia"/>
                <w:color w:val="auto"/>
                <w:sz w:val="24"/>
                <w:highlight w:val="none"/>
                <w:lang w:val="en-US" w:eastAsia="zh-CN"/>
              </w:rPr>
              <w:t>符合</w:t>
            </w:r>
            <w:r>
              <w:rPr>
                <w:rFonts w:hint="eastAsia" w:cs="宋体" w:asciiTheme="minorEastAsia" w:hAnsiTheme="minorEastAsia" w:eastAsiaTheme="minorEastAsia"/>
                <w:color w:val="auto"/>
                <w:sz w:val="24"/>
                <w:highlight w:val="none"/>
              </w:rPr>
              <w:t>不得分</w:t>
            </w:r>
            <w:r>
              <w:rPr>
                <w:rFonts w:hint="eastAsia" w:ascii="宋体" w:hAnsi="宋体" w:cs="宋体"/>
                <w:color w:val="auto"/>
                <w:sz w:val="24"/>
                <w:highlight w:val="none"/>
              </w:rPr>
              <w:t>。</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2</w:t>
            </w:r>
          </w:p>
        </w:tc>
        <w:tc>
          <w:tcPr>
            <w:tcW w:w="76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客观分</w:t>
            </w:r>
          </w:p>
        </w:tc>
        <w:tc>
          <w:tcPr>
            <w:tcW w:w="1351" w:type="dxa"/>
            <w:vMerge w:val="continue"/>
            <w:vAlign w:val="center"/>
          </w:tcPr>
          <w:p>
            <w:pPr>
              <w:spacing w:line="276"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5356" w:type="dxa"/>
            <w:vAlign w:val="center"/>
          </w:tcPr>
          <w:p>
            <w:pPr>
              <w:spacing w:line="276"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承诺协助采购人①制订日常运行管理规范；②协助用户正确使用和维护系统；③根据用户的要求做好维保设备软、硬件常规维护；④解决用户提出的其它各种技术问题等等；⑤服务结束后，得到用户方确认后</w:t>
            </w:r>
            <w:r>
              <w:rPr>
                <w:rFonts w:hint="eastAsia" w:ascii="宋体" w:hAnsi="宋体"/>
                <w:color w:val="auto"/>
                <w:sz w:val="24"/>
                <w:highlight w:val="none"/>
              </w:rPr>
              <w:t>方可离开现场。</w:t>
            </w:r>
            <w:r>
              <w:rPr>
                <w:rFonts w:hint="eastAsia" w:cs="宋体" w:asciiTheme="minorEastAsia" w:hAnsiTheme="minorEastAsia" w:eastAsiaTheme="minorEastAsia"/>
                <w:color w:val="auto"/>
                <w:sz w:val="24"/>
                <w:highlight w:val="none"/>
                <w:lang w:val="en-US" w:eastAsia="zh-CN"/>
              </w:rPr>
              <w:t>承诺</w:t>
            </w:r>
            <w:r>
              <w:rPr>
                <w:rFonts w:hint="eastAsia" w:cs="宋体" w:asciiTheme="minorEastAsia" w:hAnsiTheme="minorEastAsia" w:eastAsiaTheme="minorEastAsia"/>
                <w:color w:val="auto"/>
                <w:sz w:val="24"/>
                <w:highlight w:val="none"/>
              </w:rPr>
              <w:t>得</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分，</w:t>
            </w:r>
            <w:r>
              <w:rPr>
                <w:rFonts w:hint="eastAsia" w:cs="宋体" w:asciiTheme="minorEastAsia" w:hAnsiTheme="minorEastAsia" w:eastAsiaTheme="minorEastAsia"/>
                <w:color w:val="auto"/>
                <w:sz w:val="24"/>
                <w:highlight w:val="none"/>
                <w:lang w:val="en-US" w:eastAsia="zh-CN"/>
              </w:rPr>
              <w:t>不承诺或承诺的内容</w:t>
            </w:r>
            <w:r>
              <w:rPr>
                <w:rFonts w:hint="eastAsia" w:cs="宋体" w:asciiTheme="minorEastAsia" w:hAnsiTheme="minorEastAsia" w:eastAsiaTheme="minorEastAsia"/>
                <w:color w:val="auto"/>
                <w:sz w:val="24"/>
                <w:highlight w:val="none"/>
              </w:rPr>
              <w:t>不</w:t>
            </w:r>
            <w:r>
              <w:rPr>
                <w:rFonts w:hint="eastAsia" w:cs="宋体" w:asciiTheme="minorEastAsia" w:hAnsiTheme="minorEastAsia" w:eastAsiaTheme="minorEastAsia"/>
                <w:color w:val="auto"/>
                <w:sz w:val="24"/>
                <w:highlight w:val="none"/>
                <w:lang w:val="en-US" w:eastAsia="zh-CN"/>
              </w:rPr>
              <w:t>符合</w:t>
            </w:r>
            <w:r>
              <w:rPr>
                <w:rFonts w:hint="eastAsia" w:cs="宋体" w:asciiTheme="minorEastAsia" w:hAnsiTheme="minorEastAsia" w:eastAsiaTheme="minorEastAsia"/>
                <w:color w:val="auto"/>
                <w:sz w:val="24"/>
                <w:highlight w:val="none"/>
              </w:rPr>
              <w:t>不得分</w:t>
            </w:r>
            <w:r>
              <w:rPr>
                <w:rFonts w:hint="eastAsia" w:ascii="宋体" w:hAnsi="宋体" w:cs="宋体"/>
                <w:color w:val="auto"/>
                <w:sz w:val="24"/>
                <w:highlight w:val="none"/>
              </w:rPr>
              <w:t>。</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2</w:t>
            </w:r>
          </w:p>
        </w:tc>
        <w:tc>
          <w:tcPr>
            <w:tcW w:w="763" w:type="dxa"/>
            <w:vAlign w:val="center"/>
          </w:tcPr>
          <w:p>
            <w:pPr>
              <w:spacing w:line="276" w:lineRule="auto"/>
              <w:jc w:val="center"/>
              <w:outlineLvl w:val="0"/>
              <w:rPr>
                <w:rFonts w:hint="eastAsia" w:ascii="宋体" w:hAnsi="宋体" w:cs="仿宋_GB2312"/>
                <w:color w:val="auto"/>
                <w:sz w:val="24"/>
                <w:highlight w:val="none"/>
              </w:rPr>
            </w:pPr>
            <w:r>
              <w:rPr>
                <w:rFonts w:hint="eastAsia" w:ascii="宋体" w:hAnsi="宋体" w:cs="仿宋_GB2312"/>
                <w:color w:val="auto"/>
                <w:sz w:val="24"/>
                <w:highlight w:val="none"/>
              </w:rPr>
              <w:t>客观分</w:t>
            </w:r>
          </w:p>
          <w:p>
            <w:pPr>
              <w:pStyle w:val="4"/>
              <w:spacing w:line="276" w:lineRule="auto"/>
              <w:ind w:left="432" w:leftChars="0" w:hanging="432" w:firstLineChars="0"/>
              <w:rPr>
                <w:rFonts w:cs="仿宋_GB2312" w:asciiTheme="minorEastAsia" w:hAnsiTheme="minorEastAsia" w:eastAsiaTheme="minorEastAsia"/>
                <w:color w:val="auto"/>
                <w:sz w:val="24"/>
                <w:highlight w:val="none"/>
              </w:rPr>
            </w:pPr>
          </w:p>
        </w:tc>
        <w:tc>
          <w:tcPr>
            <w:tcW w:w="1351" w:type="dxa"/>
            <w:vMerge w:val="continue"/>
            <w:vAlign w:val="center"/>
          </w:tcPr>
          <w:p>
            <w:pPr>
              <w:spacing w:line="276"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5356" w:type="dxa"/>
            <w:vAlign w:val="center"/>
          </w:tcPr>
          <w:p>
            <w:pPr>
              <w:snapToGrid w:val="0"/>
              <w:spacing w:line="276"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承诺工单系统调用钉消息组件和同步浙政钉用户体系。</w:t>
            </w:r>
            <w:r>
              <w:rPr>
                <w:rFonts w:hint="eastAsia" w:cs="宋体" w:asciiTheme="minorEastAsia" w:hAnsiTheme="minorEastAsia" w:eastAsiaTheme="minorEastAsia"/>
                <w:color w:val="auto"/>
                <w:sz w:val="24"/>
                <w:highlight w:val="none"/>
                <w:lang w:val="en-US" w:eastAsia="zh-CN"/>
              </w:rPr>
              <w:t>承诺</w:t>
            </w:r>
            <w:r>
              <w:rPr>
                <w:rFonts w:hint="eastAsia" w:cs="宋体" w:asciiTheme="minorEastAsia" w:hAnsiTheme="minorEastAsia" w:eastAsiaTheme="minorEastAsia"/>
                <w:color w:val="auto"/>
                <w:sz w:val="24"/>
                <w:highlight w:val="none"/>
              </w:rPr>
              <w:t>得</w:t>
            </w:r>
            <w:r>
              <w:rPr>
                <w:rFonts w:hint="eastAsia" w:cs="宋体" w:asciiTheme="minorEastAsia" w:hAnsiTheme="minorEastAsia" w:eastAsiaTheme="minorEastAsia"/>
                <w:color w:val="auto"/>
                <w:sz w:val="24"/>
                <w:highlight w:val="none"/>
                <w:lang w:eastAsia="zh-CN"/>
              </w:rPr>
              <w:t>4</w:t>
            </w:r>
            <w:r>
              <w:rPr>
                <w:rFonts w:hint="eastAsia" w:cs="宋体" w:asciiTheme="minorEastAsia" w:hAnsiTheme="minorEastAsia" w:eastAsiaTheme="minorEastAsia"/>
                <w:color w:val="auto"/>
                <w:sz w:val="24"/>
                <w:highlight w:val="none"/>
              </w:rPr>
              <w:t>分，</w:t>
            </w:r>
            <w:r>
              <w:rPr>
                <w:rFonts w:hint="eastAsia" w:cs="宋体" w:asciiTheme="minorEastAsia" w:hAnsiTheme="minorEastAsia" w:eastAsiaTheme="minorEastAsia"/>
                <w:color w:val="auto"/>
                <w:sz w:val="24"/>
                <w:highlight w:val="none"/>
                <w:lang w:val="en-US" w:eastAsia="zh-CN"/>
              </w:rPr>
              <w:t>不承诺或承诺的内容</w:t>
            </w:r>
            <w:r>
              <w:rPr>
                <w:rFonts w:hint="eastAsia" w:cs="宋体" w:asciiTheme="minorEastAsia" w:hAnsiTheme="minorEastAsia" w:eastAsiaTheme="minorEastAsia"/>
                <w:color w:val="auto"/>
                <w:sz w:val="24"/>
                <w:highlight w:val="none"/>
              </w:rPr>
              <w:t>不</w:t>
            </w:r>
            <w:r>
              <w:rPr>
                <w:rFonts w:hint="eastAsia" w:cs="宋体" w:asciiTheme="minorEastAsia" w:hAnsiTheme="minorEastAsia" w:eastAsiaTheme="minorEastAsia"/>
                <w:color w:val="auto"/>
                <w:sz w:val="24"/>
                <w:highlight w:val="none"/>
                <w:lang w:val="en-US" w:eastAsia="zh-CN"/>
              </w:rPr>
              <w:t>符合</w:t>
            </w:r>
            <w:r>
              <w:rPr>
                <w:rFonts w:hint="eastAsia" w:cs="宋体" w:asciiTheme="minorEastAsia" w:hAnsiTheme="minorEastAsia" w:eastAsiaTheme="minorEastAsia"/>
                <w:color w:val="auto"/>
                <w:sz w:val="24"/>
                <w:highlight w:val="none"/>
              </w:rPr>
              <w:t>不得分</w:t>
            </w:r>
            <w:r>
              <w:rPr>
                <w:rFonts w:hint="eastAsia" w:ascii="宋体" w:hAnsi="宋体" w:cs="宋体"/>
                <w:color w:val="auto"/>
                <w:sz w:val="24"/>
                <w:highlight w:val="none"/>
              </w:rPr>
              <w:t>。</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4</w:t>
            </w:r>
          </w:p>
        </w:tc>
        <w:tc>
          <w:tcPr>
            <w:tcW w:w="76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客观分</w:t>
            </w:r>
          </w:p>
        </w:tc>
        <w:tc>
          <w:tcPr>
            <w:tcW w:w="1351" w:type="dxa"/>
            <w:vMerge w:val="continue"/>
            <w:vAlign w:val="center"/>
          </w:tcPr>
          <w:p>
            <w:pPr>
              <w:spacing w:line="276"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5356" w:type="dxa"/>
            <w:vAlign w:val="center"/>
          </w:tcPr>
          <w:p>
            <w:pPr>
              <w:snapToGrid w:val="0"/>
              <w:spacing w:line="276" w:lineRule="auto"/>
              <w:ind w:firstLine="480" w:firstLineChars="200"/>
              <w:rPr>
                <w:rFonts w:hint="eastAsia" w:eastAsia="宋体" w:cs="仿宋_GB2312" w:asciiTheme="minorEastAsia" w:hAnsiTheme="minorEastAsia"/>
                <w:color w:val="auto"/>
                <w:sz w:val="24"/>
                <w:highlight w:val="none"/>
                <w:lang w:eastAsia="zh-CN"/>
              </w:rPr>
            </w:pPr>
            <w:r>
              <w:rPr>
                <w:rFonts w:hint="eastAsia" w:ascii="宋体" w:hAnsi="宋体" w:cs="宋体"/>
                <w:color w:val="auto"/>
                <w:sz w:val="24"/>
                <w:highlight w:val="none"/>
              </w:rPr>
              <w:t>承诺工单数据留存政务外网，不得流转在互联网上以免产生数据泄漏。</w:t>
            </w:r>
            <w:r>
              <w:rPr>
                <w:rFonts w:hint="eastAsia" w:cs="宋体" w:asciiTheme="minorEastAsia" w:hAnsiTheme="minorEastAsia" w:eastAsiaTheme="minorEastAsia"/>
                <w:color w:val="auto"/>
                <w:sz w:val="24"/>
                <w:highlight w:val="none"/>
                <w:lang w:val="en-US" w:eastAsia="zh-CN"/>
              </w:rPr>
              <w:t>承诺</w:t>
            </w:r>
            <w:r>
              <w:rPr>
                <w:rFonts w:hint="eastAsia" w:cs="宋体" w:asciiTheme="minorEastAsia" w:hAnsiTheme="minorEastAsia" w:eastAsiaTheme="minorEastAsia"/>
                <w:color w:val="auto"/>
                <w:sz w:val="24"/>
                <w:highlight w:val="none"/>
              </w:rPr>
              <w:t>得</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分，</w:t>
            </w:r>
            <w:r>
              <w:rPr>
                <w:rFonts w:hint="eastAsia" w:cs="宋体" w:asciiTheme="minorEastAsia" w:hAnsiTheme="minorEastAsia" w:eastAsiaTheme="minorEastAsia"/>
                <w:color w:val="auto"/>
                <w:sz w:val="24"/>
                <w:highlight w:val="none"/>
                <w:lang w:val="en-US" w:eastAsia="zh-CN"/>
              </w:rPr>
              <w:t>不承诺或承诺的内容</w:t>
            </w:r>
            <w:r>
              <w:rPr>
                <w:rFonts w:hint="eastAsia" w:cs="宋体" w:asciiTheme="minorEastAsia" w:hAnsiTheme="minorEastAsia" w:eastAsiaTheme="minorEastAsia"/>
                <w:color w:val="auto"/>
                <w:sz w:val="24"/>
                <w:highlight w:val="none"/>
              </w:rPr>
              <w:t>不</w:t>
            </w:r>
            <w:r>
              <w:rPr>
                <w:rFonts w:hint="eastAsia" w:cs="宋体" w:asciiTheme="minorEastAsia" w:hAnsiTheme="minorEastAsia" w:eastAsiaTheme="minorEastAsia"/>
                <w:color w:val="auto"/>
                <w:sz w:val="24"/>
                <w:highlight w:val="none"/>
                <w:lang w:val="en-US" w:eastAsia="zh-CN"/>
              </w:rPr>
              <w:t>符合</w:t>
            </w:r>
            <w:r>
              <w:rPr>
                <w:rFonts w:hint="eastAsia" w:cs="宋体" w:asciiTheme="minorEastAsia" w:hAnsiTheme="minorEastAsia" w:eastAsiaTheme="minorEastAsia"/>
                <w:color w:val="auto"/>
                <w:sz w:val="24"/>
                <w:highlight w:val="none"/>
              </w:rPr>
              <w:t>不得分</w:t>
            </w:r>
            <w:r>
              <w:rPr>
                <w:rFonts w:hint="eastAsia" w:ascii="宋体" w:hAnsi="宋体" w:cs="宋体"/>
                <w:color w:val="auto"/>
                <w:sz w:val="24"/>
                <w:highlight w:val="none"/>
                <w:lang w:eastAsia="zh-CN"/>
              </w:rPr>
              <w:t>。</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2</w:t>
            </w:r>
          </w:p>
        </w:tc>
        <w:tc>
          <w:tcPr>
            <w:tcW w:w="76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客观分</w:t>
            </w:r>
          </w:p>
        </w:tc>
        <w:tc>
          <w:tcPr>
            <w:tcW w:w="1351" w:type="dxa"/>
            <w:vMerge w:val="continue"/>
            <w:vAlign w:val="center"/>
          </w:tcPr>
          <w:p>
            <w:pPr>
              <w:spacing w:line="276"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5356" w:type="dxa"/>
            <w:vAlign w:val="center"/>
          </w:tcPr>
          <w:p>
            <w:pPr>
              <w:snapToGrid w:val="0"/>
              <w:spacing w:line="276"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充分考虑项目的现状和将来的发展，提供维护服务①总体方案、②操作规范、③实施管理方案并按照方案和操作规范提供服务，</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得3分，部分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3</w:t>
            </w:r>
          </w:p>
        </w:tc>
        <w:tc>
          <w:tcPr>
            <w:tcW w:w="76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主观分</w:t>
            </w:r>
          </w:p>
        </w:tc>
        <w:tc>
          <w:tcPr>
            <w:tcW w:w="1351" w:type="dxa"/>
            <w:vMerge w:val="restart"/>
            <w:vAlign w:val="center"/>
          </w:tcPr>
          <w:p>
            <w:pPr>
              <w:spacing w:line="276" w:lineRule="auto"/>
              <w:ind w:firstLine="480" w:firstLineChars="200"/>
              <w:rPr>
                <w:rFonts w:hint="eastAsia" w:ascii="宋体" w:hAnsi="宋体" w:cs="宋体"/>
                <w:color w:val="auto"/>
                <w:sz w:val="24"/>
                <w:highlight w:val="none"/>
              </w:rPr>
            </w:pPr>
            <w:r>
              <w:rPr>
                <w:rFonts w:hint="eastAsia" w:ascii="宋体" w:hAnsi="宋体" w:cs="仿宋_GB2312"/>
                <w:color w:val="auto"/>
                <w:sz w:val="24"/>
                <w:highlight w:val="none"/>
              </w:rPr>
              <w:t>制定方案及考核标准</w:t>
            </w:r>
          </w:p>
          <w:p>
            <w:pPr>
              <w:spacing w:line="276"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5356" w:type="dxa"/>
            <w:vAlign w:val="center"/>
          </w:tcPr>
          <w:p>
            <w:pPr>
              <w:snapToGrid w:val="0"/>
              <w:spacing w:line="276"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对涉及服务体系部分的服务标准、质量标准、考核标准和管理标准给出明晰的可供评价的量化指标和服务等级，</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得2分，部分</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不得分。</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2</w:t>
            </w:r>
          </w:p>
        </w:tc>
        <w:tc>
          <w:tcPr>
            <w:tcW w:w="763"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主观分</w:t>
            </w:r>
          </w:p>
        </w:tc>
        <w:tc>
          <w:tcPr>
            <w:tcW w:w="1351" w:type="dxa"/>
            <w:vMerge w:val="continue"/>
            <w:vAlign w:val="center"/>
          </w:tcPr>
          <w:p>
            <w:pPr>
              <w:spacing w:line="276"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5356" w:type="dxa"/>
            <w:vAlign w:val="center"/>
          </w:tcPr>
          <w:p>
            <w:pPr>
              <w:pStyle w:val="20"/>
              <w:spacing w:line="276"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投标截止时间前3年内，投标人承担类似实施的成功经验情况。依照投标人提供的合同、合格的用户验收报告</w:t>
            </w:r>
            <w:r>
              <w:rPr>
                <w:rFonts w:hint="eastAsia" w:ascii="宋体" w:hAnsi="宋体" w:cs="宋体"/>
                <w:color w:val="auto"/>
                <w:sz w:val="24"/>
                <w:highlight w:val="none"/>
                <w:lang w:val="en-US" w:eastAsia="zh-CN"/>
              </w:rPr>
              <w:t>进行评审打分</w:t>
            </w:r>
            <w:r>
              <w:rPr>
                <w:rFonts w:hint="eastAsia" w:ascii="宋体" w:hAnsi="宋体" w:cs="宋体"/>
                <w:color w:val="auto"/>
                <w:sz w:val="24"/>
                <w:highlight w:val="none"/>
              </w:rPr>
              <w:t>。同时提供合同和合格的用户验收报告的案例（以验收报告时间为准），每个得0.5分，最高得1分。</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1</w:t>
            </w:r>
          </w:p>
        </w:tc>
        <w:tc>
          <w:tcPr>
            <w:tcW w:w="763" w:type="dxa"/>
            <w:vAlign w:val="center"/>
          </w:tcPr>
          <w:p>
            <w:pPr>
              <w:spacing w:line="276" w:lineRule="auto"/>
              <w:outlineLvl w:val="0"/>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客观分</w:t>
            </w:r>
          </w:p>
        </w:tc>
        <w:tc>
          <w:tcPr>
            <w:tcW w:w="1351" w:type="dxa"/>
            <w:vAlign w:val="center"/>
          </w:tcPr>
          <w:p>
            <w:pPr>
              <w:spacing w:line="276" w:lineRule="auto"/>
              <w:outlineLvl w:val="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5356" w:type="dxa"/>
            <w:vAlign w:val="center"/>
          </w:tcPr>
          <w:p>
            <w:pPr>
              <w:snapToGrid/>
              <w:spacing w:line="240" w:lineRule="auto"/>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有效投标报价的最低价作为评标基准价，其最低报价为满分；按［投标报价得分=（评标基准价/投标报价）*最高分值］的计算公式计算。</w:t>
            </w:r>
          </w:p>
          <w:p>
            <w:pPr>
              <w:snapToGrid/>
              <w:spacing w:line="240" w:lineRule="auto"/>
              <w:ind w:firstLine="0" w:firstLineChars="0"/>
              <w:jc w:val="left"/>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评标过程中，不得去掉报价中的最高报价和最低报价。</w:t>
            </w:r>
          </w:p>
        </w:tc>
        <w:tc>
          <w:tcPr>
            <w:tcW w:w="590" w:type="dxa"/>
            <w:vAlign w:val="center"/>
          </w:tcPr>
          <w:p>
            <w:pPr>
              <w:spacing w:line="276"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763" w:type="dxa"/>
            <w:vAlign w:val="center"/>
          </w:tcPr>
          <w:p>
            <w:pPr>
              <w:spacing w:line="276" w:lineRule="auto"/>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价格分</w:t>
            </w:r>
          </w:p>
        </w:tc>
        <w:tc>
          <w:tcPr>
            <w:tcW w:w="1351" w:type="dxa"/>
            <w:vAlign w:val="center"/>
          </w:tcPr>
          <w:p>
            <w:pPr>
              <w:snapToGrid w:val="0"/>
              <w:spacing w:line="276"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auto"/>
          <w:sz w:val="36"/>
          <w:szCs w:val="36"/>
          <w:highlight w:val="none"/>
        </w:rPr>
      </w:pPr>
      <w:bookmarkStart w:id="395" w:name="第五部分"/>
      <w:bookmarkStart w:id="396"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4"/>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杭州市大数据管理服务中心（杭州市人民政府电子政务中心）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杭州市大数据管理服务中心（杭州市人民政府电子政务中心）办公设备软硬件维护项目（2025年)</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HZZFCG-2025-113</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杭州市大数据管理服务中心（杭州市人民政府电子政务中心）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80"/>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pPr>
        <w:pStyle w:val="960"/>
        <w:spacing w:before="0" w:beforeAutospacing="0" w:after="313" w:afterLines="100" w:afterAutospacing="0" w:line="360" w:lineRule="auto"/>
        <w:ind w:firstLine="480"/>
        <w:rPr>
          <w:b/>
          <w:color w:val="auto"/>
          <w:highlight w:val="none"/>
        </w:rPr>
      </w:pPr>
      <w:bookmarkStart w:id="397" w:name="_Toc10340"/>
      <w:bookmarkStart w:id="398" w:name="_Toc22618"/>
      <w:bookmarkStart w:id="399" w:name="_Toc1814"/>
      <w:r>
        <w:rPr>
          <w:rFonts w:hint="eastAsia"/>
          <w:b/>
          <w:color w:val="auto"/>
          <w:highlight w:val="none"/>
        </w:rPr>
        <w:t>1.4履约保证金</w:t>
      </w:r>
    </w:p>
    <w:p>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7"/>
      <w:bookmarkEnd w:id="398"/>
      <w:bookmarkEnd w:id="399"/>
      <w:r>
        <w:rPr>
          <w:rFonts w:hint="eastAsia" w:ascii="宋体" w:hAnsi="宋体" w:cs="宋体"/>
          <w:b/>
          <w:color w:val="auto"/>
          <w:sz w:val="24"/>
          <w:highlight w:val="none"/>
        </w:rPr>
        <w:t>预付款</w:t>
      </w:r>
    </w:p>
    <w:p>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00" w:name="_Toc16021"/>
      <w:bookmarkStart w:id="401" w:name="_Toc28375"/>
      <w:bookmarkStart w:id="402" w:name="_Toc15583"/>
      <w:r>
        <w:rPr>
          <w:rFonts w:hint="eastAsia" w:ascii="宋体" w:hAnsi="宋体" w:cs="宋体"/>
          <w:b/>
          <w:color w:val="auto"/>
          <w:sz w:val="24"/>
          <w:highlight w:val="none"/>
        </w:rPr>
        <w:t>1.9合同争议的解决</w:t>
      </w:r>
      <w:bookmarkEnd w:id="400"/>
      <w:bookmarkEnd w:id="401"/>
      <w:bookmarkEnd w:id="402"/>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03" w:name="_Toc15322"/>
      <w:bookmarkStart w:id="404" w:name="_Toc7245"/>
      <w:bookmarkStart w:id="405" w:name="_Toc1117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3"/>
      <w:bookmarkEnd w:id="404"/>
      <w:bookmarkEnd w:id="405"/>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406" w:name="_Toc18540"/>
      <w:bookmarkStart w:id="407" w:name="_Toc30599"/>
      <w:bookmarkStart w:id="408" w:name="_Toc4355"/>
      <w:r>
        <w:rPr>
          <w:rFonts w:hint="eastAsia" w:ascii="宋体" w:hAnsi="宋体" w:cs="宋体"/>
          <w:b/>
          <w:color w:val="auto"/>
          <w:sz w:val="24"/>
          <w:highlight w:val="none"/>
        </w:rPr>
        <w:t>2.18 计量单位</w:t>
      </w:r>
      <w:bookmarkEnd w:id="406"/>
      <w:bookmarkEnd w:id="407"/>
      <w:bookmarkEnd w:id="40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条款号</w:t>
            </w:r>
          </w:p>
        </w:tc>
        <w:tc>
          <w:tcPr>
            <w:tcW w:w="8149" w:type="dxa"/>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rPr>
                <w:rFonts w:hint="eastAsia" w:ascii="宋体" w:hAnsi="宋体" w:cs="宋体"/>
                <w:b/>
                <w:color w:val="auto"/>
                <w:sz w:val="24"/>
              </w:rPr>
            </w:pPr>
            <w:r>
              <w:rPr>
                <w:rFonts w:hint="eastAsia" w:ascii="宋体" w:hAnsi="宋体" w:cs="宋体"/>
                <w:bCs/>
                <w:color w:val="auto"/>
                <w:sz w:val="24"/>
              </w:rPr>
              <w:t>1.3</w:t>
            </w:r>
          </w:p>
        </w:tc>
        <w:tc>
          <w:tcPr>
            <w:tcW w:w="8149" w:type="dxa"/>
            <w:vAlign w:val="center"/>
          </w:tcPr>
          <w:p>
            <w:pPr>
              <w:spacing w:line="560" w:lineRule="exact"/>
              <w:rPr>
                <w:rFonts w:hint="eastAsia" w:ascii="宋体" w:hAnsi="宋体" w:cs="宋体"/>
                <w:b/>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1.3.1   </w:t>
            </w:r>
            <w:r>
              <w:rPr>
                <w:rFonts w:hint="eastAsia" w:ascii="宋体" w:hAnsi="宋体" w:cs="宋体"/>
                <w:color w:val="auto"/>
                <w:sz w:val="24"/>
              </w:rPr>
              <w:t>条款规定的计价方式计价。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1.3.2</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1.3.3</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1.4</w:t>
            </w:r>
          </w:p>
        </w:tc>
        <w:tc>
          <w:tcPr>
            <w:tcW w:w="8149" w:type="dxa"/>
            <w:vAlign w:val="center"/>
          </w:tcPr>
          <w:p>
            <w:pPr>
              <w:spacing w:line="360" w:lineRule="auto"/>
              <w:rPr>
                <w:rFonts w:hint="eastAsia" w:ascii="宋体" w:hAnsi="宋体" w:cs="宋体"/>
                <w:color w:val="auto"/>
                <w:sz w:val="24"/>
              </w:rPr>
            </w:pPr>
            <w:r>
              <w:rPr>
                <w:rFonts w:hint="eastAsia"/>
                <w:color w:val="auto"/>
                <w:sz w:val="24"/>
              </w:rPr>
              <w:t>乙方</w:t>
            </w:r>
            <w:r>
              <w:rPr>
                <w:rFonts w:hint="eastAsia"/>
                <w:color w:val="auto"/>
                <w:sz w:val="24"/>
                <w:u w:val="single"/>
              </w:rPr>
              <w:t xml:space="preserve">   是  </w:t>
            </w:r>
            <w:r>
              <w:rPr>
                <w:rFonts w:hint="eastAsia"/>
                <w:color w:val="auto"/>
                <w:sz w:val="24"/>
              </w:rPr>
              <w:t>（是</w:t>
            </w:r>
            <w:r>
              <w:rPr>
                <w:rFonts w:hint="eastAsia" w:ascii="仿宋" w:hAnsi="仿宋" w:eastAsia="仿宋" w:cs="仿宋"/>
                <w:color w:val="auto"/>
                <w:sz w:val="24"/>
              </w:rPr>
              <w:t>/</w:t>
            </w:r>
            <w:r>
              <w:rPr>
                <w:rFonts w:hint="eastAsia"/>
                <w:color w:val="auto"/>
                <w:sz w:val="24"/>
              </w:rPr>
              <w:t>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1.4.1</w:t>
            </w:r>
          </w:p>
        </w:tc>
        <w:tc>
          <w:tcPr>
            <w:tcW w:w="8149" w:type="dxa"/>
            <w:vAlign w:val="center"/>
          </w:tcPr>
          <w:p>
            <w:pPr>
              <w:spacing w:line="360" w:lineRule="auto"/>
              <w:rPr>
                <w:color w:val="auto"/>
                <w:sz w:val="24"/>
              </w:rPr>
            </w:pPr>
            <w:r>
              <w:rPr>
                <w:rFonts w:hint="eastAsia" w:ascii="宋体" w:hAnsi="宋体" w:cs="宋体"/>
                <w:color w:val="auto"/>
                <w:kern w:val="0"/>
                <w:sz w:val="24"/>
              </w:rPr>
              <w:t>履约保证金的比例为合同金额的</w:t>
            </w:r>
            <w:r>
              <w:rPr>
                <w:rFonts w:hint="eastAsia" w:ascii="宋体" w:hAnsi="宋体" w:cs="宋体"/>
                <w:color w:val="auto"/>
                <w:kern w:val="0"/>
                <w:sz w:val="24"/>
                <w:u w:val="single"/>
              </w:rPr>
              <w:t xml:space="preserve">   1  </w:t>
            </w:r>
            <w:r>
              <w:rPr>
                <w:rFonts w:hint="eastAsia" w:ascii="宋体" w:hAnsi="宋体" w:cs="宋体"/>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1.4.2</w:t>
            </w:r>
          </w:p>
        </w:tc>
        <w:tc>
          <w:tcPr>
            <w:tcW w:w="8149" w:type="dxa"/>
            <w:vAlign w:val="center"/>
          </w:tcPr>
          <w:p>
            <w:pPr>
              <w:spacing w:line="360" w:lineRule="auto"/>
              <w:rPr>
                <w:rFonts w:hint="eastAsia" w:ascii="宋体" w:hAnsi="宋体" w:cs="宋体"/>
                <w:color w:val="auto"/>
                <w:sz w:val="24"/>
              </w:rPr>
            </w:pPr>
            <w:r>
              <w:rPr>
                <w:rFonts w:hint="eastAsia" w:ascii="宋体" w:hAnsi="宋体"/>
                <w:color w:val="auto"/>
                <w:sz w:val="24"/>
              </w:rPr>
              <w:t>合同签订后</w:t>
            </w:r>
            <w:r>
              <w:rPr>
                <w:rFonts w:hint="eastAsia" w:ascii="宋体" w:hAnsi="宋体"/>
                <w:color w:val="auto"/>
                <w:sz w:val="24"/>
                <w:u w:val="single"/>
              </w:rPr>
              <w:t>15</w:t>
            </w:r>
            <w:r>
              <w:rPr>
                <w:rFonts w:hint="eastAsia" w:ascii="宋体" w:hAnsi="宋体"/>
                <w:color w:val="auto"/>
                <w:sz w:val="24"/>
              </w:rPr>
              <w:t>个工作日内，以支票、汇票、本票或者金融机构、担保机构出具的保函等非现金形式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1.5</w:t>
            </w:r>
          </w:p>
        </w:tc>
        <w:tc>
          <w:tcPr>
            <w:tcW w:w="8149" w:type="dxa"/>
            <w:vAlign w:val="center"/>
          </w:tcPr>
          <w:p>
            <w:pPr>
              <w:spacing w:line="360" w:lineRule="auto"/>
              <w:rPr>
                <w:rFonts w:hint="eastAsia" w:ascii="宋体" w:hAnsi="宋体" w:cs="宋体"/>
                <w:color w:val="auto"/>
                <w:sz w:val="24"/>
              </w:rPr>
            </w:pPr>
            <w:r>
              <w:rPr>
                <w:rFonts w:hint="eastAsia"/>
                <w:color w:val="auto"/>
                <w:sz w:val="24"/>
              </w:rPr>
              <w:t>甲方</w:t>
            </w:r>
            <w:r>
              <w:rPr>
                <w:rFonts w:hint="eastAsia"/>
                <w:color w:val="auto"/>
                <w:sz w:val="24"/>
                <w:u w:val="single"/>
              </w:rPr>
              <w:t xml:space="preserve">   是  </w:t>
            </w:r>
            <w:r>
              <w:rPr>
                <w:rFonts w:hint="eastAsia"/>
                <w:color w:val="auto"/>
                <w:sz w:val="24"/>
              </w:rPr>
              <w:t>（是</w:t>
            </w:r>
            <w:r>
              <w:rPr>
                <w:rFonts w:hint="eastAsia" w:ascii="仿宋" w:hAnsi="仿宋" w:eastAsia="仿宋" w:cs="仿宋"/>
                <w:color w:val="auto"/>
                <w:sz w:val="24"/>
              </w:rPr>
              <w:t>/</w:t>
            </w:r>
            <w:r>
              <w:rPr>
                <w:rFonts w:hint="eastAsia"/>
                <w:color w:val="auto"/>
                <w:sz w:val="24"/>
              </w:rPr>
              <w:t>否）需要支付预付款。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 xml:space="preserve">1.5.1 </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1.5.2</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 xml:space="preserve">1.5.3 </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1.6.2</w:t>
            </w:r>
          </w:p>
        </w:tc>
        <w:tc>
          <w:tcPr>
            <w:tcW w:w="8149" w:type="dxa"/>
            <w:vAlign w:val="center"/>
          </w:tcPr>
          <w:p>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本次项目合同总价为大写人民币</w:t>
            </w:r>
            <w:r>
              <w:rPr>
                <w:rFonts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元整（￥</w:t>
            </w:r>
            <w:r>
              <w:rPr>
                <w:rFonts w:asciiTheme="minorEastAsia" w:hAnsiTheme="minorEastAsia" w:eastAsiaTheme="minorEastAsia" w:cstheme="minorEastAsia"/>
                <w:color w:val="auto"/>
                <w:sz w:val="24"/>
              </w:rPr>
              <w:t xml:space="preserve"> </w:t>
            </w:r>
            <w:r>
              <w:rPr>
                <w:rFonts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rPr>
              <w:t xml:space="preserve">      </w:t>
            </w:r>
            <w:r>
              <w:rPr>
                <w:rFonts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元），采用分期付款方式，具体如下：</w:t>
            </w:r>
          </w:p>
          <w:p>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第一期付款：自合同签订后，甲方收到乙方提供的发票后五个工作日内支付项目合同总价的40</w:t>
            </w:r>
            <w:r>
              <w:rPr>
                <w:rFonts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rPr>
              <w:t>，计人民币</w:t>
            </w:r>
            <w:r>
              <w:rPr>
                <w:rFonts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rPr>
              <w:t xml:space="preserve">     </w:t>
            </w:r>
            <w:r>
              <w:rPr>
                <w:rFonts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元整（￥</w:t>
            </w:r>
            <w:r>
              <w:rPr>
                <w:rFonts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u w:val="single"/>
              </w:rPr>
              <w:t xml:space="preserve">        </w:t>
            </w:r>
            <w:r>
              <w:rPr>
                <w:rFonts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rPr>
              <w:t>元）。</w:t>
            </w:r>
          </w:p>
          <w:p>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第二期付款：</w:t>
            </w:r>
            <w:r>
              <w:rPr>
                <w:rFonts w:hint="eastAsia"/>
                <w:color w:val="auto"/>
                <w:sz w:val="24"/>
              </w:rPr>
              <w:t>完成项目阶段性验收后，甲方收到乙方提供的发票后五个工作日内支付项目合同总价的40</w:t>
            </w:r>
            <w:r>
              <w:rPr>
                <w:color w:val="auto"/>
                <w:sz w:val="24"/>
              </w:rPr>
              <w:t>%</w:t>
            </w:r>
            <w:r>
              <w:rPr>
                <w:rFonts w:hint="eastAsia"/>
                <w:color w:val="auto"/>
                <w:sz w:val="24"/>
              </w:rPr>
              <w:t>，计人民币</w:t>
            </w:r>
            <w:r>
              <w:rPr>
                <w:color w:val="auto"/>
                <w:sz w:val="24"/>
              </w:rPr>
              <w:t xml:space="preserve">       </w:t>
            </w:r>
            <w:r>
              <w:rPr>
                <w:rFonts w:hint="eastAsia"/>
                <w:color w:val="auto"/>
                <w:sz w:val="24"/>
              </w:rPr>
              <w:t>元整（￥</w:t>
            </w:r>
            <w:r>
              <w:rPr>
                <w:color w:val="auto"/>
                <w:sz w:val="24"/>
              </w:rPr>
              <w:t xml:space="preserve">    </w:t>
            </w:r>
            <w:r>
              <w:rPr>
                <w:rFonts w:hint="eastAsia"/>
                <w:color w:val="auto"/>
                <w:sz w:val="24"/>
              </w:rPr>
              <w:t>元）。</w:t>
            </w:r>
          </w:p>
          <w:p>
            <w:pPr>
              <w:spacing w:line="360" w:lineRule="auto"/>
              <w:rPr>
                <w:rFonts w:hint="eastAsia" w:ascii="宋体" w:hAnsi="宋体" w:cs="宋体"/>
                <w:color w:val="auto"/>
                <w:sz w:val="24"/>
              </w:rPr>
            </w:pPr>
            <w:r>
              <w:rPr>
                <w:rFonts w:hint="eastAsia" w:asciiTheme="minorEastAsia" w:hAnsiTheme="minorEastAsia" w:eastAsiaTheme="minorEastAsia" w:cstheme="minorEastAsia"/>
                <w:color w:val="auto"/>
                <w:sz w:val="24"/>
              </w:rPr>
              <w:t>第三期付款：甲方于项目服务期满后终验，经验收合格后，确认项目实际进度以及实际产生费用。经第三方机构确认项目实际发生费用，若项目实际产生费用低于项目合同总价的，按照项目实际产生费用结算；若项目实际产生费用超出项目合同总价的，按项目合同总价结算。甲方收到乙方提供的发票后五个工作日内支付剩余费用（实际支付金额＝项目结算金额</w:t>
            </w:r>
            <w:r>
              <w:rPr>
                <w:rFonts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rPr>
              <w:t>违约金）。甲方无故逾期支付服务费用的，经乙方催告，甲方仍无故逾期支付，自催告后按照每逾期一日支付本期应支付服务费额度的0.3%承担违约责任。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1.7.1</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2025年7月1日至2026年6月30日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1.7.2</w:t>
            </w:r>
          </w:p>
        </w:tc>
        <w:tc>
          <w:tcPr>
            <w:tcW w:w="8149" w:type="dxa"/>
            <w:vAlign w:val="center"/>
          </w:tcPr>
          <w:p>
            <w:pPr>
              <w:spacing w:line="360" w:lineRule="auto"/>
              <w:rPr>
                <w:rFonts w:hint="eastAsia" w:ascii="宋体" w:hAnsi="宋体" w:cs="宋体"/>
                <w:color w:val="auto"/>
                <w:sz w:val="24"/>
              </w:rPr>
            </w:pPr>
            <w:r>
              <w:rPr>
                <w:rFonts w:hint="eastAsia" w:ascii="宋体" w:hAnsi="宋体"/>
                <w:color w:val="auto"/>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1.7.3</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1.7.4.1</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1.7.4.2</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1.7.4.3</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1.8.7</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lang w:eastAsia="zh-Hans"/>
              </w:rPr>
              <w:t>本合同项下所有乙方应支付的违约金</w:t>
            </w:r>
            <w:r>
              <w:rPr>
                <w:rFonts w:ascii="宋体" w:hAnsi="宋体" w:cs="宋体"/>
                <w:color w:val="auto"/>
                <w:sz w:val="24"/>
                <w:lang w:eastAsia="zh-Hans"/>
              </w:rPr>
              <w:t>，</w:t>
            </w:r>
            <w:r>
              <w:rPr>
                <w:rFonts w:hint="eastAsia" w:ascii="宋体" w:hAnsi="宋体" w:cs="宋体"/>
                <w:color w:val="auto"/>
                <w:sz w:val="24"/>
                <w:lang w:eastAsia="zh-Hans"/>
              </w:rPr>
              <w:t>甲方有权直接从未支付的合同金额中予以扣除</w:t>
            </w:r>
            <w:r>
              <w:rPr>
                <w:rFonts w:ascii="宋体" w:hAnsi="宋体" w:cs="宋体"/>
                <w:color w:val="auto"/>
                <w:sz w:val="24"/>
                <w:lang w:eastAsia="zh-Hans"/>
              </w:rPr>
              <w:t>，</w:t>
            </w:r>
            <w:r>
              <w:rPr>
                <w:rFonts w:hint="eastAsia" w:ascii="宋体" w:hAnsi="宋体" w:cs="宋体"/>
                <w:color w:val="auto"/>
                <w:sz w:val="24"/>
                <w:lang w:eastAsia="zh-Hans"/>
              </w:rPr>
              <w:t>若未支付的合同金额不足以支付违约金的</w:t>
            </w:r>
            <w:r>
              <w:rPr>
                <w:rFonts w:ascii="宋体" w:hAnsi="宋体" w:cs="宋体"/>
                <w:color w:val="auto"/>
                <w:sz w:val="24"/>
                <w:lang w:eastAsia="zh-Hans"/>
              </w:rPr>
              <w:t>，</w:t>
            </w:r>
            <w:r>
              <w:rPr>
                <w:rFonts w:hint="eastAsia" w:ascii="宋体" w:hAnsi="宋体" w:cs="宋体"/>
                <w:color w:val="auto"/>
                <w:sz w:val="24"/>
                <w:lang w:eastAsia="zh-Hans"/>
              </w:rPr>
              <w:t>则由乙方另行补足</w:t>
            </w:r>
            <w:r>
              <w:rPr>
                <w:rFonts w:ascii="宋体" w:hAnsi="宋体" w:cs="宋体"/>
                <w:color w:val="auto"/>
                <w:sz w:val="24"/>
                <w:lang w:eastAsia="zh-Han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1.9</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1.9.1</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1.9.2</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2.3.2</w:t>
            </w:r>
          </w:p>
        </w:tc>
        <w:tc>
          <w:tcPr>
            <w:tcW w:w="8149" w:type="dxa"/>
            <w:vAlign w:val="center"/>
          </w:tcPr>
          <w:p>
            <w:pPr>
              <w:spacing w:line="360" w:lineRule="auto"/>
              <w:ind w:left="-420" w:leftChars="-200" w:right="-420" w:rightChars="-200" w:firstLine="480" w:firstLineChars="200"/>
              <w:rPr>
                <w:rFonts w:hint="eastAsia" w:ascii="宋体" w:hAnsi="宋体" w:cs="宋体"/>
                <w:color w:val="auto"/>
                <w:sz w:val="24"/>
              </w:rPr>
            </w:pPr>
            <w:r>
              <w:rPr>
                <w:rFonts w:hint="eastAsia" w:ascii="宋体" w:hAnsi="宋体" w:cs="宋体"/>
                <w:color w:val="auto"/>
                <w:sz w:val="24"/>
              </w:rPr>
              <w:t>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pPr>
              <w:spacing w:line="360" w:lineRule="auto"/>
              <w:ind w:left="-420" w:leftChars="-200" w:right="-420" w:rightChars="-200" w:firstLine="480" w:firstLineChars="200"/>
              <w:rPr>
                <w:rFonts w:hint="eastAsia" w:ascii="宋体" w:hAnsi="宋体" w:cs="宋体"/>
                <w:color w:val="auto"/>
                <w:sz w:val="24"/>
              </w:rPr>
            </w:pPr>
            <w:r>
              <w:rPr>
                <w:rFonts w:hint="eastAsia"/>
                <w:color w:val="auto"/>
                <w:sz w:val="24"/>
                <w:lang w:eastAsia="zh-Hans"/>
              </w:rPr>
              <w:t>见</w:t>
            </w:r>
            <w:r>
              <w:rPr>
                <w:rFonts w:hint="eastAsia"/>
                <w:color w:val="auto"/>
                <w:sz w:val="24"/>
              </w:rPr>
              <w:t>合同专用条款</w:t>
            </w:r>
            <w:r>
              <w:rPr>
                <w:color w:val="auto"/>
                <w:sz w:val="24"/>
                <w:lang w:eastAsia="zh-Hans"/>
              </w:rPr>
              <w:t>1</w:t>
            </w:r>
            <w:r>
              <w:rPr>
                <w:rFonts w:hint="eastAsia"/>
                <w:color w:val="auto"/>
                <w:sz w:val="24"/>
                <w:lang w:eastAsia="zh-Hans"/>
              </w:rPr>
              <w:t>.</w:t>
            </w:r>
            <w:r>
              <w:rPr>
                <w:rFonts w:hint="eastAsia"/>
                <w:color w:val="auto"/>
                <w:sz w:val="24"/>
              </w:rPr>
              <w:t>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因不可抗力致使合同有变更必要的，双方当事人应在</w:t>
            </w:r>
            <w:r>
              <w:rPr>
                <w:rFonts w:hint="eastAsia" w:ascii="宋体" w:hAnsi="宋体" w:cs="宋体"/>
                <w:color w:val="auto"/>
                <w:sz w:val="24"/>
                <w:u w:val="single"/>
              </w:rPr>
              <w:t xml:space="preserve">  15日  </w:t>
            </w:r>
            <w:r>
              <w:rPr>
                <w:rFonts w:hint="eastAsia" w:ascii="宋体" w:hAnsi="宋体" w:cs="宋体"/>
                <w:color w:val="auto"/>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pPr>
              <w:spacing w:line="360" w:lineRule="auto"/>
              <w:rPr>
                <w:rFonts w:hint="eastAsia" w:ascii="宋体" w:hAnsi="宋体" w:cs="宋体"/>
                <w:color w:val="auto"/>
                <w:sz w:val="24"/>
              </w:rPr>
            </w:pPr>
            <w:r>
              <w:rPr>
                <w:rFonts w:hint="eastAsia" w:ascii="宋体" w:hAnsi="宋体" w:cs="宋体"/>
                <w:color w:val="auto"/>
                <w:sz w:val="24"/>
              </w:rPr>
              <w:t>受不可抗力影响的一方在不可抗力发生后，应在</w:t>
            </w:r>
            <w:r>
              <w:rPr>
                <w:rFonts w:hint="eastAsia" w:ascii="宋体" w:hAnsi="宋体" w:cs="宋体"/>
                <w:color w:val="auto"/>
                <w:sz w:val="24"/>
                <w:u w:val="single"/>
              </w:rPr>
              <w:t xml:space="preserve">  15日  </w:t>
            </w:r>
            <w:r>
              <w:rPr>
                <w:rFonts w:hint="eastAsia" w:ascii="宋体" w:hAnsi="宋体" w:cs="宋体"/>
                <w:color w:val="auto"/>
                <w:sz w:val="24"/>
              </w:rPr>
              <w:t>内以书面形式通知对方当事人，并在</w:t>
            </w:r>
            <w:r>
              <w:rPr>
                <w:rFonts w:hint="eastAsia" w:ascii="宋体" w:hAnsi="宋体" w:cs="宋体"/>
                <w:color w:val="auto"/>
                <w:sz w:val="24"/>
                <w:u w:val="single"/>
              </w:rPr>
              <w:t xml:space="preserve"> 15日 </w:t>
            </w:r>
            <w:r>
              <w:rPr>
                <w:rFonts w:hint="eastAsia" w:ascii="宋体" w:hAnsi="宋体" w:cs="宋体"/>
                <w:color w:val="auto"/>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乙方按照招投标文件的约定，按期提交服务报告，甲方按照招投标文件的约定按期进行验收；服务期满后，甲方相关人员组织项目验收，并出具验收书</w:t>
            </w:r>
            <w:r>
              <w:rPr>
                <w:rFonts w:hint="eastAsia" w:ascii="宋体" w:hAnsi="宋体" w:cs="宋体"/>
                <w:color w:val="auto"/>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采用本行业</w:t>
            </w:r>
            <w:r>
              <w:rPr>
                <w:rFonts w:hint="eastAsia" w:ascii="宋体" w:hAnsi="宋体" w:cs="宋体"/>
                <w:color w:val="auto"/>
                <w:sz w:val="24"/>
                <w:lang w:eastAsia="zh-Hans"/>
              </w:rPr>
              <w:t>通用</w:t>
            </w:r>
            <w:r>
              <w:rPr>
                <w:rFonts w:hint="eastAsia" w:ascii="宋体" w:hAnsi="宋体" w:cs="宋体"/>
                <w:color w:val="auto"/>
                <w:sz w:val="24"/>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宋体" w:hAnsi="宋体" w:cs="宋体"/>
                <w:color w:val="auto"/>
                <w:sz w:val="24"/>
              </w:rPr>
            </w:pPr>
            <w:r>
              <w:rPr>
                <w:rFonts w:hint="eastAsia" w:ascii="宋体" w:hAnsi="宋体" w:cs="宋体"/>
                <w:color w:val="auto"/>
                <w:sz w:val="24"/>
              </w:rPr>
              <w:t>2.19</w:t>
            </w:r>
          </w:p>
        </w:tc>
        <w:tc>
          <w:tcPr>
            <w:tcW w:w="8149" w:type="dxa"/>
          </w:tcPr>
          <w:p>
            <w:pPr>
              <w:spacing w:line="360" w:lineRule="auto"/>
              <w:rPr>
                <w:rFonts w:hint="eastAsia" w:ascii="宋体" w:hAnsi="宋体" w:cs="宋体"/>
                <w:color w:val="auto"/>
                <w:sz w:val="24"/>
              </w:rPr>
            </w:pPr>
            <w:r>
              <w:rPr>
                <w:rFonts w:hint="eastAsia" w:ascii="宋体" w:hAnsi="宋体" w:cs="宋体"/>
                <w:color w:val="auto"/>
                <w:sz w:val="24"/>
              </w:rPr>
              <w:t>本合同壹式陆份，甲方执叁份，乙方执叁份。每份均具有同等法律效力。</w:t>
            </w:r>
          </w:p>
        </w:tc>
      </w:tr>
    </w:tbl>
    <w:p>
      <w:pPr>
        <w:spacing w:line="560" w:lineRule="exact"/>
        <w:ind w:left="-420" w:leftChars="-200" w:right="-420" w:rightChars="-200" w:firstLine="420" w:firstLineChars="200"/>
        <w:rPr>
          <w:rFonts w:ascii="宋体" w:hAnsi="宋体" w:cs="宋体"/>
          <w:color w:val="auto"/>
          <w:highlight w:val="none"/>
        </w:rPr>
      </w:pP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杭州市大数据管理服务中心（杭州市人民政府电子政务中心）</w:t>
      </w:r>
      <w:r>
        <w:rPr>
          <w:rFonts w:hint="eastAsia" w:ascii="宋体" w:hAnsi="宋体" w:cs="宋体"/>
          <w:color w:val="auto"/>
          <w:sz w:val="24"/>
          <w:highlight w:val="none"/>
        </w:rPr>
        <w:t>、杭州市公共资源交易中心：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杭州市大数据管理服务中心（杭州市人民政府电子政务中心）办公设备软硬件维护项目（2025年)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HZZFCG-2025-113</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杭州市大数据管理服务中心（杭州市人民政府电子政务中心）</w:t>
      </w:r>
      <w:r>
        <w:rPr>
          <w:rFonts w:hint="eastAsia" w:ascii="宋体" w:hAnsi="宋体" w:cs="宋体"/>
          <w:color w:val="auto"/>
          <w:sz w:val="24"/>
          <w:highlight w:val="none"/>
        </w:rPr>
        <w:t>、杭州市公共资源交易中心：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杭州市大数据管理服务中心（杭州市人民政府电子政务中心）办公设备软硬件维护项目（2025年)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HZZFCG-2025-113</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9" w:name="_Hlk101257010"/>
      <w:r>
        <w:rPr>
          <w:rFonts w:hint="eastAsia" w:ascii="宋体" w:hAnsi="宋体" w:cs="宋体"/>
          <w:color w:val="auto"/>
          <w:sz w:val="24"/>
          <w:highlight w:val="none"/>
        </w:rPr>
        <w:t>（如果有)</w:t>
      </w:r>
      <w:bookmarkEnd w:id="4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numPr>
          <w:ilvl w:val="0"/>
          <w:numId w:val="5"/>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numPr>
          <w:ilvl w:val="0"/>
          <w:numId w:val="5"/>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杭州市大数据管理服务中心（杭州市人民政府电子政务中心）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杭州市大数据管理服务中心（杭州市人民政府电子政务中心）办公设备软硬件维护项目（2025年)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杭州市大数据管理服务中心（杭州市人民政府电子政务中心）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杭州市大数据管理服务中心（杭州市人民政府电子政务中心）办公设备软硬件维护项目（2025年)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numPr>
          <w:ilvl w:val="0"/>
          <w:numId w:val="6"/>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pPr>
        <w:numPr>
          <w:ilvl w:val="0"/>
          <w:numId w:val="0"/>
        </w:num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kern w:val="0"/>
                <w:sz w:val="24"/>
                <w:highlight w:val="none"/>
              </w:rPr>
            </w:pPr>
          </w:p>
        </w:tc>
        <w:tc>
          <w:tcPr>
            <w:tcW w:w="1418" w:type="dxa"/>
          </w:tcPr>
          <w:p>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kern w:val="0"/>
                <w:sz w:val="24"/>
                <w:highlight w:val="none"/>
              </w:rPr>
            </w:pPr>
          </w:p>
        </w:tc>
        <w:tc>
          <w:tcPr>
            <w:tcW w:w="1418" w:type="dxa"/>
          </w:tcPr>
          <w:p>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numPr>
          <w:ilvl w:val="0"/>
          <w:numId w:val="0"/>
        </w:numPr>
        <w:jc w:val="center"/>
        <w:rPr>
          <w:rFonts w:hint="eastAsia"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jc w:val="center"/>
        <w:rPr>
          <w:rFonts w:ascii="宋体" w:hAnsi="宋体" w:cs="宋体"/>
          <w:b/>
          <w:color w:val="auto"/>
          <w:kern w:val="0"/>
          <w:sz w:val="32"/>
          <w:szCs w:val="32"/>
          <w:highlight w:val="none"/>
        </w:rPr>
      </w:pPr>
    </w:p>
    <w:p>
      <w:pPr>
        <w:pStyle w:val="2"/>
        <w:rPr>
          <w:color w:val="auto"/>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numPr>
          <w:ilvl w:val="0"/>
          <w:numId w:val="0"/>
        </w:numPr>
        <w:jc w:val="center"/>
        <w:rPr>
          <w:rFonts w:hint="eastAsia"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bidi="ar-SA"/>
        </w:rPr>
        <w:t>七、</w:t>
      </w:r>
      <w:r>
        <w:rPr>
          <w:rFonts w:hint="eastAsia" w:ascii="宋体" w:hAnsi="宋体" w:cs="宋体"/>
          <w:b/>
          <w:color w:val="auto"/>
          <w:kern w:val="0"/>
          <w:sz w:val="32"/>
          <w:szCs w:val="32"/>
          <w:highlight w:val="none"/>
          <w:lang w:val="en-US" w:eastAsia="zh-CN"/>
        </w:rPr>
        <w:t>人员配置清单</w:t>
      </w:r>
    </w:p>
    <w:p>
      <w:pPr>
        <w:snapToGrid w:val="0"/>
        <w:spacing w:line="360" w:lineRule="auto"/>
        <w:jc w:val="center"/>
        <w:rPr>
          <w:rFonts w:hint="eastAsia"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（按招标文件内容提供，格式自拟）</w:t>
      </w:r>
    </w:p>
    <w:p>
      <w:pPr>
        <w:jc w:val="center"/>
        <w:rPr>
          <w:rFonts w:hint="eastAsia"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center"/>
        <w:rPr>
          <w:rFonts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pPr>
        <w:spacing w:line="360" w:lineRule="auto"/>
        <w:ind w:right="420"/>
        <w:rPr>
          <w:rFonts w:hint="eastAsia" w:ascii="宋体" w:hAnsi="宋体" w:cs="宋体"/>
          <w:color w:val="auto"/>
          <w:sz w:val="24"/>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杭州市大数据管理服务中心（杭州市人民政府电子政务中心）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杭州市大数据管理服务中心（杭州市人民政府电子政务中心）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杭州市大数据管理服务中心（杭州市人民政府电子政务中心）办公设备软硬件维护项目（2025年)</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HZZFCG-2025-113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杭州市大数据管理服务中心（杭州市人民政府电子政务中心）办公设备软硬件维护项目（2025年)</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4253" w:type="dxa"/>
            <w:vAlign w:val="center"/>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3"/>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3"/>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spacing w:line="360" w:lineRule="auto"/>
        <w:ind w:firstLine="482" w:firstLineChars="200"/>
        <w:rPr>
          <w:rFonts w:ascii="宋体" w:hAnsi="宋体" w:cs="宋体"/>
          <w:b/>
          <w:color w:val="auto"/>
          <w:sz w:val="24"/>
          <w:highlight w:val="none"/>
        </w:rPr>
      </w:pPr>
    </w:p>
    <w:p>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10" w:name="OLE_LINK14"/>
      <w:bookmarkStart w:id="411" w:name="OLE_LINK13"/>
      <w:r>
        <w:rPr>
          <w:rFonts w:hint="eastAsia" w:ascii="宋体" w:hAnsi="宋体" w:cs="宋体"/>
          <w:b/>
          <w:color w:val="auto"/>
          <w:spacing w:val="6"/>
          <w:sz w:val="32"/>
          <w:szCs w:val="32"/>
          <w:highlight w:val="none"/>
        </w:rPr>
        <w:t>残疾人福利性单位声明函</w:t>
      </w:r>
    </w:p>
    <w:bookmarkEnd w:id="410"/>
    <w:bookmarkEnd w:id="4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杭州市大数据管理服务中心（杭州市人民政府电子政务中心）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杭州市大数据管理服务中心（杭州市人民政府电子政务中心）办公设备软硬件维护项目（2025年)</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杭州市大数据管理服务中心（杭州市人民政府电子政务中心）</w:t>
      </w:r>
      <w:r>
        <w:rPr>
          <w:rFonts w:hint="eastAsia" w:ascii="宋体" w:hAnsi="宋体" w:cs="宋体"/>
          <w:color w:val="auto"/>
          <w:sz w:val="24"/>
          <w:highlight w:val="none"/>
          <w:u w:val="single"/>
        </w:rPr>
        <w:t>、杭州市公共资源交易中心：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杭州市大数据管理服务中心（杭州市人民政府电子政务中心）办公设备软硬件维护项目（2025年)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杭州市大数据管理服务中心（杭州市人民政府电子政务中心）办公设备软硬件维护项目（2025年)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w:t>
      </w:r>
      <w:bookmarkStart w:id="4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杭州市大数据管理服务中心（杭州市人民政府电子政务中心）办公设备软硬件维护项目（2025年)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pPr>
        <w:pStyle w:val="4"/>
        <w:ind w:left="664" w:leftChars="316" w:firstLine="305" w:firstLineChars="95"/>
        <w:rPr>
          <w:color w:val="auto"/>
          <w:highlight w:val="non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杭州市大数据管理服务中心（杭州市人民政府电子政务中心）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杭州市大数据管理服务中心（杭州市人民政府电子政务中心）办公设备软硬件维护项目（2025年)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lang w:eastAsia="zh-CN"/>
        </w:rPr>
        <w:t>标的名称：</w:t>
      </w:r>
      <w:r>
        <w:rPr>
          <w:rFonts w:hint="eastAsia" w:ascii="宋体" w:hAnsi="宋体" w:cs="宋体"/>
          <w:color w:val="auto"/>
          <w:sz w:val="24"/>
          <w:highlight w:val="none"/>
          <w:u w:val="none"/>
          <w:lang w:eastAsia="zh-CN"/>
        </w:rPr>
        <w:t>杭州市大数据管理服务中心（杭州市人民政府电子政务中心）办公设备软硬件维护项目（2025年)</w:t>
      </w:r>
      <w:r>
        <w:rPr>
          <w:rFonts w:hint="eastAsia" w:ascii="宋体" w:hAnsi="宋体" w:cs="宋体"/>
          <w:color w:val="auto"/>
          <w:sz w:val="24"/>
          <w:highlight w:val="none"/>
        </w:rPr>
        <w:t>，属于</w:t>
      </w:r>
      <w:r>
        <w:rPr>
          <w:rFonts w:hint="eastAsia" w:ascii="宋体" w:hAnsi="宋体" w:eastAsia="宋体" w:cs="宋体"/>
          <w:color w:val="auto"/>
          <w:kern w:val="0"/>
          <w:sz w:val="24"/>
          <w:szCs w:val="24"/>
        </w:rPr>
        <w:t>软件和信息技术服务业</w:t>
      </w:r>
      <w:r>
        <w:rPr>
          <w:rFonts w:hint="eastAsia" w:ascii="宋体" w:hAnsi="宋体" w:cs="宋体"/>
          <w:color w:val="auto"/>
          <w:sz w:val="24"/>
          <w:highlight w:val="none"/>
        </w:rPr>
        <w:t xml:space="preserve">；承接企业为 </w:t>
      </w:r>
      <w:r>
        <w:rPr>
          <w:rFonts w:hint="eastAsia" w:ascii="宋体" w:hAnsi="宋体" w:eastAsia="宋体" w:cs="宋体"/>
          <w:color w:val="auto"/>
          <w:sz w:val="24"/>
          <w:highlight w:val="none"/>
          <w:u w:val="singl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40" w:lineRule="auto"/>
        <w:ind w:right="0"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pPr>
        <w:pStyle w:val="4"/>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pPr>
        <w:spacing w:line="360" w:lineRule="auto"/>
        <w:rPr>
          <w:rFonts w:hint="eastAsia"/>
          <w:color w:val="auto"/>
          <w:lang w:val="en-US" w:eastAsia="zh-CN"/>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5" w:name="_Toc36110187"/>
    <w:bookmarkStart w:id="416" w:name="_Toc164085800"/>
    <w:bookmarkStart w:id="417" w:name="_Toc91899912"/>
    <w:bookmarkStart w:id="418" w:name="_Toc131845147"/>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BB261"/>
    <w:multiLevelType w:val="singleLevel"/>
    <w:tmpl w:val="92CBB261"/>
    <w:lvl w:ilvl="0" w:tentative="0">
      <w:start w:val="1"/>
      <w:numFmt w:val="decimal"/>
      <w:suff w:val="nothing"/>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0CE5D3FC"/>
    <w:multiLevelType w:val="singleLevel"/>
    <w:tmpl w:val="0CE5D3FC"/>
    <w:lvl w:ilvl="0" w:tentative="0">
      <w:start w:val="4"/>
      <w:numFmt w:val="chineseCounting"/>
      <w:suff w:val="nothing"/>
      <w:lvlText w:val="%1、"/>
      <w:lvlJc w:val="left"/>
      <w:rPr>
        <w:rFonts w:hint="eastAsia"/>
      </w:rPr>
    </w:lvl>
  </w:abstractNum>
  <w:abstractNum w:abstractNumId="3">
    <w:nsid w:val="2C2ABF39"/>
    <w:multiLevelType w:val="singleLevel"/>
    <w:tmpl w:val="2C2ABF39"/>
    <w:lvl w:ilvl="0" w:tentative="0">
      <w:start w:val="4"/>
      <w:numFmt w:val="decimal"/>
      <w:suff w:val="nothing"/>
      <w:lvlText w:val="%1、"/>
      <w:lvlJc w:val="left"/>
    </w:lvl>
  </w:abstractNum>
  <w:abstractNum w:abstractNumId="4">
    <w:nsid w:val="4682CBC9"/>
    <w:multiLevelType w:val="singleLevel"/>
    <w:tmpl w:val="4682CBC9"/>
    <w:lvl w:ilvl="0" w:tentative="0">
      <w:start w:val="1"/>
      <w:numFmt w:val="decimal"/>
      <w:suff w:val="nothing"/>
      <w:lvlText w:val="（%1）"/>
      <w:lvlJc w:val="left"/>
    </w:lvl>
  </w:abstractNum>
  <w:abstractNum w:abstractNumId="5">
    <w:nsid w:val="665D2520"/>
    <w:multiLevelType w:val="singleLevel"/>
    <w:tmpl w:val="665D2520"/>
    <w:lvl w:ilvl="0" w:tentative="0">
      <w:start w:val="1"/>
      <w:numFmt w:val="decimal"/>
      <w:suff w:val="nothing"/>
      <w:lvlText w:val="（%1）"/>
      <w:lvlJc w:val="left"/>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477"/>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41D7F"/>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4C13A1"/>
    <w:rsid w:val="065A6178"/>
    <w:rsid w:val="066F1CF3"/>
    <w:rsid w:val="06757199"/>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5F763D"/>
    <w:rsid w:val="09642282"/>
    <w:rsid w:val="09733572"/>
    <w:rsid w:val="09772C16"/>
    <w:rsid w:val="098353B5"/>
    <w:rsid w:val="09A92330"/>
    <w:rsid w:val="09B06B87"/>
    <w:rsid w:val="09BF099D"/>
    <w:rsid w:val="09C13146"/>
    <w:rsid w:val="09C82C33"/>
    <w:rsid w:val="09E04166"/>
    <w:rsid w:val="0A1C0718"/>
    <w:rsid w:val="0A2B4DC5"/>
    <w:rsid w:val="0A3E7710"/>
    <w:rsid w:val="0A5B7E63"/>
    <w:rsid w:val="0AA374A5"/>
    <w:rsid w:val="0AAB7649"/>
    <w:rsid w:val="0AB43B55"/>
    <w:rsid w:val="0ABC5606"/>
    <w:rsid w:val="0ACF434F"/>
    <w:rsid w:val="0B30404E"/>
    <w:rsid w:val="0B4C6C14"/>
    <w:rsid w:val="0B547599"/>
    <w:rsid w:val="0B631A88"/>
    <w:rsid w:val="0B683D45"/>
    <w:rsid w:val="0B7F3F11"/>
    <w:rsid w:val="0B884417"/>
    <w:rsid w:val="0BF6188C"/>
    <w:rsid w:val="0BF73C91"/>
    <w:rsid w:val="0C170175"/>
    <w:rsid w:val="0C571A41"/>
    <w:rsid w:val="0C5C1171"/>
    <w:rsid w:val="0C5E1CBC"/>
    <w:rsid w:val="0C601702"/>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51C7C"/>
    <w:rsid w:val="0DD63300"/>
    <w:rsid w:val="0DF50604"/>
    <w:rsid w:val="0DF702FE"/>
    <w:rsid w:val="0E060E51"/>
    <w:rsid w:val="0E1C5AFD"/>
    <w:rsid w:val="0E2449B2"/>
    <w:rsid w:val="0E5604B2"/>
    <w:rsid w:val="0E6D5D79"/>
    <w:rsid w:val="0E9D0089"/>
    <w:rsid w:val="0EAD2BF9"/>
    <w:rsid w:val="0EB803EE"/>
    <w:rsid w:val="0EF94D4B"/>
    <w:rsid w:val="0F4958DC"/>
    <w:rsid w:val="0F515DF7"/>
    <w:rsid w:val="0F596BA8"/>
    <w:rsid w:val="0F6248D2"/>
    <w:rsid w:val="0F693536"/>
    <w:rsid w:val="0F7B0511"/>
    <w:rsid w:val="0F7B76D9"/>
    <w:rsid w:val="0F7C2D31"/>
    <w:rsid w:val="0F816ACD"/>
    <w:rsid w:val="0F9832DB"/>
    <w:rsid w:val="0FBF3FD2"/>
    <w:rsid w:val="0FBF7FF3"/>
    <w:rsid w:val="10646583"/>
    <w:rsid w:val="107D4B15"/>
    <w:rsid w:val="107F6F93"/>
    <w:rsid w:val="108A3C80"/>
    <w:rsid w:val="10A83678"/>
    <w:rsid w:val="10C26171"/>
    <w:rsid w:val="10CF50A9"/>
    <w:rsid w:val="10F33360"/>
    <w:rsid w:val="10FC16EA"/>
    <w:rsid w:val="110F1D40"/>
    <w:rsid w:val="111D3B37"/>
    <w:rsid w:val="11266F33"/>
    <w:rsid w:val="11301FEB"/>
    <w:rsid w:val="118963A1"/>
    <w:rsid w:val="11C6522A"/>
    <w:rsid w:val="11E104CC"/>
    <w:rsid w:val="11E20309"/>
    <w:rsid w:val="12255233"/>
    <w:rsid w:val="12530213"/>
    <w:rsid w:val="127723A9"/>
    <w:rsid w:val="12862074"/>
    <w:rsid w:val="12883966"/>
    <w:rsid w:val="129E45B4"/>
    <w:rsid w:val="12D1335A"/>
    <w:rsid w:val="12D81596"/>
    <w:rsid w:val="12F11F28"/>
    <w:rsid w:val="13072A44"/>
    <w:rsid w:val="13200C1E"/>
    <w:rsid w:val="135F4BE2"/>
    <w:rsid w:val="13677615"/>
    <w:rsid w:val="139B1A0A"/>
    <w:rsid w:val="139D25C7"/>
    <w:rsid w:val="13BF3CE4"/>
    <w:rsid w:val="13E7095B"/>
    <w:rsid w:val="141008D8"/>
    <w:rsid w:val="14125FE6"/>
    <w:rsid w:val="146D271E"/>
    <w:rsid w:val="14982588"/>
    <w:rsid w:val="149A5AD9"/>
    <w:rsid w:val="14A7619D"/>
    <w:rsid w:val="14AA3E63"/>
    <w:rsid w:val="14BA7E1E"/>
    <w:rsid w:val="150536C3"/>
    <w:rsid w:val="150C1963"/>
    <w:rsid w:val="151447A0"/>
    <w:rsid w:val="154A6454"/>
    <w:rsid w:val="15762120"/>
    <w:rsid w:val="16A8729C"/>
    <w:rsid w:val="16B33777"/>
    <w:rsid w:val="16BC70A7"/>
    <w:rsid w:val="16C6339E"/>
    <w:rsid w:val="172F2D79"/>
    <w:rsid w:val="174170AE"/>
    <w:rsid w:val="17557BEF"/>
    <w:rsid w:val="17D349C1"/>
    <w:rsid w:val="17E63F73"/>
    <w:rsid w:val="1830729E"/>
    <w:rsid w:val="1870062C"/>
    <w:rsid w:val="18817102"/>
    <w:rsid w:val="18830A15"/>
    <w:rsid w:val="18852B28"/>
    <w:rsid w:val="188B5321"/>
    <w:rsid w:val="18E67433"/>
    <w:rsid w:val="19932372"/>
    <w:rsid w:val="19A20DD5"/>
    <w:rsid w:val="19AE03F1"/>
    <w:rsid w:val="19F65454"/>
    <w:rsid w:val="1A071A03"/>
    <w:rsid w:val="1A1F16AE"/>
    <w:rsid w:val="1A3B5C77"/>
    <w:rsid w:val="1A984BAD"/>
    <w:rsid w:val="1AB8220E"/>
    <w:rsid w:val="1AE4166C"/>
    <w:rsid w:val="1AF06CFB"/>
    <w:rsid w:val="1AF11B8D"/>
    <w:rsid w:val="1B11359C"/>
    <w:rsid w:val="1B2A271F"/>
    <w:rsid w:val="1B530544"/>
    <w:rsid w:val="1B713184"/>
    <w:rsid w:val="1B8371BB"/>
    <w:rsid w:val="1BA209CF"/>
    <w:rsid w:val="1BA62EAA"/>
    <w:rsid w:val="1BB4777D"/>
    <w:rsid w:val="1BD75AB8"/>
    <w:rsid w:val="1BD96C46"/>
    <w:rsid w:val="1C0459C2"/>
    <w:rsid w:val="1C1B3B4A"/>
    <w:rsid w:val="1C88086E"/>
    <w:rsid w:val="1CBF2475"/>
    <w:rsid w:val="1D266CE1"/>
    <w:rsid w:val="1D3963AF"/>
    <w:rsid w:val="1D6A673C"/>
    <w:rsid w:val="1D9247AE"/>
    <w:rsid w:val="1DB567EC"/>
    <w:rsid w:val="1DF51A98"/>
    <w:rsid w:val="1E022DAA"/>
    <w:rsid w:val="1E2F53D8"/>
    <w:rsid w:val="1E3D060F"/>
    <w:rsid w:val="1E3F7D2E"/>
    <w:rsid w:val="1E4134E4"/>
    <w:rsid w:val="1E5062B3"/>
    <w:rsid w:val="1E523514"/>
    <w:rsid w:val="1E714A66"/>
    <w:rsid w:val="1E802593"/>
    <w:rsid w:val="1E8B6156"/>
    <w:rsid w:val="1EA703CC"/>
    <w:rsid w:val="1EB7330C"/>
    <w:rsid w:val="1F0A0FF3"/>
    <w:rsid w:val="1F1C1B35"/>
    <w:rsid w:val="1F3031B6"/>
    <w:rsid w:val="1F4E5D32"/>
    <w:rsid w:val="1F5771FF"/>
    <w:rsid w:val="1FE868A9"/>
    <w:rsid w:val="1FFC578E"/>
    <w:rsid w:val="20034907"/>
    <w:rsid w:val="20173E4B"/>
    <w:rsid w:val="204213F3"/>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7A01F3"/>
    <w:rsid w:val="22A52C56"/>
    <w:rsid w:val="22BE6801"/>
    <w:rsid w:val="22F8366E"/>
    <w:rsid w:val="231A6657"/>
    <w:rsid w:val="233500BF"/>
    <w:rsid w:val="23377FF7"/>
    <w:rsid w:val="236B425F"/>
    <w:rsid w:val="23836192"/>
    <w:rsid w:val="23901F29"/>
    <w:rsid w:val="239C0061"/>
    <w:rsid w:val="23B908A4"/>
    <w:rsid w:val="23E95BEF"/>
    <w:rsid w:val="23FD0064"/>
    <w:rsid w:val="24443260"/>
    <w:rsid w:val="245375B0"/>
    <w:rsid w:val="24642C0A"/>
    <w:rsid w:val="24B22173"/>
    <w:rsid w:val="24B95AD9"/>
    <w:rsid w:val="24BE24DA"/>
    <w:rsid w:val="24CF3471"/>
    <w:rsid w:val="24CF5825"/>
    <w:rsid w:val="24D663E6"/>
    <w:rsid w:val="24D77F2B"/>
    <w:rsid w:val="24F9229C"/>
    <w:rsid w:val="258B00E2"/>
    <w:rsid w:val="25A1133F"/>
    <w:rsid w:val="25A917A6"/>
    <w:rsid w:val="25BE27CC"/>
    <w:rsid w:val="25F74A5C"/>
    <w:rsid w:val="26216C89"/>
    <w:rsid w:val="2628662C"/>
    <w:rsid w:val="262D45DE"/>
    <w:rsid w:val="26777E78"/>
    <w:rsid w:val="26871DC8"/>
    <w:rsid w:val="26A53EF9"/>
    <w:rsid w:val="26A94201"/>
    <w:rsid w:val="26AC274F"/>
    <w:rsid w:val="26DD4E03"/>
    <w:rsid w:val="26E256DE"/>
    <w:rsid w:val="27044A29"/>
    <w:rsid w:val="271D34C8"/>
    <w:rsid w:val="276142BF"/>
    <w:rsid w:val="27783712"/>
    <w:rsid w:val="27907362"/>
    <w:rsid w:val="27B0758A"/>
    <w:rsid w:val="27F84A8D"/>
    <w:rsid w:val="28333E1D"/>
    <w:rsid w:val="28454BD6"/>
    <w:rsid w:val="28455253"/>
    <w:rsid w:val="28551971"/>
    <w:rsid w:val="285B1C53"/>
    <w:rsid w:val="289F7086"/>
    <w:rsid w:val="28C32028"/>
    <w:rsid w:val="28CC490F"/>
    <w:rsid w:val="28DE40AA"/>
    <w:rsid w:val="29345E77"/>
    <w:rsid w:val="294C65AD"/>
    <w:rsid w:val="294C6E3F"/>
    <w:rsid w:val="29806583"/>
    <w:rsid w:val="29826D04"/>
    <w:rsid w:val="298B3C4C"/>
    <w:rsid w:val="29E31C2B"/>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6208C4"/>
    <w:rsid w:val="2CE82D6F"/>
    <w:rsid w:val="2D343236"/>
    <w:rsid w:val="2D522E91"/>
    <w:rsid w:val="2D610A81"/>
    <w:rsid w:val="2D746964"/>
    <w:rsid w:val="2DD15014"/>
    <w:rsid w:val="2DF72DE4"/>
    <w:rsid w:val="2E0220AF"/>
    <w:rsid w:val="2E4B082A"/>
    <w:rsid w:val="2E5D4E86"/>
    <w:rsid w:val="2E5D790B"/>
    <w:rsid w:val="2E7F3812"/>
    <w:rsid w:val="2E9A3C18"/>
    <w:rsid w:val="2EBB0FEE"/>
    <w:rsid w:val="2EC63002"/>
    <w:rsid w:val="2F0A6B38"/>
    <w:rsid w:val="2F946CCB"/>
    <w:rsid w:val="2FD25781"/>
    <w:rsid w:val="2FDC745C"/>
    <w:rsid w:val="2FFD7934"/>
    <w:rsid w:val="305A62E5"/>
    <w:rsid w:val="30717AD3"/>
    <w:rsid w:val="30733ACD"/>
    <w:rsid w:val="308C3862"/>
    <w:rsid w:val="309379D8"/>
    <w:rsid w:val="30A270F7"/>
    <w:rsid w:val="30DF1478"/>
    <w:rsid w:val="30EC586F"/>
    <w:rsid w:val="311E37B6"/>
    <w:rsid w:val="31215055"/>
    <w:rsid w:val="319C6071"/>
    <w:rsid w:val="31AC537E"/>
    <w:rsid w:val="31B9528D"/>
    <w:rsid w:val="31E3679B"/>
    <w:rsid w:val="31E732FD"/>
    <w:rsid w:val="31F52DDF"/>
    <w:rsid w:val="32517576"/>
    <w:rsid w:val="32544FB6"/>
    <w:rsid w:val="32BE5C2C"/>
    <w:rsid w:val="32DD31FD"/>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270760"/>
    <w:rsid w:val="354D7158"/>
    <w:rsid w:val="358D5588"/>
    <w:rsid w:val="360311CD"/>
    <w:rsid w:val="362C24D2"/>
    <w:rsid w:val="363A3B40"/>
    <w:rsid w:val="364A002F"/>
    <w:rsid w:val="36500988"/>
    <w:rsid w:val="365302AE"/>
    <w:rsid w:val="36607A0A"/>
    <w:rsid w:val="366E227C"/>
    <w:rsid w:val="366F2E0D"/>
    <w:rsid w:val="367B6A5C"/>
    <w:rsid w:val="36846564"/>
    <w:rsid w:val="36A74ADA"/>
    <w:rsid w:val="36AD60D5"/>
    <w:rsid w:val="36B224F9"/>
    <w:rsid w:val="36DD557A"/>
    <w:rsid w:val="36EC0CC9"/>
    <w:rsid w:val="37267CA4"/>
    <w:rsid w:val="373F410B"/>
    <w:rsid w:val="37EE7094"/>
    <w:rsid w:val="38296C89"/>
    <w:rsid w:val="383002EB"/>
    <w:rsid w:val="384855BD"/>
    <w:rsid w:val="38586797"/>
    <w:rsid w:val="387939C8"/>
    <w:rsid w:val="38BC0149"/>
    <w:rsid w:val="38D87D1C"/>
    <w:rsid w:val="391060DB"/>
    <w:rsid w:val="393B4615"/>
    <w:rsid w:val="39463BE4"/>
    <w:rsid w:val="39636459"/>
    <w:rsid w:val="39693A3D"/>
    <w:rsid w:val="396B7F6C"/>
    <w:rsid w:val="39B417A9"/>
    <w:rsid w:val="39F01A68"/>
    <w:rsid w:val="39FC5695"/>
    <w:rsid w:val="3A006D8E"/>
    <w:rsid w:val="3A3651E5"/>
    <w:rsid w:val="3A744481"/>
    <w:rsid w:val="3A8C7BEF"/>
    <w:rsid w:val="3A906246"/>
    <w:rsid w:val="3AE8273F"/>
    <w:rsid w:val="3B0C0B24"/>
    <w:rsid w:val="3B2349B7"/>
    <w:rsid w:val="3B30643F"/>
    <w:rsid w:val="3B616CFF"/>
    <w:rsid w:val="3B6259F6"/>
    <w:rsid w:val="3B976654"/>
    <w:rsid w:val="3BC01EFC"/>
    <w:rsid w:val="3BCA786A"/>
    <w:rsid w:val="3BD31E2F"/>
    <w:rsid w:val="3BF15831"/>
    <w:rsid w:val="3BF770DE"/>
    <w:rsid w:val="3C105946"/>
    <w:rsid w:val="3C26752F"/>
    <w:rsid w:val="3C471448"/>
    <w:rsid w:val="3C5F759A"/>
    <w:rsid w:val="3C6C525A"/>
    <w:rsid w:val="3CCE23CB"/>
    <w:rsid w:val="3CD17D17"/>
    <w:rsid w:val="3D3C7F39"/>
    <w:rsid w:val="3D440F09"/>
    <w:rsid w:val="3D4504A0"/>
    <w:rsid w:val="3D6F0EF6"/>
    <w:rsid w:val="3D8734BB"/>
    <w:rsid w:val="3D9A11D4"/>
    <w:rsid w:val="3DA16D89"/>
    <w:rsid w:val="3DA364BE"/>
    <w:rsid w:val="3DE041CB"/>
    <w:rsid w:val="3E0D48F6"/>
    <w:rsid w:val="3E1868B4"/>
    <w:rsid w:val="3E32264F"/>
    <w:rsid w:val="3E377251"/>
    <w:rsid w:val="3E42664B"/>
    <w:rsid w:val="3E444130"/>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0224F5"/>
    <w:rsid w:val="4019356B"/>
    <w:rsid w:val="40592157"/>
    <w:rsid w:val="406E1CAE"/>
    <w:rsid w:val="408E0F77"/>
    <w:rsid w:val="40A0133A"/>
    <w:rsid w:val="40C31A53"/>
    <w:rsid w:val="40F5154D"/>
    <w:rsid w:val="40FF545D"/>
    <w:rsid w:val="410067C8"/>
    <w:rsid w:val="418F0D2A"/>
    <w:rsid w:val="419158DF"/>
    <w:rsid w:val="41D01505"/>
    <w:rsid w:val="42474939"/>
    <w:rsid w:val="424C3C57"/>
    <w:rsid w:val="42607A93"/>
    <w:rsid w:val="42613FF3"/>
    <w:rsid w:val="42660D96"/>
    <w:rsid w:val="428667D2"/>
    <w:rsid w:val="42AE38A9"/>
    <w:rsid w:val="42CD1CE0"/>
    <w:rsid w:val="42E1381E"/>
    <w:rsid w:val="42ED6459"/>
    <w:rsid w:val="42FE58DD"/>
    <w:rsid w:val="43174B3D"/>
    <w:rsid w:val="434B790E"/>
    <w:rsid w:val="4360274F"/>
    <w:rsid w:val="43977AB6"/>
    <w:rsid w:val="43A3342B"/>
    <w:rsid w:val="43C77C27"/>
    <w:rsid w:val="43DE09EE"/>
    <w:rsid w:val="44002FAD"/>
    <w:rsid w:val="448477B9"/>
    <w:rsid w:val="449101DD"/>
    <w:rsid w:val="44D22496"/>
    <w:rsid w:val="44DE1391"/>
    <w:rsid w:val="4511711A"/>
    <w:rsid w:val="451B225C"/>
    <w:rsid w:val="452410C9"/>
    <w:rsid w:val="45317DFB"/>
    <w:rsid w:val="456D3CE4"/>
    <w:rsid w:val="4579042C"/>
    <w:rsid w:val="457F0571"/>
    <w:rsid w:val="45851176"/>
    <w:rsid w:val="45C63B94"/>
    <w:rsid w:val="45D264C6"/>
    <w:rsid w:val="460E7DA5"/>
    <w:rsid w:val="46422483"/>
    <w:rsid w:val="4659254A"/>
    <w:rsid w:val="465B0637"/>
    <w:rsid w:val="465E3F0D"/>
    <w:rsid w:val="466A16E6"/>
    <w:rsid w:val="46893F2B"/>
    <w:rsid w:val="46C4686E"/>
    <w:rsid w:val="477B778F"/>
    <w:rsid w:val="478203EC"/>
    <w:rsid w:val="47B025FA"/>
    <w:rsid w:val="480706A9"/>
    <w:rsid w:val="4809698F"/>
    <w:rsid w:val="4811697D"/>
    <w:rsid w:val="481E59F2"/>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2185E"/>
    <w:rsid w:val="4A4424D7"/>
    <w:rsid w:val="4AB82D0F"/>
    <w:rsid w:val="4AEB7664"/>
    <w:rsid w:val="4AFD7C19"/>
    <w:rsid w:val="4B0567D1"/>
    <w:rsid w:val="4B236AAE"/>
    <w:rsid w:val="4B707271"/>
    <w:rsid w:val="4B9739F7"/>
    <w:rsid w:val="4BEE2503"/>
    <w:rsid w:val="4C245A30"/>
    <w:rsid w:val="4C51283A"/>
    <w:rsid w:val="4CB6685F"/>
    <w:rsid w:val="4CC367FE"/>
    <w:rsid w:val="4D077F3C"/>
    <w:rsid w:val="4D123355"/>
    <w:rsid w:val="4D2A3B31"/>
    <w:rsid w:val="4D312C52"/>
    <w:rsid w:val="4D905305"/>
    <w:rsid w:val="4D964A72"/>
    <w:rsid w:val="4D9C1254"/>
    <w:rsid w:val="4DB455B6"/>
    <w:rsid w:val="4E2F2707"/>
    <w:rsid w:val="4E793892"/>
    <w:rsid w:val="4E800872"/>
    <w:rsid w:val="4EC569ED"/>
    <w:rsid w:val="4ED50EA1"/>
    <w:rsid w:val="4EEC050C"/>
    <w:rsid w:val="4F104EC3"/>
    <w:rsid w:val="4F4405DB"/>
    <w:rsid w:val="4F47354A"/>
    <w:rsid w:val="4F911C54"/>
    <w:rsid w:val="4FE625E0"/>
    <w:rsid w:val="500D6A78"/>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3752EB"/>
    <w:rsid w:val="54487265"/>
    <w:rsid w:val="544D6070"/>
    <w:rsid w:val="54605E1E"/>
    <w:rsid w:val="546926EB"/>
    <w:rsid w:val="54B3506A"/>
    <w:rsid w:val="54CA0D16"/>
    <w:rsid w:val="54DD4057"/>
    <w:rsid w:val="54E7490F"/>
    <w:rsid w:val="550764A4"/>
    <w:rsid w:val="550B2BF6"/>
    <w:rsid w:val="55214EB5"/>
    <w:rsid w:val="55364EFD"/>
    <w:rsid w:val="555D4828"/>
    <w:rsid w:val="557A4C8B"/>
    <w:rsid w:val="557F6375"/>
    <w:rsid w:val="55871CF5"/>
    <w:rsid w:val="558931E1"/>
    <w:rsid w:val="558F7F2F"/>
    <w:rsid w:val="55923347"/>
    <w:rsid w:val="55925180"/>
    <w:rsid w:val="55983B1B"/>
    <w:rsid w:val="55A8376B"/>
    <w:rsid w:val="55DC29B6"/>
    <w:rsid w:val="55DD4241"/>
    <w:rsid w:val="56187F25"/>
    <w:rsid w:val="566B6D1E"/>
    <w:rsid w:val="56917403"/>
    <w:rsid w:val="57032A2C"/>
    <w:rsid w:val="570F5219"/>
    <w:rsid w:val="572052E3"/>
    <w:rsid w:val="573826DD"/>
    <w:rsid w:val="575D12B5"/>
    <w:rsid w:val="57610A87"/>
    <w:rsid w:val="57680A38"/>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831D8"/>
    <w:rsid w:val="5A6D33BA"/>
    <w:rsid w:val="5A792B1F"/>
    <w:rsid w:val="5A874767"/>
    <w:rsid w:val="5AA85BE2"/>
    <w:rsid w:val="5AAD6F28"/>
    <w:rsid w:val="5AD63A24"/>
    <w:rsid w:val="5B2E1A1D"/>
    <w:rsid w:val="5B47755D"/>
    <w:rsid w:val="5B843A1C"/>
    <w:rsid w:val="5B873E3F"/>
    <w:rsid w:val="5C02690E"/>
    <w:rsid w:val="5C196DA7"/>
    <w:rsid w:val="5C292E8C"/>
    <w:rsid w:val="5C2A048C"/>
    <w:rsid w:val="5C2D3FFE"/>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E0C9F"/>
    <w:rsid w:val="615227C4"/>
    <w:rsid w:val="61654E3F"/>
    <w:rsid w:val="6182292A"/>
    <w:rsid w:val="619F7F92"/>
    <w:rsid w:val="61E57855"/>
    <w:rsid w:val="61F07FA8"/>
    <w:rsid w:val="61F94C26"/>
    <w:rsid w:val="62000E56"/>
    <w:rsid w:val="62483940"/>
    <w:rsid w:val="624F3E49"/>
    <w:rsid w:val="62632286"/>
    <w:rsid w:val="62885958"/>
    <w:rsid w:val="628A03FC"/>
    <w:rsid w:val="62F40B65"/>
    <w:rsid w:val="62FC2CFE"/>
    <w:rsid w:val="63024505"/>
    <w:rsid w:val="6324615B"/>
    <w:rsid w:val="635600A5"/>
    <w:rsid w:val="635B1DB5"/>
    <w:rsid w:val="63711FED"/>
    <w:rsid w:val="63880DDC"/>
    <w:rsid w:val="638D750D"/>
    <w:rsid w:val="63AC6CC0"/>
    <w:rsid w:val="63D7141F"/>
    <w:rsid w:val="64055776"/>
    <w:rsid w:val="64240056"/>
    <w:rsid w:val="643E143A"/>
    <w:rsid w:val="64491666"/>
    <w:rsid w:val="646709F5"/>
    <w:rsid w:val="648B6EEF"/>
    <w:rsid w:val="64C158BF"/>
    <w:rsid w:val="64CE2EAA"/>
    <w:rsid w:val="653C3090"/>
    <w:rsid w:val="65424FBE"/>
    <w:rsid w:val="65854376"/>
    <w:rsid w:val="658767BE"/>
    <w:rsid w:val="65892531"/>
    <w:rsid w:val="658B24C1"/>
    <w:rsid w:val="658D79C4"/>
    <w:rsid w:val="65D242C5"/>
    <w:rsid w:val="66195831"/>
    <w:rsid w:val="661C2CA5"/>
    <w:rsid w:val="662E75B1"/>
    <w:rsid w:val="66342C2E"/>
    <w:rsid w:val="663E784C"/>
    <w:rsid w:val="668B6A45"/>
    <w:rsid w:val="669929BC"/>
    <w:rsid w:val="670A1B0C"/>
    <w:rsid w:val="67220C03"/>
    <w:rsid w:val="672F3F24"/>
    <w:rsid w:val="673E055F"/>
    <w:rsid w:val="67551CE3"/>
    <w:rsid w:val="679B2764"/>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36AD6"/>
    <w:rsid w:val="68E937A3"/>
    <w:rsid w:val="693E15D3"/>
    <w:rsid w:val="695B4640"/>
    <w:rsid w:val="69627681"/>
    <w:rsid w:val="6977531D"/>
    <w:rsid w:val="699456BD"/>
    <w:rsid w:val="69CC2BFF"/>
    <w:rsid w:val="69FD55B8"/>
    <w:rsid w:val="6A0B1C62"/>
    <w:rsid w:val="6A2406C8"/>
    <w:rsid w:val="6ADE0BD1"/>
    <w:rsid w:val="6AE96859"/>
    <w:rsid w:val="6B147746"/>
    <w:rsid w:val="6B24787C"/>
    <w:rsid w:val="6B397730"/>
    <w:rsid w:val="6B573233"/>
    <w:rsid w:val="6B5B6274"/>
    <w:rsid w:val="6B935D53"/>
    <w:rsid w:val="6BF90264"/>
    <w:rsid w:val="6BF91B21"/>
    <w:rsid w:val="6C196F71"/>
    <w:rsid w:val="6C226FCB"/>
    <w:rsid w:val="6C31226F"/>
    <w:rsid w:val="6C552F0B"/>
    <w:rsid w:val="6C700183"/>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502A8"/>
    <w:rsid w:val="6F2A7D94"/>
    <w:rsid w:val="6F406167"/>
    <w:rsid w:val="6F8331F1"/>
    <w:rsid w:val="6FA56875"/>
    <w:rsid w:val="6FAE1A09"/>
    <w:rsid w:val="6FB86358"/>
    <w:rsid w:val="6FD75BF8"/>
    <w:rsid w:val="707723D0"/>
    <w:rsid w:val="707D6A8A"/>
    <w:rsid w:val="70F5661B"/>
    <w:rsid w:val="71360107"/>
    <w:rsid w:val="713B688E"/>
    <w:rsid w:val="71D43752"/>
    <w:rsid w:val="71F1796A"/>
    <w:rsid w:val="72154626"/>
    <w:rsid w:val="72262B5D"/>
    <w:rsid w:val="72283FF7"/>
    <w:rsid w:val="722E7212"/>
    <w:rsid w:val="723A0474"/>
    <w:rsid w:val="725923E4"/>
    <w:rsid w:val="726E2F4F"/>
    <w:rsid w:val="726E5CBB"/>
    <w:rsid w:val="72864BF7"/>
    <w:rsid w:val="729023FC"/>
    <w:rsid w:val="7362065C"/>
    <w:rsid w:val="73C0646E"/>
    <w:rsid w:val="73E3796C"/>
    <w:rsid w:val="742222F5"/>
    <w:rsid w:val="744040C3"/>
    <w:rsid w:val="74476126"/>
    <w:rsid w:val="74706664"/>
    <w:rsid w:val="747F3682"/>
    <w:rsid w:val="749C4185"/>
    <w:rsid w:val="74EB7541"/>
    <w:rsid w:val="75067759"/>
    <w:rsid w:val="752E6DCD"/>
    <w:rsid w:val="7551380D"/>
    <w:rsid w:val="75600BE5"/>
    <w:rsid w:val="7564475C"/>
    <w:rsid w:val="7583797F"/>
    <w:rsid w:val="759D3E47"/>
    <w:rsid w:val="75D20F1D"/>
    <w:rsid w:val="75DA2C18"/>
    <w:rsid w:val="75F54412"/>
    <w:rsid w:val="761D08E0"/>
    <w:rsid w:val="765D347C"/>
    <w:rsid w:val="76826699"/>
    <w:rsid w:val="76C87133"/>
    <w:rsid w:val="76CD08D5"/>
    <w:rsid w:val="76DB4B92"/>
    <w:rsid w:val="76FB4FCD"/>
    <w:rsid w:val="77052AA4"/>
    <w:rsid w:val="77136511"/>
    <w:rsid w:val="77184757"/>
    <w:rsid w:val="77340A39"/>
    <w:rsid w:val="77351FD0"/>
    <w:rsid w:val="77472422"/>
    <w:rsid w:val="777F31F2"/>
    <w:rsid w:val="77903967"/>
    <w:rsid w:val="77A25449"/>
    <w:rsid w:val="77D1700D"/>
    <w:rsid w:val="77EC04CC"/>
    <w:rsid w:val="78775729"/>
    <w:rsid w:val="78A42DB0"/>
    <w:rsid w:val="78A656AB"/>
    <w:rsid w:val="78A771BA"/>
    <w:rsid w:val="78B2245C"/>
    <w:rsid w:val="78BB6E67"/>
    <w:rsid w:val="78E172CC"/>
    <w:rsid w:val="78EA1D1F"/>
    <w:rsid w:val="7904172F"/>
    <w:rsid w:val="790F7E27"/>
    <w:rsid w:val="792A231A"/>
    <w:rsid w:val="79316829"/>
    <w:rsid w:val="797E66A9"/>
    <w:rsid w:val="798518A4"/>
    <w:rsid w:val="79A454A8"/>
    <w:rsid w:val="79A97383"/>
    <w:rsid w:val="79E27E8B"/>
    <w:rsid w:val="79F850CE"/>
    <w:rsid w:val="79FD443C"/>
    <w:rsid w:val="7A1D1975"/>
    <w:rsid w:val="7A3E5150"/>
    <w:rsid w:val="7A4670D6"/>
    <w:rsid w:val="7A534B63"/>
    <w:rsid w:val="7A5C26D2"/>
    <w:rsid w:val="7A615382"/>
    <w:rsid w:val="7A67303B"/>
    <w:rsid w:val="7A831561"/>
    <w:rsid w:val="7AAB1D04"/>
    <w:rsid w:val="7ABA4368"/>
    <w:rsid w:val="7AD05746"/>
    <w:rsid w:val="7B257FFD"/>
    <w:rsid w:val="7B343476"/>
    <w:rsid w:val="7B5A2978"/>
    <w:rsid w:val="7B5A7E4C"/>
    <w:rsid w:val="7B667AF9"/>
    <w:rsid w:val="7B7468F8"/>
    <w:rsid w:val="7BE61DA8"/>
    <w:rsid w:val="7BEE0103"/>
    <w:rsid w:val="7C0A0FE4"/>
    <w:rsid w:val="7C254906"/>
    <w:rsid w:val="7C590818"/>
    <w:rsid w:val="7C7C10F6"/>
    <w:rsid w:val="7C853BEA"/>
    <w:rsid w:val="7C881368"/>
    <w:rsid w:val="7CE27788"/>
    <w:rsid w:val="7D0C32F1"/>
    <w:rsid w:val="7D0F408D"/>
    <w:rsid w:val="7D100ACF"/>
    <w:rsid w:val="7D491C6C"/>
    <w:rsid w:val="7D5429C0"/>
    <w:rsid w:val="7D6E6D43"/>
    <w:rsid w:val="7DB57A34"/>
    <w:rsid w:val="7DE60973"/>
    <w:rsid w:val="7DEF0916"/>
    <w:rsid w:val="7E1370A0"/>
    <w:rsid w:val="7E1E5218"/>
    <w:rsid w:val="7E9A4E1F"/>
    <w:rsid w:val="7EA0293B"/>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9727</Words>
  <Characters>10472</Characters>
  <Lines>282</Lines>
  <Paragraphs>79</Paragraphs>
  <TotalTime>20</TotalTime>
  <ScaleCrop>false</ScaleCrop>
  <LinksUpToDate>false</LinksUpToDate>
  <CharactersWithSpaces>10912</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cp:lastModifiedBy>
  <cp:lastPrinted>2021-12-27T19:06:00Z</cp:lastPrinted>
  <dcterms:modified xsi:type="dcterms:W3CDTF">2025-07-04T07:28:04Z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eyJoZGlkIjoiY2MwZGQ5MDUyMWMyN2Y4N2YyY2Y4ZjFiNmVlOTUyZjEiLCJ1c2VySWQiOiIxNDAyNTM3NjY2In0=</vt:lpwstr>
  </property>
</Properties>
</file>