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color w:val="auto"/>
          <w:sz w:val="24"/>
          <w:highlight w:val="none"/>
        </w:rPr>
      </w:pPr>
    </w:p>
    <w:p>
      <w:pPr>
        <w:shd w:val="clear"/>
        <w:adjustRightInd/>
        <w:spacing w:line="360" w:lineRule="auto"/>
        <w:jc w:val="center"/>
        <w:rPr>
          <w:rFonts w:ascii="宋体" w:hAnsi="宋体" w:cs="宋体"/>
          <w:b/>
          <w:color w:val="auto"/>
          <w:sz w:val="44"/>
          <w:szCs w:val="44"/>
          <w:highlight w:val="none"/>
        </w:rPr>
      </w:pPr>
    </w:p>
    <w:p>
      <w:pPr>
        <w:shd w:val="clear"/>
        <w:spacing w:line="360" w:lineRule="auto"/>
        <w:jc w:val="center"/>
        <w:rPr>
          <w:rFonts w:ascii="宋体" w:hAnsi="宋体" w:cs="宋体"/>
          <w:b/>
          <w:color w:val="auto"/>
          <w:sz w:val="44"/>
          <w:szCs w:val="44"/>
          <w:highlight w:val="none"/>
        </w:rPr>
      </w:pPr>
    </w:p>
    <w:p>
      <w:pPr>
        <w:shd w:val="clear"/>
        <w:adjustRightInd/>
        <w:spacing w:line="360" w:lineRule="auto"/>
        <w:jc w:val="center"/>
        <w:rPr>
          <w:rFonts w:ascii="宋体" w:hAnsi="宋体" w:cs="宋体"/>
          <w:b/>
          <w:color w:val="auto"/>
          <w:sz w:val="48"/>
          <w:szCs w:val="48"/>
          <w:highlight w:val="none"/>
        </w:rPr>
      </w:pPr>
    </w:p>
    <w:p>
      <w:pPr>
        <w:shd w:val="clea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刀茅巷(凤起路-东园街)道路整治工程</w:t>
      </w:r>
    </w:p>
    <w:p>
      <w:pPr>
        <w:shd w:val="clea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竞争性磋商文件</w:t>
      </w:r>
    </w:p>
    <w:p>
      <w:pPr>
        <w:shd w:val="clea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（电子交易）</w:t>
      </w:r>
    </w:p>
    <w:p>
      <w:pPr>
        <w:shd w:val="clear"/>
        <w:snapToGrid w:val="0"/>
        <w:spacing w:line="360" w:lineRule="auto"/>
        <w:jc w:val="center"/>
        <w:rPr>
          <w:rFonts w:hint="default" w:ascii="宋体" w:hAnsi="宋体" w:eastAsia="宋体" w:cs="宋体"/>
          <w:color w:val="auto"/>
          <w:sz w:val="30"/>
          <w:szCs w:val="30"/>
          <w:highlight w:val="none"/>
          <w:lang w:val="en-US"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val="en-US" w:eastAsia="zh-CN"/>
        </w:rPr>
        <w:t>HJZX202401002</w:t>
      </w:r>
    </w:p>
    <w:p>
      <w:pPr>
        <w:shd w:val="clear"/>
        <w:adjustRightInd/>
        <w:spacing w:line="360" w:lineRule="auto"/>
        <w:rPr>
          <w:rFonts w:ascii="宋体" w:hAnsi="宋体" w:cs="宋体"/>
          <w:color w:val="auto"/>
          <w:sz w:val="28"/>
          <w:szCs w:val="20"/>
          <w:highlight w:val="none"/>
        </w:rPr>
      </w:pPr>
    </w:p>
    <w:p>
      <w:pPr>
        <w:shd w:val="clea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hd w:val="clear"/>
        <w:spacing w:line="360" w:lineRule="auto"/>
        <w:jc w:val="center"/>
        <w:rPr>
          <w:rFonts w:ascii="宋体" w:hAnsi="宋体" w:cs="宋体"/>
          <w:b/>
          <w:color w:val="auto"/>
          <w:sz w:val="44"/>
          <w:szCs w:val="44"/>
          <w:highlight w:val="none"/>
        </w:rPr>
      </w:pPr>
    </w:p>
    <w:p>
      <w:pPr>
        <w:shd w:val="clear"/>
        <w:spacing w:line="360" w:lineRule="auto"/>
        <w:jc w:val="center"/>
        <w:rPr>
          <w:rFonts w:ascii="宋体" w:hAnsi="宋体" w:cs="宋体"/>
          <w:color w:val="auto"/>
          <w:sz w:val="24"/>
          <w:highlight w:val="none"/>
        </w:rPr>
      </w:pPr>
    </w:p>
    <w:p>
      <w:pPr>
        <w:shd w:val="clear"/>
        <w:spacing w:line="360" w:lineRule="auto"/>
        <w:jc w:val="center"/>
        <w:rPr>
          <w:rFonts w:ascii="宋体" w:hAnsi="宋体" w:cs="宋体"/>
          <w:color w:val="auto"/>
          <w:sz w:val="24"/>
          <w:highlight w:val="none"/>
        </w:rPr>
      </w:pPr>
    </w:p>
    <w:p>
      <w:pPr>
        <w:shd w:val="clear"/>
        <w:spacing w:line="360" w:lineRule="auto"/>
        <w:rPr>
          <w:rFonts w:ascii="宋体" w:hAnsi="宋体" w:cs="宋体"/>
          <w:color w:val="auto"/>
          <w:sz w:val="32"/>
          <w:szCs w:val="32"/>
          <w:highlight w:val="none"/>
        </w:rPr>
      </w:pPr>
    </w:p>
    <w:p>
      <w:pPr>
        <w:shd w:val="clea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杭州市拱墅区城市建设管理服务中心</w:t>
      </w:r>
    </w:p>
    <w:p>
      <w:pPr>
        <w:shd w:val="clea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lang w:eastAsia="zh-CN"/>
        </w:rPr>
        <w:t>杭州建设工程造价咨询有限公司</w:t>
      </w:r>
    </w:p>
    <w:p>
      <w:pPr>
        <w:shd w:val="clea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一</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三十一</w:t>
      </w:r>
      <w:r>
        <w:rPr>
          <w:rFonts w:hint="eastAsia" w:ascii="宋体" w:hAnsi="宋体" w:cs="宋体"/>
          <w:bCs/>
          <w:color w:val="auto"/>
          <w:sz w:val="32"/>
          <w:szCs w:val="32"/>
          <w:highlight w:val="none"/>
        </w:rPr>
        <w:t>日</w:t>
      </w:r>
    </w:p>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shd w:val="clear"/>
        <w:spacing w:line="360" w:lineRule="auto"/>
        <w:jc w:val="center"/>
        <w:rPr>
          <w:rFonts w:ascii="宋体" w:hAnsi="宋体" w:cs="宋体"/>
          <w:color w:val="auto"/>
          <w:sz w:val="24"/>
          <w:highlight w:val="none"/>
        </w:rPr>
      </w:pPr>
    </w:p>
    <w:p>
      <w:pPr>
        <w:shd w:val="clea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hd w:val="clear"/>
        <w:spacing w:line="360" w:lineRule="auto"/>
        <w:rPr>
          <w:rFonts w:ascii="宋体" w:hAnsi="宋体" w:cs="宋体"/>
          <w:color w:val="auto"/>
          <w:sz w:val="32"/>
          <w:szCs w:val="32"/>
          <w:highlight w:val="none"/>
        </w:rPr>
      </w:pPr>
    </w:p>
    <w:p>
      <w:pPr>
        <w:shd w:val="clear"/>
        <w:spacing w:line="360" w:lineRule="auto"/>
        <w:rPr>
          <w:rFonts w:ascii="宋体" w:hAnsi="宋体" w:cs="宋体"/>
          <w:color w:val="auto"/>
          <w:sz w:val="32"/>
          <w:szCs w:val="32"/>
          <w:highlight w:val="none"/>
        </w:rPr>
      </w:pPr>
    </w:p>
    <w:p>
      <w:pPr>
        <w:shd w:val="clea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竞争性磋商公告</w:t>
      </w:r>
    </w:p>
    <w:p>
      <w:pPr>
        <w:shd w:val="clea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供应商须知</w:t>
      </w:r>
    </w:p>
    <w:p>
      <w:pPr>
        <w:shd w:val="clea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hd w:val="clea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评审办法</w:t>
      </w:r>
    </w:p>
    <w:p>
      <w:pPr>
        <w:shd w:val="clea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hd w:val="clea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hd w:val="clear"/>
        <w:spacing w:line="360" w:lineRule="auto"/>
        <w:ind w:firstLine="1280" w:firstLineChars="400"/>
        <w:rPr>
          <w:rFonts w:ascii="宋体" w:hAnsi="宋体" w:cs="宋体"/>
          <w:color w:val="auto"/>
          <w:sz w:val="32"/>
          <w:szCs w:val="32"/>
          <w:highlight w:val="none"/>
        </w:rPr>
      </w:pPr>
    </w:p>
    <w:p>
      <w:pPr>
        <w:shd w:val="clea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ind w:firstLine="549" w:firstLineChars="229"/>
        <w:rPr>
          <w:rFonts w:ascii="宋体" w:hAnsi="宋体" w:cs="宋体"/>
          <w:color w:val="auto"/>
          <w:sz w:val="24"/>
          <w:highlight w:val="none"/>
        </w:rPr>
      </w:pPr>
    </w:p>
    <w:p>
      <w:pPr>
        <w:shd w:val="clear"/>
        <w:spacing w:line="360" w:lineRule="auto"/>
        <w:rPr>
          <w:rFonts w:ascii="宋体" w:hAnsi="宋体" w:cs="宋体"/>
          <w:color w:val="auto"/>
          <w:sz w:val="24"/>
          <w:highlight w:val="none"/>
        </w:rPr>
      </w:pPr>
    </w:p>
    <w:p>
      <w:pPr>
        <w:pStyle w:val="2"/>
        <w:shd w:val="clear"/>
        <w:bidi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竞争性磋商公告</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hd w:val="clea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刀茅巷(凤起路-东园街)道路整治工程</w:t>
      </w:r>
      <w:r>
        <w:rPr>
          <w:rFonts w:hint="eastAsia" w:ascii="宋体" w:hAnsi="宋体" w:cs="宋体"/>
          <w:color w:val="auto"/>
          <w:sz w:val="24"/>
          <w:highlight w:val="none"/>
        </w:rPr>
        <w:t>采购项目的潜在供应商应在政采云平台（</w:t>
      </w:r>
      <w:r>
        <w:rPr>
          <w:color w:val="auto"/>
          <w:highlight w:val="none"/>
        </w:rPr>
        <w:fldChar w:fldCharType="begin"/>
      </w:r>
      <w:r>
        <w:rPr>
          <w:color w:val="auto"/>
          <w:highlight w:val="none"/>
        </w:rPr>
        <w:instrText xml:space="preserve"> HYPERLINK "https://www.zcygov.cn/）获取（下载）招标文件，并于2021年" </w:instrText>
      </w:r>
      <w:r>
        <w:rPr>
          <w:color w:val="auto"/>
          <w:highlight w:val="none"/>
        </w:rPr>
        <w:fldChar w:fldCharType="separate"/>
      </w:r>
      <w:r>
        <w:rPr>
          <w:rStyle w:val="77"/>
          <w:rFonts w:hint="eastAsia" w:ascii="宋体" w:hAnsi="宋体" w:eastAsia="宋体" w:cs="宋体"/>
          <w:snapToGrid/>
          <w:color w:val="auto"/>
          <w:kern w:val="2"/>
          <w:sz w:val="24"/>
          <w:szCs w:val="24"/>
          <w:highlight w:val="none"/>
        </w:rPr>
        <w:t>https://www.zcygov.cn/）获取（下载）采购文件，并于</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u w:val="singl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提交（上传）响应文件。</w:t>
      </w: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hd w:val="clear"/>
        <w:snapToGrid w:val="0"/>
        <w:spacing w:line="360" w:lineRule="auto"/>
        <w:ind w:firstLine="482" w:firstLineChars="200"/>
        <w:rPr>
          <w:rFonts w:hint="eastAsia" w:ascii="宋体" w:hAnsi="宋体" w:eastAsia="宋体" w:cs="宋体"/>
          <w:b w:val="0"/>
          <w:bCs/>
          <w:color w:val="auto"/>
          <w:sz w:val="24"/>
          <w:highlight w:val="none"/>
          <w:lang w:eastAsia="zh-CN"/>
        </w:rPr>
      </w:pPr>
      <w:r>
        <w:rPr>
          <w:rFonts w:hint="eastAsia" w:ascii="宋体" w:hAnsi="宋体" w:cs="宋体"/>
          <w:b/>
          <w:bCs w:val="0"/>
          <w:color w:val="auto"/>
          <w:sz w:val="24"/>
          <w:highlight w:val="none"/>
        </w:rPr>
        <w:t>项目编号：</w:t>
      </w:r>
      <w:r>
        <w:rPr>
          <w:rFonts w:hint="eastAsia" w:ascii="宋体" w:hAnsi="宋体" w:cs="宋体"/>
          <w:b w:val="0"/>
          <w:bCs/>
          <w:color w:val="auto"/>
          <w:sz w:val="24"/>
          <w:highlight w:val="none"/>
        </w:rPr>
        <w:t>HJZX202401002</w:t>
      </w:r>
    </w:p>
    <w:p>
      <w:pPr>
        <w:shd w:val="clear"/>
        <w:snapToGrid w:val="0"/>
        <w:spacing w:line="360" w:lineRule="auto"/>
        <w:ind w:firstLine="482" w:firstLineChars="200"/>
        <w:rPr>
          <w:rFonts w:hint="eastAsia" w:ascii="宋体" w:hAnsi="宋体" w:eastAsia="宋体" w:cs="宋体"/>
          <w:color w:val="auto"/>
          <w:sz w:val="24"/>
          <w:highlight w:val="none"/>
          <w:lang w:eastAsia="zh-CN"/>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刀茅巷(凤起路-东园街)道路整治工程</w:t>
      </w:r>
    </w:p>
    <w:p>
      <w:pPr>
        <w:shd w:val="clea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 w:val="0"/>
          <w:bCs/>
          <w:color w:val="auto"/>
          <w:sz w:val="24"/>
          <w:highlight w:val="none"/>
          <w:lang w:val="en-US" w:eastAsia="zh-CN"/>
        </w:rPr>
        <w:t>3799330.00</w:t>
      </w:r>
    </w:p>
    <w:p>
      <w:pPr>
        <w:shd w:val="clear"/>
        <w:snapToGrid w:val="0"/>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lang w:val="en-US" w:eastAsia="zh-CN"/>
        </w:rPr>
        <w:t>3799330.00</w:t>
      </w:r>
    </w:p>
    <w:p>
      <w:pPr>
        <w:pStyle w:val="5"/>
        <w:shd w:val="clear"/>
        <w:spacing w:line="360" w:lineRule="auto"/>
        <w:ind w:firstLine="482" w:firstLineChars="20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ascii="宋体" w:hAnsi="宋体" w:cs="仿宋_GB2312"/>
          <w:color w:val="auto"/>
          <w:sz w:val="24"/>
          <w:highlight w:val="none"/>
          <w:u w:val="none"/>
          <w:lang w:val="en-US" w:eastAsia="zh-CN"/>
        </w:rPr>
        <w:t>刀茅巷（凤起路-东园街）道路整治工程为杭州主城区通行道路，项目位于拱墅区，道路南起凤起路，北至光芒巷，全长约337m，道路宽度为14/21米，为双向两车道城市支路，K0+000-K0+120横断面形式为两块板，K0+120-K0+337横断面形式为一块板。道路两侧主要为居民区、学校、医院，人流量较大。现状道路分别于凤起路、东园巷、光芒巷交叉，终点顺接现状刀茅巷北段。主要内容为道路改造、雨水管道及雨水口改造、交通设施、智能交通等</w:t>
      </w:r>
      <w:r>
        <w:rPr>
          <w:rFonts w:hint="eastAsia" w:hAnsi="宋体" w:cs="宋体"/>
          <w:bCs/>
          <w:snapToGrid/>
          <w:color w:val="auto"/>
          <w:kern w:val="2"/>
          <w:sz w:val="24"/>
          <w:szCs w:val="24"/>
          <w:highlight w:val="none"/>
        </w:rPr>
        <w:t>。详见采购文件第三部分采购需求。</w:t>
      </w:r>
    </w:p>
    <w:p>
      <w:pPr>
        <w:pStyle w:val="5"/>
        <w:shd w:val="clear"/>
        <w:spacing w:line="360" w:lineRule="auto"/>
        <w:ind w:firstLine="482" w:firstLineChars="200"/>
        <w:rPr>
          <w:rFonts w:hint="default" w:ascii="宋体" w:hAnsi="宋体" w:eastAsia="宋体" w:cs="宋体"/>
          <w:color w:val="auto"/>
          <w:highlight w:val="none"/>
          <w:lang w:val="en-US" w:eastAsia="zh-CN"/>
        </w:rPr>
      </w:pPr>
      <w:r>
        <w:rPr>
          <w:rFonts w:hint="eastAsia" w:ascii="宋体" w:hAnsi="宋体" w:eastAsia="宋体" w:cs="宋体"/>
          <w:b/>
          <w:color w:val="auto"/>
          <w:sz w:val="24"/>
          <w:highlight w:val="none"/>
        </w:rPr>
        <w:t>合同履约期限：</w:t>
      </w:r>
      <w:r>
        <w:rPr>
          <w:rFonts w:hint="eastAsia" w:ascii="宋体" w:hAnsi="宋体" w:eastAsia="宋体" w:cs="宋体"/>
          <w:b w:val="0"/>
          <w:bCs/>
          <w:color w:val="auto"/>
          <w:sz w:val="24"/>
          <w:highlight w:val="none"/>
          <w:lang w:val="en-US" w:eastAsia="zh-CN"/>
        </w:rPr>
        <w:t>施工工期150日历天。</w:t>
      </w:r>
    </w:p>
    <w:p>
      <w:pPr>
        <w:pStyle w:val="5"/>
        <w:shd w:val="clear"/>
        <w:spacing w:line="360" w:lineRule="auto"/>
        <w:ind w:firstLine="482" w:firstLineChars="200"/>
        <w:rPr>
          <w:rFonts w:hAnsi="宋体" w:cs="宋体"/>
          <w:color w:val="auto"/>
          <w:kern w:val="0"/>
          <w:sz w:val="24"/>
          <w:highlight w:val="none"/>
        </w:rPr>
      </w:pPr>
      <w:r>
        <w:rPr>
          <w:rFonts w:hint="eastAsia" w:hAnsi="宋体" w:cs="宋体"/>
          <w:b/>
          <w:color w:val="auto"/>
          <w:sz w:val="24"/>
          <w:highlight w:val="none"/>
        </w:rPr>
        <w:t>本项目接受联合体：</w:t>
      </w:r>
      <w:sdt>
        <w:sdtPr>
          <w:rPr>
            <w:rFonts w:hint="eastAsia" w:ascii="宋体" w:hAnsi="宋体" w:eastAsia="宋体" w:cs="宋体"/>
            <w:b w:val="0"/>
            <w:bCs w:val="0"/>
            <w:color w:val="auto"/>
            <w:kern w:val="0"/>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b w:val="0"/>
            <w:bCs w:val="0"/>
            <w:color w:val="auto"/>
            <w:kern w:val="0"/>
            <w:sz w:val="24"/>
            <w:highlight w:val="none"/>
          </w:rPr>
        </w:sdtEndPr>
        <w:sdtContent>
          <w:r>
            <w:rPr>
              <w:rFonts w:hint="eastAsia" w:ascii="宋体" w:hAnsi="宋体" w:eastAsia="宋体" w:cs="宋体"/>
              <w:b w:val="0"/>
              <w:bCs w:val="0"/>
              <w:color w:val="auto"/>
              <w:kern w:val="0"/>
              <w:sz w:val="24"/>
              <w:highlight w:val="none"/>
            </w:rPr>
            <w:sym w:font="Wingdings" w:char="F0FE"/>
          </w:r>
        </w:sdtContent>
      </w:sdt>
      <w:r>
        <w:rPr>
          <w:rFonts w:hint="eastAsia" w:ascii="宋体" w:hAnsi="宋体" w:eastAsia="宋体" w:cs="宋体"/>
          <w:b w:val="0"/>
          <w:bCs w:val="0"/>
          <w:color w:val="auto"/>
          <w:sz w:val="24"/>
          <w:highlight w:val="none"/>
        </w:rPr>
        <w:t>是</w:t>
      </w:r>
      <w:r>
        <w:rPr>
          <w:rFonts w:hint="eastAsia" w:ascii="宋体" w:hAnsi="宋体" w:eastAsia="宋体" w:cs="宋体"/>
          <w:b w:val="0"/>
          <w:bCs w:val="0"/>
          <w:color w:val="auto"/>
          <w:kern w:val="0"/>
          <w:sz w:val="24"/>
          <w:highlight w:val="none"/>
        </w:rPr>
        <w:t>。</w:t>
      </w: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二、</w:t>
      </w:r>
      <w:bookmarkStart w:id="11" w:name="_Hlk101132948"/>
      <w:r>
        <w:rPr>
          <w:rFonts w:hint="eastAsia" w:ascii="宋体" w:hAnsi="宋体" w:cs="宋体"/>
          <w:b/>
          <w:color w:val="auto"/>
          <w:sz w:val="24"/>
          <w:highlight w:val="none"/>
        </w:rPr>
        <w:t>申请人的资格要求</w:t>
      </w:r>
      <w:bookmarkEnd w:id="11"/>
      <w:r>
        <w:rPr>
          <w:rFonts w:hint="eastAsia" w:ascii="宋体" w:hAnsi="宋体" w:cs="宋体"/>
          <w:b/>
          <w:color w:val="auto"/>
          <w:sz w:val="24"/>
          <w:highlight w:val="none"/>
        </w:rPr>
        <w:t>：</w:t>
      </w:r>
    </w:p>
    <w:p>
      <w:pPr>
        <w:keepNext w:val="0"/>
        <w:keepLines w:val="0"/>
        <w:pageBreakBefore w:val="0"/>
        <w:widowControl w:val="0"/>
        <w:shd w:val="clear"/>
        <w:kinsoku/>
        <w:wordWrap w:val="0"/>
        <w:overflowPunct/>
        <w:topLinePunct w:val="0"/>
        <w:autoSpaceDE/>
        <w:autoSpaceDN/>
        <w:bidi w:val="0"/>
        <w:adjustRightInd w:val="0"/>
        <w:snapToGrid/>
        <w:spacing w:line="360" w:lineRule="auto"/>
        <w:ind w:firstLine="482"/>
        <w:textAlignment w:val="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1.满足《中华人民共和国政府采购法》第二十二条规定；未被“信用中国”（www.creditchina.gov.cn)、中国政府采购网（www.ccgp.gov.cn）列入失信被</w:t>
      </w:r>
      <w:r>
        <w:rPr>
          <w:rFonts w:hint="eastAsia" w:ascii="宋体" w:hAnsi="宋体" w:eastAsia="宋体" w:cs="宋体"/>
          <w:snapToGrid w:val="0"/>
          <w:color w:val="auto"/>
          <w:kern w:val="28"/>
          <w:sz w:val="24"/>
          <w:szCs w:val="20"/>
          <w:highlight w:val="none"/>
        </w:rPr>
        <w:t>执行人、税收违法黑名单、</w:t>
      </w:r>
      <w:r>
        <w:rPr>
          <w:rFonts w:hint="eastAsia" w:ascii="宋体" w:hAnsi="宋体" w:cs="宋体"/>
          <w:snapToGrid w:val="0"/>
          <w:color w:val="auto"/>
          <w:kern w:val="28"/>
          <w:sz w:val="24"/>
          <w:szCs w:val="20"/>
          <w:highlight w:val="none"/>
        </w:rPr>
        <w:t>政府采购严重违法失信行为记录名单；</w:t>
      </w:r>
    </w:p>
    <w:p>
      <w:pPr>
        <w:shd w:val="clea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hint="eastAsia" w:ascii="宋体" w:hAnsi="宋体" w:eastAsia="宋体" w:cs="宋体"/>
          <w:snapToGrid w:val="0"/>
          <w:color w:val="auto"/>
          <w:kern w:val="28"/>
          <w:sz w:val="24"/>
          <w:szCs w:val="20"/>
          <w:highlight w:val="none"/>
        </w:rPr>
        <w:t>2.以联合体形式参与的，提供联合协议(本项目不接受联合体或者供应商不以联合体形式参与的，则不需要提供) ；</w:t>
      </w:r>
    </w:p>
    <w:p>
      <w:pPr>
        <w:shd w:val="clea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hd w:val="clea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无；</w:t>
      </w:r>
    </w:p>
    <w:p>
      <w:pPr>
        <w:shd w:val="clea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hd w:val="clear"/>
        <w:spacing w:line="360" w:lineRule="auto"/>
        <w:ind w:firstLine="897" w:firstLineChars="374"/>
        <w:rPr>
          <w:rFonts w:ascii="宋体" w:hAnsi="宋体" w:cs="宋体"/>
          <w:color w:val="auto"/>
          <w:sz w:val="24"/>
          <w:highlight w:val="none"/>
          <w:u w:val="single"/>
        </w:rPr>
      </w:pPr>
      <w:sdt>
        <w:sdtPr>
          <w:rPr>
            <w:rFonts w:hint="eastAsia" w:ascii="宋体" w:hAnsi="宋体" w:cs="宋体"/>
            <w:color w:val="auto"/>
            <w:kern w:val="0"/>
            <w:sz w:val="24"/>
            <w:highlight w:val="none"/>
          </w:rPr>
          <w:id w:val="-924730588"/>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工程全部由符合政策要求的中小企业承建，提供中小企业声明函；</w:t>
      </w:r>
    </w:p>
    <w:p>
      <w:pPr>
        <w:shd w:val="clea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115260493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工程全部由符合政策要求的小微企业承建，提供中小企业声明函；</w:t>
      </w:r>
    </w:p>
    <w:p>
      <w:pPr>
        <w:shd w:val="clea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bookmarkStart w:id="12" w:name="_Hlk101132524"/>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如果供应商本身提供所有标的均由中小企业承建，并相应达到了前述比例要求，视同符合了资格条件，无需再与其他中小企业组成联合体参加政府采购活动，无需提供联合协议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bookmarkEnd w:id="12"/>
    <w:p>
      <w:pPr>
        <w:shd w:val="clea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w:t>
      </w:r>
      <w:r>
        <w:rPr>
          <w:rFonts w:hint="eastAsia" w:ascii="宋体" w:hAnsi="宋体" w:cs="宋体"/>
          <w:color w:val="auto"/>
          <w:spacing w:val="8"/>
          <w:kern w:val="0"/>
          <w:sz w:val="24"/>
          <w:highlight w:val="none"/>
        </w:rPr>
        <w:t>如果供应商本身提供所有标的均由中小企业承建，并相应达到了前述比例要求，视同符合了资格条件，无需再向中小企业分包，无需提供分包意向协议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0"/>
        </w:numPr>
        <w:shd w:val="clear"/>
        <w:spacing w:line="360" w:lineRule="auto"/>
        <w:ind w:firstLine="480" w:firstLineChars="200"/>
        <w:rPr>
          <w:rFonts w:hint="eastAsia" w:ascii="宋体" w:hAnsi="宋体" w:cs="宋体"/>
          <w:color w:val="auto"/>
          <w:sz w:val="24"/>
          <w:highlight w:val="none"/>
        </w:rPr>
      </w:pPr>
      <w:r>
        <w:rPr>
          <w:rFonts w:hint="eastAsia" w:ascii="宋体" w:hAnsi="宋体" w:eastAsia="宋体" w:cs="宋体"/>
          <w:color w:val="auto"/>
          <w:kern w:val="2"/>
          <w:sz w:val="24"/>
          <w:szCs w:val="24"/>
          <w:highlight w:val="none"/>
          <w:lang w:val="en-US" w:eastAsia="zh-CN" w:bidi="ar-SA"/>
        </w:rPr>
        <w:t>4.</w:t>
      </w:r>
      <w:r>
        <w:rPr>
          <w:rFonts w:hint="eastAsia" w:ascii="宋体" w:hAnsi="宋体" w:cs="宋体"/>
          <w:color w:val="auto"/>
          <w:sz w:val="24"/>
          <w:highlight w:val="none"/>
        </w:rPr>
        <w:t>本项目的特定资格要求：</w:t>
      </w:r>
    </w:p>
    <w:p>
      <w:pPr>
        <w:numPr>
          <w:ilvl w:val="-1"/>
          <w:numId w:val="0"/>
        </w:numPr>
        <w:shd w:val="clear"/>
        <w:spacing w:line="360" w:lineRule="auto"/>
        <w:ind w:firstLine="480" w:firstLineChars="200"/>
        <w:rPr>
          <w:rFonts w:hint="eastAsia" w:ascii="宋体" w:hAnsi="宋体"/>
          <w:color w:val="auto"/>
          <w:sz w:val="24"/>
          <w:highlight w:val="none"/>
          <w:u w:val="none"/>
        </w:rPr>
      </w:pPr>
      <w:r>
        <w:rPr>
          <w:rFonts w:hint="eastAsia" w:ascii="宋体" w:hAnsi="宋体"/>
          <w:color w:val="auto"/>
          <w:sz w:val="24"/>
          <w:highlight w:val="none"/>
          <w:u w:val="none"/>
        </w:rPr>
        <w:t>（1）供应商具有市政公用工程施工总承包叁级及以上资质；</w:t>
      </w:r>
    </w:p>
    <w:p>
      <w:pPr>
        <w:shd w:val="clear"/>
        <w:spacing w:line="360" w:lineRule="auto"/>
        <w:ind w:firstLine="480" w:firstLineChars="200"/>
        <w:rPr>
          <w:rFonts w:hint="eastAsia" w:ascii="宋体" w:hAnsi="宋体"/>
          <w:color w:val="auto"/>
          <w:sz w:val="24"/>
          <w:highlight w:val="none"/>
          <w:u w:val="none"/>
        </w:rPr>
      </w:pPr>
      <w:r>
        <w:rPr>
          <w:rFonts w:hint="eastAsia" w:ascii="宋体" w:hAnsi="宋体"/>
          <w:color w:val="auto"/>
          <w:sz w:val="24"/>
          <w:highlight w:val="none"/>
          <w:u w:val="none"/>
        </w:rPr>
        <w:t>（2）供应商具有企业安全生产许可证；企业主要负责人（法定代表人、企业经理、企业分管安全生产的副经理、企业技术负责人）具有“三类人员”A类证书，企业经理、企业分管安全生产的副经理、企业技术负责人具有企业任命书；拟派现场安全管理人员具有“三类人员”C类证书；</w:t>
      </w:r>
    </w:p>
    <w:p>
      <w:pPr>
        <w:shd w:val="clea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（3）拟派项目经理具有市政公用工程专业二级</w:t>
      </w:r>
      <w:r>
        <w:rPr>
          <w:rFonts w:hint="eastAsia" w:ascii="宋体" w:hAnsi="宋体"/>
          <w:color w:val="auto"/>
          <w:sz w:val="24"/>
          <w:highlight w:val="none"/>
          <w:u w:val="none"/>
          <w:lang w:val="en-US" w:eastAsia="zh-CN"/>
        </w:rPr>
        <w:t>及</w:t>
      </w:r>
      <w:r>
        <w:rPr>
          <w:rFonts w:hint="eastAsia" w:ascii="宋体" w:hAnsi="宋体"/>
          <w:color w:val="auto"/>
          <w:sz w:val="24"/>
          <w:highlight w:val="none"/>
          <w:u w:val="none"/>
        </w:rPr>
        <w:t>以上建造师注册证书和“三类人员”B类证书；</w:t>
      </w:r>
    </w:p>
    <w:p>
      <w:pPr>
        <w:shd w:val="clear"/>
        <w:spacing w:line="360" w:lineRule="auto"/>
        <w:ind w:firstLine="480" w:firstLineChars="200"/>
        <w:rPr>
          <w:rFonts w:ascii="宋体" w:hAnsi="宋体" w:cs="宋体"/>
          <w:color w:val="auto"/>
          <w:sz w:val="24"/>
          <w:highlight w:val="none"/>
          <w:u w:val="none"/>
        </w:rPr>
      </w:pPr>
      <w:r>
        <w:rPr>
          <w:rFonts w:hint="eastAsia" w:ascii="宋体" w:hAnsi="宋体"/>
          <w:color w:val="auto"/>
          <w:sz w:val="24"/>
          <w:highlight w:val="none"/>
          <w:u w:val="none"/>
        </w:rPr>
        <w:t>（4）拟派项目经理无在建工程，提供无在建工程书面承诺。</w:t>
      </w:r>
    </w:p>
    <w:p>
      <w:pPr>
        <w:shd w:val="clea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三、获取采购文件 </w:t>
      </w:r>
    </w:p>
    <w:p>
      <w:pPr>
        <w:shd w:val="clea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hd w:val="clea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hd w:val="clea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hd w:val="clea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四、响应文件提交（上传）</w:t>
      </w:r>
    </w:p>
    <w:p>
      <w:pPr>
        <w:shd w:val="clea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截止时间：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hd w:val="clea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hd w:val="clea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五、响应文件开启 </w:t>
      </w:r>
    </w:p>
    <w:p>
      <w:pPr>
        <w:shd w:val="clea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开启时间：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02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23</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09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w:t>
      </w:r>
    </w:p>
    <w:p>
      <w:pPr>
        <w:shd w:val="clea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政采云平台（https://www.zcygov.cn/）</w:t>
      </w:r>
    </w:p>
    <w:p>
      <w:pPr>
        <w:shd w:val="clea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六、公告期限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自本公告发布之日起3个工作日。</w:t>
      </w: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七、其他补充事宜</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w:t>
      </w:r>
      <w:r>
        <w:rPr>
          <w:rFonts w:hint="eastAsia" w:ascii="宋体" w:hAnsi="宋体" w:eastAsia="宋体" w:cs="宋体"/>
          <w:color w:val="auto"/>
          <w:sz w:val="24"/>
          <w:highlight w:val="none"/>
        </w:rPr>
        <w:t>、</w:t>
      </w:r>
      <w:r>
        <w:rPr>
          <w:rFonts w:hint="eastAsia" w:ascii="宋体" w:hAnsi="宋体" w:eastAsia="宋体" w:cs="宋体"/>
          <w:b/>
          <w:bCs/>
          <w:color w:val="auto"/>
          <w:sz w:val="24"/>
          <w:highlight w:val="none"/>
        </w:rPr>
        <w:t>《浙江省财政厅关于进一步加大政府采购 支持中小企业力度 助力扎实稳住经济 的通知》（浙财采监〔2022〕8号）</w:t>
      </w:r>
      <w:r>
        <w:rPr>
          <w:rFonts w:hint="eastAsia" w:ascii="宋体" w:hAnsi="宋体" w:eastAsia="宋体" w:cs="宋体"/>
          <w:color w:val="auto"/>
          <w:sz w:val="24"/>
          <w:highlight w:val="none"/>
        </w:rPr>
        <w:t>已分别于2022年1月29日、2022年2月1日和2022年7月1日开始实施，此前有关规定与上述文件内容</w:t>
      </w:r>
      <w:r>
        <w:rPr>
          <w:rFonts w:hint="eastAsia" w:ascii="宋体" w:hAnsi="宋体" w:cs="宋体"/>
          <w:color w:val="auto"/>
          <w:sz w:val="24"/>
          <w:highlight w:val="none"/>
        </w:rPr>
        <w:t>不一致的，按上述文件要求执行。</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采购文件的第二部分总则。（2）电子交易的说明：①电子交易：本项目以数据电文形式，依托“政府采购云平台（www.zcygov.cn）”进行招投标活动，不接受纸质响应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投标文件”、“标书关联”、“标书检查”、“电子签名”、“生成电子标书”等操作；⑤采购人、采购机构将依托政采云平台完成本项目的电子交易活动，平台不接受未按上述方式获取采购文件的供应商进行投标活动； ⑥对未按上述方式获取采购文件的供应商对该文件提出的质疑，采购人或采购代理机构将不予处理；⑦不提供采购文件纸质版；⑧响应文件的传输递交：供应商在响应文件提交（上传）截止时间前将加密的响应文件上传至政府采购云平台，还可以在响应文件提交（上传）截止时间前直接提交或者以邮政快递方式递交备份响应文件1份。备份响应文件的制作、存储、密封详见采购文件第二部分第15点—“备份响应文件”；⑨响应文件的解密：供应商按照平台提示和采购文件的规定在半小时内完成在线解密。通过“政府采购云平台”上传递交的响应文件无法按时解密，供应商递交了备份响应文件的，以备份响应文件为依据，否则视为响应文件撤回。通过“政府采购云平台”上传递交的响应文件已按时解密的，备份响应文件自动失效。供应商仅提交备份响应文件，未在电子交易平台传输递交响应文件的，响应文件无效；⑩具体操作指南：详见政采云平台“服务中心-帮助文档-项目采购-操作流程-电子招投标-政府采购项目电子交易管理操作指南-供应商”。（3）采购文件公告期限与竞争性磋商公告的公告期限一致。</w:t>
      </w: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八、对本次采购提出询问、质疑、投诉，请按以下方式联系</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杭州市拱墅区城市建设管理服务中心</w:t>
      </w:r>
      <w:r>
        <w:rPr>
          <w:rFonts w:hint="eastAsia" w:ascii="宋体" w:hAnsi="宋体" w:cs="宋体"/>
          <w:color w:val="auto"/>
          <w:sz w:val="24"/>
          <w:highlight w:val="none"/>
        </w:rPr>
        <w:t xml:space="preserve"> </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地    址：杭州市拱墅区祥符街道北城街55号       </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    真： /</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项目联系人（询问）：肖工  </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项目联系方式（询问）：0571-89507756</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质疑联系人：洪工</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质疑联系方式：0571-89507755</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hd w:val="clear"/>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名    称：</w:t>
      </w:r>
      <w:r>
        <w:rPr>
          <w:rFonts w:hint="eastAsia" w:ascii="宋体" w:hAnsi="宋体" w:cs="宋体"/>
          <w:color w:val="auto"/>
          <w:sz w:val="24"/>
          <w:highlight w:val="none"/>
          <w:lang w:val="en-US" w:eastAsia="zh-CN"/>
        </w:rPr>
        <w:t>杭州建设工程造价咨询有限公司</w:t>
      </w:r>
    </w:p>
    <w:p>
      <w:pPr>
        <w:shd w:val="clear"/>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    址：</w:t>
      </w:r>
      <w:r>
        <w:rPr>
          <w:rFonts w:hint="eastAsia" w:ascii="宋体" w:hAnsi="宋体" w:cs="宋体"/>
          <w:color w:val="auto"/>
          <w:sz w:val="24"/>
          <w:highlight w:val="none"/>
          <w:lang w:val="en-US" w:eastAsia="zh-CN"/>
        </w:rPr>
        <w:t>杭州市萧山区民和路481号联合中心北区D座4楼</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传    真：/             </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李月园</w:t>
      </w:r>
      <w:r>
        <w:rPr>
          <w:rFonts w:hint="eastAsia" w:ascii="宋体" w:hAnsi="宋体" w:cs="宋体"/>
          <w:color w:val="auto"/>
          <w:sz w:val="24"/>
          <w:highlight w:val="none"/>
        </w:rPr>
        <w:t xml:space="preserve">          </w:t>
      </w:r>
    </w:p>
    <w:p>
      <w:pPr>
        <w:shd w:val="clear"/>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17681859928</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质疑联系人：周晓斌              </w:t>
      </w:r>
    </w:p>
    <w:p>
      <w:pPr>
        <w:shd w:val="clear"/>
        <w:snapToGri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质疑联系方式：0571-87831518</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3.同级政府采购监督管理部门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称：杭州市拱墅区财政局、浙江省政府采购行政裁决服务中心（杭州）</w:t>
      </w:r>
    </w:p>
    <w:p>
      <w:pPr>
        <w:shd w:val="clea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    址：杭州市上城区四季青街道新业路市民之家G03办公室</w:t>
      </w:r>
    </w:p>
    <w:p>
      <w:pPr>
        <w:shd w:val="clea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    真： /</w:t>
      </w:r>
    </w:p>
    <w:p>
      <w:pPr>
        <w:shd w:val="clea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联系人 ：朱女士</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王女士</w:t>
      </w:r>
    </w:p>
    <w:p>
      <w:pPr>
        <w:shd w:val="clea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监督投诉电话：电话：0571-85252453    </w:t>
      </w:r>
    </w:p>
    <w:p>
      <w:pPr>
        <w:shd w:val="clear"/>
        <w:snapToGrid w:val="0"/>
        <w:spacing w:line="360" w:lineRule="auto"/>
        <w:ind w:firstLine="0" w:firstLineChars="0"/>
        <w:rPr>
          <w:rFonts w:hint="eastAsia" w:ascii="宋体" w:hAnsi="宋体" w:cs="宋体"/>
          <w:color w:val="auto"/>
          <w:sz w:val="24"/>
          <w:highlight w:val="none"/>
        </w:rPr>
      </w:pPr>
      <w:r>
        <w:rPr>
          <w:rFonts w:hint="eastAsia" w:ascii="宋体" w:hAnsi="宋体" w:cs="宋体"/>
          <w:color w:val="auto"/>
          <w:sz w:val="24"/>
          <w:highlight w:val="none"/>
        </w:rPr>
        <w:t xml:space="preserve">     </w:t>
      </w:r>
    </w:p>
    <w:p>
      <w:pPr>
        <w:shd w:val="clear"/>
        <w:bidi w:val="0"/>
        <w:rPr>
          <w:rFonts w:hint="eastAsia"/>
          <w:color w:val="auto"/>
          <w:highlight w:val="none"/>
        </w:rPr>
      </w:pPr>
    </w:p>
    <w:p>
      <w:pPr>
        <w:shd w:val="clear"/>
        <w:snapToGrid w:val="0"/>
        <w:spacing w:line="360"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若对项目采购电子交易系统操作有疑问，可登录政采云（https://www.zcygov.cn/），点击右侧咨询小采，获取采小蜜智能服务管家帮助，或拨打政采云服务热线400-881-7190获取热线服务帮助。</w:t>
      </w:r>
    </w:p>
    <w:p>
      <w:pPr>
        <w:shd w:val="clear"/>
        <w:snapToGrid w:val="0"/>
        <w:spacing w:line="360" w:lineRule="auto"/>
        <w:ind w:firstLine="440" w:firstLineChars="200"/>
        <w:rPr>
          <w:rFonts w:ascii="宋体" w:hAnsi="宋体" w:cs="宋体"/>
          <w:color w:val="auto"/>
          <w:sz w:val="24"/>
          <w:highlight w:val="none"/>
        </w:rPr>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992" w:gutter="0"/>
          <w:cols w:space="720" w:num="1"/>
          <w:titlePg/>
          <w:docGrid w:linePitch="312" w:charSpace="0"/>
        </w:sectPr>
      </w:pPr>
      <w:r>
        <w:rPr>
          <w:rFonts w:hint="eastAsia" w:ascii="宋体" w:hAnsi="宋体" w:cs="宋体"/>
          <w:color w:val="auto"/>
          <w:sz w:val="22"/>
          <w:szCs w:val="22"/>
          <w:highlight w:val="none"/>
        </w:rPr>
        <w:t>CA问题联系电话（人工）：汇信CA 400-888-4636；天谷CA 400-087-8198。</w:t>
      </w:r>
    </w:p>
    <w:p>
      <w:pPr>
        <w:pStyle w:val="2"/>
        <w:shd w:val="clear"/>
        <w:bidi w:val="0"/>
        <w:ind w:left="0" w:firstLine="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供应商须知</w:t>
      </w:r>
      <w:bookmarkEnd w:id="9"/>
    </w:p>
    <w:p>
      <w:pPr>
        <w:pStyle w:val="3"/>
        <w:shd w:val="clear"/>
        <w:bidi w:val="0"/>
        <w:rPr>
          <w:color w:val="auto"/>
          <w:highlight w:val="none"/>
        </w:rPr>
      </w:pPr>
      <w:r>
        <w:rPr>
          <w:rFonts w:hint="eastAsia"/>
          <w:color w:val="auto"/>
          <w:highlight w:val="none"/>
        </w:rPr>
        <w:t>前附表</w:t>
      </w:r>
    </w:p>
    <w:tbl>
      <w:tblPr>
        <w:tblStyle w:val="63"/>
        <w:tblW w:w="97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14"/>
        <w:gridCol w:w="2093"/>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序号</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事项</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61" w:hRule="atLeast"/>
        </w:trPr>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2</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kern w:val="0"/>
                <w:sz w:val="24"/>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lang w:eastAsia="zh-CN"/>
              </w:rPr>
              <w:t>刀茅巷(凤起路-东园街)道路整治工程</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建筑业 </w:t>
            </w:r>
            <w:r>
              <w:rPr>
                <w:rFonts w:hint="eastAsia" w:ascii="宋体" w:hAnsi="宋体" w:cs="宋体"/>
                <w:color w:val="auto"/>
                <w:kern w:val="0"/>
                <w:sz w:val="24"/>
                <w:highlight w:val="none"/>
              </w:rPr>
              <w:t>行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3</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color w:val="auto"/>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4</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分包</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劳务 </w:t>
            </w:r>
            <w:r>
              <w:rPr>
                <w:rFonts w:hint="eastAsia" w:ascii="宋体" w:hAnsi="宋体" w:cs="宋体"/>
                <w:color w:val="auto"/>
                <w:sz w:val="24"/>
                <w:highlight w:val="none"/>
              </w:rPr>
              <w:t>工作分包。</w:t>
            </w:r>
          </w:p>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5</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磋商前答疑会或现场考察</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color w:val="auto"/>
                <w:sz w:val="24"/>
                <w:szCs w:val="20"/>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trPr>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6</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样品提供</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b/>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trPr>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7</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b/>
                <w:color w:val="auto"/>
                <w:kern w:val="0"/>
                <w:sz w:val="24"/>
                <w:highlight w:val="none"/>
                <w:lang w:val="zh-CN"/>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restart"/>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8</w:t>
            </w:r>
          </w:p>
        </w:tc>
        <w:tc>
          <w:tcPr>
            <w:tcW w:w="2093" w:type="dxa"/>
            <w:vMerge w:val="restart"/>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供应商应当提供的资格、资信证明文件</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color w:val="auto"/>
                <w:sz w:val="24"/>
                <w:highlight w:val="none"/>
              </w:rPr>
            </w:pPr>
            <w:r>
              <w:rPr>
                <w:rFonts w:hint="eastAsia" w:ascii="宋体" w:hAnsi="宋体" w:cs="宋体"/>
                <w:color w:val="auto"/>
                <w:sz w:val="24"/>
                <w:highlight w:val="none"/>
              </w:rPr>
              <w:t>（1）资格证明文件：见采购文件第二部分11.1。</w:t>
            </w:r>
          </w:p>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供应商未提供有效的资格证明文件的，视为供应商不具备采购文件中规定的资格要求，响应文件无效。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Merge w:val="continue"/>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hint="eastAsia" w:ascii="宋体" w:hAnsi="宋体" w:cs="宋体"/>
                <w:color w:val="auto"/>
                <w:sz w:val="24"/>
                <w:highlight w:val="none"/>
              </w:rPr>
            </w:pPr>
          </w:p>
        </w:tc>
        <w:tc>
          <w:tcPr>
            <w:tcW w:w="2093" w:type="dxa"/>
            <w:vMerge w:val="continue"/>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hint="eastAsia" w:ascii="宋体" w:hAnsi="宋体" w:cs="宋体"/>
                <w:b/>
                <w:color w:val="auto"/>
                <w:sz w:val="24"/>
                <w:highlight w:val="none"/>
              </w:rPr>
            </w:pP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hint="eastAsia" w:ascii="宋体" w:hAnsi="宋体" w:cs="宋体"/>
                <w:color w:val="auto"/>
                <w:kern w:val="0"/>
                <w:sz w:val="24"/>
                <w:highlight w:val="none"/>
                <w:lang w:val="zh-CN"/>
              </w:rPr>
            </w:pPr>
            <w:r>
              <w:rPr>
                <w:rFonts w:hint="eastAsia" w:ascii="宋体" w:hAnsi="宋体" w:cs="宋体"/>
                <w:color w:val="auto"/>
                <w:sz w:val="24"/>
                <w:highlight w:val="none"/>
              </w:rPr>
              <w:t>（2）资信证明文件：根据采购文件第四部分</w:t>
            </w:r>
            <w:r>
              <w:rPr>
                <w:rFonts w:hint="eastAsia" w:ascii="宋体" w:hAnsi="宋体" w:cs="宋体"/>
                <w:color w:val="auto"/>
                <w:sz w:val="24"/>
                <w:highlight w:val="none"/>
                <w:lang w:eastAsia="zh-CN"/>
              </w:rPr>
              <w:t>“</w:t>
            </w:r>
            <w:r>
              <w:rPr>
                <w:rFonts w:hint="eastAsia" w:ascii="宋体" w:hAnsi="宋体" w:cs="宋体"/>
                <w:color w:val="auto"/>
                <w:sz w:val="24"/>
                <w:highlight w:val="none"/>
              </w:rPr>
              <w:t>评审</w:t>
            </w:r>
            <w:r>
              <w:rPr>
                <w:rFonts w:hint="eastAsia" w:ascii="宋体" w:hAnsi="宋体" w:cs="宋体"/>
                <w:color w:val="auto"/>
                <w:sz w:val="24"/>
                <w:highlight w:val="none"/>
                <w:lang w:val="en-US" w:eastAsia="zh-CN"/>
              </w:rPr>
              <w:t>办法</w:t>
            </w:r>
            <w:r>
              <w:rPr>
                <w:rFonts w:hint="eastAsia" w:ascii="宋体" w:hAnsi="宋体" w:cs="宋体"/>
                <w:color w:val="auto"/>
                <w:sz w:val="24"/>
                <w:highlight w:val="none"/>
                <w:lang w:eastAsia="zh-CN"/>
              </w:rPr>
              <w:t>”</w:t>
            </w:r>
            <w:r>
              <w:rPr>
                <w:rFonts w:hint="eastAsia" w:ascii="宋体" w:hAnsi="宋体" w:cs="宋体"/>
                <w:color w:val="auto"/>
                <w:sz w:val="24"/>
                <w:highlight w:val="none"/>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714" w:type="dxa"/>
            <w:vMerge w:val="continue"/>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p>
        </w:tc>
        <w:tc>
          <w:tcPr>
            <w:tcW w:w="2093" w:type="dxa"/>
            <w:vMerge w:val="continue"/>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color w:val="auto"/>
                <w:sz w:val="24"/>
                <w:highlight w:val="none"/>
              </w:rPr>
            </w:pPr>
            <w:r>
              <w:rPr>
                <w:rFonts w:hint="eastAsia" w:ascii="宋体" w:hAnsi="宋体" w:cs="宋体"/>
                <w:color w:val="auto"/>
                <w:sz w:val="24"/>
                <w:highlight w:val="none"/>
              </w:rPr>
              <w:t>（3）报价文件：见招标文件第二部分11.3条。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9</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10</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报价要求</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left"/>
              <w:textAlignment w:val="auto"/>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color w:val="auto"/>
                <w:sz w:val="24"/>
                <w:highlight w:val="none"/>
              </w:rPr>
              <w:t>报价单是报价的唯一载体</w:t>
            </w:r>
            <w:r>
              <w:rPr>
                <w:rFonts w:hint="eastAsia" w:ascii="宋体" w:hAnsi="宋体" w:cs="宋体"/>
                <w:color w:val="auto"/>
                <w:kern w:val="0"/>
                <w:sz w:val="24"/>
                <w:highlight w:val="none"/>
                <w:lang w:val="zh-CN"/>
              </w:rPr>
              <w:t>。响应文件中价格全部采用人民币报价。采购文件未列明，而供应商认为必需的费用也需列入报价。</w:t>
            </w:r>
            <w:r>
              <w:rPr>
                <w:rFonts w:hint="eastAsia" w:ascii="宋体" w:hAnsi="宋体" w:cs="宋体"/>
                <w:b/>
                <w:color w:val="auto"/>
                <w:kern w:val="0"/>
                <w:sz w:val="24"/>
                <w:highlight w:val="none"/>
                <w:lang w:val="zh-CN"/>
              </w:rPr>
              <w:t>提醒：验收时检测费用由采购人承担，不包含在总价中。</w:t>
            </w:r>
          </w:p>
          <w:p>
            <w:pPr>
              <w:keepNext w:val="0"/>
              <w:keepLines w:val="0"/>
              <w:pageBreakBefore w:val="0"/>
              <w:widowControl w:val="0"/>
              <w:shd w:val="clear"/>
              <w:kinsoku/>
              <w:wordWrap/>
              <w:overflowPunct/>
              <w:topLinePunct w:val="0"/>
              <w:autoSpaceDE/>
              <w:autoSpaceDN/>
              <w:bidi w:val="0"/>
              <w:adjustRightInd w:val="0"/>
              <w:snapToGrid w:val="0"/>
              <w:spacing w:line="380" w:lineRule="exact"/>
              <w:jc w:val="left"/>
              <w:textAlignment w:val="auto"/>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最后报价出现下列情形的，响应文件无效：</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1" w:firstLineChars="100"/>
              <w:jc w:val="left"/>
              <w:textAlignment w:val="auto"/>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响应文件出现不是唯一的、有选择性最后报价的；</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1" w:firstLineChars="100"/>
              <w:jc w:val="left"/>
              <w:textAlignment w:val="auto"/>
              <w:rPr>
                <w:color w:val="auto"/>
                <w:highlight w:val="none"/>
              </w:rPr>
            </w:pPr>
            <w:r>
              <w:rPr>
                <w:rFonts w:hint="eastAsia" w:ascii="宋体" w:hAnsi="宋体" w:cs="宋体"/>
                <w:b/>
                <w:color w:val="auto"/>
                <w:kern w:val="0"/>
                <w:sz w:val="24"/>
                <w:highlight w:val="none"/>
                <w:lang w:val="zh-CN"/>
              </w:rPr>
              <w:t>最后报价超过采购文件中规定的预算金额或者最高限价的;</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1" w:firstLineChars="100"/>
              <w:textAlignment w:val="auto"/>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报价明显低于其他通过符合性审查供应商的报价，有可能影响产品质量或者不能诚信履约的，未能按要求提供书面说明或者提交相关证明材料证明其报价合理性的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1" w:firstLineChars="100"/>
              <w:textAlignment w:val="auto"/>
              <w:rPr>
                <w:rFonts w:ascii="宋体" w:hAnsi="宋体" w:cs="宋体"/>
                <w:color w:val="auto"/>
                <w:sz w:val="24"/>
                <w:highlight w:val="none"/>
              </w:rPr>
            </w:pPr>
            <w:r>
              <w:rPr>
                <w:rFonts w:hint="eastAsia" w:ascii="宋体" w:hAnsi="宋体" w:cs="宋体"/>
                <w:b/>
                <w:color w:val="auto"/>
                <w:kern w:val="0"/>
                <w:sz w:val="24"/>
                <w:highlight w:val="none"/>
              </w:rPr>
              <w:t>供应商对根据修正原则修正后的报价不确认的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64" w:hRule="atLeast"/>
        </w:trPr>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11</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80" w:firstLineChars="200"/>
              <w:textAlignment w:val="auto"/>
              <w:rPr>
                <w:rFonts w:ascii="宋体" w:hAnsi="宋体" w:cs="宋体"/>
                <w:color w:val="auto"/>
                <w:sz w:val="24"/>
                <w:highlight w:val="none"/>
              </w:rPr>
            </w:pPr>
            <w:r>
              <w:rPr>
                <w:rFonts w:hint="eastAsia" w:ascii="宋体" w:hAnsi="宋体" w:cs="宋体"/>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12</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备份响应文件送达地点和签收人员</w:t>
            </w:r>
          </w:p>
        </w:tc>
        <w:tc>
          <w:tcPr>
            <w:tcW w:w="6927" w:type="dxa"/>
            <w:vAlign w:val="center"/>
          </w:tcPr>
          <w:p>
            <w:pPr>
              <w:pStyle w:val="34"/>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lang w:val="en-US" w:eastAsia="zh-CN"/>
              </w:rPr>
              <w:t>1、</w:t>
            </w:r>
            <w:r>
              <w:rPr>
                <w:rFonts w:hint="eastAsia" w:ascii="宋体" w:hAnsi="宋体" w:eastAsia="宋体" w:cs="宋体"/>
                <w:color w:val="auto"/>
                <w:kern w:val="28"/>
                <w:sz w:val="24"/>
                <w:szCs w:val="24"/>
                <w:highlight w:val="none"/>
              </w:rPr>
              <w:t>备份响应文件送达地点：</w:t>
            </w:r>
            <w:r>
              <w:rPr>
                <w:rFonts w:hint="eastAsia" w:ascii="宋体" w:hAnsi="宋体" w:eastAsia="宋体" w:cs="宋体"/>
                <w:color w:val="auto"/>
                <w:kern w:val="28"/>
                <w:sz w:val="24"/>
                <w:szCs w:val="24"/>
                <w:highlight w:val="none"/>
                <w:u w:val="single"/>
              </w:rPr>
              <w:t>杭州市萧山区联合中心D座4楼代理</w:t>
            </w:r>
            <w:r>
              <w:rPr>
                <w:rFonts w:hint="eastAsia" w:ascii="宋体" w:hAnsi="宋体" w:eastAsia="宋体" w:cs="宋体"/>
                <w:color w:val="auto"/>
                <w:kern w:val="28"/>
                <w:sz w:val="24"/>
                <w:szCs w:val="24"/>
                <w:highlight w:val="none"/>
                <w:u w:val="single"/>
                <w:lang w:val="en-US" w:eastAsia="zh-CN"/>
              </w:rPr>
              <w:t>部</w:t>
            </w:r>
            <w:r>
              <w:rPr>
                <w:rFonts w:hint="eastAsia" w:ascii="宋体" w:hAnsi="宋体" w:eastAsia="宋体" w:cs="宋体"/>
                <w:color w:val="auto"/>
                <w:kern w:val="28"/>
                <w:sz w:val="24"/>
                <w:szCs w:val="24"/>
                <w:highlight w:val="none"/>
                <w:u w:val="single"/>
              </w:rPr>
              <w:t>2</w:t>
            </w:r>
            <w:r>
              <w:rPr>
                <w:rFonts w:hint="eastAsia" w:ascii="宋体" w:hAnsi="宋体" w:eastAsia="宋体" w:cs="宋体"/>
                <w:color w:val="auto"/>
                <w:kern w:val="28"/>
                <w:sz w:val="24"/>
                <w:szCs w:val="24"/>
                <w:highlight w:val="none"/>
              </w:rPr>
              <w:t>；备份响应文件签收人员联系电话：</w:t>
            </w:r>
            <w:r>
              <w:rPr>
                <w:rFonts w:hint="eastAsia" w:ascii="宋体" w:hAnsi="宋体" w:eastAsia="宋体" w:cs="宋体"/>
                <w:color w:val="auto"/>
                <w:kern w:val="28"/>
                <w:sz w:val="24"/>
                <w:szCs w:val="24"/>
                <w:highlight w:val="none"/>
                <w:u w:val="single"/>
                <w:lang w:val="en-US" w:eastAsia="zh-CN"/>
              </w:rPr>
              <w:t>李月园，17681859928</w:t>
            </w:r>
            <w:r>
              <w:rPr>
                <w:rFonts w:hint="eastAsia" w:ascii="宋体" w:hAnsi="宋体" w:eastAsia="宋体" w:cs="宋体"/>
                <w:color w:val="auto"/>
                <w:kern w:val="28"/>
                <w:sz w:val="24"/>
                <w:szCs w:val="24"/>
                <w:highlight w:val="none"/>
              </w:rPr>
              <w:t>。</w:t>
            </w:r>
          </w:p>
          <w:p>
            <w:pPr>
              <w:pStyle w:val="34"/>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hint="eastAsia" w:ascii="宋体" w:hAnsi="宋体" w:eastAsia="宋体" w:cs="宋体"/>
                <w:color w:val="auto"/>
                <w:kern w:val="28"/>
                <w:sz w:val="24"/>
                <w:szCs w:val="24"/>
                <w:highlight w:val="none"/>
              </w:rPr>
            </w:pPr>
            <w:r>
              <w:rPr>
                <w:rFonts w:hint="eastAsia" w:ascii="宋体" w:hAnsi="宋体" w:eastAsia="宋体" w:cs="宋体"/>
                <w:color w:val="auto"/>
                <w:kern w:val="28"/>
                <w:sz w:val="24"/>
                <w:szCs w:val="24"/>
                <w:highlight w:val="none"/>
              </w:rPr>
              <w:t>2、备份投标文件邮寄地址：</w:t>
            </w:r>
            <w:r>
              <w:rPr>
                <w:rFonts w:hint="eastAsia" w:ascii="宋体" w:hAnsi="宋体" w:eastAsia="宋体" w:cs="宋体"/>
                <w:color w:val="auto"/>
                <w:kern w:val="28"/>
                <w:sz w:val="24"/>
                <w:szCs w:val="24"/>
                <w:highlight w:val="none"/>
                <w:u w:val="single"/>
                <w:lang w:val="en-US" w:eastAsia="zh-CN"/>
              </w:rPr>
              <w:t>同上</w:t>
            </w:r>
            <w:r>
              <w:rPr>
                <w:rFonts w:hint="eastAsia" w:ascii="宋体" w:hAnsi="宋体" w:eastAsia="宋体" w:cs="宋体"/>
                <w:color w:val="auto"/>
                <w:kern w:val="28"/>
                <w:sz w:val="24"/>
                <w:szCs w:val="24"/>
                <w:highlight w:val="none"/>
                <w:u w:val="none"/>
                <w:lang w:val="en-US" w:eastAsia="zh-CN"/>
              </w:rPr>
              <w:t>。</w:t>
            </w:r>
            <w:r>
              <w:rPr>
                <w:rFonts w:hint="eastAsia" w:ascii="宋体" w:hAnsi="宋体" w:eastAsia="宋体" w:cs="宋体"/>
                <w:b/>
                <w:bCs/>
                <w:color w:val="auto"/>
                <w:kern w:val="28"/>
                <w:sz w:val="24"/>
                <w:szCs w:val="24"/>
                <w:highlight w:val="none"/>
              </w:rPr>
              <w:t>（注：若采用邮寄方式须保证提前送达代理机构，以免延误开标。）</w:t>
            </w:r>
          </w:p>
          <w:p>
            <w:pPr>
              <w:pStyle w:val="34"/>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hAnsi="宋体" w:cs="宋体"/>
                <w:color w:val="auto"/>
                <w:kern w:val="28"/>
                <w:sz w:val="24"/>
                <w:highlight w:val="none"/>
              </w:rPr>
            </w:pPr>
            <w:r>
              <w:rPr>
                <w:rFonts w:hint="eastAsia" w:ascii="宋体" w:hAnsi="宋体" w:eastAsia="宋体" w:cs="宋体"/>
                <w:b/>
                <w:bCs/>
                <w:color w:val="auto"/>
                <w:kern w:val="28"/>
                <w:sz w:val="24"/>
                <w:szCs w:val="24"/>
                <w:highlight w:val="none"/>
              </w:rPr>
              <w:t>3、供应商可自主选择是否编制备份响应文件。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0" w:hRule="atLeast"/>
        </w:trPr>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13</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其它说明</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714"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color w:val="auto"/>
                <w:sz w:val="24"/>
                <w:highlight w:val="none"/>
              </w:rPr>
            </w:pPr>
            <w:r>
              <w:rPr>
                <w:rFonts w:hint="eastAsia" w:ascii="宋体" w:hAnsi="宋体" w:cs="宋体"/>
                <w:color w:val="auto"/>
                <w:sz w:val="24"/>
                <w:highlight w:val="none"/>
              </w:rPr>
              <w:t>14</w:t>
            </w:r>
          </w:p>
        </w:tc>
        <w:tc>
          <w:tcPr>
            <w:tcW w:w="2093"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jc w:val="center"/>
              <w:textAlignment w:val="auto"/>
              <w:rPr>
                <w:rFonts w:ascii="宋体" w:hAnsi="宋体" w:cs="宋体"/>
                <w:b/>
                <w:color w:val="auto"/>
                <w:sz w:val="24"/>
                <w:highlight w:val="none"/>
              </w:rPr>
            </w:pPr>
            <w:r>
              <w:rPr>
                <w:rFonts w:hint="eastAsia" w:ascii="宋体" w:hAnsi="宋体" w:cs="宋体"/>
                <w:b/>
                <w:color w:val="auto"/>
                <w:sz w:val="24"/>
                <w:highlight w:val="none"/>
              </w:rPr>
              <w:t>采购代理服务费</w:t>
            </w:r>
          </w:p>
        </w:tc>
        <w:tc>
          <w:tcPr>
            <w:tcW w:w="6927" w:type="dxa"/>
            <w:vAlign w:val="center"/>
          </w:tcPr>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hint="eastAsia" w:ascii="宋体" w:hAnsi="宋体" w:eastAsia="宋体" w:cs="宋体"/>
                <w:snapToGrid w:val="0"/>
                <w:color w:val="auto"/>
                <w:kern w:val="28"/>
                <w:sz w:val="24"/>
                <w:highlight w:val="none"/>
              </w:rPr>
            </w:pPr>
            <w:r>
              <w:rPr>
                <w:rFonts w:hint="eastAsia" w:ascii="宋体" w:hAnsi="宋体" w:cs="宋体"/>
                <w:snapToGrid w:val="0"/>
                <w:color w:val="auto"/>
                <w:kern w:val="28"/>
                <w:sz w:val="24"/>
                <w:highlight w:val="none"/>
                <w:lang w:eastAsia="zh-CN"/>
              </w:rPr>
              <w:t>（</w:t>
            </w:r>
            <w:r>
              <w:rPr>
                <w:rFonts w:hint="eastAsia" w:ascii="宋体" w:hAnsi="宋体" w:cs="宋体"/>
                <w:snapToGrid w:val="0"/>
                <w:color w:val="auto"/>
                <w:kern w:val="28"/>
                <w:sz w:val="24"/>
                <w:highlight w:val="none"/>
                <w:lang w:val="en-US" w:eastAsia="zh-CN"/>
              </w:rPr>
              <w:t>1</w:t>
            </w:r>
            <w:r>
              <w:rPr>
                <w:rFonts w:hint="eastAsia" w:ascii="宋体" w:hAnsi="宋体" w:cs="宋体"/>
                <w:snapToGrid w:val="0"/>
                <w:color w:val="auto"/>
                <w:kern w:val="28"/>
                <w:sz w:val="24"/>
                <w:highlight w:val="none"/>
                <w:lang w:eastAsia="zh-CN"/>
              </w:rPr>
              <w:t>）</w:t>
            </w:r>
            <w:r>
              <w:rPr>
                <w:rFonts w:hint="eastAsia" w:ascii="宋体" w:hAnsi="宋体" w:eastAsia="宋体" w:cs="宋体"/>
                <w:snapToGrid w:val="0"/>
                <w:color w:val="auto"/>
                <w:kern w:val="28"/>
                <w:sz w:val="24"/>
                <w:highlight w:val="none"/>
              </w:rPr>
              <w:t>中标人应在接到成交通知书后两个工作日内向采购代理机构支付采购代理服务费，工程造价咨询服务费由两部分组成，由中标人在收到中标通知书的同时支付给采购代理机构。</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0" w:firstLineChars="100"/>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lang w:val="en-US"/>
              </w:rPr>
              <w:t>①</w:t>
            </w:r>
            <w:r>
              <w:rPr>
                <w:rFonts w:hint="eastAsia" w:ascii="宋体" w:hAnsi="宋体" w:eastAsia="宋体" w:cs="宋体"/>
                <w:snapToGrid w:val="0"/>
                <w:color w:val="auto"/>
                <w:kern w:val="28"/>
                <w:sz w:val="24"/>
                <w:highlight w:val="none"/>
              </w:rPr>
              <w:t>采购代理服务费:按人民币《招标代理服务收费管理暂行办法》的通知（计价格[2002]1980号）标准</w:t>
            </w:r>
            <w:r>
              <w:rPr>
                <w:rFonts w:hint="eastAsia" w:ascii="宋体" w:hAnsi="宋体" w:cs="宋体"/>
                <w:snapToGrid w:val="0"/>
                <w:color w:val="auto"/>
                <w:kern w:val="28"/>
                <w:sz w:val="24"/>
                <w:highlight w:val="none"/>
                <w:lang w:val="en-US" w:eastAsia="zh-CN"/>
              </w:rPr>
              <w:t>的80%</w:t>
            </w:r>
            <w:r>
              <w:rPr>
                <w:rFonts w:hint="eastAsia" w:ascii="宋体" w:hAnsi="宋体" w:eastAsia="宋体" w:cs="宋体"/>
                <w:snapToGrid w:val="0"/>
                <w:color w:val="auto"/>
                <w:kern w:val="28"/>
                <w:sz w:val="24"/>
                <w:highlight w:val="none"/>
              </w:rPr>
              <w:t>计取。</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0" w:firstLineChars="100"/>
              <w:textAlignment w:val="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lang w:val="en-US"/>
              </w:rPr>
              <w:t>②</w:t>
            </w:r>
            <w:r>
              <w:rPr>
                <w:rFonts w:hint="eastAsia" w:ascii="宋体" w:hAnsi="宋体" w:eastAsia="宋体" w:cs="宋体"/>
                <w:snapToGrid w:val="0"/>
                <w:color w:val="auto"/>
                <w:kern w:val="28"/>
                <w:sz w:val="24"/>
                <w:highlight w:val="none"/>
              </w:rPr>
              <w:t>工程造价咨询服务费:按《浙江省物价局关于进一步完善工程造价咨询服务</w:t>
            </w:r>
            <w:bookmarkStart w:id="1374" w:name="_GoBack"/>
            <w:bookmarkEnd w:id="1374"/>
            <w:r>
              <w:rPr>
                <w:rFonts w:hint="eastAsia" w:ascii="宋体" w:hAnsi="宋体" w:eastAsia="宋体" w:cs="宋体"/>
                <w:snapToGrid w:val="0"/>
                <w:color w:val="auto"/>
                <w:kern w:val="28"/>
                <w:sz w:val="24"/>
                <w:highlight w:val="none"/>
              </w:rPr>
              <w:t>收费的通知》浙价服[2009]84号</w:t>
            </w:r>
            <w:r>
              <w:rPr>
                <w:rFonts w:hint="eastAsia" w:ascii="宋体" w:hAnsi="宋体" w:eastAsia="宋体" w:cs="宋体"/>
                <w:snapToGrid w:val="0"/>
                <w:color w:val="auto"/>
                <w:kern w:val="28"/>
                <w:sz w:val="24"/>
                <w:highlight w:val="none"/>
                <w:lang w:val="en-US" w:eastAsia="zh-CN"/>
              </w:rPr>
              <w:t>标准</w:t>
            </w:r>
            <w:r>
              <w:rPr>
                <w:rFonts w:hint="eastAsia" w:ascii="宋体" w:hAnsi="宋体" w:cs="宋体"/>
                <w:snapToGrid w:val="0"/>
                <w:color w:val="auto"/>
                <w:kern w:val="28"/>
                <w:sz w:val="24"/>
                <w:highlight w:val="none"/>
                <w:lang w:val="en-US" w:eastAsia="zh-CN"/>
              </w:rPr>
              <w:t>的80%</w:t>
            </w:r>
            <w:r>
              <w:rPr>
                <w:rFonts w:hint="eastAsia" w:ascii="宋体" w:hAnsi="宋体" w:eastAsia="宋体" w:cs="宋体"/>
                <w:snapToGrid w:val="0"/>
                <w:color w:val="auto"/>
                <w:kern w:val="28"/>
                <w:sz w:val="24"/>
                <w:highlight w:val="none"/>
              </w:rPr>
              <w:t>计取。</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0" w:firstLineChars="100"/>
              <w:textAlignment w:val="auto"/>
              <w:rPr>
                <w:rFonts w:hint="eastAsia" w:ascii="宋体" w:hAnsi="宋体" w:eastAsia="宋体" w:cs="宋体"/>
                <w:snapToGrid w:val="0"/>
                <w:color w:val="auto"/>
                <w:kern w:val="28"/>
                <w:sz w:val="24"/>
                <w:highlight w:val="none"/>
                <w:lang w:eastAsia="zh-CN"/>
              </w:rPr>
            </w:pPr>
            <w:r>
              <w:rPr>
                <w:rFonts w:hint="eastAsia" w:ascii="宋体" w:hAnsi="宋体" w:eastAsia="宋体" w:cs="宋体"/>
                <w:snapToGrid w:val="0"/>
                <w:color w:val="auto"/>
                <w:kern w:val="28"/>
                <w:sz w:val="24"/>
                <w:highlight w:val="none"/>
                <w:lang w:val="en-US" w:eastAsia="zh-CN"/>
              </w:rPr>
              <w:t>③</w:t>
            </w:r>
            <w:r>
              <w:rPr>
                <w:rFonts w:hint="eastAsia" w:ascii="宋体" w:hAnsi="宋体" w:eastAsia="宋体" w:cs="宋体"/>
                <w:snapToGrid w:val="0"/>
                <w:color w:val="auto"/>
                <w:kern w:val="28"/>
                <w:sz w:val="24"/>
                <w:highlight w:val="none"/>
              </w:rPr>
              <w:t>若按上述原则计算合计不足壹万元时，则按壹万元收取</w:t>
            </w:r>
            <w:r>
              <w:rPr>
                <w:rFonts w:hint="eastAsia" w:ascii="宋体" w:hAnsi="宋体" w:eastAsia="宋体" w:cs="宋体"/>
                <w:snapToGrid w:val="0"/>
                <w:color w:val="auto"/>
                <w:kern w:val="28"/>
                <w:sz w:val="24"/>
                <w:highlight w:val="none"/>
                <w:lang w:eastAsia="zh-CN"/>
              </w:rPr>
              <w:t>。</w:t>
            </w:r>
          </w:p>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rFonts w:hint="eastAsia" w:ascii="宋体" w:hAnsi="宋体" w:eastAsia="宋体" w:cs="宋体"/>
                <w:snapToGrid w:val="0"/>
                <w:color w:val="auto"/>
                <w:kern w:val="28"/>
                <w:sz w:val="24"/>
                <w:highlight w:val="none"/>
                <w:lang w:val="en-US"/>
              </w:rPr>
            </w:pPr>
            <w:r>
              <w:rPr>
                <w:rFonts w:hint="eastAsia" w:ascii="宋体" w:hAnsi="宋体" w:cs="宋体"/>
                <w:snapToGrid w:val="0"/>
                <w:color w:val="auto"/>
                <w:kern w:val="28"/>
                <w:sz w:val="24"/>
                <w:highlight w:val="none"/>
                <w:lang w:val="en-US" w:eastAsia="zh-CN"/>
              </w:rPr>
              <w:t>（2）采购代理</w:t>
            </w:r>
            <w:r>
              <w:rPr>
                <w:rFonts w:hint="eastAsia" w:ascii="宋体" w:hAnsi="宋体" w:eastAsia="宋体" w:cs="宋体"/>
                <w:snapToGrid w:val="0"/>
                <w:color w:val="auto"/>
                <w:kern w:val="28"/>
                <w:sz w:val="24"/>
                <w:highlight w:val="none"/>
                <w:lang w:val="en-US"/>
              </w:rPr>
              <w:t>服务费的交纳方式：</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0" w:firstLineChars="100"/>
              <w:textAlignment w:val="auto"/>
              <w:rPr>
                <w:rFonts w:hint="eastAsia" w:ascii="宋体" w:hAnsi="宋体" w:eastAsia="宋体" w:cs="宋体"/>
                <w:snapToGrid w:val="0"/>
                <w:color w:val="auto"/>
                <w:kern w:val="28"/>
                <w:sz w:val="24"/>
                <w:highlight w:val="none"/>
                <w:lang w:val="en-US"/>
              </w:rPr>
            </w:pPr>
            <w:r>
              <w:rPr>
                <w:rFonts w:hint="eastAsia" w:ascii="宋体" w:hAnsi="宋体" w:eastAsia="宋体" w:cs="宋体"/>
                <w:snapToGrid w:val="0"/>
                <w:color w:val="auto"/>
                <w:kern w:val="28"/>
                <w:sz w:val="24"/>
                <w:highlight w:val="none"/>
                <w:lang w:val="en-US"/>
              </w:rPr>
              <w:t>①代理服务费缴纳形式：汇票/支票/电汇/现金</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240" w:firstLineChars="100"/>
              <w:textAlignment w:val="auto"/>
              <w:rPr>
                <w:rFonts w:hint="eastAsia" w:ascii="宋体" w:hAnsi="宋体" w:eastAsia="宋体" w:cs="宋体"/>
                <w:snapToGrid w:val="0"/>
                <w:color w:val="auto"/>
                <w:kern w:val="28"/>
                <w:sz w:val="24"/>
                <w:highlight w:val="none"/>
                <w:lang w:val="en-US"/>
              </w:rPr>
            </w:pPr>
            <w:r>
              <w:rPr>
                <w:rFonts w:hint="eastAsia" w:ascii="宋体" w:hAnsi="宋体" w:eastAsia="宋体" w:cs="宋体"/>
                <w:snapToGrid w:val="0"/>
                <w:color w:val="auto"/>
                <w:kern w:val="28"/>
                <w:sz w:val="24"/>
                <w:highlight w:val="none"/>
                <w:lang w:val="en-US"/>
              </w:rPr>
              <w:t>②代理服务费汇入以下账户 ：</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snapToGrid w:val="0"/>
                <w:color w:val="auto"/>
                <w:kern w:val="28"/>
                <w:sz w:val="24"/>
                <w:highlight w:val="none"/>
                <w:lang w:val="en-US"/>
              </w:rPr>
            </w:pPr>
            <w:r>
              <w:rPr>
                <w:rFonts w:hint="eastAsia" w:ascii="宋体" w:hAnsi="宋体" w:eastAsia="宋体" w:cs="宋体"/>
                <w:snapToGrid w:val="0"/>
                <w:color w:val="auto"/>
                <w:kern w:val="28"/>
                <w:sz w:val="24"/>
                <w:highlight w:val="none"/>
                <w:lang w:val="en-US"/>
              </w:rPr>
              <w:t>收款单位（户名）：杭州建设工程造价咨询有限公司</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snapToGrid w:val="0"/>
                <w:color w:val="auto"/>
                <w:kern w:val="28"/>
                <w:sz w:val="24"/>
                <w:highlight w:val="none"/>
                <w:lang w:val="en-US"/>
              </w:rPr>
            </w:pPr>
            <w:r>
              <w:rPr>
                <w:rFonts w:hint="eastAsia" w:ascii="宋体" w:hAnsi="宋体" w:eastAsia="宋体" w:cs="宋体"/>
                <w:snapToGrid w:val="0"/>
                <w:color w:val="auto"/>
                <w:kern w:val="28"/>
                <w:sz w:val="24"/>
                <w:highlight w:val="none"/>
                <w:lang w:val="en-US"/>
              </w:rPr>
              <w:t>开户：杭州联合农村商业银行股份有限公司</w:t>
            </w:r>
          </w:p>
          <w:p>
            <w:pPr>
              <w:keepNext w:val="0"/>
              <w:keepLines w:val="0"/>
              <w:pageBreakBefore w:val="0"/>
              <w:widowControl w:val="0"/>
              <w:shd w:val="clear"/>
              <w:kinsoku/>
              <w:wordWrap/>
              <w:overflowPunct/>
              <w:topLinePunct w:val="0"/>
              <w:autoSpaceDE/>
              <w:autoSpaceDN/>
              <w:bidi w:val="0"/>
              <w:adjustRightInd w:val="0"/>
              <w:snapToGrid w:val="0"/>
              <w:spacing w:line="380" w:lineRule="exact"/>
              <w:ind w:firstLine="480" w:firstLineChars="200"/>
              <w:textAlignment w:val="auto"/>
              <w:rPr>
                <w:rFonts w:hint="eastAsia" w:ascii="宋体" w:hAnsi="宋体" w:eastAsia="宋体" w:cs="宋体"/>
                <w:snapToGrid w:val="0"/>
                <w:color w:val="auto"/>
                <w:kern w:val="28"/>
                <w:sz w:val="24"/>
                <w:highlight w:val="none"/>
                <w:lang w:val="en-US"/>
              </w:rPr>
            </w:pPr>
            <w:r>
              <w:rPr>
                <w:rFonts w:hint="eastAsia" w:ascii="宋体" w:hAnsi="宋体" w:eastAsia="宋体" w:cs="宋体"/>
                <w:snapToGrid w:val="0"/>
                <w:color w:val="auto"/>
                <w:kern w:val="28"/>
                <w:sz w:val="24"/>
                <w:highlight w:val="none"/>
                <w:lang w:val="en-US"/>
              </w:rPr>
              <w:t>账号：201000248104378</w:t>
            </w:r>
          </w:p>
          <w:p>
            <w:pPr>
              <w:keepNext w:val="0"/>
              <w:keepLines w:val="0"/>
              <w:pageBreakBefore w:val="0"/>
              <w:widowControl w:val="0"/>
              <w:shd w:val="clear"/>
              <w:kinsoku/>
              <w:wordWrap/>
              <w:overflowPunct/>
              <w:topLinePunct w:val="0"/>
              <w:autoSpaceDE/>
              <w:autoSpaceDN/>
              <w:bidi w:val="0"/>
              <w:adjustRightInd w:val="0"/>
              <w:snapToGrid w:val="0"/>
              <w:spacing w:line="380" w:lineRule="exact"/>
              <w:textAlignment w:val="auto"/>
              <w:rPr>
                <w:color w:val="auto"/>
                <w:highlight w:val="none"/>
              </w:rPr>
            </w:pPr>
            <w:r>
              <w:rPr>
                <w:rFonts w:hint="eastAsia" w:ascii="宋体" w:hAnsi="宋体" w:eastAsia="宋体" w:cs="宋体"/>
                <w:b/>
                <w:bCs/>
                <w:snapToGrid w:val="0"/>
                <w:color w:val="auto"/>
                <w:kern w:val="28"/>
                <w:sz w:val="24"/>
                <w:highlight w:val="none"/>
                <w:lang w:val="en-US" w:eastAsia="zh-CN"/>
              </w:rPr>
              <w:t>备注：采购代理服务费在报价表中不单列报价子项，由投标人自行考虑在企业运营成本等或各投标报价中。</w:t>
            </w:r>
          </w:p>
        </w:tc>
      </w:tr>
    </w:tbl>
    <w:p>
      <w:pPr>
        <w:shd w:val="clear"/>
        <w:snapToGrid w:val="0"/>
        <w:spacing w:line="360" w:lineRule="auto"/>
        <w:jc w:val="center"/>
        <w:rPr>
          <w:rFonts w:ascii="宋体" w:hAnsi="宋体" w:cs="宋体"/>
          <w:b/>
          <w:color w:val="auto"/>
          <w:sz w:val="32"/>
          <w:szCs w:val="20"/>
          <w:highlight w:val="none"/>
        </w:rPr>
      </w:pPr>
    </w:p>
    <w:bookmarkEnd w:id="10"/>
    <w:p>
      <w:pPr>
        <w:widowControl/>
        <w:shd w:val="clear"/>
        <w:adjustRightInd/>
        <w:jc w:val="left"/>
        <w:rPr>
          <w:rFonts w:ascii="宋体" w:hAnsi="宋体" w:cs="宋体"/>
          <w:b/>
          <w:color w:val="auto"/>
          <w:sz w:val="32"/>
          <w:szCs w:val="20"/>
          <w:highlight w:val="none"/>
        </w:rPr>
      </w:pPr>
      <w:bookmarkStart w:id="13" w:name="第三部分"/>
      <w:bookmarkStart w:id="14" w:name="_Toc164416483"/>
      <w:r>
        <w:rPr>
          <w:rFonts w:hint="eastAsia" w:ascii="宋体" w:hAnsi="宋体" w:cs="宋体"/>
          <w:b/>
          <w:color w:val="auto"/>
          <w:sz w:val="32"/>
          <w:szCs w:val="20"/>
          <w:highlight w:val="none"/>
        </w:rPr>
        <w:br w:type="page"/>
      </w:r>
    </w:p>
    <w:p>
      <w:pPr>
        <w:pStyle w:val="3"/>
        <w:shd w:val="clear"/>
        <w:bidi w:val="0"/>
        <w:ind w:left="0" w:firstLine="0"/>
        <w:rPr>
          <w:rFonts w:hint="eastAsia" w:eastAsia="宋体"/>
          <w:color w:val="auto"/>
          <w:highlight w:val="none"/>
        </w:rPr>
      </w:pPr>
      <w:r>
        <w:rPr>
          <w:rFonts w:hint="eastAsia" w:eastAsia="宋体"/>
          <w:color w:val="auto"/>
          <w:highlight w:val="none"/>
        </w:rPr>
        <w:t>一、总则</w:t>
      </w:r>
    </w:p>
    <w:p>
      <w:pPr>
        <w:pStyle w:val="4"/>
        <w:shd w:val="clear"/>
        <w:bidi w:val="0"/>
        <w:rPr>
          <w:color w:val="auto"/>
          <w:highlight w:val="none"/>
        </w:rPr>
      </w:pPr>
      <w:r>
        <w:rPr>
          <w:rFonts w:hint="eastAsia"/>
          <w:color w:val="auto"/>
          <w:highlight w:val="none"/>
        </w:rPr>
        <w:t>1.</w:t>
      </w:r>
      <w:r>
        <w:rPr>
          <w:rFonts w:hint="eastAsia"/>
          <w:color w:val="auto"/>
          <w:highlight w:val="none"/>
          <w:lang w:val="en-US" w:eastAsia="zh-CN"/>
        </w:rPr>
        <w:t xml:space="preserve"> </w:t>
      </w:r>
      <w:r>
        <w:rPr>
          <w:rFonts w:hint="eastAsia"/>
          <w:color w:val="auto"/>
          <w:highlight w:val="none"/>
        </w:rPr>
        <w:t>适用范围</w:t>
      </w:r>
    </w:p>
    <w:p>
      <w:pPr>
        <w:shd w:val="clea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本采购文件适用于该项目的采购邀请、响应文件提交、响应文件开启、资格审查及信用信息查询、磋商、评审、成交供应商确定、合同、验收等行为（法律、法规另有规定的，从其规定）。</w:t>
      </w:r>
    </w:p>
    <w:p>
      <w:pPr>
        <w:pStyle w:val="4"/>
        <w:numPr>
          <w:ilvl w:val="0"/>
          <w:numId w:val="0"/>
        </w:numPr>
        <w:shd w:val="clear"/>
        <w:bidi w:val="0"/>
        <w:ind w:left="0" w:leftChars="0" w:firstLine="0" w:firstLineChars="0"/>
        <w:rPr>
          <w:rFonts w:ascii="宋体" w:hAnsi="宋体" w:cs="宋体"/>
          <w:b/>
          <w:color w:val="auto"/>
          <w:sz w:val="24"/>
          <w:highlight w:val="none"/>
        </w:rPr>
      </w:pPr>
      <w:r>
        <w:rPr>
          <w:rFonts w:ascii="宋体" w:hAnsi="宋体" w:eastAsia="宋体" w:cs="宋体"/>
          <w:b/>
          <w:bCs/>
          <w:color w:val="auto"/>
          <w:kern w:val="2"/>
          <w:sz w:val="24"/>
          <w:szCs w:val="32"/>
          <w:highlight w:val="none"/>
          <w:lang w:val="en-US" w:eastAsia="zh-CN" w:bidi="ar-SA"/>
        </w:rPr>
        <w:t>2.</w:t>
      </w:r>
      <w:r>
        <w:rPr>
          <w:rFonts w:hint="eastAsia"/>
          <w:color w:val="auto"/>
          <w:highlight w:val="none"/>
          <w:lang w:val="en-US" w:eastAsia="zh-CN"/>
        </w:rPr>
        <w:t xml:space="preserve"> </w:t>
      </w:r>
      <w:r>
        <w:rPr>
          <w:rFonts w:hint="eastAsia" w:ascii="Times New Roman" w:hAnsi="Times New Roman" w:eastAsia="宋体"/>
          <w:color w:val="auto"/>
          <w:highlight w:val="none"/>
        </w:rPr>
        <w:t>定义</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“采购人”系指竞争性磋商公告中载明的本项目的采购人。</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“采购机构”系指竞争性磋商公告中载明的本项目的采购机构。</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“供应商”系指是指提交响应文件和报价、参与竞争性磋商采购活动的法人、其他组织或者自然人。</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提交响应文件时须提供《业务专用章使用说明函》（附件4）。</w:t>
      </w:r>
    </w:p>
    <w:p>
      <w:pPr>
        <w:keepNext w:val="0"/>
        <w:keepLines w:val="0"/>
        <w:pageBreakBefore w:val="0"/>
        <w:widowControl w:val="0"/>
        <w:shd w:val="clear"/>
        <w:kinsoku/>
        <w:wordWrap w:val="0"/>
        <w:overflowPunct/>
        <w:topLinePunct w:val="0"/>
        <w:autoSpaceDE/>
        <w:autoSpaceDN/>
        <w:bidi w:val="0"/>
        <w:adjustRightInd w:val="0"/>
        <w:snapToGrid w:val="0"/>
        <w:spacing w:line="360" w:lineRule="auto"/>
        <w:ind w:firstLine="480" w:firstLineChars="200"/>
        <w:textAlignment w:val="auto"/>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”系指不适用本项目的要求，“※”系指磋商过程中可能实质性变动的内容。</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3. 采购项目需要落实的政府采购政策</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 支持绿色发展</w:t>
      </w:r>
    </w:p>
    <w:p>
      <w:pPr>
        <w:shd w:val="clea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cs="宋体"/>
          <w:b/>
          <w:color w:val="auto"/>
          <w:sz w:val="24"/>
          <w:highlight w:val="none"/>
        </w:rPr>
        <w:t>采购人拟采购的产品属于政府强制采购的节能产品品目清单范围的，供应商未按采购文件要求提供国家确定的认证机构出具的、处于有效期之内的节能产品认证证书的，响应文件无效。</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3.2.2纳入政府采购管理的修缮、装修类项目采购建材的，鼓励采购单位将绿色建材性能、指标等作为实质性条件纳入采购文件和合同，具体性能指标要求参考相关绿色建材政府采购需求标准。</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3.3支持中小企业发展</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hd w:val="clea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bCs/>
          <w:color w:val="auto"/>
          <w:sz w:val="24"/>
          <w:highlight w:val="none"/>
        </w:rPr>
        <w:t>3.3.2</w:t>
      </w:r>
      <w:r>
        <w:rPr>
          <w:rFonts w:hint="eastAsia" w:ascii="宋体" w:hAnsi="宋体" w:cs="宋体"/>
          <w:color w:val="auto"/>
          <w:kern w:val="0"/>
          <w:sz w:val="24"/>
          <w:highlight w:val="none"/>
        </w:rPr>
        <w:t>在政府采购活动中，供应商提供的工程符合下列情形的，享受中小企业扶持政策：</w:t>
      </w:r>
      <w:r>
        <w:rPr>
          <w:rFonts w:ascii="宋体" w:hAnsi="宋体" w:cs="宋体"/>
          <w:color w:val="auto"/>
          <w:sz w:val="24"/>
          <w:highlight w:val="none"/>
        </w:rPr>
        <w:t>在工程采购项目中，工程由中小企业承建，即工程施工单位为中小企业</w:t>
      </w:r>
      <w:r>
        <w:rPr>
          <w:rFonts w:hint="eastAsia" w:ascii="宋体" w:hAnsi="宋体" w:cs="宋体"/>
          <w:color w:val="auto"/>
          <w:kern w:val="0"/>
          <w:sz w:val="24"/>
          <w:highlight w:val="none"/>
        </w:rPr>
        <w:t>。</w:t>
      </w:r>
    </w:p>
    <w:p>
      <w:pPr>
        <w:widowControl/>
        <w:shd w:val="clea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w:t>
      </w:r>
      <w:bookmarkStart w:id="15" w:name="_Hlk101132181"/>
      <w:r>
        <w:rPr>
          <w:rFonts w:hint="eastAsia" w:ascii="宋体" w:hAnsi="宋体" w:cs="宋体"/>
          <w:color w:val="auto"/>
          <w:sz w:val="24"/>
          <w:highlight w:val="none"/>
        </w:rPr>
        <w:t>联合协议或者分包意向协议约定小微企业的合同份额占到合同总金额30%以上的</w:t>
      </w:r>
      <w:bookmarkEnd w:id="15"/>
      <w:r>
        <w:rPr>
          <w:rFonts w:hint="eastAsia" w:ascii="宋体" w:hAnsi="宋体" w:cs="宋体"/>
          <w:color w:val="auto"/>
          <w:sz w:val="24"/>
          <w:highlight w:val="none"/>
        </w:rPr>
        <w:t>，对联合体或者大中型企业的报价给予2%的扣除，用扣除后的价格参加评审。组成联合体或者接受分包的小微企业与联合体内其他企业、分包企业之间存在直接控股、管理关系的，不享受价格扣除优惠政策。</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hd w:val="clea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hd w:val="clea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p>
    <w:p>
      <w:pPr>
        <w:pStyle w:val="4"/>
        <w:shd w:val="clear"/>
        <w:bidi w:val="0"/>
        <w:rPr>
          <w:color w:val="auto"/>
          <w:highlight w:val="none"/>
        </w:rPr>
      </w:pPr>
      <w:r>
        <w:rPr>
          <w:rFonts w:hint="eastAsia"/>
          <w:color w:val="auto"/>
          <w:highlight w:val="none"/>
        </w:rPr>
        <w:t>4. 询问、质疑、投诉</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4.1在线询问、质疑、投诉</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hd w:val="clea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shd w:val="clea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hd w:val="clear"/>
        <w:autoSpaceDE w:val="0"/>
        <w:autoSpaceDN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hd w:val="clear"/>
        <w:snapToGrid w:val="0"/>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.1提出质疑的供应商应当是参与所质疑项目采购活动的供应商。潜在供应商已依法获取其可质疑的采购文件的，可以对该文件提出质疑。</w:t>
      </w:r>
    </w:p>
    <w:p>
      <w:pPr>
        <w:pStyle w:val="34"/>
        <w:shd w:val="clear"/>
        <w:snapToGrid w:val="0"/>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5"/>
        <w:shd w:val="clear"/>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4.3.2.1对采购文件提出质疑的，质疑期限为供应商获得采购文件之日或者采购文件公告期限届满之日起计算。</w:t>
      </w:r>
    </w:p>
    <w:p>
      <w:pPr>
        <w:pStyle w:val="34"/>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w:t>
      </w:r>
    </w:p>
    <w:p>
      <w:pPr>
        <w:pStyle w:val="34"/>
        <w:shd w:val="clear"/>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4.3.2.3对采购结果提出质疑的，质疑期限自采购结果公告期限届满之日起计算。</w:t>
      </w:r>
    </w:p>
    <w:p>
      <w:pPr>
        <w:pStyle w:val="34"/>
        <w:shd w:val="clear"/>
        <w:snapToGrid w:val="0"/>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hd w:val="clear"/>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4.3.3.1供应商的姓名或者名称、地址、邮编、联系人及联系电话；</w:t>
      </w:r>
    </w:p>
    <w:p>
      <w:pPr>
        <w:pStyle w:val="34"/>
        <w:shd w:val="clear"/>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4.3.3.2质疑项目的名称、编号；</w:t>
      </w:r>
    </w:p>
    <w:p>
      <w:pPr>
        <w:pStyle w:val="34"/>
        <w:shd w:val="clear"/>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4.3.3.3具体、明确的质疑事项和与质疑事项相关的请求；</w:t>
      </w:r>
    </w:p>
    <w:p>
      <w:pPr>
        <w:pStyle w:val="34"/>
        <w:shd w:val="clear"/>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4.3.3.4事实依据；</w:t>
      </w:r>
    </w:p>
    <w:p>
      <w:pPr>
        <w:pStyle w:val="34"/>
        <w:shd w:val="clear"/>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4.3.3.5必要的法律依据；</w:t>
      </w:r>
    </w:p>
    <w:p>
      <w:pPr>
        <w:pStyle w:val="34"/>
        <w:shd w:val="clear"/>
        <w:snapToGrid w:val="0"/>
        <w:spacing w:line="360" w:lineRule="auto"/>
        <w:ind w:firstLine="720" w:firstLineChars="3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质疑函范本及制作说明详见附件2。</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4.3.4对同一采购程序环节的质疑，供应商须在法定质疑期内一次性提出。</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4.4.3供应商投诉应当有明确的请求和必要的证明材料。</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asciiTheme="minorEastAsia" w:hAnsiTheme="minorEastAsia" w:eastAsiaTheme="minorEastAsia"/>
          <w:color w:val="auto"/>
          <w:highlight w:val="none"/>
        </w:rPr>
        <w:t>4.5.5浙江省本级、杭州市本级、拱墅区、富阳区政府采购项目投诉材料可寄送浙江省政府采购行政裁决服务中心（杭州），地址：杭州市上城区四季青街道新业路市民之家G03办公室，收件人：朱女士，电话：0571-85252453</w:t>
      </w:r>
    </w:p>
    <w:p>
      <w:pPr>
        <w:pStyle w:val="887"/>
        <w:shd w:val="clear" w:color="auto"/>
        <w:adjustRightInd w:val="0"/>
        <w:snapToGrid w:val="0"/>
        <w:spacing w:before="0" w:beforeAutospacing="0" w:after="0" w:afterAutospacing="0" w:line="360" w:lineRule="auto"/>
        <w:ind w:firstLine="480" w:firstLineChars="200"/>
        <w:contextualSpacing/>
        <w:rPr>
          <w:color w:val="auto"/>
          <w:highlight w:val="none"/>
        </w:rPr>
      </w:pPr>
      <w:r>
        <w:rPr>
          <w:rFonts w:hint="eastAsia"/>
          <w:color w:val="auto"/>
          <w:highlight w:val="none"/>
        </w:rPr>
        <w:t>投诉书范本及制作说明详见附件3。</w:t>
      </w:r>
    </w:p>
    <w:p>
      <w:pPr>
        <w:pStyle w:val="130"/>
        <w:shd w:val="clear"/>
        <w:snapToGrid w:val="0"/>
        <w:spacing w:before="0"/>
        <w:ind w:firstLine="360"/>
        <w:rPr>
          <w:rFonts w:ascii="宋体" w:hAnsi="宋体" w:cs="宋体"/>
          <w:color w:val="auto"/>
          <w:sz w:val="18"/>
          <w:szCs w:val="18"/>
          <w:highlight w:val="none"/>
        </w:rPr>
      </w:pPr>
    </w:p>
    <w:p>
      <w:pPr>
        <w:pStyle w:val="3"/>
        <w:shd w:val="clear"/>
        <w:bidi w:val="0"/>
        <w:ind w:left="0" w:firstLine="0"/>
        <w:rPr>
          <w:rFonts w:hint="eastAsia" w:eastAsia="宋体"/>
          <w:color w:val="auto"/>
          <w:highlight w:val="none"/>
        </w:rPr>
      </w:pPr>
      <w:r>
        <w:rPr>
          <w:rFonts w:hint="eastAsia" w:eastAsia="宋体"/>
          <w:color w:val="auto"/>
          <w:highlight w:val="none"/>
        </w:rPr>
        <w:t>二、采购文件的构成、澄清、修改</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5．采购文件的构成</w:t>
      </w:r>
    </w:p>
    <w:p>
      <w:pPr>
        <w:pStyle w:val="34"/>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采购文件包括下列文件及附件：</w:t>
      </w:r>
    </w:p>
    <w:p>
      <w:pPr>
        <w:pStyle w:val="34"/>
        <w:shd w:val="clear"/>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5.1.1竞争性磋商公告；</w:t>
      </w:r>
    </w:p>
    <w:p>
      <w:pPr>
        <w:pStyle w:val="34"/>
        <w:shd w:val="clear"/>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5.1.2供应商须知；</w:t>
      </w:r>
    </w:p>
    <w:p>
      <w:pPr>
        <w:pStyle w:val="34"/>
        <w:shd w:val="clear"/>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shd w:val="clear"/>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5.1.4评审办法；</w:t>
      </w:r>
    </w:p>
    <w:p>
      <w:pPr>
        <w:pStyle w:val="34"/>
        <w:shd w:val="clear"/>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shd w:val="clear"/>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澄清或者修改的内容为采购文件的组成部分</w:t>
      </w:r>
      <w:r>
        <w:rPr>
          <w:rFonts w:hint="eastAsia" w:ascii="宋体" w:hAnsi="宋体" w:cs="宋体"/>
          <w:color w:val="auto"/>
          <w:sz w:val="24"/>
          <w:highlight w:val="none"/>
        </w:rPr>
        <w:t>。</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6. 采购文件的澄清、修改</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6.1已获取采购文件的潜在供应商，若有问题需要澄清，应于响应文件提交（上传）截止时间前，以书面形式向采购机构提出。</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6.2 采购机构对采购文件进行澄清或修改的，将同时通过电子交易平台通知已获取采购文件的潜在供应商。依法应当公告的，将按规定公告，同时视情况延长响应文件提交（上传）截止时间和响应文件开启时间。该澄清或者修改的内容为采购文件的组成部分。</w:t>
      </w:r>
    </w:p>
    <w:p>
      <w:pPr>
        <w:pStyle w:val="24"/>
        <w:shd w:val="clear"/>
        <w:rPr>
          <w:rFonts w:hAnsi="宋体" w:cs="宋体"/>
          <w:color w:val="auto"/>
          <w:sz w:val="18"/>
          <w:szCs w:val="18"/>
          <w:highlight w:val="none"/>
          <w:lang w:val="en-US"/>
        </w:rPr>
      </w:pPr>
    </w:p>
    <w:p>
      <w:pPr>
        <w:pStyle w:val="3"/>
        <w:shd w:val="clear"/>
        <w:bidi w:val="0"/>
        <w:ind w:left="0" w:firstLine="0"/>
        <w:rPr>
          <w:rFonts w:hint="eastAsia" w:eastAsia="宋体"/>
          <w:color w:val="auto"/>
          <w:highlight w:val="none"/>
        </w:rPr>
      </w:pPr>
      <w:r>
        <w:rPr>
          <w:rFonts w:hint="eastAsia" w:eastAsia="宋体"/>
          <w:color w:val="auto"/>
          <w:highlight w:val="none"/>
        </w:rPr>
        <w:t>三、提交响应文件</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7. 采购文件的获取</w:t>
      </w:r>
    </w:p>
    <w:p>
      <w:pPr>
        <w:shd w:val="clea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详见竞争性磋商公告中获取采购文件的时间期限、地点、方式及采购文件售价。</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8.磋商</w:t>
      </w:r>
      <w:r>
        <w:rPr>
          <w:rFonts w:hint="eastAsia" w:ascii="Times New Roman" w:hAnsi="Times New Roman" w:eastAsia="宋体"/>
          <w:color w:val="auto"/>
          <w:highlight w:val="none"/>
          <w:lang w:val="en-US" w:eastAsia="zh-CN"/>
        </w:rPr>
        <w:t>前</w:t>
      </w:r>
      <w:r>
        <w:rPr>
          <w:rFonts w:hint="eastAsia" w:ascii="Times New Roman" w:hAnsi="Times New Roman" w:eastAsia="宋体"/>
          <w:color w:val="auto"/>
          <w:highlight w:val="none"/>
        </w:rPr>
        <w:t>答疑会或现场考察</w:t>
      </w:r>
    </w:p>
    <w:p>
      <w:pPr>
        <w:pStyle w:val="34"/>
        <w:shd w:val="clea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采购人组织潜在供应商现场考察或者召开磋商前答疑会的，潜在供应商按第二部分供应商须知前附表的规定参加现场考察或者磋商前答疑会。</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9.磋商保证金</w:t>
      </w:r>
    </w:p>
    <w:p>
      <w:pPr>
        <w:pStyle w:val="5"/>
        <w:shd w:val="clear"/>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本项目不需缴纳磋商保证金。</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10. 响应文件的语言</w:t>
      </w:r>
    </w:p>
    <w:p>
      <w:pPr>
        <w:shd w:val="clea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响应文件及供应商与采购有关的来往通知、函件和文件均应使用中文。</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11. 响应文件的组成</w:t>
      </w:r>
    </w:p>
    <w:p>
      <w:pPr>
        <w:shd w:val="clea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11.1资格文件：</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bookmarkStart w:id="16" w:name="_Hlk101259339"/>
      <w:r>
        <w:rPr>
          <w:rFonts w:hint="eastAsia" w:ascii="宋体" w:hAnsi="宋体" w:cs="宋体"/>
          <w:snapToGrid w:val="0"/>
          <w:color w:val="auto"/>
          <w:kern w:val="28"/>
          <w:sz w:val="24"/>
          <w:szCs w:val="20"/>
          <w:highlight w:val="none"/>
        </w:rPr>
        <w:t>联合协议</w:t>
      </w:r>
      <w:bookmarkStart w:id="17" w:name="_Hlk101257010"/>
      <w:r>
        <w:rPr>
          <w:rFonts w:hint="eastAsia" w:ascii="宋体" w:hAnsi="宋体" w:cs="宋体"/>
          <w:snapToGrid w:val="0"/>
          <w:color w:val="auto"/>
          <w:kern w:val="28"/>
          <w:sz w:val="24"/>
          <w:szCs w:val="20"/>
          <w:highlight w:val="none"/>
        </w:rPr>
        <w:t>（如果有)</w:t>
      </w:r>
      <w:bookmarkEnd w:id="16"/>
      <w:bookmarkEnd w:id="17"/>
      <w:r>
        <w:rPr>
          <w:rFonts w:hint="eastAsia" w:ascii="宋体" w:hAnsi="宋体" w:cs="宋体"/>
          <w:snapToGrid w:val="0"/>
          <w:color w:val="auto"/>
          <w:kern w:val="28"/>
          <w:sz w:val="24"/>
          <w:szCs w:val="20"/>
          <w:highlight w:val="none"/>
        </w:rPr>
        <w:t>；</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hd w:val="clear"/>
        <w:snapToGrid w:val="0"/>
        <w:spacing w:line="360" w:lineRule="auto"/>
        <w:ind w:firstLine="482" w:firstLineChars="200"/>
        <w:rPr>
          <w:rFonts w:ascii="宋体" w:hAnsi="宋体" w:cs="宋体"/>
          <w:b/>
          <w:bCs/>
          <w:color w:val="auto"/>
          <w:sz w:val="24"/>
          <w:highlight w:val="none"/>
          <w:lang w:val="zh-CN"/>
        </w:rPr>
      </w:pPr>
      <w:r>
        <w:rPr>
          <w:rFonts w:hint="eastAsia" w:ascii="宋体" w:hAnsi="宋体" w:cs="宋体"/>
          <w:b/>
          <w:bCs/>
          <w:color w:val="auto"/>
          <w:sz w:val="24"/>
          <w:highlight w:val="none"/>
          <w:lang w:val="zh-CN"/>
        </w:rPr>
        <w:t>11.</w:t>
      </w:r>
      <w:r>
        <w:rPr>
          <w:rFonts w:hint="eastAsia" w:ascii="宋体" w:hAnsi="宋体" w:cs="宋体"/>
          <w:b/>
          <w:bCs/>
          <w:color w:val="auto"/>
          <w:sz w:val="24"/>
          <w:highlight w:val="none"/>
        </w:rPr>
        <w:t>2</w:t>
      </w:r>
      <w:r>
        <w:rPr>
          <w:rFonts w:hint="eastAsia" w:ascii="宋体" w:hAnsi="宋体" w:cs="宋体"/>
          <w:b/>
          <w:bCs/>
          <w:color w:val="auto"/>
          <w:sz w:val="24"/>
          <w:highlight w:val="none"/>
          <w:lang w:val="zh-CN"/>
        </w:rPr>
        <w:t xml:space="preserve"> </w:t>
      </w:r>
      <w:r>
        <w:rPr>
          <w:rFonts w:hint="eastAsia" w:ascii="宋体" w:hAnsi="宋体" w:cs="宋体"/>
          <w:b/>
          <w:bCs/>
          <w:color w:val="auto"/>
          <w:sz w:val="24"/>
          <w:highlight w:val="none"/>
        </w:rPr>
        <w:t>商务技术</w:t>
      </w:r>
      <w:r>
        <w:rPr>
          <w:rFonts w:hint="eastAsia" w:ascii="宋体" w:hAnsi="宋体" w:cs="宋体"/>
          <w:b/>
          <w:bCs/>
          <w:color w:val="auto"/>
          <w:sz w:val="24"/>
          <w:highlight w:val="none"/>
          <w:lang w:val="zh-CN"/>
        </w:rPr>
        <w:t>文件：</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11.2.1响应函；</w:t>
      </w:r>
      <w:r>
        <w:rPr>
          <w:rFonts w:hint="eastAsia" w:ascii="宋体" w:hAnsi="宋体" w:cs="宋体"/>
          <w:color w:val="auto"/>
          <w:sz w:val="24"/>
          <w:highlight w:val="none"/>
          <w:lang w:val="zh-CN"/>
        </w:rPr>
        <w:t xml:space="preserve"> </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11.2.3分包意向协议（如果有)；</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11.2.4符合性审查资料；</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11.2.5评审标准相应的商务技术资料；</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11.2.6商务技术偏离表；</w:t>
      </w:r>
    </w:p>
    <w:p>
      <w:pPr>
        <w:shd w:val="clea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hd w:val="clear"/>
        <w:snapToGrid w:val="0"/>
        <w:spacing w:line="360" w:lineRule="auto"/>
        <w:ind w:firstLine="482" w:firstLineChars="200"/>
        <w:rPr>
          <w:rFonts w:ascii="宋体" w:hAnsi="宋体" w:cs="宋体"/>
          <w:color w:val="auto"/>
          <w:sz w:val="24"/>
          <w:highlight w:val="none"/>
          <w:u w:val="single"/>
          <w:lang w:val="zh-CN"/>
        </w:rPr>
      </w:pPr>
      <w:r>
        <w:rPr>
          <w:rFonts w:hint="eastAsia" w:ascii="宋体" w:hAnsi="宋体" w:cs="宋体"/>
          <w:b/>
          <w:bCs/>
          <w:color w:val="auto"/>
          <w:kern w:val="0"/>
          <w:sz w:val="24"/>
          <w:highlight w:val="none"/>
          <w:lang w:val="zh-CN"/>
        </w:rPr>
        <w:t>11.</w:t>
      </w:r>
      <w:r>
        <w:rPr>
          <w:rFonts w:hint="eastAsia" w:ascii="宋体" w:hAnsi="宋体" w:cs="宋体"/>
          <w:b/>
          <w:bCs/>
          <w:color w:val="auto"/>
          <w:kern w:val="0"/>
          <w:sz w:val="24"/>
          <w:highlight w:val="none"/>
        </w:rPr>
        <w:t>3</w:t>
      </w:r>
      <w:r>
        <w:rPr>
          <w:rFonts w:hint="eastAsia" w:ascii="宋体" w:hAnsi="宋体" w:cs="宋体"/>
          <w:b/>
          <w:bCs/>
          <w:color w:val="auto"/>
          <w:kern w:val="0"/>
          <w:sz w:val="24"/>
          <w:highlight w:val="none"/>
          <w:lang w:val="en-US" w:eastAsia="zh-CN"/>
        </w:rPr>
        <w:t xml:space="preserve"> </w:t>
      </w:r>
      <w:r>
        <w:rPr>
          <w:rFonts w:hint="eastAsia" w:ascii="宋体" w:hAnsi="宋体" w:cs="宋体"/>
          <w:b/>
          <w:bCs/>
          <w:color w:val="auto"/>
          <w:sz w:val="24"/>
          <w:highlight w:val="none"/>
        </w:rPr>
        <w:t>报</w:t>
      </w:r>
      <w:r>
        <w:rPr>
          <w:rFonts w:hint="eastAsia" w:ascii="宋体" w:hAnsi="宋体" w:cs="宋体"/>
          <w:b/>
          <w:color w:val="auto"/>
          <w:sz w:val="24"/>
          <w:highlight w:val="none"/>
        </w:rPr>
        <w:t>价文件：</w:t>
      </w:r>
      <w:r>
        <w:rPr>
          <w:rFonts w:hint="eastAsia" w:ascii="宋体" w:hAnsi="宋体" w:cs="宋体"/>
          <w:color w:val="auto"/>
          <w:sz w:val="24"/>
          <w:highlight w:val="none"/>
        </w:rPr>
        <w:t xml:space="preserve"> </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11.3.1报价单；</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11.3.2已标价工程量清单；</w:t>
      </w:r>
    </w:p>
    <w:p>
      <w:pPr>
        <w:shd w:val="clea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11.3.3中小企业声明函。</w:t>
      </w:r>
    </w:p>
    <w:p>
      <w:pPr>
        <w:shd w:val="clea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响应文件含有采购人不能接受的附加条件的，响应文件无效；</w:t>
      </w:r>
    </w:p>
    <w:p>
      <w:pPr>
        <w:shd w:val="clea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供应商提供虚假材料的，响应文件无效。</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12</w:t>
      </w:r>
      <w:r>
        <w:rPr>
          <w:rFonts w:hint="eastAsia" w:ascii="Times New Roman" w:hAnsi="Times New Roman" w:eastAsia="宋体"/>
          <w:color w:val="auto"/>
          <w:highlight w:val="none"/>
          <w:lang w:val="zh-CN"/>
        </w:rPr>
        <w:t xml:space="preserve">. </w:t>
      </w:r>
      <w:r>
        <w:rPr>
          <w:rFonts w:hint="eastAsia" w:ascii="Times New Roman" w:hAnsi="Times New Roman" w:eastAsia="宋体"/>
          <w:color w:val="auto"/>
          <w:highlight w:val="none"/>
        </w:rPr>
        <w:t>响应文件的编制</w:t>
      </w:r>
    </w:p>
    <w:p>
      <w:pPr>
        <w:shd w:val="clea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响应文件分为资格文件、商务技术文件、报价文件三部分。各供应商在编制响应文件时请按照采购文件第六部分规定的格式进行，混乱的编排导致响应文件被误读或磋商小组查找不到有效文件是供应商的风险。</w:t>
      </w:r>
    </w:p>
    <w:p>
      <w:pPr>
        <w:shd w:val="clea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12.2供应商进行电子投标应安装客户端软件—“政采云电子交易客户端”，并按照采购文件和电子交易平台的要求编制并加密响应文件。供应商未按规定加密的响应文件，电子交易平台将拒收并提示。</w:t>
      </w:r>
    </w:p>
    <w:p>
      <w:pPr>
        <w:shd w:val="clea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13.响应文件的签署、盖章</w:t>
      </w:r>
    </w:p>
    <w:p>
      <w:pPr>
        <w:pStyle w:val="130"/>
        <w:shd w:val="clear"/>
        <w:snapToGrid w:val="0"/>
        <w:spacing w:before="0"/>
        <w:ind w:firstLine="480"/>
        <w:rPr>
          <w:rFonts w:ascii="宋体" w:hAnsi="宋体" w:cs="宋体"/>
          <w:b/>
          <w:color w:val="auto"/>
          <w:highlight w:val="none"/>
        </w:rPr>
      </w:pPr>
      <w:r>
        <w:rPr>
          <w:rFonts w:hint="eastAsia" w:ascii="宋体" w:hAnsi="宋体" w:cs="宋体"/>
          <w:color w:val="auto"/>
          <w:szCs w:val="24"/>
          <w:highlight w:val="none"/>
        </w:rPr>
        <w:t>13.1响应文件按照采购文件第六部分格式要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▲供应商的响应文件未按照采购文件要求签署、盖章的，其响应文件无效</w:t>
      </w:r>
      <w:r>
        <w:rPr>
          <w:rFonts w:hint="eastAsia" w:ascii="宋体" w:hAnsi="宋体" w:cs="宋体"/>
          <w:color w:val="auto"/>
          <w:szCs w:val="24"/>
          <w:highlight w:val="none"/>
        </w:rPr>
        <w:t>。</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13.2为确保网上操作合法、有效和安全，供应商应当在响应文件提交（上传）截止时间前完成在“政府采购云平台”的身份认证，确保在电子投标过程中能够对相关数据电文进行加密和使用电子签名。</w:t>
      </w:r>
    </w:p>
    <w:p>
      <w:pPr>
        <w:pStyle w:val="130"/>
        <w:shd w:val="clear"/>
        <w:snapToGrid w:val="0"/>
        <w:spacing w:before="0"/>
        <w:ind w:firstLine="480"/>
        <w:rPr>
          <w:rFonts w:ascii="宋体" w:hAnsi="宋体" w:cs="宋体"/>
          <w:b/>
          <w:color w:val="auto"/>
          <w:szCs w:val="24"/>
          <w:highlight w:val="none"/>
        </w:rPr>
      </w:pPr>
      <w:r>
        <w:rPr>
          <w:rFonts w:hint="eastAsia" w:ascii="宋体" w:hAnsi="宋体" w:cs="宋体"/>
          <w:color w:val="auto"/>
          <w:highlight w:val="none"/>
        </w:rPr>
        <w:t>13.3采购文件对响应文件签署、盖章的要求适用于电子签名。</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14. 响应文件的提交、补充、修改、撤回</w:t>
      </w:r>
    </w:p>
    <w:p>
      <w:pPr>
        <w:pStyle w:val="130"/>
        <w:shd w:val="clear"/>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14.1 供应商应当在响应文件提交（上传）截止时间前完成响应文件的传输递交，并可以补充、修改或者撤回响应文件。补充或者修改响应文件的，应当先行撤回原文件，补充、修改后重新传输递交。响应文件提交（上传）截止时间前未完成传输的，视为撤回响应文件。响应文件提交（上传）截止时间后递交的响应文件，电子交易平台将拒收。</w:t>
      </w:r>
    </w:p>
    <w:p>
      <w:pPr>
        <w:pStyle w:val="130"/>
        <w:shd w:val="clear"/>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14.2电子交易平台收到响应文件，将妥善保存并即时向供应商发出确认回执通知。在响应文件提交（上传）截止时间前，除供应商补充、修改或者撤回响应文件外，任何单位和个人不得解密或提取响应文件。</w:t>
      </w:r>
    </w:p>
    <w:p>
      <w:pPr>
        <w:pStyle w:val="130"/>
        <w:shd w:val="clear"/>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14.3采购人、采购机构可以视情况延长响应文件提交的截止时间。在上述情况下，采购机构与供应商以前在响应文件提交截止时间方面的全部权利、责任和义务，将适用于延长至新的响应文件提交截止时间。</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15.备份响应文件</w:t>
      </w:r>
    </w:p>
    <w:p>
      <w:pPr>
        <w:pStyle w:val="34"/>
        <w:shd w:val="clear"/>
        <w:snapToGrid w:val="0"/>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15.1供应商在电子交易平台传输递交响应文件后，还可以在响应文件提交（上传）截止时间前直接提交或者以邮政快递方式递交备份响应文件1份</w:t>
      </w:r>
      <w:r>
        <w:rPr>
          <w:rFonts w:hint="eastAsia" w:hAnsi="宋体" w:cs="宋体"/>
          <w:color w:val="auto"/>
          <w:sz w:val="24"/>
          <w:szCs w:val="24"/>
          <w:highlight w:val="none"/>
          <w:lang w:eastAsia="zh-CN"/>
        </w:rPr>
        <w:t>。</w:t>
      </w:r>
      <w:r>
        <w:rPr>
          <w:rFonts w:hint="eastAsia" w:hAnsi="宋体" w:cs="宋体"/>
          <w:b/>
          <w:bCs/>
          <w:color w:val="auto"/>
          <w:sz w:val="24"/>
          <w:szCs w:val="24"/>
          <w:highlight w:val="none"/>
          <w:lang w:eastAsia="zh-CN"/>
        </w:rPr>
        <w:t>供应商可自主选择是否编制备份投标文件</w:t>
      </w:r>
      <w:r>
        <w:rPr>
          <w:rFonts w:hint="eastAsia" w:hAnsi="宋体" w:cs="宋体"/>
          <w:b/>
          <w:color w:val="auto"/>
          <w:sz w:val="24"/>
          <w:szCs w:val="24"/>
          <w:highlight w:val="none"/>
        </w:rPr>
        <w:t>。</w:t>
      </w:r>
    </w:p>
    <w:p>
      <w:pPr>
        <w:pStyle w:val="34"/>
        <w:shd w:val="clear"/>
        <w:snapToGrid w:val="0"/>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15.2备份响应文件须在“政采云投标客户端”制作生成，并储存在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中。备份响应文件应当密封包装并在包装上加盖公章并注明采购项目名称，供应商名称(联合体参与的，包装物封面需注明联合体，并注明联合体成员各方的名称和联合协议中约定的牵头人的名称)。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存储、密封规定的备份响应文件将被视为无效或者被拒绝接收。</w:t>
      </w:r>
    </w:p>
    <w:p>
      <w:pPr>
        <w:pStyle w:val="34"/>
        <w:shd w:val="clear"/>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15.3直接提交备份响应文件的，供应商应于响应文件提交（上传）截止时间前在竞争性磋商公告中载明的响应文件开启地点将备份响应文件提交给采购机构，采购机构将拒绝接受逾期送达的备份响应文件。</w:t>
      </w:r>
    </w:p>
    <w:p>
      <w:pPr>
        <w:pStyle w:val="34"/>
        <w:shd w:val="clear"/>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15.4以邮政快递方式递交备份响应文件的，供应商应先将备份响应文件按要求密封和标记，再进行邮政快递包装后邮寄。备份响应文件须在响应文件提交（上传）截止时间之前送达</w:t>
      </w:r>
      <w:r>
        <w:rPr>
          <w:rFonts w:hint="eastAsia" w:hAnsi="宋体" w:cs="宋体"/>
          <w:snapToGrid/>
          <w:color w:val="auto"/>
          <w:sz w:val="24"/>
          <w:szCs w:val="24"/>
          <w:highlight w:val="none"/>
        </w:rPr>
        <w:t>采购文件第二部分供应商须知前附表规定的备份响应文件送达地点；</w:t>
      </w:r>
      <w:r>
        <w:rPr>
          <w:rFonts w:hint="eastAsia" w:hAnsi="宋体" w:cs="宋体"/>
          <w:color w:val="auto"/>
          <w:sz w:val="24"/>
          <w:szCs w:val="24"/>
          <w:highlight w:val="none"/>
        </w:rPr>
        <w:t>送达时间以签收人签收时间为准。采购机构将拒绝接受逾期送达的备份响应文件。邮寄过程中，电子备份响应文件发生泄露、遗失、损坏或延期送达等情况的，由供应商自行负责。</w:t>
      </w:r>
    </w:p>
    <w:p>
      <w:pPr>
        <w:pStyle w:val="34"/>
        <w:shd w:val="clear"/>
        <w:snapToGrid w:val="0"/>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15.5供应商仅提交备份响应文件，未在电子交易平台传输递交响应文件的，响应文件无效。</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16.响应文件的无效处理</w:t>
      </w:r>
    </w:p>
    <w:p>
      <w:pPr>
        <w:pStyle w:val="26"/>
        <w:shd w:val="clear"/>
        <w:spacing w:line="360" w:lineRule="auto"/>
        <w:ind w:firstLine="360" w:firstLineChars="150"/>
        <w:rPr>
          <w:rFonts w:cs="宋体"/>
          <w:color w:val="auto"/>
          <w:szCs w:val="21"/>
          <w:highlight w:val="none"/>
        </w:rPr>
      </w:pPr>
      <w:r>
        <w:rPr>
          <w:rFonts w:hint="eastAsia" w:cs="宋体"/>
          <w:color w:val="auto"/>
          <w:szCs w:val="21"/>
          <w:highlight w:val="none"/>
        </w:rPr>
        <w:t>有采购文件第四部分</w:t>
      </w:r>
      <w:r>
        <w:rPr>
          <w:rFonts w:hint="eastAsia" w:cs="宋体"/>
          <w:color w:val="auto"/>
          <w:highlight w:val="none"/>
        </w:rPr>
        <w:t>4.2规定</w:t>
      </w:r>
      <w:r>
        <w:rPr>
          <w:rFonts w:hint="eastAsia" w:cs="宋体"/>
          <w:color w:val="auto"/>
          <w:szCs w:val="21"/>
          <w:highlight w:val="none"/>
        </w:rPr>
        <w:t>的情形之一的，响应文件无效：</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17.响应文件有效期</w:t>
      </w:r>
    </w:p>
    <w:p>
      <w:pPr>
        <w:shd w:val="clea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17.1响应文件有效期为从提交响应文件的截止之日起90天。▲</w:t>
      </w:r>
      <w:r>
        <w:rPr>
          <w:rFonts w:hint="eastAsia" w:ascii="宋体" w:hAnsi="宋体" w:cs="宋体"/>
          <w:b/>
          <w:color w:val="auto"/>
          <w:sz w:val="24"/>
          <w:szCs w:val="20"/>
          <w:highlight w:val="none"/>
        </w:rPr>
        <w:t>供应商的响应文件中承</w:t>
      </w:r>
      <w:r>
        <w:rPr>
          <w:rFonts w:hint="eastAsia" w:ascii="宋体" w:hAnsi="宋体" w:cs="宋体"/>
          <w:b/>
          <w:color w:val="auto"/>
          <w:sz w:val="24"/>
          <w:szCs w:val="21"/>
          <w:highlight w:val="none"/>
        </w:rPr>
        <w:t>诺的响应文件有效期少于采购文件中载明的响应文件有效期的，响应文件无效。</w:t>
      </w:r>
    </w:p>
    <w:p>
      <w:pPr>
        <w:pStyle w:val="130"/>
        <w:shd w:val="clear"/>
        <w:spacing w:before="0"/>
        <w:ind w:firstLine="480"/>
        <w:rPr>
          <w:rFonts w:ascii="宋体" w:hAnsi="宋体" w:cs="宋体"/>
          <w:color w:val="auto"/>
          <w:highlight w:val="none"/>
        </w:rPr>
      </w:pPr>
      <w:r>
        <w:rPr>
          <w:rFonts w:hint="eastAsia" w:ascii="宋体" w:hAnsi="宋体" w:cs="宋体"/>
          <w:color w:val="auto"/>
          <w:highlight w:val="none"/>
        </w:rPr>
        <w:t>17.2响应文件合格投递后，自响应文件提交截止时间起，在响应文件有效期内有效。</w:t>
      </w:r>
    </w:p>
    <w:p>
      <w:pPr>
        <w:pStyle w:val="130"/>
        <w:shd w:val="clear"/>
        <w:spacing w:before="0"/>
        <w:ind w:firstLine="480"/>
        <w:rPr>
          <w:rFonts w:ascii="宋体" w:hAnsi="宋体" w:cs="宋体"/>
          <w:color w:val="auto"/>
          <w:highlight w:val="none"/>
        </w:rPr>
      </w:pPr>
      <w:r>
        <w:rPr>
          <w:rFonts w:hint="eastAsia" w:ascii="宋体" w:hAnsi="宋体" w:cs="宋体"/>
          <w:color w:val="auto"/>
          <w:highlight w:val="none"/>
        </w:rPr>
        <w:t>17.3在原定响应文件有效期满之前，如果出现特殊情况，采购机构可以以书面形式通知供应商延长响应文件有效期。供应商同意延长的，不得要求或被允许修改其响应文件，供应商拒绝延长的，其响应文件无效。</w:t>
      </w:r>
    </w:p>
    <w:p>
      <w:pPr>
        <w:pStyle w:val="130"/>
        <w:shd w:val="clear"/>
        <w:spacing w:before="0"/>
        <w:ind w:firstLine="643"/>
        <w:rPr>
          <w:rFonts w:ascii="宋体" w:hAnsi="宋体" w:cs="宋体"/>
          <w:b/>
          <w:color w:val="auto"/>
          <w:sz w:val="32"/>
          <w:highlight w:val="none"/>
        </w:rPr>
      </w:pPr>
    </w:p>
    <w:p>
      <w:pPr>
        <w:pStyle w:val="3"/>
        <w:shd w:val="clear"/>
        <w:bidi w:val="0"/>
        <w:ind w:left="0" w:firstLine="0"/>
        <w:rPr>
          <w:rFonts w:hint="eastAsia" w:eastAsia="宋体"/>
          <w:color w:val="auto"/>
          <w:highlight w:val="none"/>
        </w:rPr>
      </w:pPr>
      <w:r>
        <w:rPr>
          <w:rFonts w:hint="eastAsia" w:eastAsia="宋体"/>
          <w:color w:val="auto"/>
          <w:highlight w:val="none"/>
        </w:rPr>
        <w:t>四、响应文件开启、资格审查与信用信息查询</w:t>
      </w:r>
    </w:p>
    <w:p>
      <w:pPr>
        <w:pStyle w:val="4"/>
        <w:shd w:val="clear"/>
        <w:bidi w:val="0"/>
        <w:ind w:left="0" w:firstLine="0"/>
        <w:rPr>
          <w:rFonts w:ascii="宋体" w:hAnsi="宋体" w:cs="宋体"/>
          <w:color w:val="auto"/>
          <w:sz w:val="24"/>
          <w:highlight w:val="none"/>
        </w:rPr>
      </w:pPr>
      <w:r>
        <w:rPr>
          <w:rFonts w:hint="eastAsia" w:ascii="Times New Roman" w:hAnsi="Times New Roman" w:eastAsia="宋体"/>
          <w:color w:val="auto"/>
          <w:highlight w:val="none"/>
        </w:rPr>
        <w:t>18.响应文件开启</w:t>
      </w:r>
      <w:r>
        <w:rPr>
          <w:rFonts w:hint="eastAsia" w:ascii="宋体" w:hAnsi="宋体" w:cs="宋体"/>
          <w:color w:val="auto"/>
          <w:sz w:val="24"/>
          <w:highlight w:val="none"/>
        </w:rPr>
        <w:t xml:space="preserve"> </w:t>
      </w:r>
    </w:p>
    <w:p>
      <w:pPr>
        <w:pStyle w:val="555"/>
        <w:shd w:val="clear"/>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18.1采购机构按照采购文件规定的时间通过电子交易平台组织响应文件开启，所有供应商均应当准时在线参加。供应商不足3家的，不得开启。</w:t>
      </w:r>
    </w:p>
    <w:p>
      <w:pPr>
        <w:pStyle w:val="555"/>
        <w:shd w:val="clear"/>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18.2响应文件开启时，电子交易平台按响应文件开启时间自动提取所有响应文件。采购机构依托电子交易平台发起开始解密指令，供应商按照平台提示和采购文件的规定在半小时内完成在线解密。</w:t>
      </w:r>
    </w:p>
    <w:p>
      <w:pPr>
        <w:pStyle w:val="555"/>
        <w:shd w:val="clear"/>
        <w:snapToGrid w:val="0"/>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18.3</w:t>
      </w:r>
      <w:r>
        <w:rPr>
          <w:rFonts w:hint="eastAsia" w:ascii="宋体" w:hAnsi="宋体" w:cs="宋体"/>
          <w:b/>
          <w:bCs/>
          <w:color w:val="auto"/>
          <w:sz w:val="24"/>
          <w:highlight w:val="none"/>
        </w:rPr>
        <w:t>响应文件未按时解密，供应商提供了备份响应文件的，以备份响应文件作为依据，否则视为响应文件撤回。响应文件已按时解密的，备份响应文件自动失效。</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19、资格审查</w:t>
      </w:r>
    </w:p>
    <w:p>
      <w:pPr>
        <w:pStyle w:val="130"/>
        <w:shd w:val="clear"/>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19.1响应文件开启后，</w:t>
      </w:r>
      <w:r>
        <w:rPr>
          <w:rFonts w:hint="eastAsia" w:ascii="宋体" w:hAnsi="宋体" w:cs="宋体"/>
          <w:color w:val="auto"/>
          <w:highlight w:val="none"/>
        </w:rPr>
        <w:t>采购人、采购机构或磋商小组</w:t>
      </w:r>
      <w:r>
        <w:rPr>
          <w:rFonts w:hint="eastAsia" w:ascii="宋体" w:hAnsi="宋体" w:cs="宋体"/>
          <w:color w:val="auto"/>
          <w:kern w:val="0"/>
          <w:szCs w:val="24"/>
          <w:highlight w:val="none"/>
        </w:rPr>
        <w:t>将依法对供应商的资格进行审查。</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19.2</w:t>
      </w:r>
      <w:r>
        <w:rPr>
          <w:rFonts w:hint="eastAsia" w:ascii="宋体" w:hAnsi="宋体" w:cs="宋体"/>
          <w:color w:val="auto"/>
          <w:sz w:val="24"/>
          <w:highlight w:val="none"/>
        </w:rPr>
        <w:t>采购人、采购机构或磋商小组依据法律法规和采购文件的规定，对供应商的资格进行审查。</w:t>
      </w:r>
    </w:p>
    <w:p>
      <w:pPr>
        <w:pStyle w:val="130"/>
        <w:shd w:val="clear"/>
        <w:spacing w:before="0"/>
        <w:ind w:firstLine="480"/>
        <w:rPr>
          <w:rFonts w:ascii="宋体" w:hAnsi="宋体" w:cs="宋体"/>
          <w:color w:val="auto"/>
          <w:highlight w:val="none"/>
        </w:rPr>
      </w:pPr>
      <w:r>
        <w:rPr>
          <w:rFonts w:hint="eastAsia" w:ascii="宋体" w:hAnsi="宋体" w:cs="宋体"/>
          <w:color w:val="auto"/>
          <w:kern w:val="0"/>
          <w:szCs w:val="24"/>
          <w:highlight w:val="none"/>
        </w:rPr>
        <w:t>19.3供应商未按照采购文件要求提供与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供应商不具备采购文件中规定的资格要求，其响应文件无效。</w:t>
      </w:r>
    </w:p>
    <w:p>
      <w:pPr>
        <w:pStyle w:val="130"/>
        <w:shd w:val="clear"/>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4对未通过资格审查的供应商，采购人或采购机构告知其未通过的原因。</w:t>
      </w:r>
    </w:p>
    <w:p>
      <w:pPr>
        <w:pStyle w:val="130"/>
        <w:shd w:val="clear"/>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5合格供应商不足3家的，不再评审。</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20、信用信息查询</w:t>
      </w:r>
    </w:p>
    <w:p>
      <w:pPr>
        <w:pStyle w:val="130"/>
        <w:shd w:val="clear"/>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20.1信用信息查询渠道及截止时间：采购机构将在资格审查时通过“信用中国”网站(www.creditchina.gov.cn)、中国政府采购网(www.ccgp.gov.cn)渠道查询供应商接受资格审查时的信用记录。</w:t>
      </w:r>
    </w:p>
    <w:p>
      <w:pPr>
        <w:pStyle w:val="130"/>
        <w:shd w:val="clear"/>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20.2信用信息查询记录和证据留存的具体方式：现场查询的供应商的信用记录、查询结果经确认后将与采购文件一起存档。</w:t>
      </w:r>
    </w:p>
    <w:p>
      <w:pPr>
        <w:pStyle w:val="130"/>
        <w:shd w:val="clear"/>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20.3信用信息的使用规则：经查询列入失信被执行人名单、重大税收违法案件当事人名单、政府采购严重违法失信行为记录名单的供应商将被拒绝参与政府采购活动。</w:t>
      </w:r>
    </w:p>
    <w:p>
      <w:pPr>
        <w:pStyle w:val="130"/>
        <w:shd w:val="clear"/>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hd w:val="clear"/>
        <w:spacing w:before="0"/>
        <w:ind w:firstLine="0" w:firstLineChars="0"/>
        <w:rPr>
          <w:rFonts w:ascii="宋体" w:hAnsi="宋体" w:cs="宋体"/>
          <w:color w:val="auto"/>
          <w:kern w:val="0"/>
          <w:szCs w:val="24"/>
          <w:highlight w:val="none"/>
        </w:rPr>
      </w:pPr>
    </w:p>
    <w:p>
      <w:pPr>
        <w:pStyle w:val="3"/>
        <w:shd w:val="clear"/>
        <w:bidi w:val="0"/>
        <w:ind w:left="0" w:firstLine="0"/>
        <w:rPr>
          <w:rFonts w:hint="eastAsia" w:eastAsia="宋体"/>
          <w:color w:val="auto"/>
          <w:highlight w:val="none"/>
        </w:rPr>
      </w:pPr>
      <w:r>
        <w:rPr>
          <w:rFonts w:hint="eastAsia" w:eastAsia="宋体"/>
          <w:color w:val="auto"/>
          <w:highlight w:val="none"/>
        </w:rPr>
        <w:t>五、评审</w:t>
      </w:r>
    </w:p>
    <w:p>
      <w:pPr>
        <w:pStyle w:val="4"/>
        <w:shd w:val="clear"/>
        <w:bidi w:val="0"/>
        <w:ind w:left="0" w:firstLine="0"/>
        <w:rPr>
          <w:rFonts w:hint="eastAsia" w:ascii="宋体" w:hAnsi="宋体" w:eastAsia="宋体" w:cs="宋体"/>
          <w:color w:val="auto"/>
          <w:highlight w:val="none"/>
          <w:lang w:val="en-US" w:eastAsia="zh-CN"/>
        </w:rPr>
      </w:pPr>
      <w:bookmarkStart w:id="18"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Times New Roman" w:hAnsi="Times New Roman" w:eastAsia="宋体"/>
          <w:color w:val="auto"/>
          <w:highlight w:val="none"/>
          <w:lang w:val="en-US" w:eastAsia="zh-CN"/>
        </w:rPr>
        <w:t>评审</w:t>
      </w:r>
    </w:p>
    <w:p>
      <w:pPr>
        <w:shd w:val="clea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磋商小组将根据采购文件和有关规定，履行评审工作职责，并按照评审方法及评分标准，全面衡量各供应商对采购文件的响应情况。对实质上响应采购文件的供应商，按照评审因素的量化指标排出推荐成交的供应商的先后顺序，并按顺序提出授标建议。</w:t>
      </w:r>
      <w:r>
        <w:rPr>
          <w:rFonts w:hint="eastAsia" w:ascii="宋体" w:hAnsi="宋体" w:cs="宋体"/>
          <w:b/>
          <w:color w:val="auto"/>
          <w:sz w:val="24"/>
          <w:highlight w:val="none"/>
        </w:rPr>
        <w:t>详见采购文件第四部分评审办法。</w:t>
      </w:r>
    </w:p>
    <w:p>
      <w:pPr>
        <w:shd w:val="clear"/>
        <w:spacing w:line="360" w:lineRule="auto"/>
        <w:rPr>
          <w:rFonts w:ascii="宋体" w:hAnsi="宋体" w:cs="宋体"/>
          <w:b/>
          <w:color w:val="auto"/>
          <w:sz w:val="24"/>
          <w:highlight w:val="none"/>
        </w:rPr>
      </w:pPr>
    </w:p>
    <w:p>
      <w:pPr>
        <w:pStyle w:val="3"/>
        <w:shd w:val="clear"/>
        <w:bidi w:val="0"/>
        <w:ind w:left="0" w:firstLine="0"/>
        <w:rPr>
          <w:rFonts w:hint="eastAsia" w:eastAsia="宋体"/>
          <w:color w:val="auto"/>
          <w:highlight w:val="none"/>
        </w:rPr>
      </w:pPr>
      <w:r>
        <w:rPr>
          <w:rFonts w:hint="eastAsia" w:eastAsia="宋体"/>
          <w:color w:val="auto"/>
          <w:highlight w:val="none"/>
        </w:rPr>
        <w:t>六、成交供应商确定</w:t>
      </w:r>
    </w:p>
    <w:p>
      <w:pPr>
        <w:pStyle w:val="4"/>
        <w:shd w:val="clear"/>
        <w:bidi w:val="0"/>
        <w:rPr>
          <w:color w:val="auto"/>
          <w:highlight w:val="none"/>
        </w:rPr>
      </w:pPr>
      <w:r>
        <w:rPr>
          <w:rFonts w:hint="eastAsia"/>
          <w:color w:val="auto"/>
          <w:highlight w:val="none"/>
        </w:rPr>
        <w:t>22. 确定成交供应商</w:t>
      </w:r>
    </w:p>
    <w:p>
      <w:pPr>
        <w:pStyle w:val="130"/>
        <w:shd w:val="clear"/>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4"/>
        <w:shd w:val="clear"/>
        <w:bidi w:val="0"/>
        <w:rPr>
          <w:color w:val="auto"/>
          <w:highlight w:val="none"/>
        </w:rPr>
      </w:pPr>
      <w:r>
        <w:rPr>
          <w:rFonts w:hint="eastAsia"/>
          <w:color w:val="auto"/>
          <w:highlight w:val="none"/>
        </w:rPr>
        <w:t>23. 成交通知与成交结果公告</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23.1自成交供应商确定之日起1个工作日内，采购机构通过电子交易平台向成交供应商发出成交通知书，同时编制发布采购结果公告。采购机构也可以以纸质形式进行成交通知。</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成交结果公告内容包括采购人及其委托的采购机构的名称、地址、联系方式，项目名称和项目编号，成交供应商名称、地址和成交金额，主要成交标的的名称、规格型号、数量、单价、服务要求，开标记录、资格审查情况、评审专家抽取规则、符合性审查情况、未成交情况说明、成交结果公告期限以及评审专家名单、评分汇总及明细。</w:t>
      </w:r>
    </w:p>
    <w:p>
      <w:pPr>
        <w:widowControl/>
        <w:shd w:val="clear" w:color="auto"/>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hd w:val="clear"/>
        <w:snapToGrid w:val="0"/>
        <w:spacing w:line="360" w:lineRule="auto"/>
        <w:ind w:left="120" w:leftChars="57" w:firstLine="482" w:firstLineChars="150"/>
        <w:jc w:val="center"/>
        <w:rPr>
          <w:rFonts w:ascii="宋体" w:hAnsi="宋体" w:cs="宋体"/>
          <w:b/>
          <w:color w:val="auto"/>
          <w:sz w:val="32"/>
          <w:highlight w:val="none"/>
        </w:rPr>
      </w:pPr>
    </w:p>
    <w:p>
      <w:pPr>
        <w:pStyle w:val="3"/>
        <w:shd w:val="clear"/>
        <w:bidi w:val="0"/>
        <w:ind w:left="0" w:firstLine="0"/>
        <w:rPr>
          <w:rFonts w:hint="eastAsia" w:eastAsia="宋体"/>
          <w:color w:val="auto"/>
          <w:highlight w:val="none"/>
        </w:rPr>
      </w:pPr>
      <w:r>
        <w:rPr>
          <w:rFonts w:hint="eastAsia" w:eastAsia="宋体"/>
          <w:color w:val="auto"/>
          <w:highlight w:val="none"/>
        </w:rPr>
        <w:t>七、合同授予</w:t>
      </w:r>
    </w:p>
    <w:p>
      <w:pPr>
        <w:pStyle w:val="4"/>
        <w:shd w:val="clear"/>
        <w:bidi w:val="0"/>
        <w:ind w:left="0" w:firstLine="0"/>
        <w:rPr>
          <w:rFonts w:hint="default" w:eastAsia="宋体" w:cs="宋体"/>
          <w:b/>
          <w:color w:val="auto"/>
          <w:highlight w:val="none"/>
          <w:lang w:val="en-US" w:eastAsia="zh-CN"/>
        </w:rPr>
      </w:pPr>
      <w:r>
        <w:rPr>
          <w:rFonts w:hint="eastAsia" w:cs="宋体"/>
          <w:b/>
          <w:color w:val="auto"/>
          <w:highlight w:val="none"/>
        </w:rPr>
        <w:t xml:space="preserve">24. </w:t>
      </w:r>
      <w:r>
        <w:rPr>
          <w:rFonts w:hint="eastAsia" w:cs="宋体"/>
          <w:b/>
          <w:color w:val="auto"/>
          <w:highlight w:val="none"/>
          <w:lang w:val="en-US" w:eastAsia="zh-CN"/>
        </w:rPr>
        <w:t>合同主要条款</w:t>
      </w:r>
    </w:p>
    <w:p>
      <w:pPr>
        <w:pStyle w:val="26"/>
        <w:shd w:val="clear"/>
        <w:snapToGrid w:val="0"/>
        <w:spacing w:line="360" w:lineRule="auto"/>
        <w:ind w:left="479" w:leftChars="228" w:firstLine="0" w:firstLineChars="0"/>
        <w:rPr>
          <w:rFonts w:cs="宋体"/>
          <w:b/>
          <w:color w:val="auto"/>
          <w:highlight w:val="none"/>
        </w:rPr>
      </w:pPr>
      <w:r>
        <w:rPr>
          <w:rFonts w:hint="eastAsia" w:cs="宋体"/>
          <w:color w:val="auto"/>
          <w:highlight w:val="none"/>
        </w:rPr>
        <w:t>合同主要条款详见第五部分拟签订的合同文本。</w:t>
      </w:r>
    </w:p>
    <w:p>
      <w:pPr>
        <w:pStyle w:val="4"/>
        <w:shd w:val="clear"/>
        <w:bidi w:val="0"/>
        <w:ind w:left="0" w:firstLine="0"/>
        <w:rPr>
          <w:rFonts w:cs="宋体"/>
          <w:b/>
          <w:color w:val="auto"/>
          <w:highlight w:val="none"/>
        </w:rPr>
      </w:pPr>
      <w:r>
        <w:rPr>
          <w:rFonts w:hint="eastAsia" w:cs="宋体"/>
          <w:b/>
          <w:color w:val="auto"/>
          <w:highlight w:val="none"/>
        </w:rPr>
        <w:t>25. 合同的签订</w:t>
      </w:r>
    </w:p>
    <w:p>
      <w:pPr>
        <w:widowControl/>
        <w:shd w:val="clear" w:color="auto"/>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成交供应商应当通过电子交易平台在成交通知书发出之日起三十日内，按照采购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成交通知书发出之日起10个工作日内，与成交供应商按照采购文件确定的事项签订政府采购合同。</w:t>
      </w:r>
    </w:p>
    <w:p>
      <w:pPr>
        <w:pStyle w:val="130"/>
        <w:shd w:val="clear"/>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25.2成交供应商按规定的日期、时间、地点，由法定代表人或其授权代表与采购人代表签订合同。如成交供应商为联合体的，由联合体成员各方法定代表人或其授权代表与采购人代表签订合同。</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25.4成交供应商拒绝与采购人签订合同的，采购人可以按照评审报告推荐的成交候选人名单排序，确定下一候选人为成交供应商，也可以重新开展政府采购活动。拒绝与采购人签订合同的成交供应商应承担采购代理服务费、评审专家劳务报酬等相关费用。</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25.5采购合同由采购人与成交供应商根据采购文件、响应文件等内容通过政府采购电子交易平台在线签订，自动备案。</w:t>
      </w:r>
    </w:p>
    <w:p>
      <w:pPr>
        <w:pStyle w:val="4"/>
        <w:shd w:val="clear"/>
        <w:bidi w:val="0"/>
        <w:rPr>
          <w:color w:val="auto"/>
          <w:highlight w:val="none"/>
        </w:rPr>
      </w:pPr>
      <w:r>
        <w:rPr>
          <w:rFonts w:hint="eastAsia"/>
          <w:color w:val="auto"/>
          <w:highlight w:val="none"/>
        </w:rPr>
        <w:t>26. 履约保证金</w:t>
      </w:r>
    </w:p>
    <w:p>
      <w:pPr>
        <w:shd w:val="clear"/>
        <w:tabs>
          <w:tab w:val="left" w:pos="0"/>
        </w:tabs>
        <w:snapToGrid w:val="0"/>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拟签订的合同文本要求成交供应商提交履约保证金的，供应商应当以支票、汇票、本票或者金融机构、担保机构出具的保函等非现金形式提交</w:t>
      </w:r>
      <w:r>
        <w:rPr>
          <w:rFonts w:hint="eastAsia" w:ascii="宋体" w:hAnsi="宋体" w:cs="宋体"/>
          <w:color w:val="auto"/>
          <w:sz w:val="24"/>
          <w:highlight w:val="none"/>
        </w:rPr>
        <w:t>。杭州市政府采购网公布的供应商履约评价为满分的供应商，采购单位应当免收履约保证金。确需收取履约保证金的，履约保证金缴纳最高比例由不超过合同金额的1%。采购单位鼓励供应商采取履约保函形式提供信用保证；供应商提供保函的，采购单位不得拒收。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shd w:val="clear"/>
        <w:tabs>
          <w:tab w:val="left" w:pos="0"/>
        </w:tabs>
        <w:snapToGrid w:val="0"/>
        <w:spacing w:line="360" w:lineRule="auto"/>
        <w:ind w:firstLine="482"/>
        <w:rPr>
          <w:rFonts w:ascii="宋体" w:hAnsi="宋体" w:eastAsia="宋体" w:cs="宋体"/>
          <w:color w:val="auto"/>
          <w:highlight w:val="none"/>
          <w:lang w:val="en-US"/>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hd w:val="clear"/>
        <w:snapToGrid w:val="0"/>
        <w:spacing w:line="360" w:lineRule="auto"/>
        <w:ind w:firstLine="3357" w:firstLineChars="1045"/>
        <w:rPr>
          <w:rFonts w:ascii="宋体" w:hAnsi="宋体" w:cs="宋体"/>
          <w:b/>
          <w:color w:val="auto"/>
          <w:sz w:val="32"/>
          <w:highlight w:val="none"/>
        </w:rPr>
      </w:pPr>
    </w:p>
    <w:p>
      <w:pPr>
        <w:pStyle w:val="3"/>
        <w:shd w:val="clear"/>
        <w:bidi w:val="0"/>
        <w:ind w:left="0" w:firstLine="0"/>
        <w:rPr>
          <w:rFonts w:hint="eastAsia" w:eastAsia="宋体"/>
          <w:color w:val="auto"/>
          <w:highlight w:val="none"/>
        </w:rPr>
      </w:pPr>
      <w:r>
        <w:rPr>
          <w:rFonts w:hint="eastAsia" w:eastAsia="宋体"/>
          <w:color w:val="auto"/>
          <w:highlight w:val="none"/>
        </w:rPr>
        <w:t>八、电子交易活动的中止</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27. 电子交易活动的中止</w:t>
      </w:r>
    </w:p>
    <w:p>
      <w:pPr>
        <w:pStyle w:val="130"/>
        <w:shd w:val="clear"/>
        <w:snapToGrid w:val="0"/>
        <w:spacing w:before="0"/>
        <w:ind w:firstLine="480" w:firstLineChars="200"/>
        <w:rPr>
          <w:rFonts w:ascii="宋体" w:hAnsi="宋体" w:cs="宋体"/>
          <w:color w:val="auto"/>
          <w:highlight w:val="none"/>
        </w:rPr>
      </w:pP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 xml:space="preserve">27.1电子交易平台发生故障而无法登录访问的； </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27.2电子交易平台应用或数据库出现错误，不能进行正常操作的；</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27.3电子交易平台发现严重安全漏洞，有潜在泄密危险的；</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 xml:space="preserve">27.4病毒发作导致不能进行正常操作的； </w:t>
      </w:r>
    </w:p>
    <w:p>
      <w:pPr>
        <w:pStyle w:val="130"/>
        <w:shd w:val="clear"/>
        <w:snapToGrid w:val="0"/>
        <w:spacing w:before="0"/>
        <w:ind w:firstLine="480"/>
        <w:rPr>
          <w:rFonts w:ascii="宋体" w:hAnsi="宋体" w:cs="宋体"/>
          <w:color w:val="auto"/>
          <w:highlight w:val="none"/>
        </w:rPr>
      </w:pPr>
      <w:r>
        <w:rPr>
          <w:rFonts w:hint="eastAsia" w:ascii="宋体" w:hAnsi="宋体" w:cs="宋体"/>
          <w:color w:val="auto"/>
          <w:highlight w:val="none"/>
        </w:rPr>
        <w:t>27.5其他无法保证电子交易的公平、公正和安全的情况。</w:t>
      </w:r>
    </w:p>
    <w:p>
      <w:pPr>
        <w:pStyle w:val="4"/>
        <w:shd w:val="clear"/>
        <w:bidi w:val="0"/>
        <w:ind w:left="0" w:firstLine="0"/>
        <w:rPr>
          <w:rFonts w:hint="default" w:ascii="宋体" w:hAnsi="宋体" w:eastAsia="宋体" w:cs="宋体"/>
          <w:color w:val="auto"/>
          <w:highlight w:val="none"/>
          <w:lang w:val="en-US" w:eastAsia="zh-CN"/>
        </w:rPr>
      </w:pPr>
      <w:r>
        <w:rPr>
          <w:rFonts w:hint="eastAsia" w:ascii="宋体" w:hAnsi="宋体" w:cs="宋体"/>
          <w:color w:val="auto"/>
          <w:highlight w:val="none"/>
        </w:rPr>
        <w:t>28.</w:t>
      </w:r>
      <w:r>
        <w:rPr>
          <w:rFonts w:hint="eastAsia" w:ascii="宋体" w:hAnsi="宋体" w:cs="宋体"/>
          <w:color w:val="auto"/>
          <w:highlight w:val="none"/>
          <w:lang w:val="en-US" w:eastAsia="zh-CN"/>
        </w:rPr>
        <w:t>其他情形</w:t>
      </w:r>
    </w:p>
    <w:p>
      <w:pPr>
        <w:pStyle w:val="130"/>
        <w:shd w:val="clear"/>
        <w:snapToGrid w:val="0"/>
        <w:spacing w:before="0"/>
        <w:ind w:firstLine="480" w:firstLineChars="200"/>
        <w:rPr>
          <w:rFonts w:ascii="宋体" w:hAnsi="宋体" w:cs="宋体"/>
          <w:color w:val="auto"/>
          <w:highlight w:val="none"/>
        </w:rPr>
      </w:pP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shd w:val="clear"/>
        <w:tabs>
          <w:tab w:val="left" w:pos="0"/>
        </w:tabs>
        <w:spacing w:line="360" w:lineRule="auto"/>
        <w:rPr>
          <w:rFonts w:ascii="宋体" w:hAnsi="宋体" w:cs="宋体"/>
          <w:color w:val="auto"/>
          <w:sz w:val="24"/>
          <w:highlight w:val="none"/>
        </w:rPr>
      </w:pPr>
    </w:p>
    <w:p>
      <w:pPr>
        <w:pStyle w:val="3"/>
        <w:shd w:val="clear"/>
        <w:bidi w:val="0"/>
        <w:ind w:left="0" w:firstLine="0"/>
        <w:rPr>
          <w:rFonts w:ascii="宋体" w:hAnsi="宋体" w:cs="宋体"/>
          <w:b/>
          <w:color w:val="auto"/>
          <w:sz w:val="32"/>
          <w:szCs w:val="20"/>
          <w:highlight w:val="none"/>
        </w:rPr>
      </w:pPr>
      <w:r>
        <w:rPr>
          <w:rFonts w:hint="eastAsia" w:eastAsia="宋体"/>
          <w:color w:val="auto"/>
          <w:highlight w:val="none"/>
        </w:rPr>
        <w:t>九、验收</w:t>
      </w:r>
    </w:p>
    <w:p>
      <w:pPr>
        <w:pStyle w:val="4"/>
        <w:shd w:val="clear"/>
        <w:bidi w:val="0"/>
        <w:ind w:left="0" w:firstLine="0"/>
        <w:rPr>
          <w:rFonts w:hint="eastAsia" w:ascii="Times New Roman" w:hAnsi="Times New Roman" w:eastAsia="宋体"/>
          <w:color w:val="auto"/>
          <w:highlight w:val="none"/>
        </w:rPr>
      </w:pPr>
      <w:r>
        <w:rPr>
          <w:rFonts w:hint="eastAsia" w:ascii="Times New Roman" w:hAnsi="Times New Roman" w:eastAsia="宋体"/>
          <w:color w:val="auto"/>
          <w:highlight w:val="none"/>
        </w:rPr>
        <w:t>29.验收</w:t>
      </w:r>
    </w:p>
    <w:p>
      <w:pPr>
        <w:shd w:val="clea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hd w:val="clea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29.2采购人可以邀请参加本项目的其他供应商或者第三方机构参与验收。参与验收的供应商或者第三方机构的意见作为验收书的参考资料一并存档。</w:t>
      </w:r>
    </w:p>
    <w:p>
      <w:pPr>
        <w:shd w:val="clea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hd w:val="clea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shd w:val="clear"/>
        <w:tabs>
          <w:tab w:val="left" w:pos="0"/>
        </w:tabs>
        <w:spacing w:line="360" w:lineRule="auto"/>
        <w:ind w:firstLine="480"/>
        <w:rPr>
          <w:rFonts w:ascii="宋体" w:hAnsi="宋体" w:cs="宋体"/>
          <w:color w:val="auto"/>
          <w:kern w:val="0"/>
          <w:sz w:val="24"/>
          <w:highlight w:val="none"/>
        </w:rPr>
        <w:sectPr>
          <w:pgSz w:w="11906" w:h="16838"/>
          <w:pgMar w:top="1440" w:right="1080" w:bottom="1440" w:left="1080" w:header="851" w:footer="992" w:gutter="0"/>
          <w:cols w:space="720" w:num="1"/>
          <w:titlePg/>
          <w:docGrid w:linePitch="312" w:charSpace="0"/>
        </w:sectPr>
      </w:pPr>
      <w:bookmarkStart w:id="19" w:name="_Hlt75236290"/>
      <w:bookmarkEnd w:id="19"/>
      <w:bookmarkStart w:id="20" w:name="_Hlt75236101"/>
      <w:bookmarkEnd w:id="20"/>
      <w:bookmarkStart w:id="21" w:name="_Hlt68057669"/>
      <w:bookmarkEnd w:id="21"/>
      <w:bookmarkStart w:id="22" w:name="_Hlt74707468"/>
      <w:bookmarkEnd w:id="22"/>
      <w:bookmarkStart w:id="23" w:name="_Hlt68072998"/>
      <w:bookmarkEnd w:id="23"/>
      <w:bookmarkStart w:id="24" w:name="_Hlt68403820"/>
      <w:bookmarkEnd w:id="24"/>
      <w:bookmarkStart w:id="25" w:name="_Hlt74714665"/>
      <w:bookmarkEnd w:id="25"/>
      <w:bookmarkStart w:id="26" w:name="_Hlt74729768"/>
      <w:bookmarkEnd w:id="26"/>
      <w:bookmarkStart w:id="27" w:name="_Hlt74730295"/>
      <w:bookmarkEnd w:id="27"/>
      <w:bookmarkStart w:id="28" w:name="_Hlt68072990"/>
      <w:bookmarkEnd w:id="28"/>
      <w:bookmarkStart w:id="29" w:name="_Hlt68073093"/>
      <w:bookmarkEnd w:id="29"/>
      <w:bookmarkStart w:id="30" w:name="_Hlt75236011"/>
      <w:bookmarkEnd w:id="30"/>
    </w:p>
    <w:bookmarkEnd w:id="13"/>
    <w:bookmarkEnd w:id="14"/>
    <w:p>
      <w:pPr>
        <w:pStyle w:val="2"/>
        <w:shd w:val="clear"/>
        <w:bidi w:val="0"/>
        <w:ind w:left="0" w:firstLine="0"/>
        <w:rPr>
          <w:rFonts w:hint="eastAsia" w:ascii="宋体" w:hAnsi="宋体" w:eastAsia="宋体" w:cs="宋体"/>
          <w:b/>
          <w:color w:val="auto"/>
          <w:sz w:val="36"/>
          <w:szCs w:val="20"/>
          <w:highlight w:val="none"/>
        </w:rPr>
      </w:pPr>
      <w:bookmarkStart w:id="31" w:name="第四部分"/>
      <w:r>
        <w:rPr>
          <w:rFonts w:hint="eastAsia" w:ascii="宋体" w:hAnsi="宋体" w:eastAsia="宋体" w:cs="宋体"/>
          <w:b/>
          <w:color w:val="auto"/>
          <w:sz w:val="36"/>
          <w:szCs w:val="20"/>
          <w:highlight w:val="none"/>
        </w:rPr>
        <w:t>第三部分 采购需求</w:t>
      </w:r>
    </w:p>
    <w:p>
      <w:pPr>
        <w:pStyle w:val="3"/>
        <w:shd w:val="clear"/>
        <w:bidi w:val="0"/>
        <w:jc w:val="left"/>
        <w:rPr>
          <w:color w:val="auto"/>
          <w:sz w:val="24"/>
          <w:szCs w:val="24"/>
          <w:highlight w:val="none"/>
        </w:rPr>
      </w:pPr>
      <w:r>
        <w:rPr>
          <w:rFonts w:hint="eastAsia"/>
          <w:color w:val="auto"/>
          <w:sz w:val="24"/>
          <w:szCs w:val="24"/>
          <w:highlight w:val="none"/>
        </w:rPr>
        <w:t>一、工程概况</w:t>
      </w:r>
    </w:p>
    <w:p>
      <w:pPr>
        <w:shd w:val="clear"/>
        <w:spacing w:line="360" w:lineRule="auto"/>
        <w:ind w:firstLine="480" w:firstLineChars="200"/>
        <w:jc w:val="left"/>
        <w:rPr>
          <w:rFonts w:hint="eastAsia" w:ascii="宋体" w:hAnsi="宋体" w:cs="仿宋_GB2312"/>
          <w:color w:val="auto"/>
          <w:sz w:val="24"/>
          <w:highlight w:val="none"/>
          <w:u w:val="none"/>
          <w:lang w:val="zh-CN"/>
        </w:rPr>
      </w:pPr>
      <w:r>
        <w:rPr>
          <w:rFonts w:hint="eastAsia" w:ascii="宋体" w:hAnsi="宋体" w:cs="仿宋_GB2312"/>
          <w:color w:val="auto"/>
          <w:sz w:val="24"/>
          <w:highlight w:val="none"/>
          <w:u w:val="none"/>
        </w:rPr>
        <w:t>1.项目预算：</w:t>
      </w:r>
      <w:r>
        <w:rPr>
          <w:rFonts w:hint="eastAsia" w:ascii="宋体" w:hAnsi="宋体" w:cs="仿宋_GB2312"/>
          <w:color w:val="auto"/>
          <w:sz w:val="24"/>
          <w:highlight w:val="none"/>
          <w:u w:val="none"/>
          <w:lang w:val="en-US" w:eastAsia="zh-CN"/>
        </w:rPr>
        <w:t>3799330</w:t>
      </w:r>
      <w:r>
        <w:rPr>
          <w:rFonts w:hint="eastAsia" w:ascii="宋体" w:hAnsi="宋体" w:cs="仿宋_GB2312"/>
          <w:color w:val="auto"/>
          <w:sz w:val="24"/>
          <w:highlight w:val="none"/>
          <w:u w:val="none"/>
        </w:rPr>
        <w:t>元，最高限价</w:t>
      </w:r>
      <w:r>
        <w:rPr>
          <w:rFonts w:hint="eastAsia" w:ascii="宋体" w:hAnsi="宋体" w:cs="仿宋_GB2312"/>
          <w:color w:val="auto"/>
          <w:sz w:val="24"/>
          <w:highlight w:val="none"/>
          <w:u w:val="none"/>
          <w:lang w:val="en-US" w:eastAsia="zh-CN"/>
        </w:rPr>
        <w:t>3799330</w:t>
      </w:r>
      <w:r>
        <w:rPr>
          <w:rFonts w:hint="eastAsia" w:ascii="宋体" w:hAnsi="宋体" w:cs="仿宋_GB2312"/>
          <w:color w:val="auto"/>
          <w:sz w:val="24"/>
          <w:highlight w:val="none"/>
          <w:u w:val="none"/>
        </w:rPr>
        <w:t>元</w:t>
      </w:r>
      <w:r>
        <w:rPr>
          <w:rFonts w:hint="eastAsia" w:ascii="宋体" w:hAnsi="宋体" w:cs="仿宋_GB2312"/>
          <w:color w:val="auto"/>
          <w:sz w:val="24"/>
          <w:highlight w:val="none"/>
          <w:u w:val="none"/>
          <w:lang w:val="zh-CN"/>
        </w:rPr>
        <w:t>。</w:t>
      </w:r>
    </w:p>
    <w:p>
      <w:pPr>
        <w:shd w:val="clear"/>
        <w:spacing w:line="360" w:lineRule="auto"/>
        <w:ind w:firstLine="480" w:firstLineChars="200"/>
        <w:jc w:val="left"/>
        <w:rPr>
          <w:rFonts w:hint="default" w:ascii="宋体" w:hAnsi="宋体" w:eastAsia="宋体" w:cs="仿宋_GB2312"/>
          <w:color w:val="auto"/>
          <w:sz w:val="24"/>
          <w:highlight w:val="none"/>
          <w:u w:val="none"/>
          <w:lang w:val="en-US" w:eastAsia="zh-CN"/>
        </w:rPr>
      </w:pPr>
      <w:r>
        <w:rPr>
          <w:rFonts w:hint="eastAsia" w:ascii="宋体" w:hAnsi="宋体" w:cs="仿宋_GB2312"/>
          <w:color w:val="auto"/>
          <w:sz w:val="24"/>
          <w:highlight w:val="none"/>
          <w:u w:val="none"/>
          <w:lang w:val="en-US" w:eastAsia="zh-CN"/>
        </w:rPr>
        <w:t>2.工程概况：刀茅巷（凤起路-东园街）道路整治工程为杭州主城区通行道路，项目位于拱墅区，道路南起凤起路，北至光芒巷，全长约337m，道路宽度为14/21米，为双向两车道城市支路，K0+000-K0+120横断面形式为两块板，K0+120-K0+337横断面形式为一块板。道路两侧主要为居民区、学校、医院，人流量较大。现状道路分别于凤起路、东园巷、光芒巷交叉，终点顺接现状刀茅巷北段。主要内容为道路改造、雨水管道及雨水口改造、交通设施、智能交通等。</w:t>
      </w:r>
    </w:p>
    <w:p>
      <w:pPr>
        <w:pStyle w:val="3"/>
        <w:shd w:val="clear"/>
        <w:bidi w:val="0"/>
        <w:ind w:left="0" w:firstLine="0"/>
        <w:jc w:val="left"/>
        <w:rPr>
          <w:rFonts w:ascii="宋体" w:hAnsi="宋体" w:cs="仿宋_GB2312"/>
          <w:color w:val="auto"/>
          <w:sz w:val="24"/>
          <w:highlight w:val="none"/>
        </w:rPr>
      </w:pPr>
      <w:r>
        <w:rPr>
          <w:rFonts w:hint="eastAsia" w:eastAsia="宋体"/>
          <w:color w:val="auto"/>
          <w:sz w:val="24"/>
          <w:szCs w:val="24"/>
          <w:highlight w:val="none"/>
        </w:rPr>
        <w:t>二、工程内容</w:t>
      </w:r>
      <w:r>
        <w:rPr>
          <w:rFonts w:hint="eastAsia" w:ascii="宋体" w:hAnsi="宋体" w:cs="仿宋_GB2312"/>
          <w:b/>
          <w:bCs/>
          <w:color w:val="auto"/>
          <w:sz w:val="24"/>
          <w:highlight w:val="none"/>
        </w:rPr>
        <w:t xml:space="preserve"> </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1.工程名称</w:t>
      </w:r>
    </w:p>
    <w:p>
      <w:pPr>
        <w:shd w:val="clear"/>
        <w:spacing w:line="360" w:lineRule="auto"/>
        <w:ind w:firstLine="420"/>
        <w:jc w:val="left"/>
        <w:rPr>
          <w:rFonts w:hint="eastAsia" w:ascii="宋体" w:hAnsi="宋体" w:eastAsia="宋体"/>
          <w:color w:val="auto"/>
          <w:sz w:val="24"/>
          <w:highlight w:val="none"/>
          <w:u w:val="single"/>
          <w:lang w:eastAsia="zh-CN"/>
        </w:rPr>
      </w:pPr>
      <w:r>
        <w:rPr>
          <w:rFonts w:hint="eastAsia" w:ascii="宋体" w:hAnsi="宋体"/>
          <w:color w:val="auto"/>
          <w:sz w:val="24"/>
          <w:highlight w:val="none"/>
          <w:u w:val="none"/>
          <w:lang w:eastAsia="zh-CN"/>
        </w:rPr>
        <w:t>刀茅巷(凤起路-东园街)道路整治工程</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2.现场条件</w:t>
      </w:r>
    </w:p>
    <w:p>
      <w:pPr>
        <w:shd w:val="clear"/>
        <w:tabs>
          <w:tab w:val="left" w:pos="2310"/>
        </w:tabs>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已具备施工条件。</w:t>
      </w:r>
    </w:p>
    <w:p>
      <w:pPr>
        <w:shd w:val="clear"/>
        <w:tabs>
          <w:tab w:val="left" w:pos="2310"/>
        </w:tabs>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采购人不组织现场踏勘，供应商应自行对工程现场和周围环境进行踏勘和了解，以获取有关编制响应文件和签署合同所需的各种资料，并应充分考虑影响本次报价的因素、预计实施过程中各种不利因素，由此可能发生的费用均由供应商考虑并包含在磋商响应报价中。成交后，供应商不得再以不完全了解现场情况等为理由而提出额外付款或延长工期等的要求，若有此类要求，采购人将不作任何答复与考虑，供应商应承担现场踏勘的责任和风险，踏勘现场的费用由供应商自行承担。</w:t>
      </w:r>
    </w:p>
    <w:p>
      <w:pPr>
        <w:shd w:val="clear"/>
        <w:tabs>
          <w:tab w:val="left" w:pos="2310"/>
        </w:tabs>
        <w:snapToGrid w:val="0"/>
        <w:spacing w:line="360" w:lineRule="auto"/>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承包人必须按照</w:t>
      </w:r>
      <w:r>
        <w:rPr>
          <w:rFonts w:hint="eastAsia" w:ascii="宋体" w:hAnsi="宋体" w:cs="宋体"/>
          <w:b/>
          <w:color w:val="auto"/>
          <w:sz w:val="24"/>
          <w:highlight w:val="none"/>
          <w:lang w:val="en-US" w:eastAsia="zh-CN"/>
        </w:rPr>
        <w:t>街道</w:t>
      </w:r>
      <w:r>
        <w:rPr>
          <w:rFonts w:hint="eastAsia" w:ascii="宋体" w:hAnsi="宋体" w:cs="宋体"/>
          <w:b/>
          <w:color w:val="auto"/>
          <w:sz w:val="24"/>
          <w:highlight w:val="none"/>
        </w:rPr>
        <w:t>的施工管理规定进行施工，如需要按</w:t>
      </w:r>
      <w:r>
        <w:rPr>
          <w:rFonts w:hint="eastAsia" w:ascii="宋体" w:hAnsi="宋体" w:cs="宋体"/>
          <w:b/>
          <w:color w:val="auto"/>
          <w:sz w:val="24"/>
          <w:highlight w:val="none"/>
          <w:lang w:val="en-US" w:eastAsia="zh-CN"/>
        </w:rPr>
        <w:t>街道</w:t>
      </w:r>
      <w:r>
        <w:rPr>
          <w:rFonts w:hint="eastAsia" w:ascii="宋体" w:hAnsi="宋体" w:cs="宋体"/>
          <w:b/>
          <w:color w:val="auto"/>
          <w:sz w:val="24"/>
          <w:highlight w:val="none"/>
        </w:rPr>
        <w:t>管理需要临时调整施工时间等，施工作业环境的种种不利因素，如夜间施工、垃圾装袋外运等等均需由供应商考虑，并将所需费用包含在磋商响应报价中。</w:t>
      </w:r>
    </w:p>
    <w:p>
      <w:pPr>
        <w:shd w:val="clear"/>
        <w:spacing w:line="360" w:lineRule="auto"/>
        <w:ind w:firstLine="482" w:firstLineChars="200"/>
        <w:jc w:val="left"/>
        <w:rPr>
          <w:rFonts w:ascii="宋体" w:hAnsi="宋体"/>
          <w:color w:val="auto"/>
          <w:sz w:val="24"/>
          <w:highlight w:val="none"/>
          <w:u w:val="single"/>
        </w:rPr>
      </w:pPr>
      <w:r>
        <w:rPr>
          <w:rFonts w:hint="eastAsia" w:ascii="宋体" w:hAnsi="宋体" w:cs="宋体"/>
          <w:b/>
          <w:color w:val="auto"/>
          <w:sz w:val="24"/>
          <w:highlight w:val="none"/>
        </w:rPr>
        <w:t>本项目采购人不提供住宿，由供应商自行解决，相关费用</w:t>
      </w:r>
      <w:r>
        <w:rPr>
          <w:rFonts w:hint="eastAsia" w:ascii="宋体" w:hAnsi="宋体" w:cs="宋体"/>
          <w:b/>
          <w:color w:val="auto"/>
          <w:sz w:val="24"/>
          <w:highlight w:val="none"/>
          <w:lang w:val="en-US" w:eastAsia="zh-CN"/>
        </w:rPr>
        <w:t>应</w:t>
      </w:r>
      <w:r>
        <w:rPr>
          <w:rFonts w:hint="eastAsia" w:ascii="宋体" w:hAnsi="宋体" w:cs="宋体"/>
          <w:b/>
          <w:color w:val="auto"/>
          <w:sz w:val="24"/>
          <w:highlight w:val="none"/>
        </w:rPr>
        <w:t>包含在报价中。</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3.工程承包范围</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施工图、工程量清单及其编制说明、竞争性磋商文件中明确的内容为准，可能出现的施工图设计变更及根据发包人明确指令需在施工图范围外增加的工程量及施工图范围内减少的工程量。</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4.工程质量标准</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工程施工中的所有材料、设备和施工质量均应符合下列技术规范的要求：</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4.1本工程采用的技术规范</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（1）国家现行的设计规范。</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（2）国家现行的施工规范。</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（3）国家现行的验收规范。</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（4）国家现行的质量验评标准。</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（5）国家及地方现行施工验收及施工安全技术规范。</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4.2规范的获得由承包人自行解决。</w:t>
      </w:r>
    </w:p>
    <w:p>
      <w:pPr>
        <w:shd w:val="clear"/>
        <w:spacing w:line="360" w:lineRule="auto"/>
        <w:ind w:left="210" w:leftChars="100" w:firstLine="240" w:firstLineChars="100"/>
        <w:jc w:val="left"/>
        <w:rPr>
          <w:rFonts w:hint="eastAsia" w:ascii="宋体" w:hAnsi="宋体" w:cs="仿宋_GB2312"/>
          <w:color w:val="auto"/>
          <w:sz w:val="24"/>
          <w:highlight w:val="none"/>
        </w:rPr>
      </w:pPr>
      <w:r>
        <w:rPr>
          <w:rFonts w:hint="eastAsia" w:ascii="宋体" w:hAnsi="宋体" w:cs="仿宋_GB2312"/>
          <w:color w:val="auto"/>
          <w:sz w:val="24"/>
          <w:highlight w:val="none"/>
        </w:rPr>
        <w:t>4.3在合同履行期间，若上述标准或规范有修改或重新颁布，承包人应遵照执行。</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5.工程施工要求</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5.1本工程施工严格按照规范要求进行施工，达到各项拟定的设计指标；</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5.2所有材料设备必须在检验合格经采购人同意后，方可用于本工程；</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5.3隐蔽工程必须经采购人检查、验收后，方可进行下一道工序；</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5.4在免费保修期内，成交人对有缺陷的部位必须无偿地给予修理与更换，并承担一切由此引起的对采购人或第三者的直接损失，除非该缺陷是由于人为破坏或合同规定的不可抗因素造成的损坏。</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5.5成交人必须对所承包的工程的质量负全部责任，其责任不因其他材料生产商提供的保证书而减轻或更改。</w:t>
      </w:r>
    </w:p>
    <w:p>
      <w:pPr>
        <w:shd w:val="clear"/>
        <w:spacing w:line="360" w:lineRule="auto"/>
        <w:ind w:firstLine="480" w:firstLineChars="200"/>
        <w:jc w:val="both"/>
        <w:rPr>
          <w:rFonts w:ascii="宋体" w:hAnsi="宋体"/>
          <w:color w:val="auto"/>
          <w:sz w:val="24"/>
          <w:highlight w:val="none"/>
          <w:u w:val="single"/>
        </w:rPr>
      </w:pPr>
      <w:r>
        <w:rPr>
          <w:rFonts w:hint="eastAsia" w:ascii="宋体" w:hAnsi="宋体" w:cs="仿宋_GB2312"/>
          <w:color w:val="auto"/>
          <w:sz w:val="24"/>
          <w:highlight w:val="none"/>
        </w:rPr>
        <w:t>5.6施工时注意做好必要的劳动保护工作。</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6.工程管理要求</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6.1本工程发包范围内的工程项目，未经采购人同意一律不得分包。一经发现立即取消承包资格，作违约处理，并承担由此引起的一切经济损失。</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6.2成交人应严格按已确认施工技术方案组织施工，并无条件地接受采购人代表对施工质量的监督和管理。</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仿宋_GB2312"/>
          <w:color w:val="auto"/>
          <w:sz w:val="24"/>
          <w:highlight w:val="none"/>
        </w:rPr>
      </w:pPr>
      <w:r>
        <w:rPr>
          <w:rFonts w:hint="eastAsia" w:ascii="宋体" w:hAnsi="宋体" w:cs="仿宋_GB2312"/>
          <w:color w:val="auto"/>
          <w:sz w:val="24"/>
          <w:highlight w:val="none"/>
        </w:rPr>
        <w:t>6.3成交人在工程施工全过程中要认真做好产品保护。因失窃或失火造成的损失均由承包方负责，凡由此而损及采购人利益时，采购人将向成交人索赔。</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 xml:space="preserve">7.工程主要材料（设备）要求  </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bookmarkStart w:id="32" w:name="_Toc66769197"/>
      <w:r>
        <w:rPr>
          <w:rFonts w:hint="eastAsia" w:ascii="宋体" w:hAnsi="宋体"/>
          <w:color w:val="auto"/>
          <w:sz w:val="24"/>
          <w:highlight w:val="none"/>
        </w:rPr>
        <w:t>7.1材料选择</w:t>
      </w:r>
      <w:bookmarkEnd w:id="32"/>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本工程使用的原材料必须符合设计要求和施工规范的规定。</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实际施工过程中，发包人将严格检查验收进场原材料的合格证及质保书，如发现实样与质保书不符，应立即取样进行复查，对不合格的材料严禁用于本工程。</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本工程涉及的主要材料及零星材料，各磋商供应商须根据采购人要求及规范进行选材并报价，所有材料要求采用在行业内有一定知名度的品牌，材料生产厂家必须通过ISO质量认证，并符合环保要求，严禁选择不合设计要求的低档材料进行磋商报价及组织施工实施。</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s="宋体"/>
          <w:color w:val="auto"/>
          <w:sz w:val="24"/>
          <w:highlight w:val="none"/>
        </w:rPr>
      </w:pPr>
      <w:bookmarkStart w:id="33" w:name="_Toc66769198"/>
      <w:r>
        <w:rPr>
          <w:rFonts w:hint="eastAsia" w:ascii="宋体" w:hAnsi="宋体" w:cs="宋体"/>
          <w:color w:val="auto"/>
          <w:sz w:val="24"/>
          <w:highlight w:val="none"/>
        </w:rPr>
        <w:t>7.2设备材料选择</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contextualSpacing/>
        <w:jc w:val="both"/>
        <w:textAlignment w:val="auto"/>
        <w:rPr>
          <w:rFonts w:ascii="宋体" w:hAnsi="宋体" w:cs="宋体"/>
          <w:color w:val="auto"/>
          <w:sz w:val="24"/>
          <w:highlight w:val="none"/>
        </w:rPr>
      </w:pPr>
      <w:r>
        <w:rPr>
          <w:rFonts w:hint="eastAsia" w:ascii="宋体" w:hAnsi="宋体" w:cs="宋体"/>
          <w:color w:val="auto"/>
          <w:sz w:val="24"/>
          <w:highlight w:val="none"/>
        </w:rPr>
        <w:t>（1）所用各类设备材料须经发包人认可后方可使用。发包人保留在备选品牌之外选择设备材料的权力。</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contextualSpacing/>
        <w:jc w:val="both"/>
        <w:textAlignment w:val="auto"/>
        <w:rPr>
          <w:rFonts w:ascii="宋体" w:hAnsi="宋体" w:cs="宋体"/>
          <w:color w:val="auto"/>
          <w:sz w:val="24"/>
          <w:highlight w:val="none"/>
        </w:rPr>
      </w:pPr>
      <w:r>
        <w:rPr>
          <w:rFonts w:hint="eastAsia" w:ascii="宋体" w:hAnsi="宋体" w:cs="宋体"/>
          <w:color w:val="auto"/>
          <w:sz w:val="24"/>
          <w:highlight w:val="none"/>
        </w:rPr>
        <w:t>（2）所用各类设备材料都应符合设计和国家规定的相关技术规范标准要求。</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contextualSpacing/>
        <w:jc w:val="both"/>
        <w:textAlignment w:val="auto"/>
        <w:rPr>
          <w:rFonts w:ascii="宋体" w:hAnsi="宋体" w:cs="宋体"/>
          <w:color w:val="auto"/>
          <w:sz w:val="24"/>
          <w:highlight w:val="none"/>
        </w:rPr>
      </w:pPr>
      <w:r>
        <w:rPr>
          <w:rFonts w:hint="eastAsia" w:ascii="宋体" w:hAnsi="宋体" w:cs="宋体"/>
          <w:color w:val="auto"/>
          <w:sz w:val="24"/>
          <w:highlight w:val="none"/>
        </w:rPr>
        <w:t>（3）所用各类设备材料均有质量合格证书。</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contextualSpacing/>
        <w:jc w:val="both"/>
        <w:textAlignment w:val="auto"/>
        <w:rPr>
          <w:rFonts w:ascii="宋体" w:hAnsi="宋体" w:cs="宋体"/>
          <w:color w:val="auto"/>
          <w:sz w:val="24"/>
          <w:highlight w:val="none"/>
        </w:rPr>
      </w:pPr>
      <w:r>
        <w:rPr>
          <w:rFonts w:hint="eastAsia" w:ascii="宋体" w:hAnsi="宋体" w:cs="宋体"/>
          <w:color w:val="auto"/>
          <w:sz w:val="24"/>
          <w:highlight w:val="none"/>
        </w:rPr>
        <w:t>7.3设备材料的质量保证</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contextualSpacing/>
        <w:jc w:val="both"/>
        <w:textAlignment w:val="auto"/>
        <w:rPr>
          <w:rFonts w:ascii="宋体" w:hAnsi="宋体" w:cs="宋体"/>
          <w:color w:val="auto"/>
          <w:sz w:val="24"/>
          <w:highlight w:val="none"/>
        </w:rPr>
      </w:pPr>
      <w:r>
        <w:rPr>
          <w:rFonts w:hint="eastAsia" w:ascii="宋体" w:hAnsi="宋体" w:cs="宋体"/>
          <w:color w:val="auto"/>
          <w:sz w:val="24"/>
          <w:highlight w:val="none"/>
        </w:rPr>
        <w:t>（1）在施工期间内，承包人对有缺陷的部位必须无偿地给予修正，并承担一切由此引起的对发包人或第三者的直接损失，除非该缺陷是由于人为破坏或合同规定的不可抗因素造成的损坏。</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s="宋体"/>
          <w:color w:val="auto"/>
          <w:sz w:val="24"/>
          <w:highlight w:val="none"/>
        </w:rPr>
        <w:t>（2）承包人应对所选用的设备材料的技术满足度和质量负全部责任，其责任不因该品牌是否为发包人推荐减轻或更改。当承包人选定的产品质量达不到设计要求和招标文件要求的技术指标时，发包人保留更换的权利，且中标价不予调整。</w:t>
      </w:r>
      <w:bookmarkEnd w:id="33"/>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hint="eastAsia" w:ascii="宋体" w:hAnsi="宋体"/>
          <w:color w:val="auto"/>
          <w:sz w:val="24"/>
          <w:highlight w:val="none"/>
        </w:rPr>
      </w:pPr>
      <w:r>
        <w:rPr>
          <w:rFonts w:hint="eastAsia" w:ascii="宋体" w:hAnsi="宋体"/>
          <w:color w:val="auto"/>
          <w:sz w:val="24"/>
          <w:highlight w:val="none"/>
        </w:rPr>
        <w:t>7.4磋商供应商应按“主要材料（设备）推荐品牌</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如有</w:t>
      </w:r>
      <w:r>
        <w:rPr>
          <w:rFonts w:hint="eastAsia" w:ascii="宋体" w:hAnsi="宋体"/>
          <w:color w:val="auto"/>
          <w:sz w:val="24"/>
          <w:highlight w:val="none"/>
          <w:lang w:eastAsia="zh-CN"/>
        </w:rPr>
        <w:t>）</w:t>
      </w:r>
      <w:r>
        <w:rPr>
          <w:rFonts w:hint="eastAsia" w:ascii="宋体" w:hAnsi="宋体"/>
          <w:color w:val="auto"/>
          <w:sz w:val="24"/>
          <w:highlight w:val="none"/>
        </w:rPr>
        <w:t>”要求磋商报价，并在工程量清单报价“表1-6主要材料价格表”的备注一栏里明确品牌、规格、型号、单位、单价等。如磋商供应商没有按竞争性磋商文件要求进行选择，或没有明确注明，或所选材料设备的材质、规格、档次与竞争性磋商文件要求的存在明显差别，或虽按竞争性磋商文件推荐的材料品牌选择但该材料因某种原因停产或其他原因而不能供应的，或虽注明品牌未注明型号、规格的，则实际施工过程中采购人有权在竞争性磋商文件推荐的材料品牌范围内自行确定品牌和规格，且磋商价格不予调整。</w:t>
      </w:r>
    </w:p>
    <w:p>
      <w:pPr>
        <w:shd w:val="clear"/>
        <w:spacing w:line="240" w:lineRule="auto"/>
        <w:jc w:val="left"/>
        <w:rPr>
          <w:rFonts w:ascii="宋体" w:hAnsi="宋体" w:cs="仿宋_GB2312"/>
          <w:b/>
          <w:bCs/>
          <w:color w:val="auto"/>
          <w:sz w:val="24"/>
          <w:highlight w:val="none"/>
        </w:rPr>
      </w:pPr>
    </w:p>
    <w:p>
      <w:pPr>
        <w:pStyle w:val="3"/>
        <w:shd w:val="clear"/>
        <w:bidi w:val="0"/>
        <w:ind w:left="0" w:firstLine="0"/>
        <w:jc w:val="left"/>
        <w:rPr>
          <w:rFonts w:hint="eastAsia" w:eastAsia="宋体"/>
          <w:color w:val="auto"/>
          <w:sz w:val="24"/>
          <w:szCs w:val="24"/>
          <w:highlight w:val="none"/>
        </w:rPr>
      </w:pPr>
      <w:r>
        <w:rPr>
          <w:rFonts w:hint="eastAsia" w:eastAsia="宋体"/>
          <w:color w:val="auto"/>
          <w:sz w:val="24"/>
          <w:szCs w:val="24"/>
          <w:highlight w:val="none"/>
        </w:rPr>
        <w:t>三、商务要求</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1.工期要求：</w:t>
      </w:r>
      <w:r>
        <w:rPr>
          <w:rFonts w:hint="eastAsia" w:ascii="宋体" w:hAnsi="宋体"/>
          <w:color w:val="auto"/>
          <w:sz w:val="24"/>
          <w:highlight w:val="none"/>
          <w:u w:val="single"/>
          <w:lang w:val="en-US" w:eastAsia="zh-CN"/>
        </w:rPr>
        <w:t>施工工期150日历天</w:t>
      </w:r>
    </w:p>
    <w:p>
      <w:pPr>
        <w:shd w:val="clear"/>
        <w:spacing w:line="360" w:lineRule="auto"/>
        <w:ind w:left="210" w:leftChars="100"/>
        <w:jc w:val="left"/>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rPr>
        <w:t>2.工程地点：</w:t>
      </w:r>
      <w:r>
        <w:rPr>
          <w:rFonts w:hint="eastAsia" w:ascii="宋体" w:hAnsi="宋体"/>
          <w:color w:val="auto"/>
          <w:sz w:val="24"/>
          <w:highlight w:val="none"/>
          <w:u w:val="single"/>
          <w:lang w:val="en-US" w:eastAsia="zh-CN"/>
        </w:rPr>
        <w:t>杭州市拱墅区</w:t>
      </w:r>
    </w:p>
    <w:p>
      <w:pPr>
        <w:shd w:val="clear"/>
        <w:spacing w:line="360" w:lineRule="auto"/>
        <w:ind w:left="210" w:leftChars="100"/>
        <w:jc w:val="left"/>
        <w:rPr>
          <w:rFonts w:hint="eastAsia" w:ascii="宋体" w:hAnsi="宋体" w:cs="仿宋_GB2312"/>
          <w:color w:val="auto"/>
          <w:sz w:val="24"/>
          <w:highlight w:val="none"/>
          <w:lang w:eastAsia="zh-CN"/>
        </w:rPr>
      </w:pPr>
      <w:r>
        <w:rPr>
          <w:rFonts w:hint="eastAsia" w:ascii="宋体" w:hAnsi="宋体" w:cs="仿宋_GB2312"/>
          <w:color w:val="auto"/>
          <w:sz w:val="24"/>
          <w:highlight w:val="none"/>
        </w:rPr>
        <w:t>3.付款条件</w:t>
      </w:r>
      <w:r>
        <w:rPr>
          <w:rFonts w:hint="eastAsia" w:ascii="宋体" w:hAnsi="宋体" w:cs="仿宋_GB2312"/>
          <w:color w:val="auto"/>
          <w:sz w:val="24"/>
          <w:highlight w:val="none"/>
          <w:lang w:eastAsia="zh-CN"/>
        </w:rPr>
        <w:t>：</w:t>
      </w:r>
    </w:p>
    <w:p>
      <w:pPr>
        <w:shd w:val="clear"/>
        <w:spacing w:line="360" w:lineRule="auto"/>
        <w:ind w:left="210" w:leftChars="100"/>
        <w:jc w:val="left"/>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支付</w:t>
      </w:r>
      <w:r>
        <w:rPr>
          <w:rFonts w:hint="eastAsia" w:ascii="宋体" w:hAnsi="宋体" w:cs="仿宋_GB2312"/>
          <w:color w:val="auto"/>
          <w:sz w:val="24"/>
          <w:highlight w:val="none"/>
          <w:lang w:eastAsia="zh-CN"/>
        </w:rPr>
        <w:t>进度和方式：</w:t>
      </w:r>
      <w:r>
        <w:rPr>
          <w:rFonts w:hint="eastAsia" w:ascii="宋体" w:hAnsi="宋体" w:cs="仿宋_GB2312"/>
          <w:color w:val="auto"/>
          <w:sz w:val="24"/>
          <w:highlight w:val="none"/>
          <w:lang w:val="en-US" w:eastAsia="zh-CN"/>
        </w:rPr>
        <w:t>具体详见采购文件第五部分“拟签订的合同文本”。</w:t>
      </w:r>
    </w:p>
    <w:tbl>
      <w:tblPr>
        <w:tblStyle w:val="63"/>
        <w:tblW w:w="9735"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837"/>
        <w:gridCol w:w="2200"/>
        <w:gridCol w:w="6698"/>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49" w:hRule="atLeast"/>
        </w:trPr>
        <w:tc>
          <w:tcPr>
            <w:tcW w:w="837"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序号</w:t>
            </w:r>
          </w:p>
        </w:tc>
        <w:tc>
          <w:tcPr>
            <w:tcW w:w="2200"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付款比例（%）</w:t>
            </w:r>
          </w:p>
        </w:tc>
        <w:tc>
          <w:tcPr>
            <w:tcW w:w="6698"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宋体" w:hAnsi="宋体" w:cs="仿宋_GB2312"/>
                <w:b/>
                <w:bCs/>
                <w:color w:val="auto"/>
                <w:sz w:val="24"/>
                <w:highlight w:val="none"/>
              </w:rPr>
            </w:pPr>
            <w:r>
              <w:rPr>
                <w:rFonts w:hint="eastAsia" w:ascii="宋体" w:hAnsi="宋体" w:cs="仿宋_GB2312"/>
                <w:b/>
                <w:bCs/>
                <w:color w:val="auto"/>
                <w:sz w:val="24"/>
                <w:highlight w:val="none"/>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65" w:hRule="atLeast"/>
        </w:trPr>
        <w:tc>
          <w:tcPr>
            <w:tcW w:w="837"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宋体" w:hAnsi="宋体" w:cs="仿宋_GB2312"/>
                <w:color w:val="auto"/>
                <w:sz w:val="24"/>
                <w:highlight w:val="none"/>
              </w:rPr>
            </w:pPr>
            <w:r>
              <w:rPr>
                <w:rFonts w:hint="eastAsia" w:ascii="宋体" w:hAnsi="宋体" w:cs="仿宋_GB2312"/>
                <w:color w:val="auto"/>
                <w:sz w:val="24"/>
                <w:highlight w:val="none"/>
              </w:rPr>
              <w:t>1</w:t>
            </w:r>
          </w:p>
        </w:tc>
        <w:tc>
          <w:tcPr>
            <w:tcW w:w="2200"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40%</w:t>
            </w:r>
          </w:p>
        </w:tc>
        <w:tc>
          <w:tcPr>
            <w:tcW w:w="6698"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宋体" w:hAnsi="宋体" w:cs="仿宋_GB2312"/>
                <w:color w:val="auto"/>
                <w:sz w:val="24"/>
                <w:highlight w:val="none"/>
              </w:rPr>
            </w:pPr>
            <w:r>
              <w:rPr>
                <w:rFonts w:hint="eastAsia" w:ascii="宋体" w:hAnsi="宋体" w:cs="仿宋_GB2312"/>
                <w:color w:val="auto"/>
                <w:sz w:val="24"/>
                <w:highlight w:val="none"/>
              </w:rPr>
              <w:t>合同生效以及具备实施条件后</w:t>
            </w:r>
            <w:r>
              <w:rPr>
                <w:rFonts w:hint="eastAsia" w:ascii="宋体" w:hAnsi="宋体" w:cs="仿宋_GB2312"/>
                <w:color w:val="auto"/>
                <w:sz w:val="24"/>
                <w:highlight w:val="none"/>
                <w:lang w:val="en-US" w:eastAsia="zh-CN"/>
              </w:rPr>
              <w:t>7</w:t>
            </w:r>
            <w:r>
              <w:rPr>
                <w:rFonts w:hint="eastAsia" w:ascii="宋体" w:hAnsi="宋体" w:cs="仿宋_GB2312"/>
                <w:color w:val="auto"/>
                <w:sz w:val="24"/>
                <w:highlight w:val="none"/>
              </w:rPr>
              <w:t>个工作日内</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65" w:hRule="atLeast"/>
        </w:trPr>
        <w:tc>
          <w:tcPr>
            <w:tcW w:w="837"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eastAsia" w:ascii="宋体" w:hAnsi="宋体" w:eastAsia="宋体" w:cs="仿宋_GB2312"/>
                <w:color w:val="auto"/>
                <w:kern w:val="2"/>
                <w:sz w:val="24"/>
                <w:szCs w:val="24"/>
                <w:highlight w:val="none"/>
                <w:lang w:val="en-US" w:eastAsia="zh-CN" w:bidi="ar-SA"/>
              </w:rPr>
            </w:pPr>
            <w:r>
              <w:rPr>
                <w:rFonts w:hint="eastAsia" w:ascii="宋体" w:hAnsi="宋体" w:cs="仿宋_GB2312"/>
                <w:color w:val="auto"/>
                <w:sz w:val="24"/>
                <w:highlight w:val="none"/>
              </w:rPr>
              <w:t>2</w:t>
            </w:r>
          </w:p>
        </w:tc>
        <w:tc>
          <w:tcPr>
            <w:tcW w:w="2200"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宋体" w:hAnsi="宋体" w:cs="仿宋_GB2312"/>
                <w:color w:val="auto"/>
                <w:sz w:val="24"/>
                <w:highlight w:val="none"/>
                <w:lang w:val="en-US" w:eastAsia="zh-CN"/>
              </w:rPr>
            </w:pPr>
            <w:r>
              <w:rPr>
                <w:rFonts w:hint="eastAsia" w:ascii="宋体" w:hAnsi="宋体" w:cs="仿宋_GB2312"/>
                <w:color w:val="auto"/>
                <w:sz w:val="24"/>
                <w:highlight w:val="none"/>
                <w:lang w:val="en-US" w:eastAsia="zh-CN"/>
              </w:rPr>
              <w:t>45%</w:t>
            </w:r>
          </w:p>
        </w:tc>
        <w:tc>
          <w:tcPr>
            <w:tcW w:w="6698"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eastAsia" w:ascii="宋体" w:hAnsi="宋体" w:cs="仿宋_GB2312"/>
                <w:color w:val="auto"/>
                <w:sz w:val="24"/>
                <w:highlight w:val="none"/>
              </w:rPr>
            </w:pPr>
            <w:r>
              <w:rPr>
                <w:rFonts w:hint="eastAsia" w:ascii="宋体" w:hAnsi="宋体" w:cs="仿宋_GB2312"/>
                <w:color w:val="auto"/>
                <w:sz w:val="24"/>
                <w:highlight w:val="none"/>
              </w:rPr>
              <w:t>竣工后支付至合同价款的8</w:t>
            </w:r>
            <w:r>
              <w:rPr>
                <w:rFonts w:hint="eastAsia" w:ascii="宋体" w:hAnsi="宋体" w:cs="仿宋_GB2312"/>
                <w:color w:val="auto"/>
                <w:sz w:val="24"/>
                <w:highlight w:val="none"/>
                <w:lang w:val="en-US" w:eastAsia="zh-CN"/>
              </w:rPr>
              <w:t>5</w:t>
            </w:r>
            <w:r>
              <w:rPr>
                <w:rFonts w:hint="eastAsia" w:ascii="宋体" w:hAnsi="宋体" w:cs="仿宋_GB2312"/>
                <w:color w:val="auto"/>
                <w:sz w:val="24"/>
                <w:highlight w:val="none"/>
              </w:rPr>
              <w:t>%，自收到发票后</w:t>
            </w:r>
            <w:r>
              <w:rPr>
                <w:rFonts w:hint="eastAsia" w:ascii="宋体" w:hAnsi="宋体" w:cs="仿宋_GB2312"/>
                <w:color w:val="auto"/>
                <w:sz w:val="24"/>
                <w:highlight w:val="none"/>
                <w:lang w:val="en-US" w:eastAsia="zh-CN"/>
              </w:rPr>
              <w:t>7</w:t>
            </w:r>
            <w:r>
              <w:rPr>
                <w:rFonts w:hint="eastAsia" w:ascii="宋体" w:hAnsi="宋体" w:cs="仿宋_GB2312"/>
                <w:color w:val="auto"/>
                <w:sz w:val="24"/>
                <w:highlight w:val="none"/>
              </w:rPr>
              <w:t>个工作日内</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c>
          <w:tcPr>
            <w:tcW w:w="837"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eastAsia" w:ascii="宋体" w:hAnsi="宋体" w:eastAsia="宋体" w:cs="仿宋_GB2312"/>
                <w:color w:val="auto"/>
                <w:kern w:val="2"/>
                <w:sz w:val="24"/>
                <w:szCs w:val="24"/>
                <w:highlight w:val="none"/>
                <w:lang w:val="en-US" w:eastAsia="zh-CN" w:bidi="ar-SA"/>
              </w:rPr>
            </w:pPr>
            <w:r>
              <w:rPr>
                <w:rFonts w:hint="eastAsia" w:ascii="宋体" w:hAnsi="宋体" w:cs="仿宋_GB2312"/>
                <w:color w:val="auto"/>
                <w:sz w:val="24"/>
                <w:highlight w:val="none"/>
                <w:lang w:val="en-US" w:eastAsia="zh-CN"/>
              </w:rPr>
              <w:t>3</w:t>
            </w:r>
          </w:p>
        </w:tc>
        <w:tc>
          <w:tcPr>
            <w:tcW w:w="2200"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default" w:ascii="宋体" w:hAnsi="宋体" w:eastAsia="宋体" w:cs="仿宋_GB2312"/>
                <w:color w:val="auto"/>
                <w:sz w:val="24"/>
                <w:highlight w:val="none"/>
                <w:lang w:val="en-US" w:eastAsia="zh-CN"/>
              </w:rPr>
            </w:pPr>
            <w:r>
              <w:rPr>
                <w:rFonts w:hint="eastAsia" w:ascii="宋体" w:hAnsi="宋体" w:cs="仿宋_GB2312"/>
                <w:color w:val="auto"/>
                <w:sz w:val="24"/>
                <w:highlight w:val="none"/>
                <w:lang w:val="en-US" w:eastAsia="zh-CN"/>
              </w:rPr>
              <w:t>至审定价的98.5%</w:t>
            </w:r>
          </w:p>
        </w:tc>
        <w:tc>
          <w:tcPr>
            <w:tcW w:w="6698"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宋体" w:hAnsi="宋体" w:cs="仿宋_GB2312"/>
                <w:color w:val="auto"/>
                <w:sz w:val="24"/>
                <w:highlight w:val="none"/>
              </w:rPr>
            </w:pPr>
            <w:r>
              <w:rPr>
                <w:rFonts w:hint="eastAsia" w:ascii="宋体" w:hAnsi="宋体" w:cs="仿宋_GB2312"/>
                <w:color w:val="auto"/>
                <w:sz w:val="24"/>
                <w:highlight w:val="none"/>
              </w:rPr>
              <w:t>工程结算经审计通过后付至审定价的98.5%，自收到发票后</w:t>
            </w:r>
            <w:r>
              <w:rPr>
                <w:rFonts w:hint="eastAsia" w:ascii="宋体" w:hAnsi="宋体" w:cs="仿宋_GB2312"/>
                <w:color w:val="auto"/>
                <w:sz w:val="24"/>
                <w:highlight w:val="none"/>
                <w:lang w:val="en-US" w:eastAsia="zh-CN"/>
              </w:rPr>
              <w:t>7</w:t>
            </w:r>
            <w:r>
              <w:rPr>
                <w:rFonts w:hint="eastAsia" w:ascii="宋体" w:hAnsi="宋体" w:cs="仿宋_GB2312"/>
                <w:color w:val="auto"/>
                <w:sz w:val="24"/>
                <w:highlight w:val="none"/>
              </w:rPr>
              <w:t>个工作日内</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rPr>
              <w:t>审定价的1.5%作为质量保证金，同时退还履约保证金</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481" w:hRule="atLeast"/>
        </w:trPr>
        <w:tc>
          <w:tcPr>
            <w:tcW w:w="837"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hint="eastAsia" w:ascii="宋体" w:hAnsi="宋体" w:eastAsia="宋体" w:cs="仿宋_GB2312"/>
                <w:color w:val="auto"/>
                <w:sz w:val="24"/>
                <w:highlight w:val="none"/>
                <w:lang w:eastAsia="zh-CN"/>
              </w:rPr>
            </w:pPr>
            <w:r>
              <w:rPr>
                <w:rFonts w:hint="eastAsia" w:ascii="宋体" w:hAnsi="宋体" w:cs="仿宋_GB2312"/>
                <w:color w:val="auto"/>
                <w:sz w:val="24"/>
                <w:highlight w:val="none"/>
                <w:lang w:val="en-US" w:eastAsia="zh-CN"/>
              </w:rPr>
              <w:t>4</w:t>
            </w:r>
          </w:p>
        </w:tc>
        <w:tc>
          <w:tcPr>
            <w:tcW w:w="2200"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宋体" w:hAnsi="宋体" w:cs="仿宋_GB2312"/>
                <w:color w:val="auto"/>
                <w:sz w:val="24"/>
                <w:highlight w:val="none"/>
              </w:rPr>
            </w:pPr>
            <w:r>
              <w:rPr>
                <w:rFonts w:hint="eastAsia" w:ascii="宋体" w:hAnsi="宋体" w:cs="仿宋_GB2312"/>
                <w:color w:val="auto"/>
                <w:sz w:val="24"/>
                <w:highlight w:val="none"/>
                <w:lang w:val="en-US" w:eastAsia="zh-CN"/>
              </w:rPr>
              <w:t>至审定价的</w:t>
            </w:r>
            <w:r>
              <w:rPr>
                <w:rFonts w:hint="eastAsia" w:ascii="宋体" w:hAnsi="宋体" w:cs="仿宋_GB2312"/>
                <w:color w:val="auto"/>
                <w:sz w:val="24"/>
                <w:highlight w:val="none"/>
              </w:rPr>
              <w:t>100</w:t>
            </w:r>
            <w:r>
              <w:rPr>
                <w:rFonts w:ascii="宋体" w:hAnsi="宋体" w:cs="仿宋_GB2312"/>
                <w:color w:val="auto"/>
                <w:sz w:val="24"/>
                <w:highlight w:val="none"/>
              </w:rPr>
              <w:t>%</w:t>
            </w:r>
          </w:p>
        </w:tc>
        <w:tc>
          <w:tcPr>
            <w:tcW w:w="6698" w:type="dxa"/>
            <w:shd w:val="clear" w:color="auto" w:fill="auto"/>
            <w:vAlign w:val="center"/>
          </w:tcPr>
          <w:p>
            <w:pPr>
              <w:keepNext w:val="0"/>
              <w:keepLines w:val="0"/>
              <w:pageBreakBefore w:val="0"/>
              <w:widowControl w:val="0"/>
              <w:shd w:val="clear"/>
              <w:kinsoku/>
              <w:wordWrap/>
              <w:overflowPunct/>
              <w:topLinePunct w:val="0"/>
              <w:autoSpaceDE/>
              <w:autoSpaceDN/>
              <w:bidi w:val="0"/>
              <w:adjustRightInd w:val="0"/>
              <w:snapToGrid w:val="0"/>
              <w:spacing w:line="240" w:lineRule="auto"/>
              <w:jc w:val="center"/>
              <w:textAlignment w:val="auto"/>
              <w:rPr>
                <w:rFonts w:ascii="宋体" w:hAnsi="宋体" w:cs="仿宋_GB2312"/>
                <w:color w:val="auto"/>
                <w:sz w:val="24"/>
                <w:highlight w:val="none"/>
              </w:rPr>
            </w:pPr>
            <w:r>
              <w:rPr>
                <w:rFonts w:hint="eastAsia" w:ascii="宋体" w:hAnsi="宋体" w:cs="仿宋_GB2312"/>
                <w:color w:val="auto"/>
                <w:sz w:val="24"/>
                <w:highlight w:val="none"/>
              </w:rPr>
              <w:t>质量保证金在1年保修期满后一次性结清（无息）</w:t>
            </w:r>
          </w:p>
        </w:tc>
      </w:tr>
    </w:tbl>
    <w:p>
      <w:pPr>
        <w:shd w:val="clear"/>
        <w:spacing w:line="360" w:lineRule="auto"/>
        <w:ind w:left="210" w:leftChars="100"/>
        <w:jc w:val="left"/>
        <w:rPr>
          <w:rFonts w:hint="eastAsia" w:ascii="宋体" w:hAnsi="宋体" w:cs="仿宋_GB2312"/>
          <w:b/>
          <w:bCs/>
          <w:color w:val="auto"/>
          <w:sz w:val="24"/>
          <w:highlight w:val="none"/>
        </w:rPr>
      </w:pPr>
      <w:r>
        <w:rPr>
          <w:rFonts w:hint="eastAsia" w:ascii="宋体" w:hAnsi="宋体" w:cs="仿宋_GB2312"/>
          <w:b/>
          <w:bCs/>
          <w:color w:val="auto"/>
          <w:sz w:val="24"/>
          <w:highlight w:val="none"/>
        </w:rPr>
        <w:t>注：1、上述支付时间以财政拨款为准。</w:t>
      </w:r>
    </w:p>
    <w:p>
      <w:pPr>
        <w:shd w:val="clear"/>
        <w:spacing w:line="360" w:lineRule="auto"/>
        <w:ind w:left="210" w:leftChars="100" w:firstLine="482" w:firstLineChars="200"/>
        <w:jc w:val="left"/>
        <w:rPr>
          <w:rFonts w:hint="eastAsia" w:ascii="宋体" w:hAnsi="宋体" w:cs="仿宋_GB2312"/>
          <w:b/>
          <w:bCs/>
          <w:color w:val="auto"/>
          <w:sz w:val="24"/>
          <w:highlight w:val="none"/>
        </w:rPr>
      </w:pPr>
      <w:r>
        <w:rPr>
          <w:rFonts w:hint="eastAsia" w:ascii="宋体" w:hAnsi="宋体" w:cs="仿宋_GB2312"/>
          <w:b/>
          <w:bCs/>
          <w:color w:val="auto"/>
          <w:sz w:val="24"/>
          <w:highlight w:val="none"/>
          <w:lang w:val="en-US" w:eastAsia="zh-CN"/>
        </w:rPr>
        <w:t>2</w:t>
      </w:r>
      <w:r>
        <w:rPr>
          <w:rFonts w:hint="eastAsia" w:ascii="宋体" w:hAnsi="宋体" w:cs="仿宋_GB2312"/>
          <w:b/>
          <w:bCs/>
          <w:color w:val="auto"/>
          <w:sz w:val="24"/>
          <w:highlight w:val="none"/>
        </w:rPr>
        <w:t>、根据浙财采监〔2022〕3号规定，在签订合同时，供应商明确表示无需预付款或者主动要求降低预付款比例的，采购单位支付预付款的规定可相应调整。</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4.工程售后服务要求</w:t>
      </w:r>
    </w:p>
    <w:p>
      <w:pPr>
        <w:shd w:val="clear"/>
        <w:spacing w:line="360" w:lineRule="auto"/>
        <w:ind w:firstLine="480" w:firstLineChars="200"/>
        <w:jc w:val="both"/>
        <w:rPr>
          <w:rFonts w:ascii="宋体" w:hAnsi="宋体"/>
          <w:color w:val="auto"/>
          <w:sz w:val="24"/>
          <w:highlight w:val="none"/>
          <w:u w:val="single"/>
        </w:rPr>
      </w:pPr>
      <w:r>
        <w:rPr>
          <w:rFonts w:hint="eastAsia" w:ascii="宋体" w:hAnsi="宋体"/>
          <w:color w:val="auto"/>
          <w:sz w:val="24"/>
          <w:highlight w:val="none"/>
        </w:rPr>
        <w:t>详见</w:t>
      </w:r>
      <w:r>
        <w:rPr>
          <w:rFonts w:hint="eastAsia" w:ascii="宋体" w:hAnsi="宋体"/>
          <w:color w:val="auto"/>
          <w:sz w:val="24"/>
          <w:highlight w:val="none"/>
          <w:lang w:val="en-US" w:eastAsia="zh-CN"/>
        </w:rPr>
        <w:t>采购文件第五部分“拟签订的合同文本”。</w:t>
      </w:r>
    </w:p>
    <w:p>
      <w:pPr>
        <w:shd w:val="clear"/>
        <w:spacing w:line="360" w:lineRule="auto"/>
        <w:ind w:left="210" w:leftChars="100"/>
        <w:jc w:val="left"/>
        <w:rPr>
          <w:rFonts w:ascii="宋体" w:hAnsi="宋体" w:cs="仿宋_GB2312"/>
          <w:color w:val="auto"/>
          <w:sz w:val="24"/>
          <w:highlight w:val="none"/>
        </w:rPr>
      </w:pPr>
      <w:r>
        <w:rPr>
          <w:rFonts w:hint="eastAsia" w:ascii="宋体" w:hAnsi="宋体" w:cs="仿宋_GB2312"/>
          <w:color w:val="auto"/>
          <w:sz w:val="24"/>
          <w:highlight w:val="none"/>
        </w:rPr>
        <w:t>5.其他商务要求（包装和运输、保险等）</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详见</w:t>
      </w:r>
      <w:r>
        <w:rPr>
          <w:rFonts w:hint="eastAsia" w:ascii="宋体" w:hAnsi="宋体"/>
          <w:color w:val="auto"/>
          <w:sz w:val="24"/>
          <w:highlight w:val="none"/>
          <w:lang w:val="en-US" w:eastAsia="zh-CN"/>
        </w:rPr>
        <w:t>采购文件第五部分“拟签订的合同文本”。</w:t>
      </w:r>
    </w:p>
    <w:p>
      <w:pPr>
        <w:pStyle w:val="3"/>
        <w:shd w:val="clear"/>
        <w:bidi w:val="0"/>
        <w:ind w:left="0" w:firstLine="0"/>
        <w:jc w:val="left"/>
        <w:rPr>
          <w:rFonts w:hint="eastAsia" w:eastAsia="宋体"/>
          <w:color w:val="auto"/>
          <w:sz w:val="24"/>
          <w:szCs w:val="24"/>
          <w:highlight w:val="none"/>
        </w:rPr>
      </w:pPr>
      <w:r>
        <w:rPr>
          <w:rFonts w:hint="eastAsia" w:eastAsia="宋体"/>
          <w:color w:val="auto"/>
          <w:sz w:val="24"/>
          <w:szCs w:val="24"/>
          <w:highlight w:val="none"/>
          <w:lang w:val="en-US" w:eastAsia="zh-CN"/>
        </w:rPr>
        <w:t>四</w:t>
      </w:r>
      <w:r>
        <w:rPr>
          <w:rFonts w:hint="eastAsia" w:eastAsia="宋体"/>
          <w:color w:val="auto"/>
          <w:sz w:val="24"/>
          <w:szCs w:val="24"/>
          <w:highlight w:val="none"/>
        </w:rPr>
        <w:t>、其他要求</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2" w:firstLineChars="200"/>
        <w:jc w:val="both"/>
        <w:textAlignment w:val="auto"/>
        <w:rPr>
          <w:rFonts w:ascii="宋体" w:hAnsi="宋体"/>
          <w:b/>
          <w:bCs/>
          <w:color w:val="auto"/>
          <w:sz w:val="24"/>
          <w:highlight w:val="none"/>
        </w:rPr>
      </w:pPr>
      <w:r>
        <w:rPr>
          <w:rFonts w:hint="eastAsia" w:ascii="宋体" w:hAnsi="宋体"/>
          <w:b/>
          <w:bCs/>
          <w:color w:val="auto"/>
          <w:sz w:val="24"/>
          <w:highlight w:val="none"/>
        </w:rPr>
        <w:t>1</w:t>
      </w:r>
      <w:r>
        <w:rPr>
          <w:rFonts w:hint="eastAsia" w:ascii="宋体" w:hAnsi="宋体"/>
          <w:b/>
          <w:bCs/>
          <w:color w:val="auto"/>
          <w:sz w:val="24"/>
          <w:highlight w:val="none"/>
          <w:lang w:eastAsia="zh-CN"/>
        </w:rPr>
        <w:t>.</w:t>
      </w:r>
      <w:r>
        <w:rPr>
          <w:rFonts w:hint="eastAsia" w:ascii="宋体" w:hAnsi="宋体"/>
          <w:b/>
          <w:bCs/>
          <w:color w:val="auto"/>
          <w:sz w:val="24"/>
          <w:highlight w:val="none"/>
        </w:rPr>
        <w:t>针对本工程的特殊要求</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1）招标人不另行提供招标图施工范围以外的临时设施用地，施工单位不得在施工范围内住宿，必须遵守施工所在地管理方的管理规定，并配合招标人和所在地管理方的管理。施工单位须根据现场实际情况自行考虑及报价。</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（2）施工单位需服从招标人和监理单位的协调、指令与要求，负责开工申报等工作，过程中产生的费用（包含须交纳物业的相关费用），需在投标报价中充分考虑，中标后不予调整。</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（3）本工程在</w:t>
      </w:r>
      <w:r>
        <w:rPr>
          <w:rFonts w:hint="eastAsia" w:ascii="宋体" w:hAnsi="宋体"/>
          <w:color w:val="auto"/>
          <w:sz w:val="24"/>
          <w:highlight w:val="none"/>
          <w:lang w:val="en-US" w:eastAsia="zh-CN"/>
        </w:rPr>
        <w:t>施工过程</w:t>
      </w:r>
      <w:r>
        <w:rPr>
          <w:rFonts w:hint="eastAsia" w:ascii="宋体" w:hAnsi="宋体"/>
          <w:color w:val="auto"/>
          <w:sz w:val="24"/>
          <w:highlight w:val="none"/>
        </w:rPr>
        <w:t>中产生的建筑垃圾等外运所产生的费用，施工单位应在报价中充分考虑，中标后不予调整。</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（4）施工安排进场前，成交单位须通知招标人和监理单位对现场水电表进行抄表记录，施工产生的水电费均由施工单位自行承担。</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5）施工期间由于施工单位原因造成施工方案的更改，所增加的工程费用及工期一概不予调整，属施工技术组织措施失误造成的费用及延误工期均由施工单位承担。对施工组织设计的内容未在投标报价中体现的均视同优惠。</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（6）完成后施工单位须做好卫生清理保洁，开荒等工作，产生的费用，施工单位应在报价中充分考虑，中标后不予调整。</w:t>
      </w:r>
    </w:p>
    <w:p>
      <w:pPr>
        <w:keepNext w:val="0"/>
        <w:keepLines w:val="0"/>
        <w:pageBreakBefore w:val="0"/>
        <w:widowControl w:val="0"/>
        <w:shd w:val="clear"/>
        <w:kinsoku/>
        <w:wordWrap/>
        <w:overflowPunct/>
        <w:topLinePunct w:val="0"/>
        <w:autoSpaceDE/>
        <w:autoSpaceDN/>
        <w:bidi w:val="0"/>
        <w:adjustRightInd w:val="0"/>
        <w:snapToGrid/>
        <w:spacing w:line="360" w:lineRule="auto"/>
        <w:ind w:firstLine="480" w:firstLineChars="200"/>
        <w:jc w:val="both"/>
        <w:textAlignment w:val="auto"/>
        <w:rPr>
          <w:rFonts w:ascii="宋体" w:hAnsi="宋体"/>
          <w:color w:val="auto"/>
          <w:sz w:val="24"/>
          <w:highlight w:val="none"/>
        </w:rPr>
      </w:pPr>
      <w:r>
        <w:rPr>
          <w:rFonts w:hint="eastAsia" w:ascii="宋体" w:hAnsi="宋体"/>
          <w:color w:val="auto"/>
          <w:sz w:val="24"/>
          <w:highlight w:val="none"/>
        </w:rPr>
        <w:t>（7）凡招标文件中要求进入报价的费用若在施工单位的投标报价中不体现，均视同优惠或已进入投标总价。</w:t>
      </w:r>
    </w:p>
    <w:p>
      <w:pPr>
        <w:pStyle w:val="2"/>
        <w:shd w:val="clear"/>
        <w:bidi w:val="0"/>
        <w:ind w:left="0" w:firstLine="0"/>
        <w:jc w:val="center"/>
        <w:rPr>
          <w:rFonts w:ascii="宋体" w:hAnsi="宋体" w:cs="宋体"/>
          <w:b/>
          <w:color w:val="auto"/>
          <w:sz w:val="36"/>
          <w:szCs w:val="20"/>
          <w:highlight w:val="none"/>
        </w:rPr>
      </w:pPr>
      <w:r>
        <w:rPr>
          <w:rFonts w:hint="eastAsia" w:ascii="宋体" w:hAnsi="宋体" w:eastAsia="宋体" w:cs="宋体"/>
          <w:b/>
          <w:color w:val="auto"/>
          <w:sz w:val="36"/>
          <w:szCs w:val="20"/>
          <w:highlight w:val="none"/>
        </w:rPr>
        <w:t>第四部分</w:t>
      </w:r>
      <w:bookmarkStart w:id="34" w:name="_Toc184313301"/>
      <w:bookmarkEnd w:id="34"/>
      <w:bookmarkStart w:id="35" w:name="_Toc184313255"/>
      <w:bookmarkEnd w:id="35"/>
      <w:bookmarkStart w:id="36" w:name="_Toc184312078"/>
      <w:bookmarkEnd w:id="36"/>
      <w:bookmarkStart w:id="37" w:name="_Toc184314425"/>
      <w:bookmarkEnd w:id="37"/>
      <w:bookmarkStart w:id="38" w:name="_Toc184308062"/>
      <w:bookmarkEnd w:id="38"/>
      <w:bookmarkStart w:id="39" w:name="_Toc184313253"/>
      <w:bookmarkEnd w:id="39"/>
      <w:bookmarkStart w:id="40" w:name="_Toc184310294"/>
      <w:bookmarkEnd w:id="40"/>
      <w:bookmarkStart w:id="41" w:name="_Toc184310333"/>
      <w:bookmarkEnd w:id="41"/>
      <w:bookmarkStart w:id="42" w:name="_Toc184314473"/>
      <w:bookmarkEnd w:id="42"/>
      <w:bookmarkStart w:id="43" w:name="_Toc184312126"/>
      <w:bookmarkEnd w:id="43"/>
      <w:bookmarkStart w:id="44" w:name="_Toc184308058"/>
      <w:bookmarkEnd w:id="44"/>
      <w:bookmarkStart w:id="45" w:name="_Toc184308086"/>
      <w:bookmarkEnd w:id="45"/>
      <w:bookmarkStart w:id="46" w:name="_Toc184314474"/>
      <w:bookmarkEnd w:id="46"/>
      <w:bookmarkStart w:id="47" w:name="_Toc184308044"/>
      <w:bookmarkEnd w:id="47"/>
      <w:bookmarkStart w:id="48" w:name="_Toc184310306"/>
      <w:bookmarkEnd w:id="48"/>
      <w:bookmarkStart w:id="49" w:name="_Toc184314472"/>
      <w:bookmarkEnd w:id="49"/>
      <w:bookmarkStart w:id="50" w:name="_Toc184308040"/>
      <w:bookmarkEnd w:id="50"/>
      <w:bookmarkStart w:id="51" w:name="_Toc184312106"/>
      <w:bookmarkEnd w:id="51"/>
      <w:bookmarkStart w:id="52" w:name="_Toc184308097"/>
      <w:bookmarkEnd w:id="52"/>
      <w:bookmarkStart w:id="53" w:name="_Toc184308069"/>
      <w:bookmarkEnd w:id="53"/>
      <w:bookmarkStart w:id="54" w:name="_Toc184312067"/>
      <w:bookmarkEnd w:id="54"/>
      <w:bookmarkStart w:id="55" w:name="_Toc184314429"/>
      <w:bookmarkEnd w:id="55"/>
      <w:bookmarkStart w:id="56" w:name="_Toc184313275"/>
      <w:bookmarkEnd w:id="56"/>
      <w:bookmarkStart w:id="57" w:name="_Toc184308091"/>
      <w:bookmarkEnd w:id="57"/>
      <w:bookmarkStart w:id="58" w:name="_Toc184314431"/>
      <w:bookmarkEnd w:id="58"/>
      <w:bookmarkStart w:id="59" w:name="_Toc184313289"/>
      <w:bookmarkEnd w:id="59"/>
      <w:bookmarkStart w:id="60" w:name="_Toc184314427"/>
      <w:bookmarkEnd w:id="60"/>
      <w:bookmarkStart w:id="61" w:name="_Toc184313279"/>
      <w:bookmarkEnd w:id="61"/>
      <w:bookmarkStart w:id="62" w:name="_Toc184313293"/>
      <w:bookmarkEnd w:id="62"/>
      <w:bookmarkStart w:id="63" w:name="_Toc184310323"/>
      <w:bookmarkEnd w:id="63"/>
      <w:bookmarkStart w:id="64" w:name="_Toc184312130"/>
      <w:bookmarkEnd w:id="64"/>
      <w:bookmarkStart w:id="65" w:name="_Toc184314469"/>
      <w:bookmarkEnd w:id="65"/>
      <w:bookmarkStart w:id="66" w:name="_Toc184310287"/>
      <w:bookmarkEnd w:id="66"/>
      <w:bookmarkStart w:id="67" w:name="_Toc184313280"/>
      <w:bookmarkEnd w:id="67"/>
      <w:bookmarkStart w:id="68" w:name="_Toc184313298"/>
      <w:bookmarkEnd w:id="68"/>
      <w:bookmarkStart w:id="69" w:name="_Toc184308056"/>
      <w:bookmarkEnd w:id="69"/>
      <w:bookmarkStart w:id="70" w:name="_Toc184312135"/>
      <w:bookmarkEnd w:id="70"/>
      <w:bookmarkStart w:id="71" w:name="_Toc184310278"/>
      <w:bookmarkEnd w:id="71"/>
      <w:bookmarkStart w:id="72" w:name="_Toc184314464"/>
      <w:bookmarkEnd w:id="72"/>
      <w:bookmarkStart w:id="73" w:name="_Toc184314467"/>
      <w:bookmarkEnd w:id="73"/>
      <w:bookmarkStart w:id="74" w:name="_Toc184314437"/>
      <w:bookmarkEnd w:id="74"/>
      <w:bookmarkStart w:id="75" w:name="_Toc184308049"/>
      <w:bookmarkEnd w:id="75"/>
      <w:bookmarkStart w:id="76" w:name="_Toc184310320"/>
      <w:bookmarkEnd w:id="76"/>
      <w:bookmarkStart w:id="77" w:name="_Toc184312080"/>
      <w:bookmarkEnd w:id="77"/>
      <w:bookmarkStart w:id="78" w:name="_Toc184312094"/>
      <w:bookmarkEnd w:id="78"/>
      <w:bookmarkStart w:id="79" w:name="_Toc184312139"/>
      <w:bookmarkEnd w:id="79"/>
      <w:bookmarkStart w:id="80" w:name="_Toc184313278"/>
      <w:bookmarkEnd w:id="80"/>
      <w:bookmarkStart w:id="81" w:name="_Toc184310309"/>
      <w:bookmarkEnd w:id="81"/>
      <w:bookmarkStart w:id="82" w:name="_Toc184313264"/>
      <w:bookmarkEnd w:id="82"/>
      <w:bookmarkStart w:id="83" w:name="_Toc184314441"/>
      <w:bookmarkEnd w:id="83"/>
      <w:bookmarkStart w:id="84" w:name="_Toc184308048"/>
      <w:bookmarkEnd w:id="84"/>
      <w:bookmarkStart w:id="85" w:name="_Toc184310279"/>
      <w:bookmarkEnd w:id="85"/>
      <w:bookmarkStart w:id="86" w:name="_Toc184314413"/>
      <w:bookmarkEnd w:id="86"/>
      <w:bookmarkStart w:id="87" w:name="_Toc184314455"/>
      <w:bookmarkEnd w:id="87"/>
      <w:bookmarkStart w:id="88" w:name="_Toc184313308"/>
      <w:bookmarkEnd w:id="88"/>
      <w:bookmarkStart w:id="89" w:name="_Toc184312117"/>
      <w:bookmarkEnd w:id="89"/>
      <w:bookmarkStart w:id="90" w:name="_Toc184313262"/>
      <w:bookmarkEnd w:id="90"/>
      <w:bookmarkStart w:id="91" w:name="_Toc184313247"/>
      <w:bookmarkEnd w:id="91"/>
      <w:bookmarkStart w:id="92" w:name="_Toc184308039"/>
      <w:bookmarkEnd w:id="92"/>
      <w:bookmarkStart w:id="93" w:name="_Toc184313309"/>
      <w:bookmarkEnd w:id="93"/>
      <w:bookmarkStart w:id="94" w:name="_Toc184313248"/>
      <w:bookmarkEnd w:id="94"/>
      <w:bookmarkStart w:id="95" w:name="_Toc184310334"/>
      <w:bookmarkEnd w:id="95"/>
      <w:bookmarkStart w:id="96" w:name="_Toc184313267"/>
      <w:bookmarkEnd w:id="96"/>
      <w:bookmarkStart w:id="97" w:name="_Toc184313294"/>
      <w:bookmarkEnd w:id="97"/>
      <w:bookmarkStart w:id="98" w:name="_Toc184310298"/>
      <w:bookmarkEnd w:id="98"/>
      <w:bookmarkStart w:id="99" w:name="_Toc184312081"/>
      <w:bookmarkEnd w:id="99"/>
      <w:bookmarkStart w:id="100" w:name="_Toc184312128"/>
      <w:bookmarkEnd w:id="100"/>
      <w:bookmarkStart w:id="101" w:name="_Toc184308102"/>
      <w:bookmarkEnd w:id="101"/>
      <w:bookmarkStart w:id="102" w:name="_Toc184308080"/>
      <w:bookmarkEnd w:id="102"/>
      <w:bookmarkStart w:id="103" w:name="_Toc184313266"/>
      <w:bookmarkEnd w:id="103"/>
      <w:bookmarkStart w:id="104" w:name="_Toc184308094"/>
      <w:bookmarkEnd w:id="104"/>
      <w:bookmarkStart w:id="105" w:name="_Toc184314468"/>
      <w:bookmarkEnd w:id="105"/>
      <w:bookmarkStart w:id="106" w:name="_Toc184310280"/>
      <w:bookmarkEnd w:id="106"/>
      <w:bookmarkStart w:id="107" w:name="_Toc184314482"/>
      <w:bookmarkEnd w:id="107"/>
      <w:bookmarkStart w:id="108" w:name="_Toc184314434"/>
      <w:bookmarkEnd w:id="108"/>
      <w:bookmarkStart w:id="109" w:name="_Toc184308070"/>
      <w:bookmarkEnd w:id="109"/>
      <w:bookmarkStart w:id="110" w:name="_Toc184308073"/>
      <w:bookmarkEnd w:id="110"/>
      <w:bookmarkStart w:id="111" w:name="_Toc184310275"/>
      <w:bookmarkEnd w:id="111"/>
      <w:bookmarkStart w:id="112" w:name="_Toc184310325"/>
      <w:bookmarkEnd w:id="112"/>
      <w:bookmarkStart w:id="113" w:name="_Toc184308060"/>
      <w:bookmarkEnd w:id="113"/>
      <w:bookmarkStart w:id="114" w:name="_Toc184308068"/>
      <w:bookmarkEnd w:id="114"/>
      <w:bookmarkStart w:id="115" w:name="_Toc184308038"/>
      <w:bookmarkEnd w:id="115"/>
      <w:bookmarkStart w:id="116" w:name="_Toc184310330"/>
      <w:bookmarkEnd w:id="116"/>
      <w:bookmarkStart w:id="117" w:name="_Toc184310340"/>
      <w:bookmarkEnd w:id="117"/>
      <w:bookmarkStart w:id="118" w:name="_Toc184314479"/>
      <w:bookmarkEnd w:id="118"/>
      <w:bookmarkStart w:id="119" w:name="_Toc184312133"/>
      <w:bookmarkEnd w:id="119"/>
      <w:bookmarkStart w:id="120" w:name="_Toc184310302"/>
      <w:bookmarkEnd w:id="120"/>
      <w:bookmarkStart w:id="121" w:name="_Toc184310342"/>
      <w:bookmarkEnd w:id="121"/>
      <w:bookmarkStart w:id="122" w:name="_Toc184314435"/>
      <w:bookmarkEnd w:id="122"/>
      <w:bookmarkStart w:id="123" w:name="_Toc184314453"/>
      <w:bookmarkEnd w:id="123"/>
      <w:bookmarkStart w:id="124" w:name="_Toc184312070"/>
      <w:bookmarkEnd w:id="124"/>
      <w:bookmarkStart w:id="125" w:name="_Toc184310297"/>
      <w:bookmarkEnd w:id="125"/>
      <w:bookmarkStart w:id="126" w:name="_Toc184312093"/>
      <w:bookmarkEnd w:id="126"/>
      <w:bookmarkStart w:id="127" w:name="_Toc184312085"/>
      <w:bookmarkEnd w:id="127"/>
      <w:bookmarkStart w:id="128" w:name="_Toc184312095"/>
      <w:bookmarkEnd w:id="128"/>
      <w:bookmarkStart w:id="129" w:name="_Toc184310338"/>
      <w:bookmarkEnd w:id="129"/>
      <w:bookmarkStart w:id="130" w:name="_Toc184314470"/>
      <w:bookmarkEnd w:id="130"/>
      <w:bookmarkStart w:id="131" w:name="_Toc184308092"/>
      <w:bookmarkEnd w:id="131"/>
      <w:bookmarkStart w:id="132" w:name="_Toc184313249"/>
      <w:bookmarkEnd w:id="132"/>
      <w:bookmarkStart w:id="133" w:name="_Toc184308076"/>
      <w:bookmarkEnd w:id="133"/>
      <w:bookmarkStart w:id="134" w:name="_Toc184313243"/>
      <w:bookmarkEnd w:id="134"/>
      <w:bookmarkStart w:id="135" w:name="_Toc184313272"/>
      <w:bookmarkEnd w:id="135"/>
      <w:bookmarkStart w:id="136" w:name="_Toc184310277"/>
      <w:bookmarkEnd w:id="136"/>
      <w:bookmarkStart w:id="137" w:name="_Toc184308099"/>
      <w:bookmarkEnd w:id="137"/>
      <w:bookmarkStart w:id="138" w:name="_Toc184310273"/>
      <w:bookmarkEnd w:id="138"/>
      <w:bookmarkStart w:id="139" w:name="_Toc184314477"/>
      <w:bookmarkEnd w:id="139"/>
      <w:bookmarkStart w:id="140" w:name="_Toc184313246"/>
      <w:bookmarkEnd w:id="140"/>
      <w:bookmarkStart w:id="141" w:name="_Toc184310300"/>
      <w:bookmarkEnd w:id="141"/>
      <w:bookmarkStart w:id="142" w:name="_Toc184308037"/>
      <w:bookmarkEnd w:id="142"/>
      <w:bookmarkStart w:id="143" w:name="_Toc184310339"/>
      <w:bookmarkEnd w:id="143"/>
      <w:bookmarkStart w:id="144" w:name="_Toc184314461"/>
      <w:bookmarkEnd w:id="144"/>
      <w:bookmarkStart w:id="145" w:name="_Toc184312137"/>
      <w:bookmarkEnd w:id="145"/>
      <w:bookmarkStart w:id="146" w:name="_Toc184312115"/>
      <w:bookmarkEnd w:id="146"/>
      <w:bookmarkStart w:id="147" w:name="_Toc184310276"/>
      <w:bookmarkEnd w:id="147"/>
      <w:bookmarkStart w:id="148" w:name="_Toc184310274"/>
      <w:bookmarkEnd w:id="148"/>
      <w:bookmarkStart w:id="149" w:name="_Toc184312077"/>
      <w:bookmarkEnd w:id="149"/>
      <w:bookmarkStart w:id="150" w:name="_Toc184310324"/>
      <w:bookmarkEnd w:id="150"/>
      <w:bookmarkStart w:id="151" w:name="_Toc184308088"/>
      <w:bookmarkEnd w:id="151"/>
      <w:bookmarkStart w:id="152" w:name="_Toc184312097"/>
      <w:bookmarkEnd w:id="152"/>
      <w:bookmarkStart w:id="153" w:name="_Toc184314481"/>
      <w:bookmarkEnd w:id="153"/>
      <w:bookmarkStart w:id="154" w:name="_Toc184313286"/>
      <w:bookmarkEnd w:id="154"/>
      <w:bookmarkStart w:id="155" w:name="_Toc184310311"/>
      <w:bookmarkEnd w:id="155"/>
      <w:bookmarkStart w:id="156" w:name="_Toc184313251"/>
      <w:bookmarkEnd w:id="156"/>
      <w:bookmarkStart w:id="157" w:name="_Toc184314416"/>
      <w:bookmarkEnd w:id="157"/>
      <w:bookmarkStart w:id="158" w:name="_Toc184313292"/>
      <w:bookmarkEnd w:id="158"/>
      <w:bookmarkStart w:id="159" w:name="_Toc184312072"/>
      <w:bookmarkEnd w:id="159"/>
      <w:bookmarkStart w:id="160" w:name="_Toc184314410"/>
      <w:bookmarkEnd w:id="160"/>
      <w:bookmarkStart w:id="161" w:name="_Toc184308101"/>
      <w:bookmarkEnd w:id="161"/>
      <w:bookmarkStart w:id="162" w:name="_Toc184310295"/>
      <w:bookmarkEnd w:id="162"/>
      <w:bookmarkStart w:id="163" w:name="_Toc184308078"/>
      <w:bookmarkEnd w:id="163"/>
      <w:bookmarkStart w:id="164" w:name="_Toc184312113"/>
      <w:bookmarkEnd w:id="164"/>
      <w:bookmarkStart w:id="165" w:name="_Toc184312087"/>
      <w:bookmarkEnd w:id="165"/>
      <w:bookmarkStart w:id="166" w:name="_Toc184308081"/>
      <w:bookmarkEnd w:id="166"/>
      <w:bookmarkStart w:id="167" w:name="_Toc184310327"/>
      <w:bookmarkEnd w:id="167"/>
      <w:bookmarkStart w:id="168" w:name="_Toc184314448"/>
      <w:bookmarkEnd w:id="168"/>
      <w:bookmarkStart w:id="169" w:name="_Toc184314440"/>
      <w:bookmarkEnd w:id="169"/>
      <w:bookmarkStart w:id="170" w:name="_Toc184310288"/>
      <w:bookmarkEnd w:id="170"/>
      <w:bookmarkStart w:id="171" w:name="_Toc184310321"/>
      <w:bookmarkEnd w:id="171"/>
      <w:bookmarkStart w:id="172" w:name="_Toc184312092"/>
      <w:bookmarkEnd w:id="172"/>
      <w:bookmarkStart w:id="173" w:name="_Toc184310304"/>
      <w:bookmarkEnd w:id="173"/>
      <w:bookmarkStart w:id="174" w:name="_Toc184310317"/>
      <w:bookmarkEnd w:id="174"/>
      <w:bookmarkStart w:id="175" w:name="_Toc184308103"/>
      <w:bookmarkEnd w:id="175"/>
      <w:bookmarkStart w:id="176" w:name="_Toc184308061"/>
      <w:bookmarkEnd w:id="176"/>
      <w:bookmarkStart w:id="177" w:name="_Toc184310289"/>
      <w:bookmarkEnd w:id="177"/>
      <w:bookmarkStart w:id="178" w:name="_Toc184313240"/>
      <w:bookmarkEnd w:id="178"/>
      <w:bookmarkStart w:id="179" w:name="_Toc184314450"/>
      <w:bookmarkEnd w:id="179"/>
      <w:bookmarkStart w:id="180" w:name="_Toc184313276"/>
      <w:bookmarkEnd w:id="180"/>
      <w:bookmarkStart w:id="181" w:name="_Toc184313241"/>
      <w:bookmarkEnd w:id="181"/>
      <w:bookmarkStart w:id="182" w:name="_Toc184312102"/>
      <w:bookmarkEnd w:id="182"/>
      <w:bookmarkStart w:id="183" w:name="_Toc184313297"/>
      <w:bookmarkEnd w:id="183"/>
      <w:bookmarkStart w:id="184" w:name="_Toc184313302"/>
      <w:bookmarkEnd w:id="184"/>
      <w:bookmarkStart w:id="185" w:name="_Toc184314411"/>
      <w:bookmarkEnd w:id="185"/>
      <w:bookmarkStart w:id="186" w:name="_Toc184310282"/>
      <w:bookmarkEnd w:id="186"/>
      <w:bookmarkStart w:id="187" w:name="_Toc184310336"/>
      <w:bookmarkEnd w:id="187"/>
      <w:bookmarkStart w:id="188" w:name="_Toc184313284"/>
      <w:bookmarkEnd w:id="188"/>
      <w:bookmarkStart w:id="189" w:name="_Toc184312082"/>
      <w:bookmarkEnd w:id="189"/>
      <w:bookmarkStart w:id="190" w:name="_Toc184308104"/>
      <w:bookmarkEnd w:id="190"/>
      <w:bookmarkStart w:id="191" w:name="_Toc184310332"/>
      <w:bookmarkEnd w:id="191"/>
      <w:bookmarkStart w:id="192" w:name="_Toc184310284"/>
      <w:bookmarkEnd w:id="192"/>
      <w:bookmarkStart w:id="193" w:name="_Toc184314418"/>
      <w:bookmarkEnd w:id="193"/>
      <w:bookmarkStart w:id="194" w:name="_Toc184308066"/>
      <w:bookmarkEnd w:id="194"/>
      <w:bookmarkStart w:id="195" w:name="_Toc184310283"/>
      <w:bookmarkEnd w:id="195"/>
      <w:bookmarkStart w:id="196" w:name="_Toc184313258"/>
      <w:bookmarkEnd w:id="196"/>
      <w:bookmarkStart w:id="197" w:name="_Toc184312124"/>
      <w:bookmarkEnd w:id="197"/>
      <w:bookmarkStart w:id="198" w:name="_Toc184310343"/>
      <w:bookmarkEnd w:id="198"/>
      <w:bookmarkStart w:id="199" w:name="_Toc184313285"/>
      <w:bookmarkEnd w:id="199"/>
      <w:bookmarkStart w:id="200" w:name="_Toc184314449"/>
      <w:bookmarkEnd w:id="200"/>
      <w:bookmarkStart w:id="201" w:name="_Toc184312099"/>
      <w:bookmarkEnd w:id="201"/>
      <w:bookmarkStart w:id="202" w:name="_Toc184314446"/>
      <w:bookmarkEnd w:id="202"/>
      <w:bookmarkStart w:id="203" w:name="_Toc184312107"/>
      <w:bookmarkEnd w:id="203"/>
      <w:bookmarkStart w:id="204" w:name="_Toc184314480"/>
      <w:bookmarkEnd w:id="204"/>
      <w:bookmarkStart w:id="205" w:name="_Toc184310331"/>
      <w:bookmarkEnd w:id="205"/>
      <w:bookmarkStart w:id="206" w:name="_Toc184314430"/>
      <w:bookmarkEnd w:id="206"/>
      <w:bookmarkStart w:id="207" w:name="_Toc184314457"/>
      <w:bookmarkEnd w:id="207"/>
      <w:bookmarkStart w:id="208" w:name="_Toc184313282"/>
      <w:bookmarkEnd w:id="208"/>
      <w:bookmarkStart w:id="209" w:name="_Toc184310328"/>
      <w:bookmarkEnd w:id="209"/>
      <w:bookmarkStart w:id="210" w:name="_Toc184308052"/>
      <w:bookmarkEnd w:id="210"/>
      <w:bookmarkStart w:id="211" w:name="_Toc184314462"/>
      <w:bookmarkEnd w:id="211"/>
      <w:bookmarkStart w:id="212" w:name="_Toc184312104"/>
      <w:bookmarkEnd w:id="212"/>
      <w:bookmarkStart w:id="213" w:name="_Toc184314460"/>
      <w:bookmarkEnd w:id="213"/>
      <w:bookmarkStart w:id="214" w:name="_Toc184312103"/>
      <w:bookmarkEnd w:id="214"/>
      <w:bookmarkStart w:id="215" w:name="_Toc184314415"/>
      <w:bookmarkEnd w:id="215"/>
      <w:bookmarkStart w:id="216" w:name="_Toc184308072"/>
      <w:bookmarkEnd w:id="216"/>
      <w:bookmarkStart w:id="217" w:name="_Toc184312118"/>
      <w:bookmarkEnd w:id="217"/>
      <w:bookmarkStart w:id="218" w:name="_Toc184313307"/>
      <w:bookmarkEnd w:id="218"/>
      <w:bookmarkStart w:id="219" w:name="_Toc184313296"/>
      <w:bookmarkEnd w:id="219"/>
      <w:bookmarkStart w:id="220" w:name="_Toc184314426"/>
      <w:bookmarkEnd w:id="220"/>
      <w:bookmarkStart w:id="221" w:name="_Toc184313268"/>
      <w:bookmarkEnd w:id="221"/>
      <w:bookmarkStart w:id="222" w:name="_Toc184308036"/>
      <w:bookmarkEnd w:id="222"/>
      <w:bookmarkStart w:id="223" w:name="_Toc184308047"/>
      <w:bookmarkEnd w:id="223"/>
      <w:bookmarkStart w:id="224" w:name="_Toc184313256"/>
      <w:bookmarkEnd w:id="224"/>
      <w:bookmarkStart w:id="225" w:name="_Toc184313271"/>
      <w:bookmarkEnd w:id="225"/>
      <w:bookmarkStart w:id="226" w:name="_Toc184308085"/>
      <w:bookmarkEnd w:id="226"/>
      <w:bookmarkStart w:id="227" w:name="_Toc184308093"/>
      <w:bookmarkEnd w:id="227"/>
      <w:bookmarkStart w:id="228" w:name="_Toc184310293"/>
      <w:bookmarkEnd w:id="228"/>
      <w:bookmarkStart w:id="229" w:name="_Toc184308108"/>
      <w:bookmarkEnd w:id="229"/>
      <w:bookmarkStart w:id="230" w:name="_Toc184312111"/>
      <w:bookmarkEnd w:id="230"/>
      <w:bookmarkStart w:id="231" w:name="_Toc184312105"/>
      <w:bookmarkEnd w:id="231"/>
      <w:bookmarkStart w:id="232" w:name="_Toc184314445"/>
      <w:bookmarkEnd w:id="232"/>
      <w:bookmarkStart w:id="233" w:name="_Toc184308051"/>
      <w:bookmarkEnd w:id="233"/>
      <w:bookmarkStart w:id="234" w:name="_Toc184314456"/>
      <w:bookmarkEnd w:id="234"/>
      <w:bookmarkStart w:id="235" w:name="_Toc184313283"/>
      <w:bookmarkEnd w:id="235"/>
      <w:bookmarkStart w:id="236" w:name="_Toc184312129"/>
      <w:bookmarkEnd w:id="236"/>
      <w:bookmarkStart w:id="237" w:name="_Toc184314451"/>
      <w:bookmarkEnd w:id="237"/>
      <w:bookmarkStart w:id="238" w:name="_Toc184310285"/>
      <w:bookmarkEnd w:id="238"/>
      <w:bookmarkStart w:id="239" w:name="_Toc184310310"/>
      <w:bookmarkEnd w:id="239"/>
      <w:bookmarkStart w:id="240" w:name="_Toc184313306"/>
      <w:bookmarkEnd w:id="240"/>
      <w:bookmarkStart w:id="241" w:name="_Toc184308079"/>
      <w:bookmarkEnd w:id="241"/>
      <w:bookmarkStart w:id="242" w:name="_Toc184313305"/>
      <w:bookmarkEnd w:id="242"/>
      <w:bookmarkStart w:id="243" w:name="_Toc184310292"/>
      <w:bookmarkEnd w:id="243"/>
      <w:bookmarkStart w:id="244" w:name="_Toc184314421"/>
      <w:bookmarkEnd w:id="244"/>
      <w:bookmarkStart w:id="245" w:name="_Toc184308074"/>
      <w:bookmarkEnd w:id="245"/>
      <w:bookmarkStart w:id="246" w:name="_Toc184313259"/>
      <w:bookmarkEnd w:id="246"/>
      <w:bookmarkStart w:id="247" w:name="_Toc184314432"/>
      <w:bookmarkEnd w:id="247"/>
      <w:bookmarkStart w:id="248" w:name="_Toc184312073"/>
      <w:bookmarkEnd w:id="248"/>
      <w:bookmarkStart w:id="249" w:name="_Toc184310313"/>
      <w:bookmarkEnd w:id="249"/>
      <w:bookmarkStart w:id="250" w:name="_Toc184313274"/>
      <w:bookmarkEnd w:id="250"/>
      <w:bookmarkStart w:id="251" w:name="_Toc184310318"/>
      <w:bookmarkEnd w:id="251"/>
      <w:bookmarkStart w:id="252" w:name="_Toc184313238"/>
      <w:bookmarkEnd w:id="252"/>
      <w:bookmarkStart w:id="253" w:name="_Toc184308100"/>
      <w:bookmarkEnd w:id="253"/>
      <w:bookmarkStart w:id="254" w:name="_Toc184314422"/>
      <w:bookmarkEnd w:id="254"/>
      <w:bookmarkStart w:id="255" w:name="_Toc184308053"/>
      <w:bookmarkEnd w:id="255"/>
      <w:bookmarkStart w:id="256" w:name="_Toc184308045"/>
      <w:bookmarkEnd w:id="256"/>
      <w:bookmarkStart w:id="257" w:name="_Toc184312074"/>
      <w:bookmarkEnd w:id="257"/>
      <w:bookmarkStart w:id="258" w:name="_Toc184313250"/>
      <w:bookmarkEnd w:id="258"/>
      <w:bookmarkStart w:id="259" w:name="_Toc184313269"/>
      <w:bookmarkEnd w:id="259"/>
      <w:bookmarkStart w:id="260" w:name="_Toc184310281"/>
      <w:bookmarkEnd w:id="260"/>
      <w:bookmarkStart w:id="261" w:name="_Toc184314414"/>
      <w:bookmarkEnd w:id="261"/>
      <w:bookmarkStart w:id="262" w:name="_Toc184313244"/>
      <w:bookmarkEnd w:id="262"/>
      <w:bookmarkStart w:id="263" w:name="_Toc184313261"/>
      <w:bookmarkEnd w:id="263"/>
      <w:bookmarkStart w:id="264" w:name="_Toc184313277"/>
      <w:bookmarkEnd w:id="264"/>
      <w:bookmarkStart w:id="265" w:name="_Toc184314444"/>
      <w:bookmarkEnd w:id="265"/>
      <w:bookmarkStart w:id="266" w:name="_Toc184312138"/>
      <w:bookmarkEnd w:id="266"/>
      <w:bookmarkStart w:id="267" w:name="_Toc184313290"/>
      <w:bookmarkEnd w:id="267"/>
      <w:bookmarkStart w:id="268" w:name="_Toc184314428"/>
      <w:bookmarkEnd w:id="268"/>
      <w:bookmarkStart w:id="269" w:name="_Toc184310344"/>
      <w:bookmarkEnd w:id="269"/>
      <w:bookmarkStart w:id="270" w:name="_Toc184313242"/>
      <w:bookmarkEnd w:id="270"/>
      <w:bookmarkStart w:id="271" w:name="_Toc184313291"/>
      <w:bookmarkEnd w:id="271"/>
      <w:bookmarkStart w:id="272" w:name="_Toc184312071"/>
      <w:bookmarkEnd w:id="272"/>
      <w:bookmarkStart w:id="273" w:name="_Toc184313295"/>
      <w:bookmarkEnd w:id="273"/>
      <w:bookmarkStart w:id="274" w:name="_Toc184310272"/>
      <w:bookmarkEnd w:id="274"/>
      <w:bookmarkStart w:id="275" w:name="_Toc184312110"/>
      <w:bookmarkEnd w:id="275"/>
      <w:bookmarkStart w:id="276" w:name="_Toc184313265"/>
      <w:bookmarkEnd w:id="276"/>
      <w:bookmarkStart w:id="277" w:name="_Toc184310290"/>
      <w:bookmarkEnd w:id="277"/>
      <w:bookmarkStart w:id="278" w:name="_Toc184314471"/>
      <w:bookmarkEnd w:id="278"/>
      <w:bookmarkStart w:id="279" w:name="_Toc184312101"/>
      <w:bookmarkEnd w:id="279"/>
      <w:bookmarkStart w:id="280" w:name="_Toc184314417"/>
      <w:bookmarkEnd w:id="280"/>
      <w:bookmarkStart w:id="281" w:name="_Toc184308059"/>
      <w:bookmarkEnd w:id="281"/>
      <w:bookmarkStart w:id="282" w:name="_Toc184308065"/>
      <w:bookmarkEnd w:id="282"/>
      <w:bookmarkStart w:id="283" w:name="_Toc184314436"/>
      <w:bookmarkEnd w:id="283"/>
      <w:bookmarkStart w:id="284" w:name="_Toc184312090"/>
      <w:bookmarkEnd w:id="284"/>
      <w:bookmarkStart w:id="285" w:name="_Toc184310296"/>
      <w:bookmarkEnd w:id="285"/>
      <w:bookmarkStart w:id="286" w:name="_Toc184308095"/>
      <w:bookmarkEnd w:id="286"/>
      <w:bookmarkStart w:id="287" w:name="_Toc184312100"/>
      <w:bookmarkEnd w:id="287"/>
      <w:bookmarkStart w:id="288" w:name="_Toc184310299"/>
      <w:bookmarkEnd w:id="288"/>
      <w:bookmarkStart w:id="289" w:name="_Toc184313288"/>
      <w:bookmarkEnd w:id="289"/>
      <w:bookmarkStart w:id="290" w:name="_Toc184312075"/>
      <w:bookmarkEnd w:id="290"/>
      <w:bookmarkStart w:id="291" w:name="_Toc184312127"/>
      <w:bookmarkEnd w:id="291"/>
      <w:bookmarkStart w:id="292" w:name="_Toc184308077"/>
      <w:bookmarkEnd w:id="292"/>
      <w:bookmarkStart w:id="293" w:name="_Toc184310319"/>
      <w:bookmarkEnd w:id="293"/>
      <w:bookmarkStart w:id="294" w:name="_Toc184314438"/>
      <w:bookmarkEnd w:id="294"/>
      <w:bookmarkStart w:id="295" w:name="_Toc184310314"/>
      <w:bookmarkEnd w:id="295"/>
      <w:bookmarkStart w:id="296" w:name="_Toc184312079"/>
      <w:bookmarkEnd w:id="296"/>
      <w:bookmarkStart w:id="297" w:name="_Toc184308054"/>
      <w:bookmarkEnd w:id="297"/>
      <w:bookmarkStart w:id="298" w:name="_Toc184314412"/>
      <w:bookmarkEnd w:id="298"/>
      <w:bookmarkStart w:id="299" w:name="_Toc184308096"/>
      <w:bookmarkEnd w:id="299"/>
      <w:bookmarkStart w:id="300" w:name="_Toc184310301"/>
      <w:bookmarkEnd w:id="300"/>
      <w:bookmarkStart w:id="301" w:name="_Toc184314420"/>
      <w:bookmarkEnd w:id="301"/>
      <w:bookmarkStart w:id="302" w:name="_Toc184308041"/>
      <w:bookmarkEnd w:id="302"/>
      <w:bookmarkStart w:id="303" w:name="_Toc184310316"/>
      <w:bookmarkEnd w:id="303"/>
      <w:bookmarkStart w:id="304" w:name="_Toc184312121"/>
      <w:bookmarkEnd w:id="304"/>
      <w:bookmarkStart w:id="305" w:name="_Toc184310322"/>
      <w:bookmarkEnd w:id="305"/>
      <w:bookmarkStart w:id="306" w:name="_Toc184312125"/>
      <w:bookmarkEnd w:id="306"/>
      <w:bookmarkStart w:id="307" w:name="_Toc184312098"/>
      <w:bookmarkEnd w:id="307"/>
      <w:bookmarkStart w:id="308" w:name="_Toc184308087"/>
      <w:bookmarkEnd w:id="308"/>
      <w:bookmarkStart w:id="309" w:name="_Toc184310326"/>
      <w:bookmarkEnd w:id="309"/>
      <w:bookmarkStart w:id="310" w:name="_Toc184314475"/>
      <w:bookmarkEnd w:id="310"/>
      <w:bookmarkStart w:id="311" w:name="_Toc184310307"/>
      <w:bookmarkEnd w:id="311"/>
      <w:bookmarkStart w:id="312" w:name="_Toc184312136"/>
      <w:bookmarkEnd w:id="312"/>
      <w:bookmarkStart w:id="313" w:name="_Toc184314454"/>
      <w:bookmarkEnd w:id="313"/>
      <w:bookmarkStart w:id="314" w:name="_Toc184308098"/>
      <w:bookmarkEnd w:id="314"/>
      <w:bookmarkStart w:id="315" w:name="_Toc184312109"/>
      <w:bookmarkEnd w:id="315"/>
      <w:bookmarkStart w:id="316" w:name="_Toc184310286"/>
      <w:bookmarkEnd w:id="316"/>
      <w:bookmarkStart w:id="317" w:name="_Toc184313300"/>
      <w:bookmarkEnd w:id="317"/>
      <w:bookmarkStart w:id="318" w:name="_Toc184314476"/>
      <w:bookmarkEnd w:id="318"/>
      <w:bookmarkStart w:id="319" w:name="_Toc184313252"/>
      <w:bookmarkEnd w:id="319"/>
      <w:bookmarkStart w:id="320" w:name="_Toc184313287"/>
      <w:bookmarkEnd w:id="320"/>
      <w:bookmarkStart w:id="321" w:name="_Toc184314424"/>
      <w:bookmarkEnd w:id="321"/>
      <w:bookmarkStart w:id="322" w:name="_Toc184313281"/>
      <w:bookmarkEnd w:id="322"/>
      <w:bookmarkStart w:id="323" w:name="_Toc184308084"/>
      <w:bookmarkEnd w:id="323"/>
      <w:bookmarkStart w:id="324" w:name="_Toc184312132"/>
      <w:bookmarkEnd w:id="324"/>
      <w:bookmarkStart w:id="325" w:name="_Toc184308055"/>
      <w:bookmarkEnd w:id="325"/>
      <w:bookmarkStart w:id="326" w:name="_Toc184308105"/>
      <w:bookmarkEnd w:id="326"/>
      <w:bookmarkStart w:id="327" w:name="_Toc184314423"/>
      <w:bookmarkEnd w:id="327"/>
      <w:bookmarkStart w:id="328" w:name="_Toc184308050"/>
      <w:bookmarkEnd w:id="328"/>
      <w:bookmarkStart w:id="329" w:name="_Toc184314452"/>
      <w:bookmarkEnd w:id="329"/>
      <w:bookmarkStart w:id="330" w:name="_Toc184313303"/>
      <w:bookmarkEnd w:id="330"/>
      <w:bookmarkStart w:id="331" w:name="_Toc184312083"/>
      <w:bookmarkEnd w:id="331"/>
      <w:bookmarkStart w:id="332" w:name="_Toc184313310"/>
      <w:bookmarkEnd w:id="332"/>
      <w:bookmarkStart w:id="333" w:name="_Toc184313304"/>
      <w:bookmarkEnd w:id="333"/>
      <w:bookmarkStart w:id="334" w:name="_Toc184312122"/>
      <w:bookmarkEnd w:id="334"/>
      <w:bookmarkStart w:id="335" w:name="_Toc184312120"/>
      <w:bookmarkEnd w:id="335"/>
      <w:bookmarkStart w:id="336" w:name="_Toc184312069"/>
      <w:bookmarkEnd w:id="336"/>
      <w:bookmarkStart w:id="337" w:name="_Toc184308042"/>
      <w:bookmarkEnd w:id="337"/>
      <w:bookmarkStart w:id="338" w:name="_Toc184308043"/>
      <w:bookmarkEnd w:id="338"/>
      <w:bookmarkStart w:id="339" w:name="_Toc184312091"/>
      <w:bookmarkEnd w:id="339"/>
      <w:bookmarkStart w:id="340" w:name="_Toc184310315"/>
      <w:bookmarkEnd w:id="340"/>
      <w:bookmarkStart w:id="341" w:name="_Toc184314443"/>
      <w:bookmarkEnd w:id="341"/>
      <w:bookmarkStart w:id="342" w:name="_Toc184308107"/>
      <w:bookmarkEnd w:id="342"/>
      <w:bookmarkStart w:id="343" w:name="_Toc184314458"/>
      <w:bookmarkEnd w:id="343"/>
      <w:bookmarkStart w:id="344" w:name="_Toc184312089"/>
      <w:bookmarkEnd w:id="344"/>
      <w:bookmarkStart w:id="345" w:name="_Toc184312123"/>
      <w:bookmarkEnd w:id="345"/>
      <w:bookmarkStart w:id="346" w:name="_Toc184313239"/>
      <w:bookmarkEnd w:id="346"/>
      <w:bookmarkStart w:id="347" w:name="_Toc184308083"/>
      <w:bookmarkEnd w:id="347"/>
      <w:bookmarkStart w:id="348" w:name="_Toc184308063"/>
      <w:bookmarkEnd w:id="348"/>
      <w:bookmarkStart w:id="349" w:name="_Toc184308089"/>
      <w:bookmarkEnd w:id="349"/>
      <w:bookmarkStart w:id="350" w:name="_Toc184314459"/>
      <w:bookmarkEnd w:id="350"/>
      <w:bookmarkStart w:id="351" w:name="_Toc184312134"/>
      <w:bookmarkEnd w:id="351"/>
      <w:bookmarkStart w:id="352" w:name="_Toc184310335"/>
      <w:bookmarkEnd w:id="352"/>
      <w:bookmarkStart w:id="353" w:name="_Toc184314466"/>
      <w:bookmarkEnd w:id="353"/>
      <w:bookmarkStart w:id="354" w:name="_Toc184312131"/>
      <w:bookmarkEnd w:id="354"/>
      <w:bookmarkStart w:id="355" w:name="_Toc184314465"/>
      <w:bookmarkEnd w:id="355"/>
      <w:bookmarkStart w:id="356" w:name="_Toc184308106"/>
      <w:bookmarkEnd w:id="356"/>
      <w:bookmarkStart w:id="357" w:name="_Toc184308046"/>
      <w:bookmarkEnd w:id="357"/>
      <w:bookmarkStart w:id="358" w:name="_Toc184313260"/>
      <w:bookmarkEnd w:id="358"/>
      <w:bookmarkStart w:id="359" w:name="_Toc184312068"/>
      <w:bookmarkEnd w:id="359"/>
      <w:bookmarkStart w:id="360" w:name="_Toc184312112"/>
      <w:bookmarkEnd w:id="360"/>
      <w:bookmarkStart w:id="361" w:name="_Toc184310305"/>
      <w:bookmarkEnd w:id="361"/>
      <w:bookmarkStart w:id="362" w:name="_Toc184310308"/>
      <w:bookmarkEnd w:id="362"/>
      <w:bookmarkStart w:id="363" w:name="_Toc184314433"/>
      <w:bookmarkEnd w:id="363"/>
      <w:bookmarkStart w:id="364" w:name="_Toc184308082"/>
      <w:bookmarkEnd w:id="364"/>
      <w:bookmarkStart w:id="365" w:name="_Toc184312116"/>
      <w:bookmarkEnd w:id="365"/>
      <w:bookmarkStart w:id="366" w:name="_Toc184314447"/>
      <w:bookmarkEnd w:id="366"/>
      <w:bookmarkStart w:id="367" w:name="_Toc184313273"/>
      <w:bookmarkEnd w:id="367"/>
      <w:bookmarkStart w:id="368" w:name="_Toc184312084"/>
      <w:bookmarkEnd w:id="368"/>
      <w:bookmarkStart w:id="369" w:name="_Toc184313257"/>
      <w:bookmarkEnd w:id="369"/>
      <w:bookmarkStart w:id="370" w:name="_Toc184308075"/>
      <w:bookmarkEnd w:id="370"/>
      <w:bookmarkStart w:id="371" w:name="_Toc184312086"/>
      <w:bookmarkEnd w:id="371"/>
      <w:bookmarkStart w:id="372" w:name="_Toc184308067"/>
      <w:bookmarkEnd w:id="372"/>
      <w:bookmarkStart w:id="373" w:name="_Toc184314442"/>
      <w:bookmarkEnd w:id="373"/>
      <w:bookmarkStart w:id="374" w:name="_Toc184313254"/>
      <w:bookmarkEnd w:id="374"/>
      <w:bookmarkStart w:id="375" w:name="_Toc184310337"/>
      <w:bookmarkEnd w:id="375"/>
      <w:bookmarkStart w:id="376" w:name="_Toc184310329"/>
      <w:bookmarkEnd w:id="376"/>
      <w:bookmarkStart w:id="377" w:name="_Toc184310303"/>
      <w:bookmarkEnd w:id="377"/>
      <w:bookmarkStart w:id="378" w:name="_Toc184314478"/>
      <w:bookmarkEnd w:id="378"/>
      <w:bookmarkStart w:id="379" w:name="_Toc184313263"/>
      <w:bookmarkEnd w:id="379"/>
      <w:bookmarkStart w:id="380" w:name="_Toc184314463"/>
      <w:bookmarkEnd w:id="380"/>
      <w:bookmarkStart w:id="381" w:name="_Toc184310341"/>
      <w:bookmarkEnd w:id="381"/>
      <w:bookmarkStart w:id="382" w:name="_Toc184314439"/>
      <w:bookmarkEnd w:id="382"/>
      <w:bookmarkStart w:id="383" w:name="_Toc184312108"/>
      <w:bookmarkEnd w:id="383"/>
      <w:bookmarkStart w:id="384" w:name="_Toc184308057"/>
      <w:bookmarkEnd w:id="384"/>
      <w:bookmarkStart w:id="385" w:name="_Toc184310312"/>
      <w:bookmarkEnd w:id="385"/>
      <w:bookmarkStart w:id="386" w:name="_Toc184308064"/>
      <w:bookmarkEnd w:id="386"/>
      <w:bookmarkStart w:id="387" w:name="_Toc184314419"/>
      <w:bookmarkEnd w:id="387"/>
      <w:bookmarkStart w:id="388" w:name="_Toc184310291"/>
      <w:bookmarkEnd w:id="388"/>
      <w:bookmarkStart w:id="389" w:name="_Toc184313270"/>
      <w:bookmarkEnd w:id="389"/>
      <w:bookmarkStart w:id="390" w:name="_Toc184308090"/>
      <w:bookmarkEnd w:id="390"/>
      <w:bookmarkStart w:id="391" w:name="_Toc184312088"/>
      <w:bookmarkEnd w:id="391"/>
      <w:bookmarkStart w:id="392" w:name="_Toc184312114"/>
      <w:bookmarkEnd w:id="392"/>
      <w:bookmarkStart w:id="393" w:name="_Toc184308071"/>
      <w:bookmarkEnd w:id="393"/>
      <w:bookmarkStart w:id="394" w:name="_Toc184313245"/>
      <w:bookmarkEnd w:id="394"/>
      <w:bookmarkStart w:id="395" w:name="_Toc184313299"/>
      <w:bookmarkEnd w:id="395"/>
      <w:bookmarkStart w:id="396" w:name="_Toc184312119"/>
      <w:bookmarkEnd w:id="396"/>
      <w:bookmarkStart w:id="397" w:name="_Toc184312096"/>
      <w:bookmarkEnd w:id="397"/>
      <w:bookmarkStart w:id="398" w:name="_Toc184312076"/>
      <w:bookmarkEnd w:id="398"/>
      <w:r>
        <w:rPr>
          <w:rFonts w:hint="eastAsia" w:ascii="宋体" w:hAnsi="宋体" w:eastAsia="宋体" w:cs="宋体"/>
          <w:b/>
          <w:color w:val="auto"/>
          <w:sz w:val="36"/>
          <w:szCs w:val="20"/>
          <w:highlight w:val="none"/>
        </w:rPr>
        <w:t xml:space="preserve"> 评审办法</w:t>
      </w:r>
    </w:p>
    <w:p>
      <w:pPr>
        <w:pStyle w:val="3"/>
        <w:shd w:val="clear"/>
        <w:bidi w:val="0"/>
        <w:rPr>
          <w:color w:val="auto"/>
          <w:highlight w:val="none"/>
        </w:rPr>
      </w:pPr>
      <w:r>
        <w:rPr>
          <w:rFonts w:hint="eastAsia"/>
          <w:color w:val="auto"/>
          <w:highlight w:val="none"/>
        </w:rPr>
        <w:t>评审办法前附表</w:t>
      </w:r>
    </w:p>
    <w:tbl>
      <w:tblPr>
        <w:tblStyle w:val="63"/>
        <w:tblW w:w="9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7617"/>
        <w:gridCol w:w="750"/>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b/>
                <w:bCs w:val="0"/>
                <w:color w:val="auto"/>
                <w:sz w:val="24"/>
                <w:highlight w:val="none"/>
              </w:rPr>
            </w:pPr>
            <w:r>
              <w:rPr>
                <w:rFonts w:hint="eastAsia" w:ascii="宋体" w:hAnsi="宋体" w:cs="宋体"/>
                <w:b/>
                <w:bCs w:val="0"/>
                <w:color w:val="auto"/>
                <w:sz w:val="24"/>
                <w:highlight w:val="none"/>
              </w:rPr>
              <w:t>序号</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b/>
                <w:bCs w:val="0"/>
                <w:color w:val="auto"/>
                <w:sz w:val="24"/>
                <w:highlight w:val="none"/>
              </w:rPr>
            </w:pPr>
            <w:r>
              <w:rPr>
                <w:rFonts w:hint="eastAsia" w:ascii="宋体" w:hAnsi="宋体" w:cs="宋体"/>
                <w:b/>
                <w:bCs w:val="0"/>
                <w:color w:val="auto"/>
                <w:sz w:val="24"/>
                <w:highlight w:val="none"/>
              </w:rPr>
              <w:t>评审标准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b/>
                <w:bCs w:val="0"/>
                <w:color w:val="auto"/>
                <w:sz w:val="24"/>
                <w:highlight w:val="none"/>
              </w:rPr>
            </w:pPr>
            <w:r>
              <w:rPr>
                <w:rFonts w:hint="eastAsia" w:ascii="宋体" w:hAnsi="宋体" w:cs="宋体"/>
                <w:b/>
                <w:bCs w:val="0"/>
                <w:color w:val="auto"/>
                <w:sz w:val="24"/>
                <w:highlight w:val="none"/>
              </w:rPr>
              <w:t>权重</w:t>
            </w:r>
          </w:p>
        </w:tc>
        <w:tc>
          <w:tcPr>
            <w:tcW w:w="973" w:type="dxa"/>
          </w:tcPr>
          <w:p>
            <w:pPr>
              <w:keepNext w:val="0"/>
              <w:keepLines w:val="0"/>
              <w:pageBreakBefore w:val="0"/>
              <w:widowControl w:val="0"/>
              <w:shd w:val="clear"/>
              <w:kinsoku/>
              <w:wordWrap/>
              <w:overflowPunct/>
              <w:topLinePunct w:val="0"/>
              <w:autoSpaceDE/>
              <w:autoSpaceDN/>
              <w:bidi w:val="0"/>
              <w:adjustRightInd/>
              <w:snapToGrid w:val="0"/>
              <w:spacing w:line="240" w:lineRule="auto"/>
              <w:textAlignment w:val="auto"/>
              <w:outlineLvl w:val="0"/>
              <w:rPr>
                <w:rFonts w:ascii="宋体" w:hAnsi="宋体" w:cs="宋体"/>
                <w:b/>
                <w:bCs w:val="0"/>
                <w:color w:val="auto"/>
                <w:sz w:val="24"/>
                <w:highlight w:val="none"/>
              </w:rPr>
            </w:pPr>
            <w:r>
              <w:rPr>
                <w:rFonts w:hint="eastAsia" w:ascii="宋体" w:hAnsi="宋体" w:cs="宋体"/>
                <w:b/>
                <w:bCs w:val="0"/>
                <w:color w:val="auto"/>
                <w:sz w:val="22"/>
                <w:szCs w:val="22"/>
                <w:highlight w:val="none"/>
              </w:rPr>
              <w:t>响应文件中评审标准相应的商务技术资料目录</w:t>
            </w:r>
            <w:r>
              <w:rPr>
                <w:rFonts w:hint="eastAsia" w:ascii="宋体" w:hAnsi="宋体" w:cs="宋体"/>
                <w:b/>
                <w:bCs w:val="0"/>
                <w:color w:val="auto"/>
                <w:sz w:val="22"/>
                <w:szCs w:val="22"/>
                <w:highlight w:val="none"/>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color w:val="auto"/>
                <w:sz w:val="24"/>
                <w:highlight w:val="none"/>
              </w:rPr>
            </w:pPr>
            <w:r>
              <w:rPr>
                <w:rFonts w:hint="eastAsia" w:ascii="宋体" w:hAnsi="宋体" w:cs="宋体"/>
                <w:color w:val="auto"/>
                <w:sz w:val="24"/>
                <w:highlight w:val="none"/>
              </w:rPr>
              <w:t>1</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供应商自2020年1月以来（以合同签订时间为准）承建过类似工程业绩的，提供业绩证明材料得1分。</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w:t>
            </w:r>
            <w:r>
              <w:rPr>
                <w:rFonts w:hint="eastAsia" w:ascii="宋体" w:hAnsi="宋体"/>
                <w:b/>
                <w:bCs/>
                <w:color w:val="auto"/>
                <w:sz w:val="24"/>
                <w:highlight w:val="none"/>
                <w:lang w:val="en-US" w:eastAsia="zh-CN"/>
              </w:rPr>
              <w:t>证明材料：提供合同原件的扫描件并加盖公章，不提供不得分。</w:t>
            </w:r>
            <w:r>
              <w:rPr>
                <w:rFonts w:hint="eastAsia" w:ascii="宋体" w:hAnsi="宋体"/>
                <w:color w:val="auto"/>
                <w:sz w:val="24"/>
                <w:highlight w:val="none"/>
                <w:lang w:val="en-US" w:eastAsia="zh-CN"/>
              </w:rPr>
              <w:t xml:space="preserve">】  </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1分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color w:val="auto"/>
                <w:sz w:val="24"/>
                <w:highlight w:val="none"/>
              </w:rPr>
            </w:pPr>
            <w:r>
              <w:rPr>
                <w:rFonts w:hint="eastAsia" w:ascii="宋体" w:hAnsi="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拟派本项目的项目负责人：具有市政工程或其他于本项目工程相关专业，中级工程师职称的，得2分。</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w:t>
            </w:r>
            <w:r>
              <w:rPr>
                <w:rFonts w:hint="eastAsia" w:ascii="宋体" w:hAnsi="宋体"/>
                <w:b/>
                <w:bCs/>
                <w:color w:val="auto"/>
                <w:sz w:val="24"/>
                <w:highlight w:val="none"/>
                <w:lang w:val="en-US" w:eastAsia="zh-CN"/>
              </w:rPr>
              <w:t>证明材料：提供人员证书扫描件及开标前近一个月在本单位缴纳社保证明，并加盖公章，不提供不得分。】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2分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color w:val="auto"/>
                <w:sz w:val="24"/>
                <w:highlight w:val="none"/>
              </w:rPr>
            </w:pPr>
            <w:r>
              <w:rPr>
                <w:rFonts w:hint="eastAsia" w:ascii="宋体" w:hAnsi="宋体" w:eastAsia="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ascii="宋体" w:hAnsi="宋体" w:cs="宋体"/>
                <w:color w:val="auto"/>
                <w:highlight w:val="none"/>
              </w:rPr>
            </w:pPr>
            <w:r>
              <w:rPr>
                <w:rFonts w:hint="eastAsia" w:ascii="宋体" w:hAnsi="宋体" w:cs="宋体"/>
                <w:color w:val="auto"/>
                <w:sz w:val="24"/>
                <w:highlight w:val="none"/>
                <w:lang w:val="en-US" w:eastAsia="zh-CN"/>
              </w:rPr>
              <w:t>3</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eastAsia="zh-CN"/>
              </w:rPr>
              <w:t>针对本项目拟派人员（</w:t>
            </w:r>
            <w:r>
              <w:rPr>
                <w:rFonts w:hint="eastAsia" w:ascii="宋体" w:hAnsi="宋体" w:cs="Times New Roman"/>
                <w:color w:val="auto"/>
                <w:sz w:val="24"/>
                <w:highlight w:val="none"/>
                <w:lang w:val="en-US" w:eastAsia="zh-CN"/>
              </w:rPr>
              <w:t>项目负责人除外</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具有市政公用</w:t>
            </w:r>
            <w:r>
              <w:rPr>
                <w:rFonts w:hint="eastAsia" w:ascii="宋体" w:hAnsi="宋体" w:cs="Times New Roman"/>
                <w:color w:val="auto"/>
                <w:sz w:val="24"/>
                <w:highlight w:val="none"/>
                <w:lang w:eastAsia="zh-CN"/>
              </w:rPr>
              <w:t>工程</w:t>
            </w:r>
            <w:r>
              <w:rPr>
                <w:rFonts w:hint="eastAsia" w:ascii="宋体" w:hAnsi="宋体" w:cs="Times New Roman"/>
                <w:color w:val="auto"/>
                <w:sz w:val="24"/>
                <w:highlight w:val="none"/>
              </w:rPr>
              <w:t>专业贰级及以上注册建造师</w:t>
            </w:r>
            <w:r>
              <w:rPr>
                <w:rFonts w:hint="eastAsia" w:ascii="宋体" w:hAnsi="宋体" w:cs="Times New Roman"/>
                <w:color w:val="auto"/>
                <w:sz w:val="24"/>
                <w:highlight w:val="none"/>
                <w:lang w:val="en-US" w:eastAsia="zh-CN"/>
              </w:rPr>
              <w:t>的，得2分。</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cs="Times New Roman"/>
                <w:color w:val="auto"/>
                <w:sz w:val="24"/>
                <w:highlight w:val="none"/>
                <w:lang w:val="en-US" w:eastAsia="zh-CN"/>
              </w:rPr>
              <w:t>【</w:t>
            </w:r>
            <w:r>
              <w:rPr>
                <w:rFonts w:hint="eastAsia" w:ascii="宋体" w:hAnsi="宋体" w:cs="Times New Roman"/>
                <w:b/>
                <w:bCs/>
                <w:color w:val="auto"/>
                <w:sz w:val="24"/>
                <w:highlight w:val="none"/>
                <w:lang w:val="en-US" w:eastAsia="zh-CN"/>
              </w:rPr>
              <w:t>证明材料：提供人员建造师注册证书、“三类人员”B类证书扫描件及开标前近一个月在本单位缴纳社保证明，并加盖投标人公章</w:t>
            </w:r>
            <w:r>
              <w:rPr>
                <w:rFonts w:hint="eastAsia" w:ascii="宋体" w:hAnsi="宋体" w:cs="Times New Roman"/>
                <w:b/>
                <w:bCs/>
                <w:color w:val="auto"/>
                <w:sz w:val="24"/>
                <w:highlight w:val="none"/>
                <w:lang w:eastAsia="zh-CN"/>
              </w:rPr>
              <w:t>），</w:t>
            </w:r>
            <w:r>
              <w:rPr>
                <w:rFonts w:hint="eastAsia" w:ascii="宋体" w:hAnsi="宋体"/>
                <w:b/>
                <w:bCs/>
                <w:color w:val="auto"/>
                <w:sz w:val="24"/>
                <w:highlight w:val="none"/>
                <w:lang w:val="en-US" w:eastAsia="zh-CN"/>
              </w:rPr>
              <w:t>不提供</w:t>
            </w:r>
            <w:r>
              <w:rPr>
                <w:rFonts w:hint="eastAsia" w:ascii="宋体" w:hAnsi="宋体" w:cs="Times New Roman"/>
                <w:b/>
                <w:bCs/>
                <w:color w:val="auto"/>
                <w:sz w:val="24"/>
                <w:highlight w:val="none"/>
                <w:lang w:eastAsia="zh-CN"/>
              </w:rPr>
              <w:t>不得分。</w:t>
            </w:r>
            <w:r>
              <w:rPr>
                <w:rFonts w:hint="eastAsia" w:ascii="宋体" w:hAnsi="宋体" w:cs="Times New Roman"/>
                <w:color w:val="auto"/>
                <w:sz w:val="24"/>
                <w:highlight w:val="none"/>
                <w:lang w:val="en-US" w:eastAsia="zh-CN"/>
              </w:rPr>
              <w:t>】</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2分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ascii="宋体" w:hAnsi="宋体" w:cs="宋体"/>
                <w:color w:val="auto"/>
                <w:highlight w:val="none"/>
              </w:rPr>
            </w:pPr>
            <w:r>
              <w:rPr>
                <w:rFonts w:hint="eastAsia" w:ascii="宋体" w:hAnsi="宋体" w:eastAsia="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highlight w:val="none"/>
                <w:lang w:val="en-US" w:eastAsia="zh-CN"/>
              </w:rPr>
            </w:pPr>
            <w:r>
              <w:rPr>
                <w:rFonts w:hint="eastAsia" w:ascii="宋体" w:hAnsi="宋体" w:cs="宋体"/>
                <w:color w:val="auto"/>
                <w:sz w:val="24"/>
                <w:highlight w:val="none"/>
                <w:lang w:val="en-US" w:eastAsia="zh-CN"/>
              </w:rPr>
              <w:t>4</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eastAsia="宋体" w:cs="Times New Roman"/>
                <w:color w:val="auto"/>
                <w:sz w:val="24"/>
                <w:highlight w:val="none"/>
                <w:lang w:eastAsia="zh-CN"/>
              </w:rPr>
            </w:pPr>
            <w:r>
              <w:rPr>
                <w:rFonts w:hint="eastAsia" w:ascii="宋体" w:hAnsi="宋体" w:eastAsia="宋体" w:cs="Times New Roman"/>
                <w:color w:val="auto"/>
                <w:sz w:val="24"/>
                <w:highlight w:val="none"/>
                <w:lang w:eastAsia="zh-CN"/>
              </w:rPr>
              <w:t>针对本项目拟派人员中</w:t>
            </w:r>
            <w:r>
              <w:rPr>
                <w:rFonts w:hint="eastAsia" w:ascii="宋体" w:hAnsi="宋体" w:eastAsia="宋体" w:cs="Times New Roman"/>
                <w:color w:val="auto"/>
                <w:sz w:val="24"/>
                <w:highlight w:val="none"/>
                <w:lang w:val="en-US" w:eastAsia="zh-CN"/>
              </w:rPr>
              <w:t>具有</w:t>
            </w:r>
            <w:r>
              <w:rPr>
                <w:rFonts w:hint="eastAsia" w:ascii="宋体" w:hAnsi="宋体" w:eastAsia="宋体" w:cs="Times New Roman"/>
                <w:color w:val="auto"/>
                <w:sz w:val="24"/>
                <w:highlight w:val="none"/>
                <w:lang w:eastAsia="zh-CN"/>
              </w:rPr>
              <w:t>安全员、质量员，</w:t>
            </w:r>
            <w:r>
              <w:rPr>
                <w:rFonts w:hint="eastAsia" w:ascii="宋体" w:hAnsi="宋体" w:eastAsia="宋体" w:cs="Times New Roman"/>
                <w:color w:val="auto"/>
                <w:sz w:val="24"/>
                <w:highlight w:val="none"/>
                <w:lang w:val="en-US" w:eastAsia="zh-CN"/>
              </w:rPr>
              <w:t>每具备1个，得</w:t>
            </w:r>
            <w:r>
              <w:rPr>
                <w:rFonts w:hint="eastAsia" w:ascii="宋体" w:hAnsi="宋体" w:cs="Times New Roman"/>
                <w:color w:val="auto"/>
                <w:sz w:val="24"/>
                <w:highlight w:val="none"/>
                <w:lang w:val="en-US" w:eastAsia="zh-CN"/>
              </w:rPr>
              <w:t>2.5</w:t>
            </w:r>
            <w:r>
              <w:rPr>
                <w:rFonts w:hint="eastAsia" w:ascii="宋体" w:hAnsi="宋体" w:eastAsia="宋体" w:cs="Times New Roman"/>
                <w:color w:val="auto"/>
                <w:sz w:val="24"/>
                <w:highlight w:val="none"/>
                <w:lang w:val="en-US" w:eastAsia="zh-CN"/>
              </w:rPr>
              <w:t>分，最高得5分</w:t>
            </w:r>
            <w:r>
              <w:rPr>
                <w:rFonts w:hint="eastAsia" w:ascii="宋体" w:hAnsi="宋体" w:eastAsia="宋体" w:cs="Times New Roman"/>
                <w:color w:val="auto"/>
                <w:sz w:val="24"/>
                <w:highlight w:val="none"/>
                <w:lang w:eastAsia="zh-CN"/>
              </w:rPr>
              <w:t>。</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eastAsia="宋体" w:cs="Times New Roman"/>
                <w:color w:val="auto"/>
                <w:sz w:val="24"/>
                <w:highlight w:val="none"/>
                <w:lang w:eastAsia="zh-CN"/>
              </w:rPr>
              <w:t>【</w:t>
            </w:r>
            <w:r>
              <w:rPr>
                <w:rFonts w:hint="eastAsia" w:ascii="宋体" w:hAnsi="宋体" w:cs="Times New Roman"/>
                <w:b/>
                <w:bCs/>
                <w:color w:val="auto"/>
                <w:sz w:val="24"/>
                <w:highlight w:val="none"/>
                <w:lang w:val="en-US" w:eastAsia="zh-CN"/>
              </w:rPr>
              <w:t>证明材料：</w:t>
            </w:r>
            <w:r>
              <w:rPr>
                <w:rFonts w:hint="eastAsia" w:ascii="宋体" w:hAnsi="宋体" w:eastAsia="宋体" w:cs="Times New Roman"/>
                <w:b/>
                <w:bCs/>
                <w:color w:val="auto"/>
                <w:sz w:val="24"/>
                <w:highlight w:val="none"/>
                <w:lang w:eastAsia="zh-CN"/>
              </w:rPr>
              <w:t>提供人员相关证书及开标前近</w:t>
            </w:r>
            <w:r>
              <w:rPr>
                <w:rFonts w:hint="eastAsia" w:ascii="宋体" w:hAnsi="宋体" w:eastAsia="宋体" w:cs="Times New Roman"/>
                <w:b/>
                <w:bCs/>
                <w:color w:val="auto"/>
                <w:sz w:val="24"/>
                <w:highlight w:val="none"/>
                <w:lang w:val="en-US" w:eastAsia="zh-CN"/>
              </w:rPr>
              <w:t>一</w:t>
            </w:r>
            <w:r>
              <w:rPr>
                <w:rFonts w:hint="eastAsia" w:ascii="宋体" w:hAnsi="宋体" w:eastAsia="宋体" w:cs="Times New Roman"/>
                <w:b/>
                <w:bCs/>
                <w:color w:val="auto"/>
                <w:sz w:val="24"/>
                <w:highlight w:val="none"/>
                <w:lang w:eastAsia="zh-CN"/>
              </w:rPr>
              <w:t>个月</w:t>
            </w:r>
            <w:r>
              <w:rPr>
                <w:rFonts w:hint="eastAsia" w:ascii="宋体" w:hAnsi="宋体" w:eastAsia="宋体" w:cs="Times New Roman"/>
                <w:b/>
                <w:bCs/>
                <w:color w:val="auto"/>
                <w:sz w:val="24"/>
                <w:highlight w:val="none"/>
                <w:lang w:val="en-US" w:eastAsia="zh-CN"/>
              </w:rPr>
              <w:t>在本单位缴纳</w:t>
            </w:r>
            <w:r>
              <w:rPr>
                <w:rFonts w:hint="eastAsia" w:ascii="宋体" w:hAnsi="宋体" w:eastAsia="宋体" w:cs="Times New Roman"/>
                <w:b/>
                <w:bCs/>
                <w:color w:val="auto"/>
                <w:sz w:val="24"/>
                <w:highlight w:val="none"/>
                <w:lang w:eastAsia="zh-CN"/>
              </w:rPr>
              <w:t>社保证明扫描件</w:t>
            </w:r>
            <w:r>
              <w:rPr>
                <w:rFonts w:hint="eastAsia" w:ascii="宋体" w:hAnsi="宋体" w:eastAsia="宋体" w:cs="Times New Roman"/>
                <w:b/>
                <w:bCs/>
                <w:color w:val="auto"/>
                <w:sz w:val="24"/>
                <w:highlight w:val="none"/>
                <w:lang w:val="en-US" w:eastAsia="zh-CN"/>
              </w:rPr>
              <w:t>并加盖公章，</w:t>
            </w:r>
            <w:r>
              <w:rPr>
                <w:rFonts w:hint="eastAsia" w:ascii="宋体" w:hAnsi="宋体" w:cs="Times New Roman"/>
                <w:b/>
                <w:bCs/>
                <w:color w:val="auto"/>
                <w:sz w:val="24"/>
                <w:highlight w:val="none"/>
                <w:lang w:val="en-US" w:eastAsia="zh-CN"/>
              </w:rPr>
              <w:t>不</w:t>
            </w:r>
            <w:r>
              <w:rPr>
                <w:rFonts w:hint="eastAsia" w:ascii="宋体" w:hAnsi="宋体" w:eastAsia="宋体" w:cs="Times New Roman"/>
                <w:b/>
                <w:bCs/>
                <w:color w:val="auto"/>
                <w:sz w:val="24"/>
                <w:highlight w:val="none"/>
                <w:lang w:val="en-US" w:eastAsia="zh-CN"/>
              </w:rPr>
              <w:t>提供不得分。</w:t>
            </w:r>
            <w:r>
              <w:rPr>
                <w:rFonts w:hint="eastAsia" w:ascii="宋体" w:hAnsi="宋体" w:cs="Times New Roman"/>
                <w:b/>
                <w:bCs/>
                <w:color w:val="auto"/>
                <w:sz w:val="24"/>
                <w:highlight w:val="none"/>
                <w:lang w:val="en-US" w:eastAsia="zh-CN"/>
              </w:rPr>
              <w:t>其中</w:t>
            </w:r>
            <w:r>
              <w:rPr>
                <w:rFonts w:hint="eastAsia" w:ascii="宋体" w:hAnsi="宋体" w:eastAsia="宋体" w:cs="Times New Roman"/>
                <w:b/>
                <w:bCs/>
                <w:color w:val="auto"/>
                <w:sz w:val="24"/>
                <w:highlight w:val="none"/>
                <w:lang w:val="en-US" w:eastAsia="zh-CN"/>
              </w:rPr>
              <w:t>安全员不得兼任，否则不得分。</w:t>
            </w:r>
            <w:r>
              <w:rPr>
                <w:rFonts w:hint="eastAsia" w:ascii="宋体" w:hAnsi="宋体" w:eastAsia="宋体" w:cs="Times New Roman"/>
                <w:b/>
                <w:bCs/>
                <w:color w:val="auto"/>
                <w:sz w:val="24"/>
                <w:highlight w:val="none"/>
                <w:lang w:eastAsia="zh-CN"/>
              </w:rPr>
              <w:t>】</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default"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ascii="宋体" w:hAnsi="宋体" w:cs="宋体"/>
                <w:color w:val="auto"/>
                <w:highlight w:val="none"/>
              </w:rPr>
            </w:pPr>
            <w:r>
              <w:rPr>
                <w:rFonts w:hint="eastAsia" w:ascii="宋体" w:hAnsi="宋体" w:eastAsia="宋体" w:cs="宋体"/>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cs="Times New Roman"/>
                <w:color w:val="auto"/>
                <w:sz w:val="24"/>
                <w:highlight w:val="none"/>
              </w:rPr>
              <w:t>方案内容全面、合理、条理清晰，涵盖本次工程实施有关的内容，且具有针对性</w:t>
            </w:r>
            <w:r>
              <w:rPr>
                <w:rFonts w:hint="eastAsia" w:ascii="宋体" w:hAnsi="宋体" w:cs="Times New Roman"/>
                <w:color w:val="auto"/>
                <w:sz w:val="24"/>
                <w:highlight w:val="none"/>
                <w:lang w:eastAsia="zh-CN"/>
              </w:rPr>
              <w:t>得</w:t>
            </w:r>
            <w:r>
              <w:rPr>
                <w:rFonts w:hint="eastAsia" w:ascii="宋体" w:hAnsi="宋体" w:cs="Times New Roman"/>
                <w:color w:val="auto"/>
                <w:sz w:val="24"/>
                <w:highlight w:val="none"/>
                <w:lang w:val="en-US" w:eastAsia="zh-CN"/>
              </w:rPr>
              <w:t>5分，方案内容全面合理得4分，方案内容基本合理，满足采购需求得3分，方案内容一般，有提及得2分；内容有提及的得1分内容；</w:t>
            </w:r>
            <w:r>
              <w:rPr>
                <w:rFonts w:hint="eastAsia" w:ascii="宋体" w:hAnsi="宋体" w:cs="Times New Roman"/>
                <w:color w:val="auto"/>
                <w:sz w:val="24"/>
                <w:highlight w:val="none"/>
                <w:lang w:eastAsia="zh-CN"/>
              </w:rPr>
              <w:t>严重缺失不得分。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bCs/>
                <w:color w:val="auto"/>
                <w:sz w:val="24"/>
                <w:highlight w:val="none"/>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highlight w:val="none"/>
                <w:lang w:val="en-US" w:eastAsia="zh-CN"/>
              </w:rPr>
            </w:pPr>
            <w:r>
              <w:rPr>
                <w:rFonts w:hint="eastAsia" w:ascii="宋体" w:hAnsi="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6</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s="Times New Roman"/>
                <w:color w:val="auto"/>
                <w:sz w:val="24"/>
                <w:highlight w:val="none"/>
              </w:rPr>
            </w:pPr>
            <w:r>
              <w:rPr>
                <w:rFonts w:hint="eastAsia" w:ascii="宋体" w:hAnsi="宋体" w:cs="Times New Roman"/>
                <w:color w:val="auto"/>
                <w:sz w:val="24"/>
                <w:highlight w:val="none"/>
              </w:rPr>
              <w:t>针对本项目特殊施工环境需要采取的专门的施工技术内容科学合理，针对性强的得</w:t>
            </w:r>
            <w:r>
              <w:rPr>
                <w:rFonts w:hint="eastAsia" w:ascii="宋体" w:hAnsi="宋体" w:cs="Times New Roman"/>
                <w:color w:val="auto"/>
                <w:sz w:val="24"/>
                <w:highlight w:val="none"/>
                <w:lang w:val="en-US" w:eastAsia="zh-CN"/>
              </w:rPr>
              <w:t>5</w:t>
            </w:r>
            <w:r>
              <w:rPr>
                <w:rFonts w:hint="eastAsia" w:ascii="宋体" w:hAnsi="宋体" w:cs="Times New Roman"/>
                <w:color w:val="auto"/>
                <w:sz w:val="24"/>
                <w:highlight w:val="none"/>
              </w:rPr>
              <w:t>分；措施内容基本合理，针对性较强得</w:t>
            </w:r>
            <w:r>
              <w:rPr>
                <w:rFonts w:hint="eastAsia" w:ascii="宋体" w:hAnsi="宋体"/>
                <w:color w:val="auto"/>
                <w:sz w:val="24"/>
                <w:highlight w:val="none"/>
                <w:lang w:val="en-US" w:eastAsia="zh-CN"/>
              </w:rPr>
              <w:t>4</w:t>
            </w:r>
            <w:r>
              <w:rPr>
                <w:rFonts w:hint="eastAsia" w:ascii="宋体" w:hAnsi="宋体" w:cs="Times New Roman"/>
                <w:color w:val="auto"/>
                <w:sz w:val="24"/>
                <w:highlight w:val="none"/>
              </w:rPr>
              <w:t>分；措施内容基本合理得</w:t>
            </w: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rPr>
              <w:t>分；措施内容一般，有提及得</w:t>
            </w: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rPr>
              <w:t>分</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内容有提及的得1分；</w:t>
            </w:r>
            <w:r>
              <w:rPr>
                <w:rFonts w:hint="eastAsia" w:ascii="宋体" w:hAnsi="宋体" w:cs="Times New Roman"/>
                <w:color w:val="auto"/>
                <w:sz w:val="24"/>
                <w:highlight w:val="none"/>
              </w:rPr>
              <w:t>内容缺失严重不得分</w:t>
            </w:r>
            <w:r>
              <w:rPr>
                <w:rFonts w:hint="eastAsia" w:ascii="宋体" w:hAnsi="宋体"/>
                <w:color w:val="auto"/>
                <w:sz w:val="24"/>
                <w:highlight w:val="none"/>
                <w:lang w:val="en-US" w:eastAsia="zh-CN"/>
              </w:rPr>
              <w:t>。</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7</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针对本项目施工重点、难点理解及分析科学、可行、针对性强有利采购人的得5分；施工重点、难点理解及分析合理、可行的得4分；施工重点、难点理解基本满足工程需要得3分；施工重点、难点理解及分析欠合理、可行性欠缺的得2分、只提供简单分析方案没有针对性的得1分，未提供不得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lang w:val="en-US" w:eastAsia="zh-CN"/>
              </w:rPr>
              <w:t>本</w:t>
            </w:r>
            <w:r>
              <w:rPr>
                <w:rFonts w:hint="eastAsia" w:ascii="宋体" w:hAnsi="宋体"/>
                <w:color w:val="auto"/>
                <w:sz w:val="24"/>
                <w:highlight w:val="none"/>
              </w:rPr>
              <w:t>项目实施过程中针对成品保护的各项措施：</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eastAsia="宋体" w:cs="宋体"/>
                <w:color w:val="auto"/>
                <w:sz w:val="24"/>
                <w:highlight w:val="none"/>
              </w:rPr>
            </w:pPr>
            <w:r>
              <w:rPr>
                <w:rFonts w:hint="eastAsia" w:ascii="宋体" w:hAnsi="宋体"/>
                <w:color w:val="auto"/>
                <w:sz w:val="24"/>
                <w:highlight w:val="none"/>
              </w:rPr>
              <w:t>成品保护各项内容及措施完善且到位的，得</w:t>
            </w:r>
            <w:r>
              <w:rPr>
                <w:rFonts w:hint="eastAsia" w:ascii="宋体" w:hAnsi="宋体"/>
                <w:color w:val="auto"/>
                <w:sz w:val="24"/>
                <w:highlight w:val="none"/>
                <w:lang w:val="en-US" w:eastAsia="zh-CN"/>
              </w:rPr>
              <w:t>6</w:t>
            </w:r>
            <w:r>
              <w:rPr>
                <w:rFonts w:hint="eastAsia" w:ascii="宋体" w:hAnsi="宋体"/>
                <w:color w:val="auto"/>
                <w:sz w:val="24"/>
                <w:highlight w:val="none"/>
              </w:rPr>
              <w:t>分；成品保护各项内容及措施基本完善的，得</w:t>
            </w:r>
            <w:r>
              <w:rPr>
                <w:rFonts w:hint="eastAsia" w:ascii="宋体" w:hAnsi="宋体"/>
                <w:color w:val="auto"/>
                <w:sz w:val="24"/>
                <w:highlight w:val="none"/>
                <w:lang w:val="en-US" w:eastAsia="zh-CN"/>
              </w:rPr>
              <w:t>5</w:t>
            </w:r>
            <w:r>
              <w:rPr>
                <w:rFonts w:hint="eastAsia" w:ascii="宋体" w:hAnsi="宋体"/>
                <w:color w:val="auto"/>
                <w:sz w:val="24"/>
                <w:highlight w:val="none"/>
              </w:rPr>
              <w:t>分；成品保护各项内容及措施部分不善的，得</w:t>
            </w:r>
            <w:r>
              <w:rPr>
                <w:rFonts w:hint="eastAsia" w:ascii="宋体" w:hAnsi="宋体"/>
                <w:color w:val="auto"/>
                <w:sz w:val="24"/>
                <w:highlight w:val="none"/>
                <w:lang w:val="en-US" w:eastAsia="zh-CN"/>
              </w:rPr>
              <w:t>4</w:t>
            </w:r>
            <w:r>
              <w:rPr>
                <w:rFonts w:hint="eastAsia" w:ascii="宋体" w:hAnsi="宋体"/>
                <w:color w:val="auto"/>
                <w:sz w:val="24"/>
                <w:highlight w:val="none"/>
              </w:rPr>
              <w:t>分；未提供的得0分。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default"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6分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9</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lang w:val="en-US" w:eastAsia="zh-CN"/>
              </w:rPr>
              <w:t>针对本项目选用</w:t>
            </w:r>
            <w:r>
              <w:rPr>
                <w:rFonts w:hint="eastAsia" w:ascii="宋体" w:hAnsi="宋体"/>
                <w:color w:val="auto"/>
                <w:sz w:val="24"/>
                <w:highlight w:val="none"/>
              </w:rPr>
              <w:t>施工材料规格、供应计划：</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rPr>
              <w:t>材料规格详细、供应计划全面合理的得</w:t>
            </w:r>
            <w:r>
              <w:rPr>
                <w:rFonts w:hint="eastAsia" w:ascii="宋体" w:hAnsi="宋体"/>
                <w:color w:val="auto"/>
                <w:sz w:val="24"/>
                <w:highlight w:val="none"/>
                <w:lang w:val="en-US" w:eastAsia="zh-CN"/>
              </w:rPr>
              <w:t>5</w:t>
            </w:r>
            <w:r>
              <w:rPr>
                <w:rFonts w:hint="eastAsia" w:ascii="宋体" w:hAnsi="宋体"/>
                <w:color w:val="auto"/>
                <w:sz w:val="24"/>
                <w:highlight w:val="none"/>
              </w:rPr>
              <w:t>分；材料规格详细、供应计划基本满足项目需求的得</w:t>
            </w:r>
            <w:r>
              <w:rPr>
                <w:rFonts w:hint="eastAsia" w:ascii="宋体" w:hAnsi="宋体"/>
                <w:color w:val="auto"/>
                <w:sz w:val="24"/>
                <w:highlight w:val="none"/>
                <w:lang w:val="en-US" w:eastAsia="zh-CN"/>
              </w:rPr>
              <w:t>4</w:t>
            </w:r>
            <w:r>
              <w:rPr>
                <w:rFonts w:hint="eastAsia" w:ascii="宋体" w:hAnsi="宋体"/>
                <w:color w:val="auto"/>
                <w:sz w:val="24"/>
                <w:highlight w:val="none"/>
              </w:rPr>
              <w:t>分；材料规格</w:t>
            </w:r>
            <w:r>
              <w:rPr>
                <w:rFonts w:hint="eastAsia" w:ascii="宋体" w:hAnsi="宋体"/>
                <w:color w:val="auto"/>
                <w:sz w:val="24"/>
                <w:highlight w:val="none"/>
                <w:lang w:val="en-US" w:eastAsia="zh-CN"/>
              </w:rPr>
              <w:t>一般</w:t>
            </w:r>
            <w:r>
              <w:rPr>
                <w:rFonts w:hint="eastAsia" w:ascii="宋体" w:hAnsi="宋体"/>
                <w:color w:val="auto"/>
                <w:sz w:val="24"/>
                <w:highlight w:val="none"/>
              </w:rPr>
              <w:t>详细、供应计划</w:t>
            </w:r>
            <w:r>
              <w:rPr>
                <w:rFonts w:hint="eastAsia" w:ascii="宋体" w:hAnsi="宋体"/>
                <w:color w:val="auto"/>
                <w:sz w:val="24"/>
                <w:highlight w:val="none"/>
                <w:lang w:val="en-US" w:eastAsia="zh-CN"/>
              </w:rPr>
              <w:t>一般</w:t>
            </w:r>
            <w:r>
              <w:rPr>
                <w:rFonts w:hint="eastAsia" w:ascii="宋体" w:hAnsi="宋体"/>
                <w:color w:val="auto"/>
                <w:sz w:val="24"/>
                <w:highlight w:val="none"/>
              </w:rPr>
              <w:t>满足项目需求的得</w:t>
            </w:r>
            <w:r>
              <w:rPr>
                <w:rFonts w:hint="eastAsia" w:ascii="宋体" w:hAnsi="宋体"/>
                <w:color w:val="auto"/>
                <w:sz w:val="24"/>
                <w:highlight w:val="none"/>
                <w:lang w:val="en-US" w:eastAsia="zh-CN"/>
              </w:rPr>
              <w:t>3</w:t>
            </w:r>
            <w:r>
              <w:rPr>
                <w:rFonts w:hint="eastAsia" w:ascii="宋体" w:hAnsi="宋体"/>
                <w:color w:val="auto"/>
                <w:sz w:val="24"/>
                <w:highlight w:val="none"/>
              </w:rPr>
              <w:t>分</w:t>
            </w:r>
            <w:r>
              <w:rPr>
                <w:rFonts w:hint="eastAsia" w:ascii="宋体" w:hAnsi="宋体"/>
                <w:color w:val="auto"/>
                <w:sz w:val="24"/>
                <w:highlight w:val="none"/>
                <w:lang w:eastAsia="zh-CN"/>
              </w:rPr>
              <w:t>；</w:t>
            </w:r>
            <w:r>
              <w:rPr>
                <w:rFonts w:hint="eastAsia" w:ascii="宋体" w:hAnsi="宋体"/>
                <w:color w:val="auto"/>
                <w:sz w:val="24"/>
                <w:highlight w:val="none"/>
              </w:rPr>
              <w:t>材料规格不详细、供应计划不满足项目需求的得0分。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0</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eastAsia="宋体" w:cs="宋体"/>
                <w:b w:val="0"/>
                <w:bCs/>
                <w:color w:val="auto"/>
                <w:sz w:val="24"/>
                <w:szCs w:val="24"/>
                <w:highlight w:val="none"/>
              </w:rPr>
              <w:t>安全、文明施工及市政、市容、环保、消防等的保证措施</w:t>
            </w:r>
            <w:r>
              <w:rPr>
                <w:rFonts w:hint="eastAsia" w:ascii="宋体" w:hAnsi="宋体" w:eastAsia="宋体" w:cs="宋体"/>
                <w:b w:val="0"/>
                <w:bCs/>
                <w:color w:val="auto"/>
                <w:sz w:val="24"/>
                <w:szCs w:val="24"/>
                <w:highlight w:val="none"/>
                <w:lang w:val="en-US" w:eastAsia="zh-CN"/>
              </w:rPr>
              <w:t>进行评分。措施</w:t>
            </w:r>
            <w:r>
              <w:rPr>
                <w:rFonts w:hint="eastAsia" w:ascii="宋体" w:hAnsi="宋体" w:eastAsia="宋体" w:cs="宋体"/>
                <w:b w:val="0"/>
                <w:bCs/>
                <w:color w:val="auto"/>
                <w:sz w:val="24"/>
                <w:szCs w:val="24"/>
                <w:highlight w:val="none"/>
              </w:rPr>
              <w:t>科学、</w:t>
            </w:r>
            <w:r>
              <w:rPr>
                <w:rFonts w:hint="eastAsia" w:ascii="宋体" w:hAnsi="宋体" w:eastAsia="宋体" w:cs="宋体"/>
                <w:b w:val="0"/>
                <w:bCs/>
                <w:color w:val="auto"/>
                <w:sz w:val="24"/>
                <w:szCs w:val="24"/>
                <w:highlight w:val="none"/>
                <w:lang w:val="en-US" w:eastAsia="zh-CN"/>
              </w:rPr>
              <w:t>全面</w:t>
            </w:r>
            <w:r>
              <w:rPr>
                <w:rFonts w:hint="eastAsia" w:ascii="宋体" w:hAnsi="宋体" w:eastAsia="宋体" w:cs="宋体"/>
                <w:b w:val="0"/>
                <w:bCs/>
                <w:color w:val="auto"/>
                <w:sz w:val="24"/>
                <w:szCs w:val="24"/>
                <w:highlight w:val="none"/>
              </w:rPr>
              <w:t>到位的得</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分，</w:t>
            </w:r>
            <w:r>
              <w:rPr>
                <w:rFonts w:hint="eastAsia" w:ascii="宋体" w:hAnsi="宋体" w:cs="Times New Roman"/>
                <w:color w:val="auto"/>
                <w:sz w:val="24"/>
                <w:highlight w:val="none"/>
              </w:rPr>
              <w:t>措施内容基本合理，针对性较强得</w:t>
            </w:r>
            <w:r>
              <w:rPr>
                <w:rFonts w:hint="eastAsia" w:ascii="宋体" w:hAnsi="宋体"/>
                <w:color w:val="auto"/>
                <w:sz w:val="24"/>
                <w:highlight w:val="none"/>
                <w:lang w:val="en-US" w:eastAsia="zh-CN"/>
              </w:rPr>
              <w:t>4</w:t>
            </w:r>
            <w:r>
              <w:rPr>
                <w:rFonts w:hint="eastAsia" w:ascii="宋体" w:hAnsi="宋体" w:cs="Times New Roman"/>
                <w:color w:val="auto"/>
                <w:sz w:val="24"/>
                <w:highlight w:val="none"/>
              </w:rPr>
              <w:t>分；措施内容基本合理得</w:t>
            </w: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rPr>
              <w:t>分；措施内容一般，有提及得</w:t>
            </w: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rPr>
              <w:t>分</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内容有提及的得1分；</w:t>
            </w:r>
            <w:r>
              <w:rPr>
                <w:rFonts w:hint="eastAsia" w:ascii="宋体" w:hAnsi="宋体" w:cs="Times New Roman"/>
                <w:color w:val="auto"/>
                <w:sz w:val="24"/>
                <w:highlight w:val="none"/>
              </w:rPr>
              <w:t>内容缺失严重不得分</w:t>
            </w:r>
            <w:r>
              <w:rPr>
                <w:rFonts w:hint="eastAsia" w:ascii="宋体" w:hAnsi="宋体"/>
                <w:color w:val="auto"/>
                <w:sz w:val="24"/>
                <w:highlight w:val="none"/>
                <w:lang w:val="en-US" w:eastAsia="zh-CN"/>
              </w:rPr>
              <w:t>。</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cs="宋体"/>
                <w:bCs/>
                <w:color w:val="auto"/>
                <w:sz w:val="24"/>
                <w:highlight w:val="none"/>
                <w:lang w:val="en-US" w:eastAsia="zh-CN"/>
              </w:rPr>
            </w:pPr>
          </w:p>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cs="宋体"/>
                <w:bCs/>
                <w:color w:val="auto"/>
                <w:sz w:val="24"/>
                <w:highlight w:val="none"/>
                <w:lang w:val="en-US" w:eastAsia="zh-CN"/>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cs="宋体"/>
                <w:color w:val="auto"/>
                <w:highlight w:val="none"/>
                <w:lang w:val="en-US" w:eastAsia="zh-CN"/>
              </w:rPr>
            </w:pPr>
          </w:p>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1</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s="Times New Roman"/>
                <w:color w:val="auto"/>
                <w:sz w:val="24"/>
                <w:highlight w:val="none"/>
              </w:rPr>
            </w:pPr>
            <w:r>
              <w:rPr>
                <w:rFonts w:hint="eastAsia" w:ascii="宋体" w:hAnsi="宋体"/>
                <w:color w:val="auto"/>
                <w:sz w:val="24"/>
                <w:highlight w:val="none"/>
                <w:lang w:val="en-US" w:eastAsia="zh-CN"/>
              </w:rPr>
              <w:t>针对本项目的质量保证措施完善、全面到位的得5分；</w:t>
            </w:r>
            <w:r>
              <w:rPr>
                <w:rFonts w:hint="eastAsia" w:ascii="宋体" w:hAnsi="宋体" w:cs="Times New Roman"/>
                <w:color w:val="auto"/>
                <w:sz w:val="24"/>
                <w:highlight w:val="none"/>
              </w:rPr>
              <w:t>措施内容基本合理，针对性较强得</w:t>
            </w:r>
            <w:r>
              <w:rPr>
                <w:rFonts w:hint="eastAsia" w:ascii="宋体" w:hAnsi="宋体"/>
                <w:color w:val="auto"/>
                <w:sz w:val="24"/>
                <w:highlight w:val="none"/>
                <w:lang w:val="en-US" w:eastAsia="zh-CN"/>
              </w:rPr>
              <w:t>4</w:t>
            </w:r>
            <w:r>
              <w:rPr>
                <w:rFonts w:hint="eastAsia" w:ascii="宋体" w:hAnsi="宋体" w:cs="Times New Roman"/>
                <w:color w:val="auto"/>
                <w:sz w:val="24"/>
                <w:highlight w:val="none"/>
              </w:rPr>
              <w:t>分；措施内容基本合理得</w:t>
            </w: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rPr>
              <w:t>分；措施内容一般，有提及得</w:t>
            </w: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rPr>
              <w:t>分</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内容有提及的得1分；</w:t>
            </w:r>
            <w:r>
              <w:rPr>
                <w:rFonts w:hint="eastAsia" w:ascii="宋体" w:hAnsi="宋体" w:cs="Times New Roman"/>
                <w:color w:val="auto"/>
                <w:sz w:val="24"/>
                <w:highlight w:val="none"/>
              </w:rPr>
              <w:t>内容缺失严重不得分</w:t>
            </w:r>
            <w:r>
              <w:rPr>
                <w:rFonts w:hint="eastAsia" w:ascii="宋体" w:hAnsi="宋体"/>
                <w:color w:val="auto"/>
                <w:sz w:val="24"/>
                <w:highlight w:val="none"/>
                <w:lang w:val="en-US" w:eastAsia="zh-CN"/>
              </w:rPr>
              <w:t>。</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2</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根据供应商在安全管理制度措施、安全培训制度、安全检查制度、隐患处理工作等方面的安全工作开展情况进行打分，涵盖本次实施有关内容且针对性强的得5分，</w:t>
            </w:r>
            <w:r>
              <w:rPr>
                <w:rFonts w:hint="eastAsia" w:ascii="宋体" w:hAnsi="宋体" w:cs="Times New Roman"/>
                <w:color w:val="auto"/>
                <w:sz w:val="24"/>
                <w:highlight w:val="none"/>
                <w:lang w:val="en-US" w:eastAsia="zh-CN"/>
              </w:rPr>
              <w:t>方案内容全面合理得4分，方案内容基本合理，满足采购需求得3分，方案内容一般，有提及得2分；内容有提及的得1分内容；</w:t>
            </w:r>
            <w:r>
              <w:rPr>
                <w:rFonts w:hint="eastAsia" w:ascii="宋体" w:hAnsi="宋体" w:cs="Times New Roman"/>
                <w:color w:val="auto"/>
                <w:sz w:val="24"/>
                <w:highlight w:val="none"/>
                <w:lang w:eastAsia="zh-CN"/>
              </w:rPr>
              <w:t>严重缺失不得分。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bCs/>
                <w:color w:val="auto"/>
                <w:sz w:val="24"/>
                <w:highlight w:val="none"/>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ascii="宋体" w:hAnsi="宋体" w:cs="宋体"/>
                <w:color w:val="auto"/>
                <w:highlight w:val="none"/>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3</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rPr>
              <w:t>针对工期承诺的进度计划实施方案进行评审：</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eastAsia="宋体" w:cs="宋体"/>
                <w:b w:val="0"/>
                <w:bCs w:val="0"/>
                <w:color w:val="auto"/>
                <w:sz w:val="24"/>
                <w:szCs w:val="24"/>
                <w:highlight w:val="none"/>
              </w:rPr>
            </w:pPr>
            <w:r>
              <w:rPr>
                <w:rFonts w:hint="eastAsia" w:ascii="宋体" w:hAnsi="宋体"/>
                <w:color w:val="auto"/>
                <w:sz w:val="24"/>
                <w:highlight w:val="none"/>
              </w:rPr>
              <w:t>进度计划制定及进度控制措施针对性和可行性强的得</w:t>
            </w:r>
            <w:r>
              <w:rPr>
                <w:rFonts w:hint="eastAsia" w:ascii="宋体" w:hAnsi="宋体"/>
                <w:color w:val="auto"/>
                <w:sz w:val="24"/>
                <w:highlight w:val="none"/>
                <w:lang w:val="en-US" w:eastAsia="zh-CN"/>
              </w:rPr>
              <w:t>5</w:t>
            </w:r>
            <w:r>
              <w:rPr>
                <w:rFonts w:hint="eastAsia" w:ascii="宋体" w:hAnsi="宋体"/>
                <w:color w:val="auto"/>
                <w:sz w:val="24"/>
                <w:highlight w:val="none"/>
              </w:rPr>
              <w:t>分；</w:t>
            </w:r>
            <w:r>
              <w:rPr>
                <w:rFonts w:hint="eastAsia" w:ascii="宋体" w:hAnsi="宋体" w:cs="Times New Roman"/>
                <w:color w:val="auto"/>
                <w:sz w:val="24"/>
                <w:highlight w:val="none"/>
              </w:rPr>
              <w:t>措施内容基本合理，针对性较强得</w:t>
            </w:r>
            <w:r>
              <w:rPr>
                <w:rFonts w:hint="eastAsia" w:ascii="宋体" w:hAnsi="宋体"/>
                <w:color w:val="auto"/>
                <w:sz w:val="24"/>
                <w:highlight w:val="none"/>
                <w:lang w:val="en-US" w:eastAsia="zh-CN"/>
              </w:rPr>
              <w:t>4</w:t>
            </w:r>
            <w:r>
              <w:rPr>
                <w:rFonts w:hint="eastAsia" w:ascii="宋体" w:hAnsi="宋体" w:cs="Times New Roman"/>
                <w:color w:val="auto"/>
                <w:sz w:val="24"/>
                <w:highlight w:val="none"/>
              </w:rPr>
              <w:t>分；措施内容基本合理得</w:t>
            </w:r>
            <w:r>
              <w:rPr>
                <w:rFonts w:hint="eastAsia" w:ascii="宋体" w:hAnsi="宋体" w:cs="Times New Roman"/>
                <w:color w:val="auto"/>
                <w:sz w:val="24"/>
                <w:highlight w:val="none"/>
                <w:lang w:val="en-US" w:eastAsia="zh-CN"/>
              </w:rPr>
              <w:t>3</w:t>
            </w:r>
            <w:r>
              <w:rPr>
                <w:rFonts w:hint="eastAsia" w:ascii="宋体" w:hAnsi="宋体" w:cs="Times New Roman"/>
                <w:color w:val="auto"/>
                <w:sz w:val="24"/>
                <w:highlight w:val="none"/>
              </w:rPr>
              <w:t>分；措施内容一般，有提及得</w:t>
            </w:r>
            <w:r>
              <w:rPr>
                <w:rFonts w:hint="eastAsia" w:ascii="宋体" w:hAnsi="宋体" w:cs="Times New Roman"/>
                <w:color w:val="auto"/>
                <w:sz w:val="24"/>
                <w:highlight w:val="none"/>
                <w:lang w:val="en-US" w:eastAsia="zh-CN"/>
              </w:rPr>
              <w:t>2</w:t>
            </w:r>
            <w:r>
              <w:rPr>
                <w:rFonts w:hint="eastAsia" w:ascii="宋体" w:hAnsi="宋体" w:cs="Times New Roman"/>
                <w:color w:val="auto"/>
                <w:sz w:val="24"/>
                <w:highlight w:val="none"/>
              </w:rPr>
              <w:t>分</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lang w:val="en-US" w:eastAsia="zh-CN"/>
              </w:rPr>
              <w:t>内容有提及的得1分；</w:t>
            </w:r>
            <w:r>
              <w:rPr>
                <w:rFonts w:hint="eastAsia" w:ascii="宋体" w:hAnsi="宋体" w:cs="Times New Roman"/>
                <w:color w:val="auto"/>
                <w:sz w:val="24"/>
                <w:highlight w:val="none"/>
              </w:rPr>
              <w:t>内容缺失严重不得分</w:t>
            </w:r>
            <w:r>
              <w:rPr>
                <w:rFonts w:hint="eastAsia" w:ascii="宋体" w:hAnsi="宋体"/>
                <w:color w:val="auto"/>
                <w:sz w:val="24"/>
                <w:highlight w:val="none"/>
                <w:lang w:val="en-US" w:eastAsia="zh-CN"/>
              </w:rPr>
              <w:t>。</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4</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eastAsia="宋体" w:cs="宋体"/>
                <w:b w:val="0"/>
                <w:bCs/>
                <w:color w:val="auto"/>
                <w:sz w:val="24"/>
                <w:szCs w:val="24"/>
                <w:highlight w:val="none"/>
              </w:rPr>
              <w:t>应急保障方案：应对相应自然灾害等情况的应急保障方案</w:t>
            </w:r>
            <w:r>
              <w:rPr>
                <w:rFonts w:hint="eastAsia" w:ascii="宋体" w:hAnsi="宋体" w:eastAsia="宋体" w:cs="宋体"/>
                <w:b w:val="0"/>
                <w:bCs/>
                <w:color w:val="auto"/>
                <w:sz w:val="24"/>
                <w:szCs w:val="24"/>
                <w:highlight w:val="none"/>
                <w:lang w:val="en-US" w:eastAsia="zh-CN"/>
              </w:rPr>
              <w:t>进行评分</w:t>
            </w:r>
            <w:r>
              <w:rPr>
                <w:rFonts w:hint="eastAsia" w:ascii="宋体" w:hAnsi="宋体" w:eastAsia="宋体" w:cs="宋体"/>
                <w:b w:val="0"/>
                <w:bCs/>
                <w:color w:val="auto"/>
                <w:sz w:val="24"/>
                <w:szCs w:val="24"/>
                <w:highlight w:val="none"/>
              </w:rPr>
              <w:t>。应急内容全面、合理、</w:t>
            </w:r>
            <w:r>
              <w:rPr>
                <w:rFonts w:hint="eastAsia" w:ascii="宋体" w:hAnsi="宋体" w:cs="宋体"/>
                <w:b w:val="0"/>
                <w:bCs/>
                <w:color w:val="auto"/>
                <w:sz w:val="24"/>
                <w:szCs w:val="24"/>
                <w:highlight w:val="none"/>
                <w:lang w:eastAsia="zh-CN"/>
              </w:rPr>
              <w:t>条理清晰</w:t>
            </w:r>
            <w:r>
              <w:rPr>
                <w:rFonts w:hint="eastAsia" w:ascii="宋体" w:hAnsi="宋体" w:eastAsia="宋体" w:cs="宋体"/>
                <w:b w:val="0"/>
                <w:bCs/>
                <w:color w:val="auto"/>
                <w:sz w:val="24"/>
                <w:szCs w:val="24"/>
                <w:highlight w:val="none"/>
              </w:rPr>
              <w:t>，涵盖本次实施有关内容且针对性强的得</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分，</w:t>
            </w:r>
            <w:r>
              <w:rPr>
                <w:rFonts w:hint="eastAsia" w:ascii="宋体" w:hAnsi="宋体" w:cs="宋体"/>
                <w:color w:val="auto"/>
                <w:sz w:val="24"/>
                <w:highlight w:val="none"/>
                <w:lang w:val="en-US" w:eastAsia="zh-CN"/>
              </w:rPr>
              <w:t>方案内容全面合理得4分，方案内容基本合理，满足采购需求得3分，方案内容一般，有提及得2分；内容有提及的得1分；</w:t>
            </w:r>
            <w:r>
              <w:rPr>
                <w:rFonts w:hint="eastAsia" w:ascii="宋体" w:hAnsi="宋体" w:cs="宋体"/>
                <w:color w:val="auto"/>
                <w:sz w:val="24"/>
                <w:highlight w:val="none"/>
                <w:lang w:eastAsia="zh-CN"/>
              </w:rPr>
              <w:t>严重缺失不得分。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5</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rPr>
              <w:t>针对紧急事项专门的措施方案和预案等，措施内容计划全面、合理，具有明确的针对性及可操作性，预案考虑全面、到位；全部符合得2分，部分符合1分，不符合0分。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default"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2分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rPr>
              <w:t>供应商的降噪措施合理、具有可操作性等。全部符合得2分，部分符合1分，不符合0分。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2分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7</w:t>
            </w:r>
          </w:p>
        </w:tc>
        <w:tc>
          <w:tcPr>
            <w:tcW w:w="7617" w:type="dxa"/>
            <w:vAlign w:val="center"/>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lang w:val="en-US" w:eastAsia="zh-CN"/>
              </w:rPr>
              <w:t>供应商</w:t>
            </w:r>
            <w:r>
              <w:rPr>
                <w:rFonts w:hint="eastAsia" w:ascii="宋体" w:hAnsi="宋体"/>
                <w:color w:val="auto"/>
                <w:sz w:val="24"/>
                <w:highlight w:val="none"/>
              </w:rPr>
              <w:t>提供的合理化建议合理、具有可操作性、针对性，得</w:t>
            </w:r>
            <w:r>
              <w:rPr>
                <w:rFonts w:hint="eastAsia" w:ascii="宋体" w:hAnsi="宋体"/>
                <w:color w:val="auto"/>
                <w:sz w:val="24"/>
                <w:highlight w:val="none"/>
                <w:lang w:val="en-US" w:eastAsia="zh-CN"/>
              </w:rPr>
              <w:t>5</w:t>
            </w:r>
            <w:r>
              <w:rPr>
                <w:rFonts w:hint="eastAsia" w:ascii="宋体" w:hAnsi="宋体"/>
                <w:color w:val="auto"/>
                <w:sz w:val="24"/>
                <w:highlight w:val="none"/>
              </w:rPr>
              <w:t>分，</w:t>
            </w:r>
            <w:r>
              <w:rPr>
                <w:rFonts w:hint="eastAsia" w:ascii="宋体" w:hAnsi="宋体" w:cs="宋体"/>
                <w:color w:val="auto"/>
                <w:sz w:val="24"/>
                <w:highlight w:val="none"/>
                <w:lang w:val="en-US" w:eastAsia="zh-CN"/>
              </w:rPr>
              <w:t>内容全面合理得4分，内容基本合理得3分，内容一般，有提及得2分；内容有提及的得1分；</w:t>
            </w:r>
            <w:r>
              <w:rPr>
                <w:rFonts w:hint="eastAsia" w:ascii="宋体" w:hAnsi="宋体" w:cs="宋体"/>
                <w:color w:val="auto"/>
                <w:sz w:val="24"/>
                <w:highlight w:val="none"/>
                <w:lang w:eastAsia="zh-CN"/>
              </w:rPr>
              <w:t>严重缺失不得分。</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highlight w:val="none"/>
                <w:lang w:val="en-US" w:eastAsia="zh-CN"/>
              </w:rPr>
              <w:t>5分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7"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18</w:t>
            </w:r>
          </w:p>
        </w:tc>
        <w:tc>
          <w:tcPr>
            <w:tcW w:w="7617" w:type="dxa"/>
          </w:tcPr>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rPr>
              <w:t>有效最后报价的最低价作为评审基准价，其最低报价为满分；按［最后报价得分=（评审基准价/最后报价）*</w:t>
            </w:r>
            <w:r>
              <w:rPr>
                <w:rFonts w:hint="eastAsia" w:ascii="宋体" w:hAnsi="宋体"/>
                <w:color w:val="auto"/>
                <w:sz w:val="24"/>
                <w:highlight w:val="none"/>
                <w:lang w:val="en-US" w:eastAsia="zh-CN"/>
              </w:rPr>
              <w:t>3</w:t>
            </w:r>
            <w:r>
              <w:rPr>
                <w:rFonts w:hint="eastAsia" w:ascii="宋体" w:hAnsi="宋体"/>
                <w:color w:val="auto"/>
                <w:sz w:val="24"/>
                <w:highlight w:val="none"/>
              </w:rPr>
              <w:t>0］的计算公式计算。</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rPr>
              <w:t>评审过程中，不得去掉报价中的最高报价和最低报价。</w:t>
            </w:r>
          </w:p>
          <w:p>
            <w:pPr>
              <w:keepNext w:val="0"/>
              <w:keepLines w:val="0"/>
              <w:pageBreakBefore w:val="0"/>
              <w:shd w:val="clear"/>
              <w:kinsoku/>
              <w:wordWrap/>
              <w:overflowPunct/>
              <w:topLinePunct w:val="0"/>
              <w:autoSpaceDE/>
              <w:autoSpaceDN/>
              <w:bidi w:val="0"/>
              <w:adjustRightInd/>
              <w:snapToGrid w:val="0"/>
              <w:spacing w:line="380" w:lineRule="exact"/>
              <w:textAlignment w:val="auto"/>
              <w:rPr>
                <w:rFonts w:hint="eastAsia" w:ascii="宋体" w:hAnsi="宋体"/>
                <w:color w:val="auto"/>
                <w:sz w:val="24"/>
                <w:highlight w:val="none"/>
              </w:rPr>
            </w:pPr>
            <w:r>
              <w:rPr>
                <w:rFonts w:hint="eastAsia" w:ascii="宋体" w:hAnsi="宋体"/>
                <w:color w:val="auto"/>
                <w:sz w:val="24"/>
                <w:highlight w:val="none"/>
              </w:rPr>
              <w:t>因落实政府采购政策需要进行价格调整的，以调整后的价格计算评审基准价和最后报价。</w:t>
            </w:r>
          </w:p>
        </w:tc>
        <w:tc>
          <w:tcPr>
            <w:tcW w:w="750"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3</w:t>
            </w:r>
            <w:r>
              <w:rPr>
                <w:rFonts w:hint="eastAsia" w:ascii="宋体" w:hAnsi="宋体" w:cs="宋体"/>
                <w:bCs/>
                <w:color w:val="auto"/>
                <w:sz w:val="24"/>
                <w:highlight w:val="none"/>
              </w:rPr>
              <w:t>0</w:t>
            </w:r>
            <w:r>
              <w:rPr>
                <w:rFonts w:hint="eastAsia" w:ascii="宋体" w:hAnsi="宋体" w:cs="宋体"/>
                <w:bCs/>
                <w:color w:val="auto"/>
                <w:sz w:val="24"/>
                <w:highlight w:val="none"/>
                <w:lang w:val="en-US" w:eastAsia="zh-CN"/>
              </w:rPr>
              <w:t>分</w:t>
            </w:r>
          </w:p>
        </w:tc>
        <w:tc>
          <w:tcPr>
            <w:tcW w:w="973" w:type="dxa"/>
            <w:vAlign w:val="center"/>
          </w:tcPr>
          <w:p>
            <w:pPr>
              <w:keepNext w:val="0"/>
              <w:keepLines w:val="0"/>
              <w:pageBreakBefore w:val="0"/>
              <w:shd w:val="clear"/>
              <w:kinsoku/>
              <w:wordWrap/>
              <w:overflowPunct/>
              <w:topLinePunct w:val="0"/>
              <w:autoSpaceDE/>
              <w:autoSpaceDN/>
              <w:bidi w:val="0"/>
              <w:adjustRightInd/>
              <w:snapToGrid w:val="0"/>
              <w:spacing w:line="380" w:lineRule="exact"/>
              <w:jc w:val="center"/>
              <w:textAlignment w:val="auto"/>
              <w:outlineLvl w:val="0"/>
              <w:rPr>
                <w:rFonts w:ascii="宋体" w:hAnsi="宋体" w:cs="宋体"/>
                <w:color w:val="auto"/>
                <w:sz w:val="24"/>
                <w:highlight w:val="none"/>
              </w:rPr>
            </w:pPr>
            <w:r>
              <w:rPr>
                <w:rFonts w:hint="eastAsia" w:ascii="宋体" w:hAnsi="宋体" w:cs="宋体"/>
                <w:color w:val="auto"/>
                <w:sz w:val="24"/>
                <w:highlight w:val="none"/>
              </w:rPr>
              <w:t>/</w:t>
            </w:r>
          </w:p>
        </w:tc>
      </w:tr>
    </w:tbl>
    <w:p>
      <w:pPr>
        <w:shd w:val="clea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供应商编制响应文件（商务技术文件部分）时，建议按此目录（序号和内容）提供评审标准相应的商务技术资料。 </w:t>
      </w:r>
    </w:p>
    <w:p>
      <w:pPr>
        <w:shd w:val="clear"/>
        <w:jc w:val="left"/>
        <w:rPr>
          <w:rFonts w:ascii="宋体" w:hAnsi="宋体" w:cs="宋体"/>
          <w:b/>
          <w:color w:val="auto"/>
          <w:sz w:val="32"/>
          <w:highlight w:val="none"/>
        </w:rPr>
      </w:pPr>
      <w:r>
        <w:rPr>
          <w:rFonts w:hint="eastAsia" w:ascii="宋体" w:hAnsi="宋体" w:cs="宋体"/>
          <w:b/>
          <w:color w:val="auto"/>
          <w:sz w:val="32"/>
          <w:highlight w:val="none"/>
        </w:rPr>
        <w:br w:type="page"/>
      </w:r>
    </w:p>
    <w:p>
      <w:pPr>
        <w:pStyle w:val="3"/>
        <w:shd w:val="clear"/>
        <w:bidi w:val="0"/>
        <w:ind w:left="0" w:firstLine="0"/>
        <w:rPr>
          <w:rFonts w:hint="eastAsia" w:eastAsia="宋体"/>
          <w:color w:val="auto"/>
          <w:highlight w:val="none"/>
        </w:rPr>
      </w:pPr>
      <w:r>
        <w:rPr>
          <w:rFonts w:hint="eastAsia" w:eastAsia="宋体"/>
          <w:color w:val="auto"/>
          <w:highlight w:val="none"/>
        </w:rPr>
        <w:t>一、评审方法</w:t>
      </w:r>
    </w:p>
    <w:p>
      <w:pPr>
        <w:shd w:val="clea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综合评分法，是指响应文件满足磋商文件全部实质性要求且按评审因素的量化指标评审得分最高的供应商为成交候选供应商的评审方法。</w:t>
      </w:r>
    </w:p>
    <w:p>
      <w:pPr>
        <w:pStyle w:val="3"/>
        <w:shd w:val="clear"/>
        <w:bidi w:val="0"/>
        <w:ind w:left="0" w:firstLine="0"/>
        <w:rPr>
          <w:rFonts w:hint="eastAsia" w:eastAsia="宋体"/>
          <w:color w:val="auto"/>
          <w:highlight w:val="none"/>
        </w:rPr>
      </w:pPr>
      <w:r>
        <w:rPr>
          <w:rFonts w:hint="eastAsia" w:eastAsia="宋体"/>
          <w:color w:val="auto"/>
          <w:highlight w:val="none"/>
        </w:rPr>
        <w:t>二、评审标准</w:t>
      </w:r>
    </w:p>
    <w:p>
      <w:pPr>
        <w:shd w:val="clea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评审标准：</w:t>
      </w:r>
      <w:r>
        <w:rPr>
          <w:rFonts w:hint="eastAsia" w:ascii="宋体" w:hAnsi="宋体" w:cs="宋体"/>
          <w:color w:val="auto"/>
          <w:kern w:val="0"/>
          <w:sz w:val="24"/>
          <w:highlight w:val="none"/>
        </w:rPr>
        <w:t>见评审办法前附表。</w:t>
      </w:r>
    </w:p>
    <w:p>
      <w:pPr>
        <w:pStyle w:val="3"/>
        <w:shd w:val="clear"/>
        <w:bidi w:val="0"/>
        <w:ind w:left="0" w:firstLine="0"/>
        <w:rPr>
          <w:rFonts w:ascii="宋体" w:hAnsi="宋体" w:cs="宋体"/>
          <w:b/>
          <w:color w:val="auto"/>
          <w:sz w:val="32"/>
          <w:highlight w:val="none"/>
        </w:rPr>
      </w:pPr>
      <w:r>
        <w:rPr>
          <w:rFonts w:hint="eastAsia" w:ascii="宋体" w:hAnsi="宋体" w:cs="宋体"/>
          <w:b/>
          <w:color w:val="auto"/>
          <w:sz w:val="32"/>
          <w:highlight w:val="none"/>
        </w:rPr>
        <w:t>三、评审程序</w:t>
      </w:r>
    </w:p>
    <w:p>
      <w:pPr>
        <w:shd w:val="clea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磋商小组应当对符合资格的供应商的响应文件进行符合性审查，以确定其是否满足采购文件的实质性要求。不满足采购文件的实质性要求的，响应文件无效。</w:t>
      </w:r>
    </w:p>
    <w:p>
      <w:pPr>
        <w:shd w:val="clear"/>
        <w:spacing w:line="360" w:lineRule="auto"/>
        <w:ind w:firstLine="472" w:firstLineChars="196"/>
        <w:rPr>
          <w:rFonts w:ascii="宋体" w:hAnsi="宋体" w:cs="宋体"/>
          <w:color w:val="auto"/>
          <w:sz w:val="24"/>
          <w:highlight w:val="none"/>
        </w:rPr>
      </w:pPr>
      <w:r>
        <w:rPr>
          <w:rFonts w:hint="eastAsia" w:ascii="宋体" w:hAnsi="宋体" w:cs="宋体"/>
          <w:b/>
          <w:color w:val="auto"/>
          <w:kern w:val="0"/>
          <w:sz w:val="24"/>
          <w:highlight w:val="none"/>
        </w:rPr>
        <w:t>3.2 磋商。</w:t>
      </w:r>
      <w:r>
        <w:rPr>
          <w:rFonts w:hint="eastAsia" w:ascii="宋体" w:hAnsi="宋体" w:cs="宋体"/>
          <w:color w:val="auto"/>
          <w:sz w:val="24"/>
          <w:highlight w:val="none"/>
        </w:rPr>
        <w:t>磋商小组将对确定为实质性响应本采购文件的响应文件进行详细评价和比较，主要就资信、服务方案内容、服务承诺等磋商小组认为与本次采购有关的因素与</w:t>
      </w:r>
      <w:r>
        <w:rPr>
          <w:rFonts w:hint="eastAsia" w:ascii="宋体" w:hAnsi="宋体" w:cs="宋体"/>
          <w:color w:val="auto"/>
          <w:kern w:val="0"/>
          <w:sz w:val="24"/>
          <w:highlight w:val="none"/>
        </w:rPr>
        <w:t>符合性审查合格的</w:t>
      </w:r>
      <w:r>
        <w:rPr>
          <w:rFonts w:hint="eastAsia" w:ascii="宋体" w:hAnsi="宋体" w:cs="宋体"/>
          <w:color w:val="auto"/>
          <w:sz w:val="24"/>
          <w:highlight w:val="none"/>
        </w:rPr>
        <w:t>供应商逐一进行磋商。</w:t>
      </w:r>
    </w:p>
    <w:p>
      <w:pPr>
        <w:shd w:val="clear"/>
        <w:spacing w:line="360" w:lineRule="auto"/>
        <w:ind w:firstLine="470" w:firstLineChars="196"/>
        <w:rPr>
          <w:rFonts w:ascii="宋体" w:hAnsi="宋体" w:cs="宋体"/>
          <w:b/>
          <w:color w:val="auto"/>
          <w:sz w:val="24"/>
          <w:highlight w:val="none"/>
        </w:rPr>
      </w:pPr>
      <w:r>
        <w:rPr>
          <w:rFonts w:hint="eastAsia" w:ascii="宋体" w:hAnsi="宋体" w:cs="宋体"/>
          <w:bCs/>
          <w:color w:val="auto"/>
          <w:sz w:val="24"/>
          <w:highlight w:val="none"/>
        </w:rPr>
        <w:t xml:space="preserve">3.2.1 </w:t>
      </w:r>
      <w:r>
        <w:rPr>
          <w:rFonts w:hint="eastAsia" w:ascii="宋体" w:hAnsi="宋体" w:cs="宋体"/>
          <w:color w:val="auto"/>
          <w:sz w:val="24"/>
          <w:highlight w:val="none"/>
        </w:rPr>
        <w:t>供应商逐家回答磋商小组的提问；</w:t>
      </w:r>
      <w:r>
        <w:rPr>
          <w:rFonts w:hint="eastAsia" w:ascii="宋体" w:hAnsi="宋体" w:cs="宋体"/>
          <w:b/>
          <w:color w:val="auto"/>
          <w:sz w:val="24"/>
          <w:highlight w:val="none"/>
        </w:rPr>
        <w:t>逐家磋商一次为一个轮次，磋商轮次根据实际情况进行。</w:t>
      </w:r>
    </w:p>
    <w:p>
      <w:pPr>
        <w:shd w:val="clear"/>
        <w:spacing w:line="360" w:lineRule="auto"/>
        <w:ind w:firstLine="470" w:firstLineChars="196"/>
        <w:rPr>
          <w:rFonts w:ascii="宋体" w:hAnsi="宋体" w:cs="宋体"/>
          <w:color w:val="auto"/>
          <w:sz w:val="24"/>
          <w:highlight w:val="none"/>
        </w:rPr>
      </w:pPr>
      <w:r>
        <w:rPr>
          <w:rFonts w:hint="eastAsia" w:ascii="宋体" w:hAnsi="宋体" w:cs="宋体"/>
          <w:bCs/>
          <w:color w:val="auto"/>
          <w:sz w:val="24"/>
          <w:highlight w:val="none"/>
        </w:rPr>
        <w:t xml:space="preserve">3.2.2 </w:t>
      </w:r>
      <w:r>
        <w:rPr>
          <w:rFonts w:hint="eastAsia" w:ascii="宋体" w:hAnsi="宋体" w:cs="宋体"/>
          <w:color w:val="auto"/>
          <w:sz w:val="24"/>
          <w:highlight w:val="none"/>
        </w:rPr>
        <w:t>供应商应按磋商小组通知的时间在线或以邮件回复做出承诺或回复，承诺或回复的内容须由供应商法定代表人或授权代表签署，并作为响应文件的补充部分。</w:t>
      </w:r>
    </w:p>
    <w:p>
      <w:pPr>
        <w:shd w:val="clear"/>
        <w:spacing w:line="360" w:lineRule="auto"/>
        <w:ind w:firstLine="470" w:firstLineChars="196"/>
        <w:rPr>
          <w:rFonts w:ascii="宋体" w:hAnsi="宋体" w:cs="宋体"/>
          <w:bCs/>
          <w:color w:val="auto"/>
          <w:kern w:val="0"/>
          <w:sz w:val="24"/>
          <w:highlight w:val="none"/>
        </w:rPr>
      </w:pPr>
      <w:r>
        <w:rPr>
          <w:rFonts w:hint="eastAsia" w:ascii="宋体" w:hAnsi="宋体" w:cs="宋体"/>
          <w:color w:val="auto"/>
          <w:sz w:val="24"/>
          <w:highlight w:val="none"/>
        </w:rPr>
        <w:t xml:space="preserve">3.2.3 </w:t>
      </w:r>
      <w:r>
        <w:rPr>
          <w:rFonts w:hint="eastAsia" w:ascii="宋体" w:hAnsi="宋体" w:cs="宋体"/>
          <w:b/>
          <w:bCs/>
          <w:color w:val="auto"/>
          <w:sz w:val="24"/>
          <w:highlight w:val="none"/>
        </w:rPr>
        <w:t>在磋商过程中，磋商小组可以根据磋商文件和磋商情况实质性变动采购需求中的“※”号技术、服务要求以及合同草案中的“※”号条款，但不得变动磋商文件中的其他内容。</w:t>
      </w:r>
      <w:r>
        <w:rPr>
          <w:rFonts w:hint="eastAsia" w:ascii="宋体" w:hAnsi="宋体" w:cs="宋体"/>
          <w:color w:val="auto"/>
          <w:sz w:val="24"/>
          <w:highlight w:val="none"/>
        </w:rPr>
        <w:t>实质性变动的内容，须经采购人代表确认。磋商文件有实质性变动的，磋商小组将以书面形式通知所有</w:t>
      </w:r>
      <w:r>
        <w:rPr>
          <w:rFonts w:hint="eastAsia" w:ascii="宋体" w:hAnsi="宋体" w:cs="宋体"/>
          <w:color w:val="auto"/>
          <w:kern w:val="0"/>
          <w:sz w:val="24"/>
          <w:highlight w:val="none"/>
        </w:rPr>
        <w:t>符合性审查合格的</w:t>
      </w:r>
      <w:r>
        <w:rPr>
          <w:rFonts w:hint="eastAsia" w:ascii="宋体" w:hAnsi="宋体" w:cs="宋体"/>
          <w:color w:val="auto"/>
          <w:sz w:val="24"/>
          <w:highlight w:val="none"/>
        </w:rPr>
        <w:t xml:space="preserve">供应商。 </w:t>
      </w:r>
    </w:p>
    <w:p>
      <w:pPr>
        <w:shd w:val="clear"/>
        <w:spacing w:line="360" w:lineRule="auto"/>
        <w:ind w:firstLine="472" w:firstLineChars="196"/>
        <w:rPr>
          <w:rFonts w:ascii="宋体" w:hAnsi="宋体" w:cs="宋体"/>
          <w:b/>
          <w:bCs/>
          <w:color w:val="auto"/>
          <w:kern w:val="0"/>
          <w:sz w:val="24"/>
          <w:highlight w:val="none"/>
        </w:rPr>
      </w:pPr>
      <w:r>
        <w:rPr>
          <w:rFonts w:hint="eastAsia" w:ascii="宋体" w:hAnsi="宋体" w:cs="宋体"/>
          <w:b/>
          <w:bCs/>
          <w:color w:val="auto"/>
          <w:kern w:val="0"/>
          <w:sz w:val="24"/>
          <w:highlight w:val="none"/>
        </w:rPr>
        <w:t>3.3最后报价</w:t>
      </w:r>
    </w:p>
    <w:p>
      <w:pPr>
        <w:shd w:val="clea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3.3.1 磋商文件能够详细列明采购标的的技术、服务要求的，磋商结束后，磋商小组应当要求所有符合性审查合格的供应商在规定时间内提交最后报价，提交最后报价的供应商不得少于3家。</w:t>
      </w:r>
    </w:p>
    <w:p>
      <w:pPr>
        <w:shd w:val="clea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3.3.2 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hd w:val="clear"/>
        <w:spacing w:line="360" w:lineRule="auto"/>
        <w:ind w:firstLine="470" w:firstLineChars="196"/>
        <w:rPr>
          <w:rFonts w:ascii="宋体" w:hAnsi="宋体" w:cs="宋体"/>
          <w:color w:val="auto"/>
          <w:kern w:val="0"/>
          <w:sz w:val="24"/>
          <w:highlight w:val="none"/>
        </w:rPr>
      </w:pPr>
      <w:r>
        <w:rPr>
          <w:rFonts w:hint="eastAsia" w:ascii="宋体" w:hAnsi="宋体" w:cs="宋体"/>
          <w:color w:val="auto"/>
          <w:kern w:val="0"/>
          <w:sz w:val="24"/>
          <w:highlight w:val="none"/>
        </w:rPr>
        <w:t>3.3.3 已提交响应文件的供应商，在提交最后报价之前，可以根据磋商情况退出磋商</w:t>
      </w:r>
    </w:p>
    <w:p>
      <w:pPr>
        <w:shd w:val="clea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3.4 综合评分。</w:t>
      </w:r>
      <w:r>
        <w:rPr>
          <w:rFonts w:hint="eastAsia" w:ascii="宋体" w:hAnsi="宋体" w:cs="宋体"/>
          <w:bCs/>
          <w:color w:val="auto"/>
          <w:kern w:val="0"/>
          <w:sz w:val="24"/>
          <w:highlight w:val="none"/>
        </w:rPr>
        <w:t>经磋商确定最终采购需求和提交最后报价的供应商后，</w:t>
      </w:r>
      <w:r>
        <w:rPr>
          <w:rFonts w:hint="eastAsia" w:ascii="宋体" w:hAnsi="宋体" w:cs="宋体"/>
          <w:color w:val="auto"/>
          <w:kern w:val="0"/>
          <w:sz w:val="24"/>
          <w:highlight w:val="none"/>
        </w:rPr>
        <w:t>磋商小组应当按照采购文件中规定的评审标准，对符合性审查合格的响应文件进行综合评分。磋商文件中没有规定的评审标准不得作为评审依据。</w:t>
      </w:r>
    </w:p>
    <w:p>
      <w:pPr>
        <w:shd w:val="clea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3.5汇总商务技术得分。</w:t>
      </w:r>
      <w:r>
        <w:rPr>
          <w:rFonts w:hint="eastAsia" w:ascii="宋体" w:hAnsi="宋体" w:cs="宋体"/>
          <w:color w:val="auto"/>
          <w:kern w:val="0"/>
          <w:sz w:val="24"/>
          <w:highlight w:val="none"/>
        </w:rPr>
        <w:t>磋商小组各成员应当独立对每个供应商的商务和技术文件进行评价，并汇总商务技术得分情况。磋商小组成员总评分偏离平均分30%以上的，以及个人主观打分偏离所有磋商小组成员主观打分平均值</w:t>
      </w:r>
      <w:r>
        <w:rPr>
          <w:rFonts w:ascii="宋体" w:hAnsi="宋体" w:cs="宋体"/>
          <w:color w:val="auto"/>
          <w:kern w:val="0"/>
          <w:sz w:val="24"/>
          <w:highlight w:val="none"/>
        </w:rPr>
        <w:t>30%以上的，由</w:t>
      </w:r>
      <w:r>
        <w:rPr>
          <w:rFonts w:hint="eastAsia" w:ascii="宋体" w:hAnsi="宋体" w:cs="宋体"/>
          <w:color w:val="auto"/>
          <w:kern w:val="0"/>
          <w:sz w:val="24"/>
          <w:highlight w:val="none"/>
        </w:rPr>
        <w:t>磋商小组</w:t>
      </w:r>
      <w:r>
        <w:rPr>
          <w:rFonts w:ascii="宋体" w:hAnsi="宋体" w:cs="宋体"/>
          <w:color w:val="auto"/>
          <w:kern w:val="0"/>
          <w:sz w:val="24"/>
          <w:highlight w:val="none"/>
        </w:rPr>
        <w:t>启动评分畸高、畸低行为认定程序</w:t>
      </w:r>
      <w:r>
        <w:rPr>
          <w:rFonts w:hint="eastAsia" w:ascii="宋体" w:hAnsi="宋体" w:cs="宋体"/>
          <w:color w:val="auto"/>
          <w:kern w:val="0"/>
          <w:sz w:val="24"/>
          <w:highlight w:val="none"/>
        </w:rPr>
        <w:t>，磋商小组组长应提醒相关评审人员进行复核或书面说明理由，评审人员拒绝说明的，由现场监督员据实记录；评审人员的评审、修改记录应保留原件，随项目其他资料一并存档。</w:t>
      </w:r>
    </w:p>
    <w:p>
      <w:pPr>
        <w:shd w:val="clea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3.6报价评审。</w:t>
      </w:r>
    </w:p>
    <w:p>
      <w:pPr>
        <w:pStyle w:val="130"/>
        <w:shd w:val="clear"/>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3.6.1响应文件报价出现前后不一致的，按照下列规定修正：</w:t>
      </w:r>
    </w:p>
    <w:p>
      <w:pPr>
        <w:pStyle w:val="130"/>
        <w:shd w:val="clear"/>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3.6.1.1响应文件中已标价工程量清单内容与响应文件中相应内容不一致的，以已标价工程量清单为准;</w:t>
      </w:r>
    </w:p>
    <w:p>
      <w:pPr>
        <w:pStyle w:val="130"/>
        <w:shd w:val="clear"/>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3.6.1.2大写金额和小写金额不一致的，以大写金额为准;</w:t>
      </w:r>
    </w:p>
    <w:p>
      <w:pPr>
        <w:pStyle w:val="130"/>
        <w:shd w:val="clear"/>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3.6.1.3单价金额小数点或者百分比有明显错位的，以已标价工程量清单的总价为准，并修改单价;</w:t>
      </w:r>
    </w:p>
    <w:p>
      <w:pPr>
        <w:pStyle w:val="130"/>
        <w:shd w:val="clear"/>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3.6.1.4总价金额与按单价汇总金额不一致的，以单价金额计算结果为准。</w:t>
      </w:r>
    </w:p>
    <w:p>
      <w:pPr>
        <w:pStyle w:val="130"/>
        <w:shd w:val="clear"/>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3.6.1.5同时出现两种以上不一致的，按照3.6.1规定的顺序修正。修正后的报价经供应商确认后产生约束力。</w:t>
      </w:r>
    </w:p>
    <w:p>
      <w:pPr>
        <w:shd w:val="clea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3.6.2响应文件出现不是唯一的、有选择性最后报价的，响应文件无效。</w:t>
      </w:r>
    </w:p>
    <w:p>
      <w:pPr>
        <w:shd w:val="clea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3.6.3最后报价超过采购文件中规定的预算金额或者最高限价的，响应文件无效。</w:t>
      </w:r>
    </w:p>
    <w:p>
      <w:pPr>
        <w:pStyle w:val="130"/>
        <w:shd w:val="clear"/>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3.6.4对于未预留份额专门面向中小企业的政府采购工程项目，以及预留份额政府采购工程项目中的非预留部分标项，对小型和微型企业的最后报价给予5%的扣除，用扣除后的价格参与评审。接受大中型企业与小微企业组成联合体或者允许大中型企业向一家或者多家小微企业分包的政府采购工程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w:t>
      </w:r>
    </w:p>
    <w:p>
      <w:pPr>
        <w:shd w:val="clea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3.7排序与推荐。</w:t>
      </w:r>
      <w:r>
        <w:rPr>
          <w:rFonts w:hint="eastAsia" w:ascii="宋体" w:hAnsi="宋体" w:cs="宋体"/>
          <w:color w:val="auto"/>
          <w:kern w:val="0"/>
          <w:sz w:val="24"/>
          <w:highlight w:val="none"/>
        </w:rPr>
        <w:t>评审结果按评审后得分由高到低顺序排列。得分相同的，按最后报价由低到高顺序排列。得分且最后报价相同的并列。响应文件满足采购文件全部实质性要求，且按照评审因素的量化指标评审得分由高到低顺序推荐3名以上成交候选供应商</w:t>
      </w:r>
    </w:p>
    <w:p>
      <w:pPr>
        <w:shd w:val="clea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3.8编写评审报告。</w:t>
      </w:r>
      <w:r>
        <w:rPr>
          <w:rFonts w:hint="eastAsia" w:ascii="宋体" w:hAnsi="宋体" w:cs="宋体"/>
          <w:color w:val="auto"/>
          <w:kern w:val="0"/>
          <w:sz w:val="24"/>
          <w:highlight w:val="none"/>
        </w:rPr>
        <w:t>磋商小组根据全体评审成员签字的原始评审记录和评审结果编写评审报告。磋商小组成员对需要共同认定的事项存在争议的，应当按照少数服从多数的原则作出结论。持不同意见的磋商小组成员应当在评审报告上签署不同意见及理由，否则视为同意评审报告。</w:t>
      </w:r>
    </w:p>
    <w:p>
      <w:pPr>
        <w:pStyle w:val="3"/>
        <w:shd w:val="clear"/>
        <w:bidi w:val="0"/>
        <w:ind w:left="0" w:firstLine="0"/>
        <w:rPr>
          <w:rFonts w:ascii="宋体" w:hAnsi="宋体" w:cs="宋体"/>
          <w:b/>
          <w:color w:val="auto"/>
          <w:sz w:val="32"/>
          <w:highlight w:val="none"/>
        </w:rPr>
      </w:pPr>
      <w:r>
        <w:rPr>
          <w:rFonts w:hint="eastAsia" w:ascii="宋体" w:hAnsi="宋体" w:cs="宋体"/>
          <w:b/>
          <w:color w:val="auto"/>
          <w:sz w:val="32"/>
          <w:highlight w:val="none"/>
        </w:rPr>
        <w:t>四、评审中的其他事项</w:t>
      </w:r>
    </w:p>
    <w:p>
      <w:pPr>
        <w:pStyle w:val="130"/>
        <w:shd w:val="clear"/>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4.1供应商澄清、说明或者补正。</w:t>
      </w:r>
      <w:r>
        <w:rPr>
          <w:rFonts w:hint="eastAsia" w:ascii="宋体" w:hAnsi="宋体" w:cs="宋体"/>
          <w:color w:val="auto"/>
          <w:kern w:val="0"/>
          <w:szCs w:val="24"/>
          <w:highlight w:val="none"/>
        </w:rPr>
        <w:t>对于响应文件中含义不明确、同类问题表述不一致或者有明显文字和计算错误的内容需要供应商作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26"/>
        <w:shd w:val="clear"/>
        <w:spacing w:line="360" w:lineRule="auto"/>
        <w:ind w:left="954" w:leftChars="226" w:hanging="479" w:firstLineChars="0"/>
        <w:rPr>
          <w:rFonts w:cs="宋体"/>
          <w:color w:val="auto"/>
          <w:szCs w:val="21"/>
          <w:highlight w:val="none"/>
        </w:rPr>
      </w:pPr>
      <w:r>
        <w:rPr>
          <w:rFonts w:hint="eastAsia" w:cs="宋体"/>
          <w:b/>
          <w:color w:val="auto"/>
          <w:kern w:val="0"/>
          <w:highlight w:val="none"/>
        </w:rPr>
        <w:t>4.2响应文件无效。</w:t>
      </w:r>
      <w:r>
        <w:rPr>
          <w:rFonts w:hint="eastAsia" w:cs="宋体"/>
          <w:color w:val="auto"/>
          <w:szCs w:val="21"/>
          <w:highlight w:val="none"/>
        </w:rPr>
        <w:t>有下列情形之一的，响应文件无效：</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4.2.1供应商不具备采购文件中规定的资格要求的（供应商未提供有效的资格文件的，视为供应商不具备采购文件中规定的资格要求）；</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4.2.2响应文件未按照采购文件要求签署、盖章的；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4.2.3采购人拟采购的产品属于政府强制采购的节能产品品目清单范围的，供应商未按采购文件要求提供国家确定的认证机构出具的、处于有效期之内的节能产品认证证书的；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4.2.4响应文件含有采购人不能接受的附加条件的；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4.2.5响应文件中承诺的响应文件有效期少于采购文件中载明的响应文件有效期的；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4.2.6响应文件出现不是唯一的、有选择性最后报价的;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4.2.7最后报价超过采购文件中规定的预算金额或者最高限价的;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4.2.8报价明显低于其他通过符合性审查供应商的报价，有可能影响产品质量或者不能诚信履约的，未能按要求提供书面说明或者提交相关证明材料，不能证明其报价合理性的;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4.2.9供应商对根据修正原则修正后的报价不确认的；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4.2.10供应商提供虚假材料响应的；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4.2.11供应商有恶意串通、妨碍其他供应商的竞争行为、损害采购人或者其他供应商的合法权益情形的；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4.2.12供应商仅提交备份响应文件，未在电子交易平台传输递交响应文件的，响应文件无效；</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 响应文件不满足采购文件的其它实质性要求的；</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6"/>
        <w:shd w:val="clear"/>
        <w:snapToGrid w:val="0"/>
        <w:spacing w:line="360" w:lineRule="auto"/>
        <w:ind w:firstLine="472" w:firstLineChars="196"/>
        <w:rPr>
          <w:rFonts w:cs="宋体"/>
          <w:color w:val="auto"/>
          <w:highlight w:val="none"/>
        </w:rPr>
      </w:pPr>
      <w:r>
        <w:rPr>
          <w:rFonts w:hint="eastAsia" w:cs="宋体"/>
          <w:b/>
          <w:color w:val="auto"/>
          <w:highlight w:val="none"/>
        </w:rPr>
        <w:t>5.终止竞争性磋商采购活动。</w:t>
      </w:r>
      <w:r>
        <w:rPr>
          <w:rFonts w:hint="eastAsia" w:cs="宋体"/>
          <w:color w:val="auto"/>
          <w:highlight w:val="none"/>
        </w:rPr>
        <w:t>出现下列情形之一的，采购人或者采购代理机构应当终止竞争性磋商采购活动，发布项目终止公告并说明原因，重新开展采购活动：</w:t>
      </w:r>
    </w:p>
    <w:p>
      <w:pPr>
        <w:pStyle w:val="26"/>
        <w:shd w:val="clear"/>
        <w:snapToGrid w:val="0"/>
        <w:spacing w:line="360" w:lineRule="auto"/>
        <w:rPr>
          <w:rFonts w:cs="宋体"/>
          <w:color w:val="auto"/>
          <w:highlight w:val="none"/>
        </w:rPr>
      </w:pPr>
      <w:r>
        <w:rPr>
          <w:rFonts w:hint="eastAsia" w:cs="宋体"/>
          <w:color w:val="auto"/>
          <w:highlight w:val="none"/>
        </w:rPr>
        <w:t>5.1因情况变化，不再符合规定的竞争性磋商采购方式适用情形的；</w:t>
      </w:r>
    </w:p>
    <w:p>
      <w:pPr>
        <w:pStyle w:val="26"/>
        <w:shd w:val="clear"/>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hd w:val="clear"/>
        <w:snapToGrid w:val="0"/>
        <w:spacing w:line="360" w:lineRule="auto"/>
        <w:rPr>
          <w:rFonts w:cs="宋体"/>
          <w:color w:val="auto"/>
          <w:highlight w:val="none"/>
        </w:rPr>
      </w:pPr>
      <w:r>
        <w:rPr>
          <w:rFonts w:hint="eastAsia" w:cs="宋体"/>
          <w:color w:val="auto"/>
          <w:highlight w:val="none"/>
        </w:rPr>
        <w:t>5.3除本办法第二十一条第三款规定的情形外，在采购过程中符合要求的供应商或者报价未超过采购预算的供应商不足3家的。</w:t>
      </w:r>
    </w:p>
    <w:p>
      <w:pPr>
        <w:pStyle w:val="26"/>
        <w:shd w:val="clear"/>
        <w:snapToGrid w:val="0"/>
        <w:spacing w:line="360" w:lineRule="auto"/>
        <w:rPr>
          <w:rFonts w:cs="宋体"/>
          <w:color w:val="auto"/>
          <w:highlight w:val="none"/>
        </w:rPr>
      </w:pPr>
      <w:r>
        <w:rPr>
          <w:rFonts w:hint="eastAsia" w:cs="宋体"/>
          <w:color w:val="auto"/>
          <w:highlight w:val="none"/>
        </w:rPr>
        <w:t>5.4在采购活动中因重大变故，采购任务取消的，采购人或者采购代理机构应当终止采购活动，通知所有参加采购活动的供应商，并将项目实施情况和采购任务取消原因报送本级财政部门。</w:t>
      </w:r>
    </w:p>
    <w:p>
      <w:pPr>
        <w:pStyle w:val="26"/>
        <w:shd w:val="clear"/>
        <w:snapToGrid w:val="0"/>
        <w:spacing w:line="360" w:lineRule="auto"/>
        <w:ind w:firstLine="482"/>
        <w:rPr>
          <w:rFonts w:cs="宋体"/>
          <w:color w:val="auto"/>
          <w:highlight w:val="none"/>
        </w:rPr>
      </w:pPr>
      <w:r>
        <w:rPr>
          <w:rFonts w:hint="eastAsia" w:cs="宋体"/>
          <w:b/>
          <w:color w:val="auto"/>
          <w:kern w:val="0"/>
          <w:highlight w:val="none"/>
        </w:rPr>
        <w:t>6.重新开展采购。</w:t>
      </w:r>
      <w:r>
        <w:rPr>
          <w:rFonts w:hint="eastAsia" w:cs="宋体"/>
          <w:color w:val="auto"/>
          <w:highlight w:val="none"/>
        </w:rPr>
        <w:t>有政府采购法第七十一条、第七十二条规定的违法行为之一，影响或者可能影响成交结果的，依照下列规定处理：</w:t>
      </w:r>
    </w:p>
    <w:p>
      <w:pPr>
        <w:pStyle w:val="26"/>
        <w:shd w:val="clear"/>
        <w:snapToGrid w:val="0"/>
        <w:spacing w:line="360" w:lineRule="auto"/>
        <w:rPr>
          <w:rFonts w:cs="宋体"/>
          <w:color w:val="auto"/>
          <w:highlight w:val="none"/>
        </w:rPr>
      </w:pPr>
      <w:r>
        <w:rPr>
          <w:rFonts w:hint="eastAsia" w:cs="宋体"/>
          <w:color w:val="auto"/>
          <w:highlight w:val="none"/>
        </w:rPr>
        <w:t>6.1未确定成交供应商的，终止本次政府采购活动，重新开展政府采购活动。</w:t>
      </w:r>
    </w:p>
    <w:p>
      <w:pPr>
        <w:pStyle w:val="26"/>
        <w:shd w:val="clear"/>
        <w:snapToGrid w:val="0"/>
        <w:spacing w:line="360" w:lineRule="auto"/>
        <w:rPr>
          <w:rFonts w:cs="宋体"/>
          <w:color w:val="auto"/>
          <w:highlight w:val="none"/>
        </w:rPr>
      </w:pPr>
      <w:r>
        <w:rPr>
          <w:rFonts w:hint="eastAsia" w:cs="宋体"/>
          <w:color w:val="auto"/>
          <w:highlight w:val="none"/>
        </w:rPr>
        <w:t>6.2已确定成交供应商但尚未签订政府采购合同的，成交结果无效，从合格的成交候选供应商中另行确定成交供应商；没有合格的成交候选供应商的，重新开展政府采购活动。</w:t>
      </w:r>
    </w:p>
    <w:p>
      <w:pPr>
        <w:pStyle w:val="26"/>
        <w:shd w:val="clear"/>
        <w:snapToGrid w:val="0"/>
        <w:spacing w:line="360" w:lineRule="auto"/>
        <w:rPr>
          <w:rFonts w:cs="宋体"/>
          <w:color w:val="auto"/>
          <w:highlight w:val="none"/>
        </w:rPr>
      </w:pPr>
      <w:r>
        <w:rPr>
          <w:rFonts w:hint="eastAsia" w:cs="宋体"/>
          <w:color w:val="auto"/>
          <w:highlight w:val="none"/>
        </w:rPr>
        <w:t>6.3政府采购合同已签订但尚未履行的，撤销合同，从合格的成交候选供应商中另行确定成交供应商；没有合格的成交候选供应商的，重新开展政府采购活动。</w:t>
      </w:r>
    </w:p>
    <w:p>
      <w:pPr>
        <w:pStyle w:val="26"/>
        <w:shd w:val="clear"/>
        <w:snapToGrid w:val="0"/>
        <w:spacing w:line="360" w:lineRule="auto"/>
        <w:rPr>
          <w:rFonts w:cs="宋体"/>
          <w:color w:val="auto"/>
          <w:highlight w:val="none"/>
        </w:rPr>
      </w:pPr>
      <w:r>
        <w:rPr>
          <w:rFonts w:hint="eastAsia" w:cs="宋体"/>
          <w:color w:val="auto"/>
          <w:highlight w:val="none"/>
        </w:rPr>
        <w:t>6.4政府采购合同已经履行，给采购人、供应商造成损失的，由责任人承担赔偿责任。</w:t>
      </w:r>
    </w:p>
    <w:p>
      <w:pPr>
        <w:pStyle w:val="26"/>
        <w:shd w:val="clear"/>
        <w:snapToGrid w:val="0"/>
        <w:spacing w:line="360" w:lineRule="auto"/>
        <w:rPr>
          <w:rFonts w:cs="宋体"/>
          <w:color w:val="auto"/>
          <w:highlight w:val="none"/>
        </w:rPr>
      </w:pPr>
      <w:r>
        <w:rPr>
          <w:rFonts w:hint="eastAsia" w:cs="宋体"/>
          <w:color w:val="auto"/>
          <w:highlight w:val="none"/>
        </w:rPr>
        <w:t>6.5政府采购当事人有其他违反政府采购法或者政府采购法实施条例等法律法规规定的行为，经改正后仍然影响或者可能影响成交结果或者依法被认定为成交无效的，依照6.1-6.4规定处理。</w:t>
      </w:r>
    </w:p>
    <w:p>
      <w:pPr>
        <w:pStyle w:val="26"/>
        <w:shd w:val="clear"/>
        <w:snapToGrid w:val="0"/>
        <w:spacing w:line="360" w:lineRule="auto"/>
        <w:ind w:firstLine="0" w:firstLineChars="0"/>
        <w:rPr>
          <w:rFonts w:cs="宋体"/>
          <w:color w:val="auto"/>
          <w:highlight w:val="none"/>
        </w:rPr>
        <w:sectPr>
          <w:pgSz w:w="11907" w:h="16840"/>
          <w:pgMar w:top="1440" w:right="1080" w:bottom="1440" w:left="1080" w:header="851" w:footer="851" w:gutter="0"/>
          <w:cols w:space="720" w:num="1"/>
        </w:sectPr>
      </w:pPr>
    </w:p>
    <w:bookmarkEnd w:id="31"/>
    <w:p>
      <w:pPr>
        <w:shd w:val="clear"/>
        <w:spacing w:line="360" w:lineRule="auto"/>
        <w:jc w:val="center"/>
        <w:outlineLvl w:val="0"/>
        <w:rPr>
          <w:rFonts w:ascii="宋体" w:hAnsi="宋体" w:cs="宋体"/>
          <w:b/>
          <w:color w:val="auto"/>
          <w:sz w:val="36"/>
          <w:szCs w:val="36"/>
          <w:highlight w:val="none"/>
        </w:rPr>
      </w:pPr>
      <w:bookmarkStart w:id="399" w:name="第五部分"/>
      <w:bookmarkStart w:id="400" w:name="_Toc86217003"/>
      <w:r>
        <w:rPr>
          <w:rFonts w:hint="eastAsia" w:ascii="宋体" w:hAnsi="宋体" w:cs="宋体"/>
          <w:b/>
          <w:color w:val="auto"/>
          <w:sz w:val="36"/>
          <w:szCs w:val="36"/>
          <w:highlight w:val="none"/>
        </w:rPr>
        <w:t>第五部分 拟签订的合同文本</w:t>
      </w:r>
    </w:p>
    <w:p>
      <w:pPr>
        <w:shd w:val="clear"/>
        <w:spacing w:line="500" w:lineRule="exact"/>
        <w:rPr>
          <w:rFonts w:hAnsi="宋体"/>
          <w:b/>
          <w:color w:val="auto"/>
          <w:sz w:val="24"/>
          <w:szCs w:val="24"/>
          <w:highlight w:val="none"/>
        </w:rPr>
      </w:pPr>
      <w:r>
        <w:rPr>
          <w:rFonts w:hint="eastAsia" w:hAnsi="宋体"/>
          <w:b/>
          <w:color w:val="auto"/>
          <w:sz w:val="24"/>
          <w:szCs w:val="24"/>
          <w:highlight w:val="none"/>
        </w:rPr>
        <w:t>使用住房城乡建设部、国家工商行政管理总局制定的《建设工程施工合同（示范文本）》（GF-201</w:t>
      </w:r>
      <w:r>
        <w:rPr>
          <w:rFonts w:hAnsi="宋体"/>
          <w:b/>
          <w:color w:val="auto"/>
          <w:sz w:val="24"/>
          <w:szCs w:val="24"/>
          <w:highlight w:val="none"/>
        </w:rPr>
        <w:t>7</w:t>
      </w:r>
      <w:r>
        <w:rPr>
          <w:rFonts w:hint="eastAsia" w:hAnsi="宋体"/>
          <w:b/>
          <w:color w:val="auto"/>
          <w:sz w:val="24"/>
          <w:szCs w:val="24"/>
          <w:highlight w:val="none"/>
        </w:rPr>
        <w:t>-0201），其中专用条款使用杭州市城乡建设委员会、市工商行政管理局制定的2017年3月20日印发的《杭州市房屋建筑工程和市政基础设施工程施工合同专用条款(示范文本)》</w:t>
      </w:r>
    </w:p>
    <w:p>
      <w:pPr>
        <w:shd w:val="clear"/>
        <w:spacing w:line="500" w:lineRule="exact"/>
        <w:rPr>
          <w:rFonts w:hAnsi="宋体"/>
          <w:b/>
          <w:color w:val="auto"/>
          <w:sz w:val="21"/>
          <w:szCs w:val="21"/>
          <w:highlight w:val="none"/>
        </w:rPr>
        <w:sectPr>
          <w:headerReference r:id="rId8" w:type="default"/>
          <w:footerReference r:id="rId9" w:type="default"/>
          <w:pgSz w:w="11906" w:h="16838"/>
          <w:pgMar w:top="1418" w:right="1083" w:bottom="1418" w:left="1083" w:header="1134" w:footer="992" w:gutter="0"/>
          <w:cols w:space="720" w:num="1"/>
          <w:docGrid w:type="lines" w:linePitch="312" w:charSpace="0"/>
        </w:sectPr>
      </w:pPr>
    </w:p>
    <w:p>
      <w:pPr>
        <w:pStyle w:val="3"/>
        <w:shd w:val="clear"/>
        <w:rPr>
          <w:b/>
          <w:color w:val="auto"/>
          <w:sz w:val="32"/>
          <w:szCs w:val="32"/>
          <w:highlight w:val="none"/>
        </w:rPr>
      </w:pPr>
      <w:bookmarkStart w:id="401" w:name="_Toc69645078"/>
      <w:r>
        <w:rPr>
          <w:b/>
          <w:color w:val="auto"/>
          <w:sz w:val="32"/>
          <w:szCs w:val="32"/>
          <w:highlight w:val="none"/>
        </w:rPr>
        <w:t>第一部分 合同协议书</w:t>
      </w:r>
      <w:bookmarkEnd w:id="401"/>
    </w:p>
    <w:p>
      <w:pPr>
        <w:shd w:val="clear"/>
        <w:spacing w:line="400" w:lineRule="exact"/>
        <w:rPr>
          <w:rFonts w:hint="eastAsia" w:hAnsi="宋体"/>
          <w:b/>
          <w:color w:val="auto"/>
          <w:sz w:val="21"/>
          <w:szCs w:val="21"/>
          <w:highlight w:val="none"/>
        </w:rPr>
      </w:pPr>
    </w:p>
    <w:p>
      <w:pPr>
        <w:shd w:val="clear"/>
        <w:spacing w:line="400" w:lineRule="exact"/>
        <w:rPr>
          <w:rFonts w:hint="eastAsia" w:hAnsi="宋体"/>
          <w:b/>
          <w:color w:val="auto"/>
          <w:sz w:val="21"/>
          <w:szCs w:val="21"/>
          <w:highlight w:val="none"/>
          <w:u w:val="single"/>
        </w:rPr>
      </w:pPr>
      <w:r>
        <w:rPr>
          <w:rFonts w:hAnsi="宋体"/>
          <w:b/>
          <w:color w:val="auto"/>
          <w:sz w:val="21"/>
          <w:szCs w:val="21"/>
          <w:highlight w:val="none"/>
        </w:rPr>
        <w:t>发包人（全称）：</w:t>
      </w:r>
      <w:r>
        <w:rPr>
          <w:rFonts w:hint="eastAsia" w:hAnsi="宋体" w:cs="宋体"/>
          <w:b/>
          <w:color w:val="auto"/>
          <w:sz w:val="21"/>
          <w:szCs w:val="21"/>
          <w:highlight w:val="none"/>
          <w:u w:val="single"/>
        </w:rPr>
        <w:t xml:space="preserve">      </w:t>
      </w:r>
      <w:r>
        <w:rPr>
          <w:rFonts w:hint="eastAsia" w:hAnsi="宋体"/>
          <w:b/>
          <w:color w:val="auto"/>
          <w:sz w:val="21"/>
          <w:szCs w:val="21"/>
          <w:highlight w:val="none"/>
          <w:u w:val="single"/>
        </w:rPr>
        <w:t xml:space="preserve"> </w:t>
      </w:r>
      <w:r>
        <w:rPr>
          <w:rFonts w:hAnsi="宋体"/>
          <w:b/>
          <w:color w:val="auto"/>
          <w:sz w:val="21"/>
          <w:szCs w:val="21"/>
          <w:highlight w:val="none"/>
          <w:u w:val="single"/>
        </w:rPr>
        <w:t xml:space="preserve">    </w:t>
      </w:r>
      <w:r>
        <w:rPr>
          <w:rFonts w:hint="eastAsia" w:hAnsi="宋体"/>
          <w:b/>
          <w:color w:val="auto"/>
          <w:sz w:val="21"/>
          <w:szCs w:val="21"/>
          <w:highlight w:val="none"/>
          <w:u w:val="single"/>
        </w:rPr>
        <w:t xml:space="preserve"> </w:t>
      </w:r>
      <w:r>
        <w:rPr>
          <w:rFonts w:hAnsi="宋体"/>
          <w:b/>
          <w:color w:val="auto"/>
          <w:sz w:val="21"/>
          <w:szCs w:val="21"/>
          <w:highlight w:val="none"/>
          <w:u w:val="single"/>
        </w:rPr>
        <w:t xml:space="preserve">  </w:t>
      </w:r>
    </w:p>
    <w:p>
      <w:pPr>
        <w:shd w:val="clear"/>
        <w:spacing w:line="400" w:lineRule="exact"/>
        <w:rPr>
          <w:rFonts w:hAnsi="宋体"/>
          <w:b/>
          <w:color w:val="auto"/>
          <w:sz w:val="21"/>
          <w:szCs w:val="21"/>
          <w:highlight w:val="none"/>
          <w:u w:val="single"/>
        </w:rPr>
      </w:pPr>
      <w:r>
        <w:rPr>
          <w:rFonts w:hAnsi="宋体"/>
          <w:b/>
          <w:color w:val="auto"/>
          <w:sz w:val="21"/>
          <w:szCs w:val="21"/>
          <w:highlight w:val="none"/>
        </w:rPr>
        <w:t>承包人（全称）</w:t>
      </w:r>
      <w:r>
        <w:rPr>
          <w:rFonts w:hint="eastAsia" w:hAnsi="宋体" w:cs="宋体"/>
          <w:b/>
          <w:color w:val="auto"/>
          <w:sz w:val="21"/>
          <w:szCs w:val="21"/>
          <w:highlight w:val="none"/>
          <w:u w:val="single"/>
        </w:rPr>
        <w:t xml:space="preserve"> </w:t>
      </w:r>
      <w:r>
        <w:rPr>
          <w:rFonts w:hint="eastAsia" w:hAnsi="宋体"/>
          <w:b/>
          <w:color w:val="auto"/>
          <w:sz w:val="21"/>
          <w:szCs w:val="21"/>
          <w:highlight w:val="none"/>
          <w:u w:val="single"/>
        </w:rPr>
        <w:t xml:space="preserve"> </w:t>
      </w:r>
      <w:r>
        <w:rPr>
          <w:rFonts w:hAnsi="宋体"/>
          <w:b/>
          <w:color w:val="auto"/>
          <w:sz w:val="21"/>
          <w:szCs w:val="21"/>
          <w:highlight w:val="none"/>
          <w:u w:val="single"/>
        </w:rPr>
        <w:t xml:space="preserve">       </w:t>
      </w:r>
      <w:r>
        <w:rPr>
          <w:rFonts w:hint="eastAsia" w:hAnsi="宋体"/>
          <w:b/>
          <w:color w:val="auto"/>
          <w:sz w:val="21"/>
          <w:szCs w:val="21"/>
          <w:highlight w:val="none"/>
          <w:u w:val="single"/>
        </w:rPr>
        <w:t xml:space="preserve"> </w:t>
      </w:r>
      <w:r>
        <w:rPr>
          <w:rFonts w:hAnsi="宋体"/>
          <w:b/>
          <w:color w:val="auto"/>
          <w:sz w:val="21"/>
          <w:szCs w:val="21"/>
          <w:highlight w:val="none"/>
          <w:u w:val="single"/>
        </w:rPr>
        <w:t xml:space="preserve">  </w:t>
      </w:r>
    </w:p>
    <w:p>
      <w:pPr>
        <w:shd w:val="clear"/>
        <w:spacing w:line="400" w:lineRule="exact"/>
        <w:ind w:firstLine="420" w:firstLineChars="200"/>
        <w:rPr>
          <w:rFonts w:hAnsi="宋体"/>
          <w:color w:val="auto"/>
          <w:sz w:val="21"/>
          <w:szCs w:val="21"/>
          <w:highlight w:val="none"/>
        </w:rPr>
      </w:pPr>
      <w:r>
        <w:rPr>
          <w:rFonts w:hAnsi="宋体"/>
          <w:color w:val="auto"/>
          <w:sz w:val="21"/>
          <w:szCs w:val="21"/>
          <w:highlight w:val="none"/>
        </w:rPr>
        <w:t>根据《中华人民共和国民法典》、《中华人民共和国建筑法》及有关法律规定，遵循平等、自愿、公平和诚实信用的原则，双方就</w:t>
      </w:r>
      <w:r>
        <w:rPr>
          <w:rFonts w:hint="eastAsia" w:hAnsi="宋体"/>
          <w:color w:val="auto"/>
          <w:sz w:val="21"/>
          <w:szCs w:val="21"/>
          <w:highlight w:val="none"/>
          <w:u w:val="single"/>
          <w:lang w:eastAsia="zh-CN"/>
        </w:rPr>
        <w:t>刀茅巷(凤起路-东园街)道路整治工程</w:t>
      </w:r>
      <w:r>
        <w:rPr>
          <w:rFonts w:hAnsi="宋体"/>
          <w:color w:val="auto"/>
          <w:sz w:val="21"/>
          <w:szCs w:val="21"/>
          <w:highlight w:val="none"/>
        </w:rPr>
        <w:t>及有关事项协商一致</w:t>
      </w:r>
      <w:r>
        <w:rPr>
          <w:rFonts w:hint="eastAsia" w:hAnsi="宋体"/>
          <w:color w:val="auto"/>
          <w:sz w:val="21"/>
          <w:szCs w:val="21"/>
          <w:highlight w:val="none"/>
        </w:rPr>
        <w:t>，</w:t>
      </w:r>
      <w:r>
        <w:rPr>
          <w:rFonts w:hAnsi="宋体"/>
          <w:color w:val="auto"/>
          <w:sz w:val="21"/>
          <w:szCs w:val="21"/>
          <w:highlight w:val="none"/>
        </w:rPr>
        <w:t>共同达成如下协议：</w:t>
      </w:r>
    </w:p>
    <w:p>
      <w:pPr>
        <w:shd w:val="clear"/>
        <w:spacing w:line="400" w:lineRule="exact"/>
        <w:rPr>
          <w:rFonts w:hAnsi="宋体"/>
          <w:bCs/>
          <w:color w:val="auto"/>
          <w:sz w:val="21"/>
          <w:szCs w:val="21"/>
          <w:highlight w:val="none"/>
        </w:rPr>
      </w:pPr>
      <w:r>
        <w:rPr>
          <w:rFonts w:hAnsi="宋体"/>
          <w:bCs/>
          <w:color w:val="auto"/>
          <w:sz w:val="21"/>
          <w:szCs w:val="21"/>
          <w:highlight w:val="none"/>
        </w:rPr>
        <w:t xml:space="preserve">   </w:t>
      </w:r>
      <w:r>
        <w:rPr>
          <w:rFonts w:hAnsi="宋体"/>
          <w:b/>
          <w:color w:val="auto"/>
          <w:sz w:val="21"/>
          <w:szCs w:val="21"/>
          <w:highlight w:val="none"/>
        </w:rPr>
        <w:t xml:space="preserve"> </w:t>
      </w:r>
      <w:bookmarkStart w:id="402" w:name="_Toc351203481"/>
      <w:r>
        <w:rPr>
          <w:rFonts w:hAnsi="宋体"/>
          <w:b/>
          <w:color w:val="auto"/>
          <w:sz w:val="21"/>
          <w:szCs w:val="21"/>
          <w:highlight w:val="none"/>
        </w:rPr>
        <w:t>一、工程概况</w:t>
      </w:r>
      <w:bookmarkEnd w:id="402"/>
    </w:p>
    <w:p>
      <w:pPr>
        <w:shd w:val="clear"/>
        <w:spacing w:line="400" w:lineRule="exact"/>
        <w:ind w:firstLine="411" w:firstLineChars="196"/>
        <w:rPr>
          <w:rFonts w:hint="eastAsia" w:hAnsi="宋体" w:eastAsia="宋体"/>
          <w:color w:val="auto"/>
          <w:sz w:val="21"/>
          <w:szCs w:val="21"/>
          <w:highlight w:val="none"/>
          <w:u w:val="single"/>
          <w:lang w:eastAsia="zh-CN"/>
        </w:rPr>
      </w:pPr>
      <w:r>
        <w:rPr>
          <w:rFonts w:hAnsi="宋体"/>
          <w:bCs/>
          <w:color w:val="auto"/>
          <w:sz w:val="21"/>
          <w:szCs w:val="21"/>
          <w:highlight w:val="none"/>
        </w:rPr>
        <w:t>1.工程名称</w:t>
      </w:r>
      <w:r>
        <w:rPr>
          <w:rFonts w:hAnsi="宋体"/>
          <w:color w:val="auto"/>
          <w:sz w:val="21"/>
          <w:szCs w:val="21"/>
          <w:highlight w:val="none"/>
        </w:rPr>
        <w:t>：</w:t>
      </w:r>
      <w:r>
        <w:rPr>
          <w:rFonts w:hint="eastAsia" w:hAnsi="宋体"/>
          <w:color w:val="auto"/>
          <w:sz w:val="21"/>
          <w:szCs w:val="21"/>
          <w:highlight w:val="none"/>
          <w:u w:val="single"/>
          <w:lang w:eastAsia="zh-CN"/>
        </w:rPr>
        <w:t>刀茅巷(凤起路-东园街)道路整治工程</w:t>
      </w:r>
    </w:p>
    <w:p>
      <w:pPr>
        <w:shd w:val="clear"/>
        <w:spacing w:line="400" w:lineRule="exact"/>
        <w:ind w:firstLine="411" w:firstLineChars="196"/>
        <w:rPr>
          <w:rFonts w:hint="eastAsia" w:hAnsi="宋体" w:cs="宋体"/>
          <w:color w:val="auto"/>
          <w:sz w:val="21"/>
          <w:szCs w:val="21"/>
          <w:highlight w:val="none"/>
          <w:u w:val="single"/>
        </w:rPr>
      </w:pPr>
      <w:r>
        <w:rPr>
          <w:rFonts w:hAnsi="宋体"/>
          <w:bCs/>
          <w:color w:val="auto"/>
          <w:sz w:val="21"/>
          <w:szCs w:val="21"/>
          <w:highlight w:val="none"/>
        </w:rPr>
        <w:t>2.工程地点：</w:t>
      </w:r>
      <w:r>
        <w:rPr>
          <w:rFonts w:hint="eastAsia"/>
          <w:color w:val="auto"/>
          <w:sz w:val="21"/>
          <w:szCs w:val="21"/>
          <w:highlight w:val="none"/>
          <w:u w:val="single"/>
        </w:rPr>
        <w:t>杭州市拱墅区</w:t>
      </w:r>
    </w:p>
    <w:p>
      <w:pPr>
        <w:shd w:val="clear"/>
        <w:spacing w:line="400" w:lineRule="exact"/>
        <w:ind w:firstLine="411" w:firstLineChars="196"/>
        <w:rPr>
          <w:rFonts w:hint="eastAsia" w:hAnsi="宋体" w:cs="仿宋_GB2312"/>
          <w:bCs/>
          <w:color w:val="auto"/>
          <w:sz w:val="21"/>
          <w:szCs w:val="21"/>
          <w:highlight w:val="none"/>
        </w:rPr>
      </w:pPr>
      <w:r>
        <w:rPr>
          <w:rFonts w:hAnsi="宋体"/>
          <w:bCs/>
          <w:color w:val="auto"/>
          <w:sz w:val="21"/>
          <w:szCs w:val="21"/>
          <w:highlight w:val="none"/>
        </w:rPr>
        <w:t>3.工程立项批准文号：</w:t>
      </w:r>
      <w:r>
        <w:rPr>
          <w:rFonts w:hint="eastAsia" w:hAnsi="宋体" w:cs="仿宋_GB2312"/>
          <w:color w:val="auto"/>
          <w:sz w:val="21"/>
          <w:szCs w:val="21"/>
          <w:highlight w:val="none"/>
          <w:u w:val="single"/>
        </w:rPr>
        <w:t xml:space="preserve"> /        </w:t>
      </w:r>
      <w:r>
        <w:rPr>
          <w:rFonts w:hint="eastAsia" w:hAnsi="宋体" w:cs="仿宋_GB2312"/>
          <w:bCs/>
          <w:color w:val="auto"/>
          <w:sz w:val="21"/>
          <w:szCs w:val="21"/>
          <w:highlight w:val="none"/>
        </w:rPr>
        <w:t>。</w:t>
      </w:r>
    </w:p>
    <w:p>
      <w:pPr>
        <w:shd w:val="clear"/>
        <w:spacing w:line="400" w:lineRule="exact"/>
        <w:ind w:firstLine="411" w:firstLineChars="196"/>
        <w:rPr>
          <w:rFonts w:hint="eastAsia" w:hAnsi="宋体"/>
          <w:b w:val="0"/>
          <w:bCs/>
          <w:color w:val="auto"/>
          <w:sz w:val="21"/>
          <w:szCs w:val="21"/>
          <w:highlight w:val="none"/>
        </w:rPr>
      </w:pPr>
      <w:r>
        <w:rPr>
          <w:rFonts w:hAnsi="宋体"/>
          <w:bCs/>
          <w:color w:val="auto"/>
          <w:sz w:val="21"/>
          <w:szCs w:val="21"/>
          <w:highlight w:val="none"/>
        </w:rPr>
        <w:t>4.资金来源：</w:t>
      </w:r>
      <w:r>
        <w:rPr>
          <w:rFonts w:hint="eastAsia" w:hAnsi="宋体" w:cs="仿宋_GB2312"/>
          <w:b w:val="0"/>
          <w:bCs/>
          <w:color w:val="auto"/>
          <w:sz w:val="21"/>
          <w:szCs w:val="21"/>
          <w:highlight w:val="none"/>
          <w:u w:val="single"/>
          <w:lang w:val="en-US" w:eastAsia="zh-CN"/>
        </w:rPr>
        <w:t>财政资金</w:t>
      </w:r>
      <w:r>
        <w:rPr>
          <w:rFonts w:hAnsi="宋体"/>
          <w:b w:val="0"/>
          <w:bCs/>
          <w:color w:val="auto"/>
          <w:sz w:val="21"/>
          <w:szCs w:val="21"/>
          <w:highlight w:val="none"/>
        </w:rPr>
        <w:t>。</w:t>
      </w:r>
    </w:p>
    <w:p>
      <w:pPr>
        <w:shd w:val="clear"/>
        <w:spacing w:line="400" w:lineRule="exact"/>
        <w:ind w:firstLine="411" w:firstLineChars="196"/>
        <w:rPr>
          <w:rFonts w:hint="eastAsia" w:hAnsi="宋体" w:cs="Arial"/>
          <w:b w:val="0"/>
          <w:bCs/>
          <w:i/>
          <w:color w:val="auto"/>
          <w:sz w:val="21"/>
          <w:szCs w:val="21"/>
          <w:highlight w:val="none"/>
          <w:u w:val="single"/>
        </w:rPr>
      </w:pPr>
      <w:r>
        <w:rPr>
          <w:rFonts w:hint="eastAsia" w:hAnsi="宋体"/>
          <w:b w:val="0"/>
          <w:bCs/>
          <w:color w:val="auto"/>
          <w:sz w:val="21"/>
          <w:szCs w:val="21"/>
          <w:highlight w:val="none"/>
        </w:rPr>
        <w:t>5.工程内容：</w:t>
      </w:r>
      <w:r>
        <w:rPr>
          <w:rFonts w:hint="eastAsia" w:hAnsi="宋体" w:cs="宋体"/>
          <w:b w:val="0"/>
          <w:bCs/>
          <w:color w:val="auto"/>
          <w:sz w:val="21"/>
          <w:szCs w:val="21"/>
          <w:highlight w:val="none"/>
          <w:u w:val="single"/>
          <w:lang w:bidi="ar"/>
        </w:rPr>
        <w:t>具体内容详见工程量清单及施工图纸</w:t>
      </w:r>
      <w:r>
        <w:rPr>
          <w:rFonts w:hint="eastAsia" w:hAnsi="宋体" w:cs="宋体"/>
          <w:b w:val="0"/>
          <w:bCs/>
          <w:color w:val="auto"/>
          <w:sz w:val="21"/>
          <w:szCs w:val="21"/>
          <w:highlight w:val="none"/>
          <w:lang w:bidi="ar"/>
        </w:rPr>
        <w:t>。</w:t>
      </w:r>
    </w:p>
    <w:p>
      <w:pPr>
        <w:pStyle w:val="34"/>
        <w:shd w:val="clear"/>
        <w:spacing w:line="360" w:lineRule="exact"/>
        <w:ind w:firstLine="420" w:firstLineChars="200"/>
        <w:rPr>
          <w:rFonts w:hint="eastAsia"/>
          <w:color w:val="auto"/>
          <w:highlight w:val="none"/>
          <w:u w:val="single"/>
        </w:rPr>
      </w:pPr>
      <w:r>
        <w:rPr>
          <w:rFonts w:hint="eastAsia"/>
          <w:bCs/>
          <w:color w:val="auto"/>
          <w:highlight w:val="none"/>
        </w:rPr>
        <w:t>6</w:t>
      </w:r>
      <w:r>
        <w:rPr>
          <w:bCs/>
          <w:color w:val="auto"/>
          <w:highlight w:val="none"/>
        </w:rPr>
        <w:t>.工程承包范围：</w:t>
      </w:r>
      <w:r>
        <w:rPr>
          <w:rFonts w:hint="eastAsia" w:hAnsi="宋体" w:cs="宋体"/>
          <w:color w:val="auto"/>
          <w:kern w:val="0"/>
          <w:highlight w:val="none"/>
          <w:u w:val="single"/>
        </w:rPr>
        <w:t xml:space="preserve">    </w:t>
      </w:r>
      <w:r>
        <w:rPr>
          <w:rFonts w:hint="eastAsia"/>
          <w:color w:val="auto"/>
          <w:highlight w:val="none"/>
          <w:u w:val="single"/>
        </w:rPr>
        <w:t xml:space="preserve"> </w:t>
      </w:r>
    </w:p>
    <w:p>
      <w:pPr>
        <w:shd w:val="clear"/>
        <w:spacing w:line="400" w:lineRule="exact"/>
        <w:rPr>
          <w:rFonts w:hAnsi="宋体"/>
          <w:b/>
          <w:bCs/>
          <w:color w:val="auto"/>
          <w:sz w:val="21"/>
          <w:szCs w:val="21"/>
          <w:highlight w:val="none"/>
        </w:rPr>
      </w:pPr>
      <w:r>
        <w:rPr>
          <w:rFonts w:hAnsi="宋体"/>
          <w:b/>
          <w:bCs/>
          <w:color w:val="auto"/>
          <w:sz w:val="21"/>
          <w:szCs w:val="21"/>
          <w:highlight w:val="none"/>
        </w:rPr>
        <w:t xml:space="preserve"> </w:t>
      </w:r>
      <w:bookmarkStart w:id="403" w:name="_Toc351203482"/>
      <w:r>
        <w:rPr>
          <w:rFonts w:hint="eastAsia" w:hAnsi="宋体"/>
          <w:b/>
          <w:bCs/>
          <w:color w:val="auto"/>
          <w:sz w:val="21"/>
          <w:szCs w:val="21"/>
          <w:highlight w:val="none"/>
        </w:rPr>
        <w:t xml:space="preserve">    </w:t>
      </w:r>
      <w:r>
        <w:rPr>
          <w:rFonts w:hAnsi="宋体"/>
          <w:b/>
          <w:bCs/>
          <w:color w:val="auto"/>
          <w:sz w:val="21"/>
          <w:szCs w:val="21"/>
          <w:highlight w:val="none"/>
        </w:rPr>
        <w:t>二、合同工期</w:t>
      </w:r>
      <w:bookmarkEnd w:id="403"/>
    </w:p>
    <w:p>
      <w:pPr>
        <w:shd w:val="clear"/>
        <w:spacing w:line="400" w:lineRule="exact"/>
        <w:ind w:left="456" w:leftChars="217"/>
        <w:rPr>
          <w:rFonts w:hAnsi="宋体" w:cs="仿宋_GB2312"/>
          <w:b/>
          <w:color w:val="auto"/>
          <w:sz w:val="21"/>
          <w:szCs w:val="21"/>
          <w:highlight w:val="none"/>
          <w:u w:val="single"/>
        </w:rPr>
      </w:pPr>
      <w:r>
        <w:rPr>
          <w:rFonts w:hAnsi="宋体"/>
          <w:color w:val="auto"/>
          <w:sz w:val="21"/>
          <w:szCs w:val="21"/>
          <w:highlight w:val="none"/>
        </w:rPr>
        <w:t>计划开工日期：</w:t>
      </w:r>
      <w:r>
        <w:rPr>
          <w:rFonts w:hint="eastAsia" w:hAnsi="宋体" w:cs="仿宋_GB2312"/>
          <w:b w:val="0"/>
          <w:bCs/>
          <w:color w:val="auto"/>
          <w:sz w:val="21"/>
          <w:szCs w:val="21"/>
          <w:highlight w:val="none"/>
          <w:u w:val="single"/>
        </w:rPr>
        <w:t>暂定20</w:t>
      </w:r>
      <w:r>
        <w:rPr>
          <w:rFonts w:hint="eastAsia" w:hAnsi="宋体" w:cs="仿宋_GB2312"/>
          <w:b w:val="0"/>
          <w:bCs/>
          <w:color w:val="auto"/>
          <w:sz w:val="21"/>
          <w:szCs w:val="21"/>
          <w:highlight w:val="none"/>
          <w:u w:val="single"/>
          <w:lang w:val="en-US" w:eastAsia="zh-CN"/>
        </w:rPr>
        <w:t xml:space="preserve">  </w:t>
      </w:r>
      <w:r>
        <w:rPr>
          <w:rFonts w:hint="eastAsia" w:hAnsi="宋体" w:cs="仿宋_GB2312"/>
          <w:b w:val="0"/>
          <w:bCs/>
          <w:color w:val="auto"/>
          <w:sz w:val="21"/>
          <w:szCs w:val="21"/>
          <w:highlight w:val="none"/>
          <w:u w:val="single"/>
        </w:rPr>
        <w:t xml:space="preserve">年  月  日     </w:t>
      </w:r>
      <w:r>
        <w:rPr>
          <w:rFonts w:hint="eastAsia" w:hAnsi="宋体" w:cs="仿宋_GB2312"/>
          <w:b w:val="0"/>
          <w:bCs/>
          <w:color w:val="auto"/>
          <w:sz w:val="21"/>
          <w:szCs w:val="21"/>
          <w:highlight w:val="none"/>
          <w:u w:val="none"/>
        </w:rPr>
        <w:t>。</w:t>
      </w:r>
      <w:r>
        <w:rPr>
          <w:rFonts w:hint="eastAsia" w:hAnsi="宋体"/>
          <w:b w:val="0"/>
          <w:bCs/>
          <w:color w:val="auto"/>
          <w:sz w:val="21"/>
          <w:szCs w:val="21"/>
          <w:highlight w:val="none"/>
        </w:rPr>
        <w:br w:type="textWrapping"/>
      </w:r>
      <w:r>
        <w:rPr>
          <w:rFonts w:hAnsi="宋体"/>
          <w:b w:val="0"/>
          <w:bCs/>
          <w:color w:val="auto"/>
          <w:sz w:val="21"/>
          <w:szCs w:val="21"/>
          <w:highlight w:val="none"/>
        </w:rPr>
        <w:t>计划竣工日期：</w:t>
      </w:r>
      <w:r>
        <w:rPr>
          <w:rFonts w:hint="eastAsia" w:hAnsi="宋体" w:cs="仿宋_GB2312"/>
          <w:b w:val="0"/>
          <w:bCs/>
          <w:color w:val="auto"/>
          <w:sz w:val="21"/>
          <w:szCs w:val="21"/>
          <w:highlight w:val="none"/>
          <w:u w:val="single"/>
        </w:rPr>
        <w:t>暂定20</w:t>
      </w:r>
      <w:r>
        <w:rPr>
          <w:rFonts w:hint="eastAsia" w:hAnsi="宋体" w:cs="仿宋_GB2312"/>
          <w:b w:val="0"/>
          <w:bCs/>
          <w:color w:val="auto"/>
          <w:sz w:val="21"/>
          <w:szCs w:val="21"/>
          <w:highlight w:val="none"/>
          <w:u w:val="single"/>
          <w:lang w:val="en-US" w:eastAsia="zh-CN"/>
        </w:rPr>
        <w:t xml:space="preserve">  </w:t>
      </w:r>
      <w:r>
        <w:rPr>
          <w:rFonts w:hint="eastAsia" w:hAnsi="宋体" w:cs="仿宋_GB2312"/>
          <w:b w:val="0"/>
          <w:bCs/>
          <w:color w:val="auto"/>
          <w:sz w:val="21"/>
          <w:szCs w:val="21"/>
          <w:highlight w:val="none"/>
          <w:u w:val="single"/>
        </w:rPr>
        <w:t xml:space="preserve">年  月  日     </w:t>
      </w:r>
      <w:r>
        <w:rPr>
          <w:rFonts w:hint="eastAsia" w:hAnsi="宋体" w:cs="仿宋_GB2312"/>
          <w:b w:val="0"/>
          <w:bCs/>
          <w:color w:val="auto"/>
          <w:sz w:val="21"/>
          <w:szCs w:val="21"/>
          <w:highlight w:val="none"/>
          <w:u w:val="none"/>
        </w:rPr>
        <w:t>。</w:t>
      </w:r>
    </w:p>
    <w:p>
      <w:pPr>
        <w:shd w:val="clear"/>
        <w:spacing w:line="400" w:lineRule="exact"/>
        <w:ind w:firstLine="459"/>
        <w:rPr>
          <w:rFonts w:hAnsi="宋体"/>
          <w:color w:val="auto"/>
          <w:sz w:val="21"/>
          <w:szCs w:val="21"/>
          <w:highlight w:val="none"/>
        </w:rPr>
      </w:pPr>
      <w:r>
        <w:rPr>
          <w:rFonts w:hAnsi="宋体"/>
          <w:color w:val="auto"/>
          <w:sz w:val="21"/>
          <w:szCs w:val="21"/>
          <w:highlight w:val="none"/>
        </w:rPr>
        <w:t>工期总日历天数：</w:t>
      </w:r>
      <w:r>
        <w:rPr>
          <w:rFonts w:hint="eastAsia" w:hAnsi="宋体" w:cs="MingLiU_HKSCS"/>
          <w:color w:val="auto"/>
          <w:sz w:val="21"/>
          <w:szCs w:val="21"/>
          <w:highlight w:val="none"/>
          <w:u w:val="single"/>
          <w:lang w:val="en-US" w:eastAsia="zh-CN"/>
        </w:rPr>
        <w:t>150</w:t>
      </w:r>
      <w:r>
        <w:rPr>
          <w:rFonts w:hAnsi="宋体"/>
          <w:color w:val="auto"/>
          <w:sz w:val="21"/>
          <w:szCs w:val="21"/>
          <w:highlight w:val="none"/>
        </w:rPr>
        <w:t>天。工期总日历天数与根据前述计划开竣工日期计算的工期天数不一致的，以工期总日历天数为准。</w:t>
      </w:r>
    </w:p>
    <w:p>
      <w:pPr>
        <w:shd w:val="clear"/>
        <w:spacing w:line="400" w:lineRule="exact"/>
        <w:rPr>
          <w:rFonts w:hAnsi="宋体"/>
          <w:b/>
          <w:bCs/>
          <w:color w:val="auto"/>
          <w:sz w:val="21"/>
          <w:szCs w:val="21"/>
          <w:highlight w:val="none"/>
        </w:rPr>
      </w:pPr>
      <w:r>
        <w:rPr>
          <w:rFonts w:hAnsi="宋体"/>
          <w:b/>
          <w:bCs/>
          <w:color w:val="auto"/>
          <w:sz w:val="21"/>
          <w:szCs w:val="21"/>
          <w:highlight w:val="none"/>
        </w:rPr>
        <w:t xml:space="preserve">    </w:t>
      </w:r>
      <w:bookmarkStart w:id="404" w:name="_Toc351203483"/>
      <w:r>
        <w:rPr>
          <w:rFonts w:hAnsi="宋体"/>
          <w:b/>
          <w:bCs/>
          <w:color w:val="auto"/>
          <w:sz w:val="21"/>
          <w:szCs w:val="21"/>
          <w:highlight w:val="none"/>
        </w:rPr>
        <w:t>三、质量标准</w:t>
      </w:r>
      <w:bookmarkEnd w:id="404"/>
    </w:p>
    <w:p>
      <w:pPr>
        <w:shd w:val="clear"/>
        <w:spacing w:line="400" w:lineRule="exact"/>
        <w:ind w:firstLine="459"/>
        <w:rPr>
          <w:rFonts w:hAnsi="宋体"/>
          <w:color w:val="auto"/>
          <w:sz w:val="21"/>
          <w:szCs w:val="21"/>
          <w:highlight w:val="none"/>
        </w:rPr>
      </w:pPr>
      <w:r>
        <w:rPr>
          <w:rFonts w:hAnsi="宋体"/>
          <w:color w:val="auto"/>
          <w:sz w:val="21"/>
          <w:szCs w:val="21"/>
          <w:highlight w:val="none"/>
        </w:rPr>
        <w:t>工程质量符合</w:t>
      </w:r>
      <w:r>
        <w:rPr>
          <w:rFonts w:hint="eastAsia" w:hAnsi="宋体"/>
          <w:color w:val="auto"/>
          <w:sz w:val="21"/>
          <w:szCs w:val="21"/>
          <w:highlight w:val="none"/>
          <w:u w:val="single"/>
        </w:rPr>
        <w:t xml:space="preserve">          </w:t>
      </w:r>
      <w:r>
        <w:rPr>
          <w:rFonts w:hAnsi="宋体"/>
          <w:color w:val="auto"/>
          <w:sz w:val="21"/>
          <w:szCs w:val="21"/>
          <w:highlight w:val="none"/>
        </w:rPr>
        <w:t>标准。</w:t>
      </w:r>
    </w:p>
    <w:p>
      <w:pPr>
        <w:shd w:val="clear"/>
        <w:spacing w:line="400" w:lineRule="exact"/>
        <w:rPr>
          <w:rFonts w:hAnsi="宋体"/>
          <w:b/>
          <w:bCs/>
          <w:color w:val="auto"/>
          <w:sz w:val="21"/>
          <w:szCs w:val="21"/>
          <w:highlight w:val="none"/>
        </w:rPr>
      </w:pPr>
      <w:r>
        <w:rPr>
          <w:rFonts w:hAnsi="宋体"/>
          <w:b/>
          <w:bCs/>
          <w:color w:val="auto"/>
          <w:sz w:val="21"/>
          <w:szCs w:val="21"/>
          <w:highlight w:val="none"/>
        </w:rPr>
        <w:t xml:space="preserve">    </w:t>
      </w:r>
      <w:bookmarkStart w:id="405" w:name="_Toc351203484"/>
      <w:r>
        <w:rPr>
          <w:rFonts w:hAnsi="宋体"/>
          <w:b/>
          <w:bCs/>
          <w:color w:val="auto"/>
          <w:sz w:val="21"/>
          <w:szCs w:val="21"/>
          <w:highlight w:val="none"/>
        </w:rPr>
        <w:t>四、签约合同价与合同价格形式</w:t>
      </w:r>
      <w:bookmarkEnd w:id="405"/>
      <w:r>
        <w:rPr>
          <w:rFonts w:hAnsi="宋体"/>
          <w:b/>
          <w:bCs/>
          <w:color w:val="auto"/>
          <w:sz w:val="21"/>
          <w:szCs w:val="21"/>
          <w:highlight w:val="none"/>
        </w:rPr>
        <w:tab/>
      </w:r>
    </w:p>
    <w:p>
      <w:pPr>
        <w:shd w:val="clear"/>
        <w:spacing w:line="400" w:lineRule="exact"/>
        <w:ind w:firstLine="420" w:firstLineChars="200"/>
        <w:rPr>
          <w:rFonts w:hAnsi="宋体"/>
          <w:color w:val="auto"/>
          <w:sz w:val="21"/>
          <w:szCs w:val="21"/>
          <w:highlight w:val="none"/>
        </w:rPr>
      </w:pPr>
      <w:r>
        <w:rPr>
          <w:rFonts w:hAnsi="宋体"/>
          <w:color w:val="auto"/>
          <w:sz w:val="21"/>
          <w:szCs w:val="21"/>
          <w:highlight w:val="none"/>
        </w:rPr>
        <w:t>1.签约合同价为：</w:t>
      </w:r>
    </w:p>
    <w:p>
      <w:pPr>
        <w:shd w:val="clear"/>
        <w:spacing w:line="400" w:lineRule="exact"/>
        <w:ind w:firstLine="525" w:firstLineChars="250"/>
        <w:rPr>
          <w:rFonts w:hAnsi="宋体"/>
          <w:color w:val="auto"/>
          <w:sz w:val="21"/>
          <w:szCs w:val="21"/>
          <w:highlight w:val="none"/>
        </w:rPr>
      </w:pPr>
      <w:r>
        <w:rPr>
          <w:rFonts w:hAnsi="宋体"/>
          <w:color w:val="auto"/>
          <w:sz w:val="21"/>
          <w:szCs w:val="21"/>
          <w:highlight w:val="none"/>
        </w:rPr>
        <w:t>人民币（大写）</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元)；</w:t>
      </w:r>
    </w:p>
    <w:p>
      <w:pPr>
        <w:shd w:val="clear"/>
        <w:spacing w:line="400" w:lineRule="exact"/>
        <w:ind w:firstLine="420" w:firstLineChars="200"/>
        <w:rPr>
          <w:rFonts w:hAnsi="宋体"/>
          <w:color w:val="auto"/>
          <w:sz w:val="21"/>
          <w:szCs w:val="21"/>
          <w:highlight w:val="none"/>
        </w:rPr>
      </w:pPr>
      <w:r>
        <w:rPr>
          <w:rFonts w:hAnsi="宋体"/>
          <w:color w:val="auto"/>
          <w:sz w:val="21"/>
          <w:szCs w:val="21"/>
          <w:highlight w:val="none"/>
        </w:rPr>
        <w:t>2.合同价格形式：</w:t>
      </w:r>
      <w:r>
        <w:rPr>
          <w:rFonts w:hint="eastAsia" w:hAnsi="宋体" w:cs="仿宋_GB2312"/>
          <w:b/>
          <w:color w:val="auto"/>
          <w:sz w:val="21"/>
          <w:szCs w:val="21"/>
          <w:highlight w:val="none"/>
          <w:u w:val="single"/>
        </w:rPr>
        <w:t>单价合同</w:t>
      </w:r>
      <w:r>
        <w:rPr>
          <w:rFonts w:hAnsi="宋体"/>
          <w:color w:val="auto"/>
          <w:sz w:val="21"/>
          <w:szCs w:val="21"/>
          <w:highlight w:val="none"/>
        </w:rPr>
        <w:t>。</w:t>
      </w:r>
    </w:p>
    <w:p>
      <w:pPr>
        <w:shd w:val="clear"/>
        <w:spacing w:line="400" w:lineRule="exact"/>
        <w:rPr>
          <w:rFonts w:hAnsi="宋体"/>
          <w:b/>
          <w:bCs/>
          <w:color w:val="auto"/>
          <w:sz w:val="21"/>
          <w:szCs w:val="21"/>
          <w:highlight w:val="none"/>
        </w:rPr>
      </w:pPr>
      <w:r>
        <w:rPr>
          <w:rFonts w:hAnsi="宋体"/>
          <w:b/>
          <w:bCs/>
          <w:color w:val="auto"/>
          <w:sz w:val="21"/>
          <w:szCs w:val="21"/>
          <w:highlight w:val="none"/>
        </w:rPr>
        <w:t xml:space="preserve">    </w:t>
      </w:r>
      <w:bookmarkStart w:id="406" w:name="_Toc351203485"/>
      <w:r>
        <w:rPr>
          <w:rFonts w:hAnsi="宋体"/>
          <w:b/>
          <w:bCs/>
          <w:color w:val="auto"/>
          <w:sz w:val="21"/>
          <w:szCs w:val="21"/>
          <w:highlight w:val="none"/>
        </w:rPr>
        <w:t>五、</w:t>
      </w:r>
      <w:bookmarkEnd w:id="406"/>
      <w:r>
        <w:rPr>
          <w:rFonts w:hAnsi="宋体"/>
          <w:b/>
          <w:bCs/>
          <w:color w:val="auto"/>
          <w:sz w:val="21"/>
          <w:szCs w:val="21"/>
          <w:highlight w:val="none"/>
        </w:rPr>
        <w:t>项目经理</w:t>
      </w:r>
    </w:p>
    <w:p>
      <w:pPr>
        <w:shd w:val="clear"/>
        <w:spacing w:line="400" w:lineRule="exact"/>
        <w:ind w:firstLine="420" w:firstLineChars="200"/>
        <w:rPr>
          <w:rFonts w:hAnsi="宋体"/>
          <w:color w:val="auto"/>
          <w:sz w:val="21"/>
          <w:szCs w:val="21"/>
          <w:highlight w:val="none"/>
        </w:rPr>
      </w:pPr>
      <w:r>
        <w:rPr>
          <w:rFonts w:hAnsi="宋体"/>
          <w:color w:val="auto"/>
          <w:sz w:val="21"/>
          <w:szCs w:val="21"/>
          <w:highlight w:val="none"/>
        </w:rPr>
        <w:t>承包人项目经理：</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rPr>
        <w:t>。</w:t>
      </w:r>
    </w:p>
    <w:p>
      <w:pPr>
        <w:shd w:val="clear"/>
        <w:spacing w:line="400" w:lineRule="exact"/>
        <w:rPr>
          <w:rFonts w:hAnsi="宋体"/>
          <w:b/>
          <w:bCs/>
          <w:color w:val="auto"/>
          <w:sz w:val="21"/>
          <w:szCs w:val="21"/>
          <w:highlight w:val="none"/>
        </w:rPr>
      </w:pPr>
      <w:r>
        <w:rPr>
          <w:rFonts w:hAnsi="宋体"/>
          <w:b/>
          <w:bCs/>
          <w:color w:val="auto"/>
          <w:sz w:val="21"/>
          <w:szCs w:val="21"/>
          <w:highlight w:val="none"/>
        </w:rPr>
        <w:t xml:space="preserve">    </w:t>
      </w:r>
      <w:bookmarkStart w:id="407" w:name="_Toc351203486"/>
      <w:r>
        <w:rPr>
          <w:rFonts w:hAnsi="宋体"/>
          <w:b/>
          <w:bCs/>
          <w:color w:val="auto"/>
          <w:sz w:val="21"/>
          <w:szCs w:val="21"/>
          <w:highlight w:val="none"/>
        </w:rPr>
        <w:t>六、合同文件构成</w:t>
      </w:r>
      <w:bookmarkEnd w:id="407"/>
    </w:p>
    <w:p>
      <w:pPr>
        <w:shd w:val="clear"/>
        <w:spacing w:line="400" w:lineRule="exact"/>
        <w:ind w:firstLine="420" w:firstLineChars="200"/>
        <w:rPr>
          <w:rFonts w:hAnsi="宋体"/>
          <w:bCs/>
          <w:color w:val="auto"/>
          <w:sz w:val="21"/>
          <w:szCs w:val="21"/>
          <w:highlight w:val="none"/>
        </w:rPr>
      </w:pPr>
      <w:r>
        <w:rPr>
          <w:rFonts w:hAnsi="宋体"/>
          <w:bCs/>
          <w:color w:val="auto"/>
          <w:sz w:val="21"/>
          <w:szCs w:val="21"/>
          <w:highlight w:val="none"/>
        </w:rPr>
        <w:t>本协议书与下列文件一起构成合同文件：</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（1）中标通知书（如果有）；</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 xml:space="preserve">（2）投标函及其附录（如果有）； </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（3）专用合同条款及其附件；</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（4）通用合同条款；</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（5）技术标准和要求；</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（6）图纸；</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（7）已标价工程量清单或预算书；</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（8）其他合同文件。</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在合同订立及履行过程中形成的与合同有关的文件均构成合同文件组成部分。</w:t>
      </w:r>
    </w:p>
    <w:p>
      <w:pPr>
        <w:shd w:val="clear"/>
        <w:autoSpaceDE w:val="0"/>
        <w:autoSpaceDN w:val="0"/>
        <w:adjustRightInd w:val="0"/>
        <w:spacing w:line="400" w:lineRule="exact"/>
        <w:ind w:firstLine="420" w:firstLineChars="200"/>
        <w:jc w:val="left"/>
        <w:rPr>
          <w:rFonts w:hAnsi="宋体"/>
          <w:color w:val="auto"/>
          <w:sz w:val="21"/>
          <w:szCs w:val="21"/>
          <w:highlight w:val="none"/>
        </w:rPr>
      </w:pPr>
      <w:r>
        <w:rPr>
          <w:rFonts w:hAnsi="宋体"/>
          <w:color w:val="auto"/>
          <w:sz w:val="21"/>
          <w:szCs w:val="21"/>
          <w:highlight w:val="none"/>
        </w:rPr>
        <w:t>上述各项合同文件包括合同当事人就该项合同文件所作出的补充和修改，属于同一类内容的文件，应以最新签署的为准。</w:t>
      </w:r>
      <w:r>
        <w:rPr>
          <w:rFonts w:hint="eastAsia" w:hAnsi="宋体"/>
          <w:color w:val="auto"/>
          <w:sz w:val="21"/>
          <w:szCs w:val="21"/>
          <w:highlight w:val="none"/>
        </w:rPr>
        <w:t>专用合同条款及其附件须经合同当事人签字或盖章。</w:t>
      </w:r>
    </w:p>
    <w:p>
      <w:pPr>
        <w:shd w:val="clear"/>
        <w:spacing w:line="400" w:lineRule="exact"/>
        <w:rPr>
          <w:rFonts w:hAnsi="宋体"/>
          <w:b/>
          <w:bCs/>
          <w:color w:val="auto"/>
          <w:sz w:val="21"/>
          <w:szCs w:val="21"/>
          <w:highlight w:val="none"/>
        </w:rPr>
      </w:pPr>
      <w:r>
        <w:rPr>
          <w:rFonts w:hAnsi="宋体"/>
          <w:b/>
          <w:bCs/>
          <w:color w:val="auto"/>
          <w:sz w:val="21"/>
          <w:szCs w:val="21"/>
          <w:highlight w:val="none"/>
        </w:rPr>
        <w:t xml:space="preserve">   </w:t>
      </w:r>
      <w:r>
        <w:rPr>
          <w:rFonts w:hAnsi="宋体"/>
          <w:b/>
          <w:color w:val="auto"/>
          <w:sz w:val="21"/>
          <w:szCs w:val="21"/>
          <w:highlight w:val="none"/>
        </w:rPr>
        <w:t xml:space="preserve"> </w:t>
      </w:r>
      <w:bookmarkStart w:id="408" w:name="_Toc351203487"/>
      <w:r>
        <w:rPr>
          <w:rFonts w:hAnsi="宋体"/>
          <w:b/>
          <w:color w:val="auto"/>
          <w:sz w:val="21"/>
          <w:szCs w:val="21"/>
          <w:highlight w:val="none"/>
        </w:rPr>
        <w:t>七、承诺</w:t>
      </w:r>
      <w:bookmarkEnd w:id="408"/>
    </w:p>
    <w:p>
      <w:pPr>
        <w:shd w:val="clear"/>
        <w:spacing w:line="400" w:lineRule="exact"/>
        <w:ind w:firstLine="420" w:firstLineChars="200"/>
        <w:rPr>
          <w:rFonts w:hAnsi="宋体"/>
          <w:bCs/>
          <w:color w:val="auto"/>
          <w:sz w:val="21"/>
          <w:szCs w:val="21"/>
          <w:highlight w:val="none"/>
        </w:rPr>
      </w:pPr>
      <w:r>
        <w:rPr>
          <w:rFonts w:hAnsi="宋体"/>
          <w:bCs/>
          <w:color w:val="auto"/>
          <w:sz w:val="21"/>
          <w:szCs w:val="21"/>
          <w:highlight w:val="none"/>
        </w:rPr>
        <w:t>1.发包人承诺按照法律规定履行项目审批手续、筹集工程建设资金并按照合同约定的期限和方式支付合同价款。</w:t>
      </w:r>
    </w:p>
    <w:p>
      <w:pPr>
        <w:shd w:val="clear"/>
        <w:spacing w:line="400" w:lineRule="exact"/>
        <w:ind w:firstLine="420" w:firstLineChars="200"/>
        <w:rPr>
          <w:rFonts w:hAnsi="宋体"/>
          <w:bCs/>
          <w:color w:val="auto"/>
          <w:sz w:val="21"/>
          <w:szCs w:val="21"/>
          <w:highlight w:val="none"/>
        </w:rPr>
      </w:pPr>
      <w:r>
        <w:rPr>
          <w:rFonts w:hAnsi="宋体"/>
          <w:bCs/>
          <w:color w:val="auto"/>
          <w:sz w:val="21"/>
          <w:szCs w:val="21"/>
          <w:highlight w:val="none"/>
        </w:rPr>
        <w:t>2.承包人承诺按照法律规定及合同约定组织完成工程施工，确保工程质量和安全，不进行转包及违法分包，并在缺陷责任期及保修期内承担相应的工程维修责任。</w:t>
      </w:r>
    </w:p>
    <w:p>
      <w:pPr>
        <w:shd w:val="clear"/>
        <w:spacing w:line="400" w:lineRule="exact"/>
        <w:ind w:firstLine="420" w:firstLineChars="200"/>
        <w:rPr>
          <w:rFonts w:hAnsi="宋体"/>
          <w:bCs/>
          <w:color w:val="auto"/>
          <w:sz w:val="21"/>
          <w:szCs w:val="21"/>
          <w:highlight w:val="none"/>
        </w:rPr>
      </w:pPr>
      <w:r>
        <w:rPr>
          <w:rFonts w:hAnsi="宋体"/>
          <w:bCs/>
          <w:color w:val="auto"/>
          <w:sz w:val="21"/>
          <w:szCs w:val="21"/>
          <w:highlight w:val="none"/>
        </w:rPr>
        <w:t>3.发包人和承包人通过招投标形式签订合同的，双方理解并</w:t>
      </w:r>
      <w:r>
        <w:rPr>
          <w:rFonts w:hint="eastAsia" w:hAnsi="宋体"/>
          <w:bCs/>
          <w:color w:val="auto"/>
          <w:sz w:val="21"/>
          <w:szCs w:val="21"/>
          <w:highlight w:val="none"/>
        </w:rPr>
        <w:t>承诺</w:t>
      </w:r>
      <w:r>
        <w:rPr>
          <w:rFonts w:hAnsi="宋体"/>
          <w:bCs/>
          <w:color w:val="auto"/>
          <w:sz w:val="21"/>
          <w:szCs w:val="21"/>
          <w:highlight w:val="none"/>
        </w:rPr>
        <w:t>不再就同一工程另行签订与合同实质性内容相背离的协议。</w:t>
      </w:r>
    </w:p>
    <w:p>
      <w:pPr>
        <w:shd w:val="clear"/>
        <w:spacing w:line="400" w:lineRule="exact"/>
        <w:rPr>
          <w:rFonts w:hAnsi="宋体"/>
          <w:bCs/>
          <w:color w:val="auto"/>
          <w:sz w:val="21"/>
          <w:szCs w:val="21"/>
          <w:highlight w:val="none"/>
        </w:rPr>
      </w:pPr>
      <w:bookmarkStart w:id="409" w:name="_Toc351203488"/>
      <w:r>
        <w:rPr>
          <w:rFonts w:hint="eastAsia" w:hAnsi="宋体"/>
          <w:b/>
          <w:color w:val="auto"/>
          <w:sz w:val="21"/>
          <w:szCs w:val="21"/>
          <w:highlight w:val="none"/>
        </w:rPr>
        <w:t xml:space="preserve">    </w:t>
      </w:r>
      <w:r>
        <w:rPr>
          <w:rFonts w:hAnsi="宋体"/>
          <w:b/>
          <w:color w:val="auto"/>
          <w:sz w:val="21"/>
          <w:szCs w:val="21"/>
          <w:highlight w:val="none"/>
        </w:rPr>
        <w:t>八、词语含义</w:t>
      </w:r>
      <w:bookmarkEnd w:id="409"/>
    </w:p>
    <w:p>
      <w:pPr>
        <w:shd w:val="clear"/>
        <w:spacing w:line="400" w:lineRule="exact"/>
        <w:ind w:firstLine="420" w:firstLineChars="200"/>
        <w:rPr>
          <w:rFonts w:hAnsi="宋体"/>
          <w:bCs/>
          <w:color w:val="auto"/>
          <w:sz w:val="21"/>
          <w:szCs w:val="21"/>
          <w:highlight w:val="none"/>
        </w:rPr>
      </w:pPr>
      <w:r>
        <w:rPr>
          <w:rFonts w:hAnsi="宋体"/>
          <w:bCs/>
          <w:color w:val="auto"/>
          <w:sz w:val="21"/>
          <w:szCs w:val="21"/>
          <w:highlight w:val="none"/>
        </w:rPr>
        <w:t>本协议书中词语含义与第二部分通用合同条款中赋予的含义相同。</w:t>
      </w:r>
    </w:p>
    <w:p>
      <w:pPr>
        <w:shd w:val="clear"/>
        <w:spacing w:line="400" w:lineRule="exact"/>
        <w:rPr>
          <w:rFonts w:hAnsi="宋体"/>
          <w:b/>
          <w:color w:val="auto"/>
          <w:sz w:val="21"/>
          <w:szCs w:val="21"/>
          <w:highlight w:val="none"/>
        </w:rPr>
      </w:pPr>
      <w:r>
        <w:rPr>
          <w:rFonts w:hAnsi="宋体"/>
          <w:b/>
          <w:color w:val="auto"/>
          <w:sz w:val="21"/>
          <w:szCs w:val="21"/>
          <w:highlight w:val="none"/>
        </w:rPr>
        <w:t xml:space="preserve">    </w:t>
      </w:r>
      <w:bookmarkStart w:id="410" w:name="_Toc351203489"/>
      <w:r>
        <w:rPr>
          <w:rFonts w:hAnsi="宋体"/>
          <w:b/>
          <w:color w:val="auto"/>
          <w:sz w:val="21"/>
          <w:szCs w:val="21"/>
          <w:highlight w:val="none"/>
        </w:rPr>
        <w:t>九、签订时间</w:t>
      </w:r>
      <w:bookmarkEnd w:id="410"/>
    </w:p>
    <w:p>
      <w:pPr>
        <w:shd w:val="clear"/>
        <w:spacing w:line="400" w:lineRule="exact"/>
        <w:ind w:firstLine="420" w:firstLineChars="200"/>
        <w:rPr>
          <w:rFonts w:hint="eastAsia" w:hAnsi="宋体"/>
          <w:bCs/>
          <w:color w:val="auto"/>
          <w:sz w:val="21"/>
          <w:szCs w:val="21"/>
          <w:highlight w:val="none"/>
        </w:rPr>
      </w:pPr>
      <w:r>
        <w:rPr>
          <w:rFonts w:hAnsi="宋体"/>
          <w:bCs/>
          <w:color w:val="auto"/>
          <w:sz w:val="21"/>
          <w:szCs w:val="21"/>
          <w:highlight w:val="none"/>
        </w:rPr>
        <w:t>本合同于</w:t>
      </w:r>
      <w:r>
        <w:rPr>
          <w:rFonts w:hAnsi="宋体"/>
          <w:bCs/>
          <w:color w:val="auto"/>
          <w:sz w:val="21"/>
          <w:szCs w:val="21"/>
          <w:highlight w:val="none"/>
          <w:u w:val="single"/>
        </w:rPr>
        <w:t xml:space="preserve">  </w:t>
      </w:r>
      <w:r>
        <w:rPr>
          <w:rFonts w:hint="eastAsia" w:hAnsi="宋体"/>
          <w:bCs/>
          <w:color w:val="auto"/>
          <w:sz w:val="21"/>
          <w:szCs w:val="21"/>
          <w:highlight w:val="none"/>
          <w:u w:val="single"/>
        </w:rPr>
        <w:t>20</w:t>
      </w:r>
      <w:r>
        <w:rPr>
          <w:rFonts w:hAnsi="宋体"/>
          <w:bCs/>
          <w:color w:val="auto"/>
          <w:sz w:val="21"/>
          <w:szCs w:val="21"/>
          <w:highlight w:val="none"/>
          <w:u w:val="single"/>
        </w:rPr>
        <w:t xml:space="preserve">       </w:t>
      </w:r>
      <w:r>
        <w:rPr>
          <w:rFonts w:hAnsi="宋体"/>
          <w:bCs/>
          <w:color w:val="auto"/>
          <w:sz w:val="21"/>
          <w:szCs w:val="21"/>
          <w:highlight w:val="none"/>
        </w:rPr>
        <w:t>年</w:t>
      </w:r>
      <w:r>
        <w:rPr>
          <w:rFonts w:hAnsi="宋体"/>
          <w:bCs/>
          <w:color w:val="auto"/>
          <w:sz w:val="21"/>
          <w:szCs w:val="21"/>
          <w:highlight w:val="none"/>
          <w:u w:val="single"/>
        </w:rPr>
        <w:t xml:space="preserve">    </w:t>
      </w:r>
      <w:r>
        <w:rPr>
          <w:rFonts w:hAnsi="宋体"/>
          <w:bCs/>
          <w:color w:val="auto"/>
          <w:sz w:val="21"/>
          <w:szCs w:val="21"/>
          <w:highlight w:val="none"/>
        </w:rPr>
        <w:t>月</w:t>
      </w:r>
      <w:r>
        <w:rPr>
          <w:rFonts w:hAnsi="宋体"/>
          <w:bCs/>
          <w:color w:val="auto"/>
          <w:sz w:val="21"/>
          <w:szCs w:val="21"/>
          <w:highlight w:val="none"/>
          <w:u w:val="single"/>
        </w:rPr>
        <w:t xml:space="preserve">    </w:t>
      </w:r>
      <w:r>
        <w:rPr>
          <w:rFonts w:hAnsi="宋体"/>
          <w:bCs/>
          <w:color w:val="auto"/>
          <w:sz w:val="21"/>
          <w:szCs w:val="21"/>
          <w:highlight w:val="none"/>
        </w:rPr>
        <w:t>日签订。</w:t>
      </w:r>
      <w:r>
        <w:rPr>
          <w:rFonts w:hint="eastAsia" w:hAnsi="宋体"/>
          <w:bCs/>
          <w:color w:val="auto"/>
          <w:sz w:val="21"/>
          <w:szCs w:val="21"/>
          <w:highlight w:val="none"/>
        </w:rPr>
        <w:t>（以备案通过时间作为签订时间）</w:t>
      </w:r>
    </w:p>
    <w:p>
      <w:pPr>
        <w:shd w:val="clear"/>
        <w:spacing w:line="400" w:lineRule="exact"/>
        <w:rPr>
          <w:rFonts w:hAnsi="宋体"/>
          <w:b/>
          <w:color w:val="auto"/>
          <w:sz w:val="21"/>
          <w:szCs w:val="21"/>
          <w:highlight w:val="none"/>
        </w:rPr>
      </w:pPr>
      <w:r>
        <w:rPr>
          <w:rFonts w:hAnsi="宋体"/>
          <w:b/>
          <w:color w:val="auto"/>
          <w:sz w:val="21"/>
          <w:szCs w:val="21"/>
          <w:highlight w:val="none"/>
        </w:rPr>
        <w:t xml:space="preserve">    </w:t>
      </w:r>
      <w:bookmarkStart w:id="411" w:name="_Toc351203490"/>
      <w:r>
        <w:rPr>
          <w:rFonts w:hAnsi="宋体"/>
          <w:b/>
          <w:color w:val="auto"/>
          <w:sz w:val="21"/>
          <w:szCs w:val="21"/>
          <w:highlight w:val="none"/>
        </w:rPr>
        <w:t>十、签订地点</w:t>
      </w:r>
      <w:bookmarkEnd w:id="411"/>
    </w:p>
    <w:p>
      <w:pPr>
        <w:shd w:val="clear"/>
        <w:spacing w:line="400" w:lineRule="exact"/>
        <w:ind w:firstLine="420" w:firstLineChars="200"/>
        <w:rPr>
          <w:rFonts w:hAnsi="宋体"/>
          <w:bCs/>
          <w:color w:val="auto"/>
          <w:sz w:val="21"/>
          <w:szCs w:val="21"/>
          <w:highlight w:val="none"/>
        </w:rPr>
      </w:pPr>
      <w:r>
        <w:rPr>
          <w:rFonts w:hAnsi="宋体"/>
          <w:bCs/>
          <w:color w:val="auto"/>
          <w:sz w:val="21"/>
          <w:szCs w:val="21"/>
          <w:highlight w:val="none"/>
        </w:rPr>
        <w:t>本合同在</w:t>
      </w:r>
      <w:r>
        <w:rPr>
          <w:rFonts w:hAnsi="宋体"/>
          <w:b w:val="0"/>
          <w:bCs/>
          <w:color w:val="auto"/>
          <w:sz w:val="21"/>
          <w:szCs w:val="21"/>
          <w:highlight w:val="none"/>
          <w:u w:val="single"/>
        </w:rPr>
        <w:t xml:space="preserve">  </w:t>
      </w:r>
      <w:r>
        <w:rPr>
          <w:rFonts w:hint="eastAsia" w:hAnsi="宋体"/>
          <w:b w:val="0"/>
          <w:bCs/>
          <w:color w:val="auto"/>
          <w:sz w:val="21"/>
          <w:szCs w:val="21"/>
          <w:highlight w:val="none"/>
          <w:u w:val="single"/>
        </w:rPr>
        <w:t>工程所在地</w:t>
      </w:r>
      <w:r>
        <w:rPr>
          <w:rFonts w:hAnsi="宋体"/>
          <w:b w:val="0"/>
          <w:bCs/>
          <w:color w:val="auto"/>
          <w:sz w:val="21"/>
          <w:szCs w:val="21"/>
          <w:highlight w:val="none"/>
          <w:u w:val="single"/>
        </w:rPr>
        <w:t xml:space="preserve">  </w:t>
      </w:r>
      <w:r>
        <w:rPr>
          <w:rFonts w:hAnsi="宋体"/>
          <w:bCs/>
          <w:color w:val="auto"/>
          <w:sz w:val="21"/>
          <w:szCs w:val="21"/>
          <w:highlight w:val="none"/>
        </w:rPr>
        <w:t>签订。</w:t>
      </w:r>
    </w:p>
    <w:p>
      <w:pPr>
        <w:shd w:val="clear"/>
        <w:spacing w:line="400" w:lineRule="exact"/>
        <w:rPr>
          <w:rFonts w:hAnsi="宋体"/>
          <w:b/>
          <w:color w:val="auto"/>
          <w:sz w:val="21"/>
          <w:szCs w:val="21"/>
          <w:highlight w:val="none"/>
        </w:rPr>
      </w:pPr>
      <w:r>
        <w:rPr>
          <w:rFonts w:hAnsi="宋体"/>
          <w:b/>
          <w:color w:val="auto"/>
          <w:sz w:val="21"/>
          <w:szCs w:val="21"/>
          <w:highlight w:val="none"/>
        </w:rPr>
        <w:t xml:space="preserve">    </w:t>
      </w:r>
      <w:bookmarkStart w:id="412" w:name="_Toc351203491"/>
      <w:r>
        <w:rPr>
          <w:rFonts w:hAnsi="宋体"/>
          <w:b/>
          <w:color w:val="auto"/>
          <w:sz w:val="21"/>
          <w:szCs w:val="21"/>
          <w:highlight w:val="none"/>
        </w:rPr>
        <w:t>十一、补充协议</w:t>
      </w:r>
      <w:bookmarkEnd w:id="412"/>
    </w:p>
    <w:p>
      <w:pPr>
        <w:shd w:val="clear"/>
        <w:spacing w:line="400" w:lineRule="exact"/>
        <w:ind w:firstLine="420" w:firstLineChars="200"/>
        <w:rPr>
          <w:rFonts w:hAnsi="宋体"/>
          <w:b/>
          <w:bCs/>
          <w:color w:val="auto"/>
          <w:sz w:val="21"/>
          <w:szCs w:val="21"/>
          <w:highlight w:val="none"/>
        </w:rPr>
      </w:pPr>
      <w:r>
        <w:rPr>
          <w:rFonts w:hAnsi="宋体"/>
          <w:bCs/>
          <w:color w:val="auto"/>
          <w:sz w:val="21"/>
          <w:szCs w:val="21"/>
          <w:highlight w:val="none"/>
        </w:rPr>
        <w:t>合同未尽事宜，合同当事人另行签订补充协议</w:t>
      </w:r>
      <w:r>
        <w:rPr>
          <w:rFonts w:hint="eastAsia" w:hAnsi="宋体"/>
          <w:bCs/>
          <w:color w:val="auto"/>
          <w:sz w:val="21"/>
          <w:szCs w:val="21"/>
          <w:highlight w:val="none"/>
        </w:rPr>
        <w:t>，</w:t>
      </w:r>
      <w:r>
        <w:rPr>
          <w:rFonts w:hAnsi="宋体"/>
          <w:bCs/>
          <w:color w:val="auto"/>
          <w:sz w:val="21"/>
          <w:szCs w:val="21"/>
          <w:highlight w:val="none"/>
        </w:rPr>
        <w:t>补充协议是合同的组成部分。</w:t>
      </w:r>
    </w:p>
    <w:p>
      <w:pPr>
        <w:shd w:val="clear"/>
        <w:spacing w:line="400" w:lineRule="exact"/>
        <w:rPr>
          <w:rFonts w:hAnsi="宋体"/>
          <w:b/>
          <w:color w:val="auto"/>
          <w:sz w:val="21"/>
          <w:szCs w:val="21"/>
          <w:highlight w:val="none"/>
        </w:rPr>
      </w:pPr>
      <w:r>
        <w:rPr>
          <w:rFonts w:hAnsi="宋体"/>
          <w:b/>
          <w:color w:val="auto"/>
          <w:sz w:val="21"/>
          <w:szCs w:val="21"/>
          <w:highlight w:val="none"/>
        </w:rPr>
        <w:t xml:space="preserve">    </w:t>
      </w:r>
      <w:bookmarkStart w:id="413" w:name="_Toc351203492"/>
      <w:r>
        <w:rPr>
          <w:rFonts w:hAnsi="宋体"/>
          <w:b/>
          <w:color w:val="auto"/>
          <w:sz w:val="21"/>
          <w:szCs w:val="21"/>
          <w:highlight w:val="none"/>
        </w:rPr>
        <w:t>十二、合同生效</w:t>
      </w:r>
      <w:bookmarkEnd w:id="413"/>
    </w:p>
    <w:p>
      <w:pPr>
        <w:shd w:val="clear"/>
        <w:spacing w:line="400" w:lineRule="exact"/>
        <w:ind w:firstLine="420" w:firstLineChars="200"/>
        <w:rPr>
          <w:rFonts w:hAnsi="宋体"/>
          <w:bCs/>
          <w:color w:val="auto"/>
          <w:sz w:val="21"/>
          <w:szCs w:val="21"/>
          <w:highlight w:val="none"/>
        </w:rPr>
      </w:pPr>
      <w:r>
        <w:rPr>
          <w:rFonts w:hAnsi="宋体"/>
          <w:bCs/>
          <w:color w:val="auto"/>
          <w:sz w:val="21"/>
          <w:szCs w:val="21"/>
          <w:highlight w:val="none"/>
        </w:rPr>
        <w:t>本合同自</w:t>
      </w:r>
      <w:r>
        <w:rPr>
          <w:rFonts w:hint="eastAsia" w:hAnsi="宋体"/>
          <w:b w:val="0"/>
          <w:bCs w:val="0"/>
          <w:color w:val="auto"/>
          <w:sz w:val="21"/>
          <w:szCs w:val="21"/>
          <w:highlight w:val="none"/>
          <w:u w:val="single"/>
        </w:rPr>
        <w:t>经双方代表人签字并经单位盖章之日</w:t>
      </w:r>
      <w:r>
        <w:rPr>
          <w:rFonts w:hAnsi="宋体"/>
          <w:b w:val="0"/>
          <w:bCs w:val="0"/>
          <w:color w:val="auto"/>
          <w:sz w:val="21"/>
          <w:szCs w:val="21"/>
          <w:highlight w:val="none"/>
          <w:u w:val="none"/>
        </w:rPr>
        <w:t>生</w:t>
      </w:r>
      <w:r>
        <w:rPr>
          <w:rFonts w:hAnsi="宋体"/>
          <w:bCs/>
          <w:color w:val="auto"/>
          <w:sz w:val="21"/>
          <w:szCs w:val="21"/>
          <w:highlight w:val="none"/>
        </w:rPr>
        <w:t>效。</w:t>
      </w:r>
    </w:p>
    <w:p>
      <w:pPr>
        <w:shd w:val="clear"/>
        <w:spacing w:line="400" w:lineRule="exact"/>
        <w:rPr>
          <w:rFonts w:hAnsi="宋体"/>
          <w:b/>
          <w:color w:val="auto"/>
          <w:sz w:val="21"/>
          <w:szCs w:val="21"/>
          <w:highlight w:val="none"/>
        </w:rPr>
      </w:pPr>
      <w:r>
        <w:rPr>
          <w:rFonts w:hAnsi="宋体"/>
          <w:b/>
          <w:color w:val="auto"/>
          <w:sz w:val="21"/>
          <w:szCs w:val="21"/>
          <w:highlight w:val="none"/>
        </w:rPr>
        <w:t xml:space="preserve">    </w:t>
      </w:r>
      <w:bookmarkStart w:id="414" w:name="_Toc351203493"/>
      <w:r>
        <w:rPr>
          <w:rFonts w:hAnsi="宋体"/>
          <w:b/>
          <w:color w:val="auto"/>
          <w:sz w:val="21"/>
          <w:szCs w:val="21"/>
          <w:highlight w:val="none"/>
        </w:rPr>
        <w:t>十三、合同份数</w:t>
      </w:r>
      <w:bookmarkEnd w:id="414"/>
    </w:p>
    <w:p>
      <w:pPr>
        <w:shd w:val="clear"/>
        <w:spacing w:line="400" w:lineRule="exact"/>
        <w:ind w:firstLine="420" w:firstLineChars="200"/>
        <w:rPr>
          <w:rFonts w:hAnsi="宋体"/>
          <w:bCs/>
          <w:color w:val="auto"/>
          <w:sz w:val="21"/>
          <w:szCs w:val="21"/>
          <w:highlight w:val="none"/>
        </w:rPr>
      </w:pPr>
      <w:r>
        <w:rPr>
          <w:rFonts w:hAnsi="宋体"/>
          <w:bCs/>
          <w:color w:val="auto"/>
          <w:sz w:val="21"/>
          <w:szCs w:val="21"/>
          <w:highlight w:val="none"/>
        </w:rPr>
        <w:t>本合同一式</w:t>
      </w:r>
      <w:r>
        <w:rPr>
          <w:rFonts w:hint="eastAsia" w:hAnsi="宋体"/>
          <w:bCs/>
          <w:color w:val="auto"/>
          <w:sz w:val="21"/>
          <w:szCs w:val="21"/>
          <w:highlight w:val="none"/>
          <w:u w:val="single"/>
        </w:rPr>
        <w:t xml:space="preserve"> 陆 </w:t>
      </w:r>
      <w:r>
        <w:rPr>
          <w:rFonts w:hAnsi="宋体"/>
          <w:bCs/>
          <w:color w:val="auto"/>
          <w:sz w:val="21"/>
          <w:szCs w:val="21"/>
          <w:highlight w:val="none"/>
        </w:rPr>
        <w:t>份，均具有同等法律效力，发包人执</w:t>
      </w:r>
      <w:r>
        <w:rPr>
          <w:rFonts w:hint="eastAsia" w:hAnsi="宋体"/>
          <w:bCs/>
          <w:color w:val="auto"/>
          <w:sz w:val="21"/>
          <w:szCs w:val="21"/>
          <w:highlight w:val="none"/>
          <w:u w:val="single"/>
        </w:rPr>
        <w:t xml:space="preserve"> 肆 </w:t>
      </w:r>
      <w:r>
        <w:rPr>
          <w:rFonts w:hAnsi="宋体"/>
          <w:bCs/>
          <w:color w:val="auto"/>
          <w:sz w:val="21"/>
          <w:szCs w:val="21"/>
          <w:highlight w:val="none"/>
        </w:rPr>
        <w:t>份，承包人执</w:t>
      </w:r>
      <w:r>
        <w:rPr>
          <w:rFonts w:hint="eastAsia" w:hAnsi="宋体"/>
          <w:bCs/>
          <w:color w:val="auto"/>
          <w:sz w:val="21"/>
          <w:szCs w:val="21"/>
          <w:highlight w:val="none"/>
          <w:u w:val="single"/>
        </w:rPr>
        <w:t xml:space="preserve"> 贰 </w:t>
      </w:r>
      <w:r>
        <w:rPr>
          <w:rFonts w:hAnsi="宋体"/>
          <w:bCs/>
          <w:color w:val="auto"/>
          <w:sz w:val="21"/>
          <w:szCs w:val="21"/>
          <w:highlight w:val="none"/>
        </w:rPr>
        <w:t>份。</w:t>
      </w:r>
    </w:p>
    <w:p>
      <w:pPr>
        <w:shd w:val="clear"/>
        <w:spacing w:line="400" w:lineRule="exact"/>
        <w:rPr>
          <w:rFonts w:hint="eastAsia" w:hAnsi="宋体"/>
          <w:color w:val="auto"/>
          <w:sz w:val="21"/>
          <w:szCs w:val="21"/>
          <w:highlight w:val="none"/>
        </w:rPr>
      </w:pPr>
    </w:p>
    <w:p>
      <w:pPr>
        <w:shd w:val="clear"/>
        <w:spacing w:line="400" w:lineRule="exact"/>
        <w:rPr>
          <w:rFonts w:hint="eastAsia" w:hAnsi="宋体"/>
          <w:color w:val="auto"/>
          <w:sz w:val="21"/>
          <w:szCs w:val="21"/>
          <w:highlight w:val="none"/>
        </w:rPr>
      </w:pPr>
      <w:r>
        <w:rPr>
          <w:rFonts w:hAnsi="宋体"/>
          <w:color w:val="auto"/>
          <w:sz w:val="21"/>
          <w:szCs w:val="21"/>
          <w:highlight w:val="none"/>
        </w:rPr>
        <w:t>发包人</w:t>
      </w:r>
      <w:r>
        <w:rPr>
          <w:rFonts w:hint="eastAsia" w:hAnsi="宋体"/>
          <w:color w:val="auto"/>
          <w:sz w:val="21"/>
          <w:szCs w:val="21"/>
          <w:highlight w:val="none"/>
        </w:rPr>
        <w:t xml:space="preserve">：  </w:t>
      </w:r>
      <w:r>
        <w:rPr>
          <w:rFonts w:hAnsi="宋体"/>
          <w:color w:val="auto"/>
          <w:sz w:val="21"/>
          <w:szCs w:val="21"/>
          <w:highlight w:val="none"/>
        </w:rPr>
        <w:t>(公章)</w:t>
      </w:r>
      <w:r>
        <w:rPr>
          <w:rFonts w:hint="eastAsia" w:hAnsi="宋体"/>
          <w:color w:val="auto"/>
          <w:sz w:val="21"/>
          <w:szCs w:val="21"/>
          <w:highlight w:val="none"/>
        </w:rPr>
        <w:t xml:space="preserve">                           </w:t>
      </w:r>
      <w:r>
        <w:rPr>
          <w:rFonts w:hAnsi="宋体"/>
          <w:color w:val="auto"/>
          <w:sz w:val="21"/>
          <w:szCs w:val="21"/>
          <w:highlight w:val="none"/>
        </w:rPr>
        <w:t>承包人</w:t>
      </w:r>
      <w:r>
        <w:rPr>
          <w:rFonts w:hint="eastAsia" w:hAnsi="宋体"/>
          <w:color w:val="auto"/>
          <w:sz w:val="21"/>
          <w:szCs w:val="21"/>
          <w:highlight w:val="none"/>
        </w:rPr>
        <w:t xml:space="preserve">：  </w:t>
      </w:r>
      <w:r>
        <w:rPr>
          <w:rFonts w:hAnsi="宋体"/>
          <w:color w:val="auto"/>
          <w:sz w:val="21"/>
          <w:szCs w:val="21"/>
          <w:highlight w:val="none"/>
        </w:rPr>
        <w:t>(公章)</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法定代表人或其委托代理人：                 法定代表人或其委托代理人：</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（签字）                                   （签字）</w:t>
      </w:r>
    </w:p>
    <w:p>
      <w:pPr>
        <w:shd w:val="clear"/>
        <w:tabs>
          <w:tab w:val="left" w:pos="4410"/>
        </w:tabs>
        <w:spacing w:line="400" w:lineRule="exact"/>
        <w:rPr>
          <w:rFonts w:hAnsi="宋体"/>
          <w:color w:val="auto"/>
          <w:sz w:val="21"/>
          <w:szCs w:val="21"/>
          <w:highlight w:val="none"/>
        </w:rPr>
      </w:pPr>
      <w:r>
        <w:rPr>
          <w:rFonts w:hint="eastAsia" w:hAnsi="宋体"/>
          <w:color w:val="auto"/>
          <w:sz w:val="21"/>
          <w:szCs w:val="21"/>
          <w:highlight w:val="none"/>
        </w:rPr>
        <w:t>组织机构代码：</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int="eastAsia" w:hAnsi="宋体" w:cs="MingLiU_HKSCS"/>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组织机构代码：</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p>
    <w:p>
      <w:pPr>
        <w:shd w:val="clear"/>
        <w:spacing w:line="400" w:lineRule="exact"/>
        <w:rPr>
          <w:rFonts w:hAnsi="宋体"/>
          <w:color w:val="auto"/>
          <w:sz w:val="21"/>
          <w:szCs w:val="21"/>
          <w:highlight w:val="none"/>
        </w:rPr>
      </w:pPr>
      <w:r>
        <w:rPr>
          <w:rFonts w:hAnsi="宋体"/>
          <w:color w:val="auto"/>
          <w:sz w:val="21"/>
          <w:szCs w:val="21"/>
          <w:highlight w:val="none"/>
        </w:rPr>
        <w:t>地</w:t>
      </w:r>
      <w:r>
        <w:rPr>
          <w:rFonts w:hint="eastAsia" w:hAnsi="宋体"/>
          <w:color w:val="auto"/>
          <w:sz w:val="21"/>
          <w:szCs w:val="21"/>
          <w:highlight w:val="none"/>
        </w:rPr>
        <w:t xml:space="preserve">      </w:t>
      </w:r>
      <w:r>
        <w:rPr>
          <w:rFonts w:hAnsi="宋体"/>
          <w:color w:val="auto"/>
          <w:sz w:val="21"/>
          <w:szCs w:val="21"/>
          <w:highlight w:val="none"/>
        </w:rPr>
        <w:t xml:space="preserve">  址：</w:t>
      </w:r>
      <w:r>
        <w:rPr>
          <w:rFonts w:hAnsi="宋体"/>
          <w:color w:val="auto"/>
          <w:sz w:val="21"/>
          <w:szCs w:val="21"/>
          <w:highlight w:val="none"/>
          <w:u w:val="single"/>
        </w:rPr>
        <w:t xml:space="preserve"> </w:t>
      </w:r>
      <w:r>
        <w:rPr>
          <w:rFonts w:hint="eastAsia" w:hAnsi="宋体" w:cs="MingLiU_HKSCS"/>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 xml:space="preserve">                </w:t>
      </w:r>
      <w:r>
        <w:rPr>
          <w:rFonts w:hAnsi="宋体"/>
          <w:color w:val="auto"/>
          <w:sz w:val="21"/>
          <w:szCs w:val="21"/>
          <w:highlight w:val="none"/>
        </w:rPr>
        <w:t xml:space="preserve">地 </w:t>
      </w:r>
      <w:r>
        <w:rPr>
          <w:rFonts w:hint="eastAsia" w:hAnsi="宋体"/>
          <w:color w:val="auto"/>
          <w:sz w:val="21"/>
          <w:szCs w:val="21"/>
          <w:highlight w:val="none"/>
        </w:rPr>
        <w:t xml:space="preserve">     </w:t>
      </w:r>
      <w:r>
        <w:rPr>
          <w:rFonts w:hAnsi="宋体"/>
          <w:color w:val="auto"/>
          <w:sz w:val="21"/>
          <w:szCs w:val="21"/>
          <w:highlight w:val="none"/>
        </w:rPr>
        <w:t xml:space="preserve"> 址：</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p>
    <w:p>
      <w:pPr>
        <w:shd w:val="clear"/>
        <w:spacing w:line="400" w:lineRule="exact"/>
        <w:rPr>
          <w:rFonts w:hAnsi="宋体"/>
          <w:color w:val="auto"/>
          <w:sz w:val="21"/>
          <w:szCs w:val="21"/>
          <w:highlight w:val="none"/>
        </w:rPr>
      </w:pPr>
      <w:r>
        <w:rPr>
          <w:rFonts w:hAnsi="宋体"/>
          <w:color w:val="auto"/>
          <w:sz w:val="21"/>
          <w:szCs w:val="21"/>
          <w:highlight w:val="none"/>
        </w:rPr>
        <w:t>邮</w:t>
      </w:r>
      <w:r>
        <w:rPr>
          <w:rFonts w:hint="eastAsia" w:hAnsi="宋体"/>
          <w:color w:val="auto"/>
          <w:sz w:val="21"/>
          <w:szCs w:val="21"/>
          <w:highlight w:val="none"/>
        </w:rPr>
        <w:t xml:space="preserve"> </w:t>
      </w:r>
      <w:r>
        <w:rPr>
          <w:rFonts w:hAnsi="宋体"/>
          <w:color w:val="auto"/>
          <w:sz w:val="21"/>
          <w:szCs w:val="21"/>
          <w:highlight w:val="none"/>
        </w:rPr>
        <w:t>政</w:t>
      </w:r>
      <w:r>
        <w:rPr>
          <w:rFonts w:hint="eastAsia" w:hAnsi="宋体"/>
          <w:color w:val="auto"/>
          <w:sz w:val="21"/>
          <w:szCs w:val="21"/>
          <w:highlight w:val="none"/>
        </w:rPr>
        <w:t xml:space="preserve">  </w:t>
      </w:r>
      <w:r>
        <w:rPr>
          <w:rFonts w:hAnsi="宋体"/>
          <w:color w:val="auto"/>
          <w:sz w:val="21"/>
          <w:szCs w:val="21"/>
          <w:highlight w:val="none"/>
        </w:rPr>
        <w:t>编</w:t>
      </w:r>
      <w:r>
        <w:rPr>
          <w:rFonts w:hint="eastAsia" w:hAnsi="宋体"/>
          <w:color w:val="auto"/>
          <w:sz w:val="21"/>
          <w:szCs w:val="21"/>
          <w:highlight w:val="none"/>
        </w:rPr>
        <w:t xml:space="preserve"> </w:t>
      </w:r>
      <w:r>
        <w:rPr>
          <w:rFonts w:hAnsi="宋体"/>
          <w:color w:val="auto"/>
          <w:sz w:val="21"/>
          <w:szCs w:val="21"/>
          <w:highlight w:val="none"/>
        </w:rPr>
        <w:t>码：</w:t>
      </w:r>
      <w:r>
        <w:rPr>
          <w:rFonts w:hAnsi="宋体"/>
          <w:color w:val="auto"/>
          <w:sz w:val="21"/>
          <w:szCs w:val="21"/>
          <w:highlight w:val="none"/>
          <w:u w:val="single"/>
        </w:rPr>
        <w:t xml:space="preserve"> </w:t>
      </w:r>
      <w:r>
        <w:rPr>
          <w:rFonts w:hint="eastAsia" w:hAnsi="宋体" w:cs="MingLiU_HKSCS"/>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邮</w:t>
      </w:r>
      <w:r>
        <w:rPr>
          <w:rFonts w:hint="eastAsia" w:hAnsi="宋体"/>
          <w:color w:val="auto"/>
          <w:sz w:val="21"/>
          <w:szCs w:val="21"/>
          <w:highlight w:val="none"/>
        </w:rPr>
        <w:t xml:space="preserve"> </w:t>
      </w:r>
      <w:r>
        <w:rPr>
          <w:rFonts w:hAnsi="宋体"/>
          <w:color w:val="auto"/>
          <w:sz w:val="21"/>
          <w:szCs w:val="21"/>
          <w:highlight w:val="none"/>
        </w:rPr>
        <w:t>政</w:t>
      </w:r>
      <w:r>
        <w:rPr>
          <w:rFonts w:hint="eastAsia" w:hAnsi="宋体"/>
          <w:color w:val="auto"/>
          <w:sz w:val="21"/>
          <w:szCs w:val="21"/>
          <w:highlight w:val="none"/>
        </w:rPr>
        <w:t xml:space="preserve"> </w:t>
      </w:r>
      <w:r>
        <w:rPr>
          <w:rFonts w:hAnsi="宋体"/>
          <w:color w:val="auto"/>
          <w:sz w:val="21"/>
          <w:szCs w:val="21"/>
          <w:highlight w:val="none"/>
        </w:rPr>
        <w:t>编</w:t>
      </w:r>
      <w:r>
        <w:rPr>
          <w:rFonts w:hint="eastAsia" w:hAnsi="宋体"/>
          <w:color w:val="auto"/>
          <w:sz w:val="21"/>
          <w:szCs w:val="21"/>
          <w:highlight w:val="none"/>
        </w:rPr>
        <w:t xml:space="preserve"> </w:t>
      </w:r>
      <w:r>
        <w:rPr>
          <w:rFonts w:hAnsi="宋体"/>
          <w:color w:val="auto"/>
          <w:sz w:val="21"/>
          <w:szCs w:val="21"/>
          <w:highlight w:val="none"/>
        </w:rPr>
        <w:t>码：</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p>
    <w:p>
      <w:pPr>
        <w:shd w:val="clear"/>
        <w:tabs>
          <w:tab w:val="left" w:pos="7560"/>
        </w:tabs>
        <w:spacing w:line="400" w:lineRule="exact"/>
        <w:rPr>
          <w:rFonts w:hAnsi="宋体"/>
          <w:color w:val="auto"/>
          <w:sz w:val="21"/>
          <w:szCs w:val="21"/>
          <w:highlight w:val="none"/>
        </w:rPr>
      </w:pPr>
      <w:r>
        <w:rPr>
          <w:rFonts w:hAnsi="宋体"/>
          <w:color w:val="auto"/>
          <w:sz w:val="21"/>
          <w:szCs w:val="21"/>
          <w:highlight w:val="none"/>
        </w:rPr>
        <w:t>法定</w:t>
      </w:r>
      <w:r>
        <w:rPr>
          <w:rFonts w:hint="eastAsia" w:hAnsi="宋体"/>
          <w:color w:val="auto"/>
          <w:sz w:val="21"/>
          <w:szCs w:val="21"/>
          <w:highlight w:val="none"/>
        </w:rPr>
        <w:t xml:space="preserve"> </w:t>
      </w:r>
      <w:r>
        <w:rPr>
          <w:rFonts w:hAnsi="宋体"/>
          <w:color w:val="auto"/>
          <w:sz w:val="21"/>
          <w:szCs w:val="21"/>
          <w:highlight w:val="none"/>
        </w:rPr>
        <w:t>代</w:t>
      </w:r>
      <w:r>
        <w:rPr>
          <w:rFonts w:hint="eastAsia" w:hAnsi="宋体"/>
          <w:color w:val="auto"/>
          <w:sz w:val="21"/>
          <w:szCs w:val="21"/>
          <w:highlight w:val="none"/>
        </w:rPr>
        <w:t xml:space="preserve"> </w:t>
      </w:r>
      <w:r>
        <w:rPr>
          <w:rFonts w:hAnsi="宋体"/>
          <w:color w:val="auto"/>
          <w:sz w:val="21"/>
          <w:szCs w:val="21"/>
          <w:highlight w:val="none"/>
        </w:rPr>
        <w:t>表人：</w:t>
      </w:r>
      <w:r>
        <w:rPr>
          <w:rFonts w:hint="eastAsia" w:hAnsi="宋体"/>
          <w:color w:val="auto"/>
          <w:sz w:val="21"/>
          <w:szCs w:val="21"/>
          <w:highlight w:val="none"/>
          <w:u w:val="single"/>
        </w:rPr>
        <w:t xml:space="preserve">     </w:t>
      </w:r>
      <w:r>
        <w:rPr>
          <w:rFonts w:hint="eastAsia" w:hAnsi="宋体" w:cs="MingLiU_HKSCS"/>
          <w:color w:val="auto"/>
          <w:sz w:val="21"/>
          <w:szCs w:val="21"/>
          <w:highlight w:val="none"/>
          <w:u w:val="single"/>
        </w:rPr>
        <w:t xml:space="preserve">    </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法定</w:t>
      </w:r>
      <w:r>
        <w:rPr>
          <w:rFonts w:hint="eastAsia" w:hAnsi="宋体"/>
          <w:color w:val="auto"/>
          <w:sz w:val="21"/>
          <w:szCs w:val="21"/>
          <w:highlight w:val="none"/>
        </w:rPr>
        <w:t xml:space="preserve"> </w:t>
      </w:r>
      <w:r>
        <w:rPr>
          <w:rFonts w:hAnsi="宋体"/>
          <w:color w:val="auto"/>
          <w:sz w:val="21"/>
          <w:szCs w:val="21"/>
          <w:highlight w:val="none"/>
        </w:rPr>
        <w:t>代</w:t>
      </w:r>
      <w:r>
        <w:rPr>
          <w:rFonts w:hint="eastAsia" w:hAnsi="宋体"/>
          <w:color w:val="auto"/>
          <w:sz w:val="21"/>
          <w:szCs w:val="21"/>
          <w:highlight w:val="none"/>
        </w:rPr>
        <w:t xml:space="preserve"> </w:t>
      </w:r>
      <w:r>
        <w:rPr>
          <w:rFonts w:hAnsi="宋体"/>
          <w:color w:val="auto"/>
          <w:sz w:val="21"/>
          <w:szCs w:val="21"/>
          <w:highlight w:val="none"/>
        </w:rPr>
        <w:t>人：</w:t>
      </w:r>
      <w:r>
        <w:rPr>
          <w:rFonts w:hint="eastAsia" w:hAnsi="宋体"/>
          <w:color w:val="auto"/>
          <w:sz w:val="21"/>
          <w:szCs w:val="21"/>
          <w:highlight w:val="none"/>
          <w:u w:val="single"/>
        </w:rPr>
        <w:t xml:space="preserve">      </w:t>
      </w:r>
      <w:r>
        <w:rPr>
          <w:rFonts w:hint="eastAsia" w:hAnsi="宋体" w:cs="MingLiU_HKSCS"/>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Ansi="宋体"/>
          <w:color w:val="auto"/>
          <w:sz w:val="21"/>
          <w:szCs w:val="21"/>
          <w:highlight w:val="none"/>
        </w:rPr>
        <w:t>委托</w:t>
      </w:r>
      <w:r>
        <w:rPr>
          <w:rFonts w:hint="eastAsia" w:hAnsi="宋体"/>
          <w:color w:val="auto"/>
          <w:sz w:val="21"/>
          <w:szCs w:val="21"/>
          <w:highlight w:val="none"/>
        </w:rPr>
        <w:t xml:space="preserve"> </w:t>
      </w:r>
      <w:r>
        <w:rPr>
          <w:rFonts w:hAnsi="宋体"/>
          <w:color w:val="auto"/>
          <w:sz w:val="21"/>
          <w:szCs w:val="21"/>
          <w:highlight w:val="none"/>
        </w:rPr>
        <w:t>代</w:t>
      </w:r>
      <w:r>
        <w:rPr>
          <w:rFonts w:hint="eastAsia" w:hAnsi="宋体"/>
          <w:color w:val="auto"/>
          <w:sz w:val="21"/>
          <w:szCs w:val="21"/>
          <w:highlight w:val="none"/>
        </w:rPr>
        <w:t xml:space="preserve">  </w:t>
      </w:r>
      <w:r>
        <w:rPr>
          <w:rFonts w:hAnsi="宋体"/>
          <w:color w:val="auto"/>
          <w:sz w:val="21"/>
          <w:szCs w:val="21"/>
          <w:highlight w:val="none"/>
        </w:rPr>
        <w:t>理人：</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委托代理人：</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Ansi="宋体"/>
          <w:color w:val="auto"/>
          <w:sz w:val="21"/>
          <w:szCs w:val="21"/>
          <w:highlight w:val="none"/>
        </w:rPr>
        <w:t>电  话：</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电  话：</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Ansi="宋体"/>
          <w:color w:val="auto"/>
          <w:sz w:val="21"/>
          <w:szCs w:val="21"/>
          <w:highlight w:val="none"/>
        </w:rPr>
        <w:t>传  真：</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传  真：</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Ansi="宋体"/>
          <w:color w:val="auto"/>
          <w:sz w:val="21"/>
          <w:szCs w:val="21"/>
          <w:highlight w:val="none"/>
        </w:rPr>
        <w:t>电子信箱：</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电子信箱：</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Ansi="宋体"/>
          <w:color w:val="auto"/>
          <w:sz w:val="21"/>
          <w:szCs w:val="21"/>
          <w:highlight w:val="none"/>
        </w:rPr>
        <w:t>开户银行：</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 xml:space="preserve"> </w:t>
      </w:r>
      <w:r>
        <w:rPr>
          <w:rFonts w:hint="eastAsia" w:hAnsi="宋体"/>
          <w:color w:val="auto"/>
          <w:sz w:val="21"/>
          <w:szCs w:val="21"/>
          <w:highlight w:val="none"/>
        </w:rPr>
        <w:t xml:space="preserve">              </w:t>
      </w:r>
      <w:r>
        <w:rPr>
          <w:rFonts w:hAnsi="宋体"/>
          <w:color w:val="auto"/>
          <w:sz w:val="21"/>
          <w:szCs w:val="21"/>
          <w:highlight w:val="none"/>
        </w:rPr>
        <w:t>开户银行：</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p>
    <w:p>
      <w:pPr>
        <w:shd w:val="clear"/>
        <w:spacing w:line="400" w:lineRule="exact"/>
        <w:rPr>
          <w:rFonts w:hAnsi="宋体"/>
          <w:color w:val="auto"/>
          <w:sz w:val="21"/>
          <w:szCs w:val="21"/>
          <w:highlight w:val="none"/>
        </w:rPr>
      </w:pPr>
      <w:r>
        <w:rPr>
          <w:rFonts w:hAnsi="宋体"/>
          <w:color w:val="auto"/>
          <w:sz w:val="21"/>
          <w:szCs w:val="21"/>
          <w:highlight w:val="none"/>
        </w:rPr>
        <w:t>账  号：</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 xml:space="preserve">               </w:t>
      </w:r>
      <w:r>
        <w:rPr>
          <w:rFonts w:hAnsi="宋体"/>
          <w:color w:val="auto"/>
          <w:sz w:val="21"/>
          <w:szCs w:val="21"/>
          <w:highlight w:val="none"/>
        </w:rPr>
        <w:t>账</w:t>
      </w:r>
      <w:r>
        <w:rPr>
          <w:rFonts w:hint="eastAsia" w:hAnsi="宋体"/>
          <w:color w:val="auto"/>
          <w:sz w:val="21"/>
          <w:szCs w:val="21"/>
          <w:highlight w:val="none"/>
        </w:rPr>
        <w:t xml:space="preserve"> </w:t>
      </w:r>
      <w:r>
        <w:rPr>
          <w:rFonts w:hAnsi="宋体"/>
          <w:color w:val="auto"/>
          <w:sz w:val="21"/>
          <w:szCs w:val="21"/>
          <w:highlight w:val="none"/>
        </w:rPr>
        <w:t xml:space="preserve"> 号：</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p>
    <w:p>
      <w:pPr>
        <w:pStyle w:val="34"/>
        <w:shd w:val="clear"/>
        <w:snapToGrid w:val="0"/>
        <w:spacing w:line="400" w:lineRule="exact"/>
        <w:jc w:val="center"/>
        <w:rPr>
          <w:rFonts w:hint="eastAsia"/>
          <w:b/>
          <w:bCs/>
          <w:color w:val="auto"/>
          <w:sz w:val="24"/>
          <w:szCs w:val="24"/>
          <w:highlight w:val="none"/>
        </w:rPr>
      </w:pP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xml:space="preserve">                              </w:t>
      </w:r>
    </w:p>
    <w:p>
      <w:pPr>
        <w:pStyle w:val="34"/>
        <w:shd w:val="clear"/>
        <w:snapToGrid w:val="0"/>
        <w:spacing w:line="400" w:lineRule="exact"/>
        <w:jc w:val="center"/>
        <w:rPr>
          <w:rFonts w:hint="eastAsia"/>
          <w:b/>
          <w:bCs/>
          <w:color w:val="auto"/>
          <w:sz w:val="24"/>
          <w:szCs w:val="24"/>
          <w:highlight w:val="none"/>
        </w:rPr>
      </w:pPr>
    </w:p>
    <w:p>
      <w:pPr>
        <w:pStyle w:val="34"/>
        <w:shd w:val="clear"/>
        <w:snapToGrid w:val="0"/>
        <w:spacing w:line="400" w:lineRule="exact"/>
        <w:jc w:val="center"/>
        <w:rPr>
          <w:rFonts w:hint="eastAsia"/>
          <w:b/>
          <w:bCs/>
          <w:color w:val="auto"/>
          <w:sz w:val="24"/>
          <w:szCs w:val="24"/>
          <w:highlight w:val="none"/>
        </w:rPr>
      </w:pPr>
    </w:p>
    <w:p>
      <w:pPr>
        <w:pStyle w:val="34"/>
        <w:shd w:val="clear"/>
        <w:snapToGrid w:val="0"/>
        <w:spacing w:line="400" w:lineRule="exact"/>
        <w:jc w:val="center"/>
        <w:rPr>
          <w:rFonts w:hint="eastAsia"/>
          <w:b/>
          <w:bCs/>
          <w:color w:val="auto"/>
          <w:sz w:val="24"/>
          <w:szCs w:val="24"/>
          <w:highlight w:val="none"/>
        </w:rPr>
      </w:pPr>
    </w:p>
    <w:p>
      <w:pPr>
        <w:pStyle w:val="34"/>
        <w:shd w:val="clear"/>
        <w:snapToGrid w:val="0"/>
        <w:spacing w:line="400" w:lineRule="exact"/>
        <w:jc w:val="center"/>
        <w:rPr>
          <w:rFonts w:hint="eastAsia"/>
          <w:b/>
          <w:bCs/>
          <w:color w:val="auto"/>
          <w:sz w:val="24"/>
          <w:szCs w:val="24"/>
          <w:highlight w:val="none"/>
        </w:rPr>
      </w:pPr>
    </w:p>
    <w:p>
      <w:pPr>
        <w:pStyle w:val="34"/>
        <w:shd w:val="clear"/>
        <w:snapToGrid w:val="0"/>
        <w:spacing w:line="400" w:lineRule="exact"/>
        <w:jc w:val="center"/>
        <w:rPr>
          <w:rFonts w:hint="eastAsia"/>
          <w:b/>
          <w:bCs/>
          <w:color w:val="auto"/>
          <w:sz w:val="24"/>
          <w:szCs w:val="24"/>
          <w:highlight w:val="none"/>
        </w:rPr>
      </w:pPr>
    </w:p>
    <w:p>
      <w:pPr>
        <w:pStyle w:val="34"/>
        <w:shd w:val="clear"/>
        <w:snapToGrid w:val="0"/>
        <w:spacing w:line="400" w:lineRule="exact"/>
        <w:jc w:val="center"/>
        <w:rPr>
          <w:rFonts w:hint="eastAsia"/>
          <w:b/>
          <w:bCs/>
          <w:color w:val="auto"/>
          <w:sz w:val="24"/>
          <w:szCs w:val="24"/>
          <w:highlight w:val="none"/>
        </w:rPr>
      </w:pPr>
    </w:p>
    <w:p>
      <w:pPr>
        <w:pStyle w:val="34"/>
        <w:shd w:val="clear"/>
        <w:snapToGrid w:val="0"/>
        <w:spacing w:line="400" w:lineRule="exact"/>
        <w:jc w:val="center"/>
        <w:rPr>
          <w:rFonts w:hint="eastAsia"/>
          <w:b/>
          <w:bCs/>
          <w:color w:val="auto"/>
          <w:sz w:val="24"/>
          <w:szCs w:val="24"/>
          <w:highlight w:val="none"/>
        </w:rPr>
      </w:pPr>
    </w:p>
    <w:p>
      <w:pPr>
        <w:pStyle w:val="34"/>
        <w:shd w:val="clear"/>
        <w:snapToGrid w:val="0"/>
        <w:spacing w:line="400" w:lineRule="exact"/>
        <w:jc w:val="center"/>
        <w:rPr>
          <w:rFonts w:hint="eastAsia"/>
          <w:b/>
          <w:bCs/>
          <w:color w:val="auto"/>
          <w:sz w:val="24"/>
          <w:szCs w:val="24"/>
          <w:highlight w:val="none"/>
        </w:rPr>
      </w:pPr>
    </w:p>
    <w:p>
      <w:pPr>
        <w:pStyle w:val="34"/>
        <w:shd w:val="clear"/>
        <w:snapToGrid w:val="0"/>
        <w:spacing w:line="400" w:lineRule="exact"/>
        <w:jc w:val="center"/>
        <w:rPr>
          <w:b/>
          <w:bCs/>
          <w:color w:val="auto"/>
          <w:sz w:val="24"/>
          <w:szCs w:val="24"/>
          <w:highlight w:val="none"/>
        </w:rPr>
        <w:sectPr>
          <w:pgSz w:w="11906" w:h="16838"/>
          <w:pgMar w:top="1418" w:right="1083" w:bottom="1418" w:left="1083" w:header="851" w:footer="992" w:gutter="0"/>
          <w:cols w:space="720" w:num="1"/>
          <w:docGrid w:type="lines" w:linePitch="312" w:charSpace="0"/>
        </w:sectPr>
      </w:pPr>
    </w:p>
    <w:p>
      <w:pPr>
        <w:pStyle w:val="34"/>
        <w:shd w:val="clear"/>
        <w:spacing w:line="600" w:lineRule="exact"/>
        <w:jc w:val="center"/>
        <w:outlineLvl w:val="1"/>
        <w:rPr>
          <w:rFonts w:hint="eastAsia"/>
          <w:b/>
          <w:bCs/>
          <w:color w:val="auto"/>
          <w:sz w:val="32"/>
          <w:highlight w:val="none"/>
        </w:rPr>
      </w:pPr>
      <w:bookmarkStart w:id="415" w:name="_Toc69645079"/>
      <w:r>
        <w:rPr>
          <w:rFonts w:hint="eastAsia"/>
          <w:b/>
          <w:bCs/>
          <w:color w:val="auto"/>
          <w:sz w:val="32"/>
          <w:highlight w:val="none"/>
        </w:rPr>
        <w:t>第二部分 通用条款（略)</w:t>
      </w:r>
      <w:bookmarkEnd w:id="415"/>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w:t>
      </w:r>
      <w:bookmarkStart w:id="416" w:name="_Toc303538975"/>
      <w:bookmarkEnd w:id="416"/>
      <w:bookmarkStart w:id="417" w:name="_Toc303538974"/>
      <w:bookmarkEnd w:id="417"/>
      <w:bookmarkStart w:id="418" w:name="_Toc303538976"/>
      <w:bookmarkEnd w:id="418"/>
      <w:bookmarkStart w:id="419" w:name="_Toc303538972"/>
      <w:bookmarkEnd w:id="419"/>
      <w:bookmarkStart w:id="420" w:name="_Toc303538973"/>
      <w:bookmarkEnd w:id="420"/>
      <w:bookmarkStart w:id="421" w:name="_Toc296346528"/>
      <w:bookmarkStart w:id="422" w:name="_Toc296503027"/>
      <w:r>
        <w:rPr>
          <w:rFonts w:hint="eastAsia" w:ascii="宋体" w:hAnsi="宋体" w:eastAsia="宋体" w:cs="宋体"/>
          <w:b/>
          <w:bCs/>
          <w:color w:val="auto"/>
          <w:highlight w:val="none"/>
        </w:rPr>
        <w:t xml:space="preserve"> 一般约定</w:t>
      </w:r>
      <w:bookmarkEnd w:id="421"/>
      <w:bookmarkEnd w:id="422"/>
      <w:bookmarkStart w:id="423" w:name="_Toc296503028"/>
      <w:bookmarkStart w:id="424" w:name="_Toc337558728"/>
      <w:bookmarkStart w:id="425" w:name="_Toc296346529"/>
      <w:bookmarkStart w:id="426" w:name="_Toc37694994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1.1词语定义</w:t>
      </w:r>
      <w:bookmarkEnd w:id="423"/>
      <w:bookmarkEnd w:id="424"/>
      <w:bookmarkEnd w:id="425"/>
      <w:r>
        <w:rPr>
          <w:rFonts w:hint="eastAsia" w:ascii="宋体" w:hAnsi="宋体" w:eastAsia="宋体" w:cs="宋体"/>
          <w:color w:val="auto"/>
          <w:highlight w:val="none"/>
        </w:rPr>
        <w:t>与解释</w:t>
      </w:r>
      <w:bookmarkEnd w:id="426"/>
      <w:bookmarkStart w:id="427" w:name="_Toc296503029"/>
      <w:bookmarkStart w:id="428" w:name="_Toc376949944"/>
      <w:bookmarkStart w:id="429" w:name="_Toc337558729"/>
      <w:bookmarkStart w:id="430" w:name="_Toc29634653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1.2语言文字</w:t>
      </w:r>
      <w:bookmarkEnd w:id="427"/>
      <w:bookmarkEnd w:id="428"/>
      <w:bookmarkEnd w:id="429"/>
      <w:bookmarkEnd w:id="430"/>
      <w:bookmarkStart w:id="431" w:name="_Toc337558730"/>
      <w:bookmarkStart w:id="432" w:name="_Toc296503030"/>
      <w:bookmarkStart w:id="433" w:name="_Toc376949945"/>
      <w:bookmarkStart w:id="434" w:name="_Toc29634653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1.3法律</w:t>
      </w:r>
      <w:bookmarkEnd w:id="431"/>
      <w:bookmarkEnd w:id="432"/>
      <w:bookmarkEnd w:id="433"/>
      <w:bookmarkEnd w:id="434"/>
      <w:bookmarkStart w:id="435" w:name="_Toc37694994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1.4 标准和规范</w:t>
      </w:r>
      <w:bookmarkEnd w:id="435"/>
      <w:bookmarkStart w:id="436" w:name="_Toc37694994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437" w:name="_Toc337558731"/>
      <w:bookmarkStart w:id="438" w:name="_Toc296346532"/>
      <w:bookmarkStart w:id="439" w:name="_Toc296503031"/>
      <w:r>
        <w:rPr>
          <w:rFonts w:hint="eastAsia" w:ascii="宋体" w:hAnsi="宋体" w:eastAsia="宋体" w:cs="宋体"/>
          <w:color w:val="auto"/>
          <w:highlight w:val="none"/>
        </w:rPr>
        <w:t>.5 合同文件的优先顺序</w:t>
      </w:r>
      <w:bookmarkEnd w:id="436"/>
      <w:bookmarkEnd w:id="437"/>
      <w:bookmarkEnd w:id="438"/>
      <w:bookmarkEnd w:id="439"/>
      <w:bookmarkStart w:id="440" w:name="_Toc376949948"/>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441" w:name="_Toc337558732"/>
      <w:bookmarkStart w:id="442" w:name="_Toc296346533"/>
      <w:bookmarkStart w:id="443" w:name="_Toc296503032"/>
      <w:r>
        <w:rPr>
          <w:rFonts w:hint="eastAsia" w:ascii="宋体" w:hAnsi="宋体" w:eastAsia="宋体" w:cs="宋体"/>
          <w:color w:val="auto"/>
          <w:highlight w:val="none"/>
        </w:rPr>
        <w:t>.6图纸和承包人文件</w:t>
      </w:r>
      <w:bookmarkEnd w:id="440"/>
      <w:bookmarkEnd w:id="441"/>
      <w:bookmarkEnd w:id="442"/>
      <w:bookmarkEnd w:id="44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444" w:name="_Toc376949949"/>
      <w:r>
        <w:rPr>
          <w:rFonts w:hint="eastAsia" w:ascii="宋体" w:hAnsi="宋体" w:eastAsia="宋体" w:cs="宋体"/>
          <w:color w:val="auto"/>
          <w:highlight w:val="none"/>
        </w:rPr>
        <w:t>1</w:t>
      </w:r>
      <w:bookmarkStart w:id="445" w:name="_Toc337558733"/>
      <w:bookmarkStart w:id="446" w:name="_Toc296346534"/>
      <w:bookmarkStart w:id="447" w:name="_Toc296503033"/>
      <w:r>
        <w:rPr>
          <w:rFonts w:hint="eastAsia" w:ascii="宋体" w:hAnsi="宋体" w:eastAsia="宋体" w:cs="宋体"/>
          <w:color w:val="auto"/>
          <w:highlight w:val="none"/>
        </w:rPr>
        <w:t>.7联络</w:t>
      </w:r>
      <w:bookmarkEnd w:id="444"/>
      <w:bookmarkEnd w:id="445"/>
      <w:bookmarkEnd w:id="446"/>
      <w:bookmarkEnd w:id="447"/>
      <w:bookmarkStart w:id="448" w:name="_Toc37694995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449" w:name="_Toc296346536"/>
      <w:bookmarkStart w:id="450" w:name="_Toc296503035"/>
      <w:bookmarkStart w:id="451" w:name="_Toc337558734"/>
      <w:r>
        <w:rPr>
          <w:rFonts w:hint="eastAsia" w:ascii="宋体" w:hAnsi="宋体" w:eastAsia="宋体" w:cs="宋体"/>
          <w:color w:val="auto"/>
          <w:highlight w:val="none"/>
        </w:rPr>
        <w:t>.8严禁贿赂</w:t>
      </w:r>
      <w:bookmarkEnd w:id="448"/>
      <w:bookmarkEnd w:id="449"/>
      <w:bookmarkEnd w:id="450"/>
      <w:bookmarkEnd w:id="451"/>
      <w:bookmarkStart w:id="452" w:name="_Toc37694995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453" w:name="_Toc296346537"/>
      <w:bookmarkStart w:id="454" w:name="_Toc296503036"/>
      <w:bookmarkStart w:id="455" w:name="_Toc337558735"/>
      <w:r>
        <w:rPr>
          <w:rFonts w:hint="eastAsia" w:ascii="宋体" w:hAnsi="宋体" w:eastAsia="宋体" w:cs="宋体"/>
          <w:color w:val="auto"/>
          <w:highlight w:val="none"/>
        </w:rPr>
        <w:t>.9化石、文物</w:t>
      </w:r>
      <w:bookmarkEnd w:id="452"/>
      <w:bookmarkEnd w:id="453"/>
      <w:bookmarkEnd w:id="454"/>
      <w:bookmarkEnd w:id="455"/>
      <w:bookmarkStart w:id="456" w:name="_Toc37694995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457" w:name="_Toc337558736"/>
      <w:r>
        <w:rPr>
          <w:rFonts w:hint="eastAsia" w:ascii="宋体" w:hAnsi="宋体" w:eastAsia="宋体" w:cs="宋体"/>
          <w:color w:val="auto"/>
          <w:highlight w:val="none"/>
        </w:rPr>
        <w:t>.10交通运输</w:t>
      </w:r>
      <w:bookmarkEnd w:id="456"/>
      <w:bookmarkEnd w:id="457"/>
      <w:bookmarkStart w:id="458" w:name="_Toc37694995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459" w:name="_Toc337558737"/>
      <w:bookmarkStart w:id="460" w:name="_Toc296346538"/>
      <w:bookmarkStart w:id="461" w:name="_Toc296503037"/>
      <w:r>
        <w:rPr>
          <w:rFonts w:hint="eastAsia" w:ascii="宋体" w:hAnsi="宋体" w:eastAsia="宋体" w:cs="宋体"/>
          <w:color w:val="auto"/>
          <w:highlight w:val="none"/>
        </w:rPr>
        <w:t>.11知识产权</w:t>
      </w:r>
      <w:bookmarkEnd w:id="458"/>
      <w:bookmarkEnd w:id="459"/>
      <w:bookmarkEnd w:id="460"/>
      <w:bookmarkEnd w:id="461"/>
      <w:bookmarkStart w:id="462" w:name="_Toc376949956"/>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2</w:t>
      </w:r>
      <w:bookmarkStart w:id="463" w:name="_Toc296503038"/>
      <w:bookmarkStart w:id="464" w:name="_Toc296346539"/>
      <w:bookmarkStart w:id="465" w:name="_Toc337558739"/>
      <w:bookmarkStart w:id="466" w:name="OLE_LINK2"/>
      <w:r>
        <w:rPr>
          <w:rFonts w:hint="eastAsia" w:ascii="宋体" w:hAnsi="宋体" w:eastAsia="宋体" w:cs="宋体"/>
          <w:b/>
          <w:bCs/>
          <w:color w:val="auto"/>
          <w:highlight w:val="none"/>
        </w:rPr>
        <w:t>. 发包人</w:t>
      </w:r>
      <w:bookmarkEnd w:id="462"/>
      <w:bookmarkEnd w:id="463"/>
      <w:bookmarkEnd w:id="464"/>
      <w:bookmarkEnd w:id="465"/>
      <w:bookmarkStart w:id="467" w:name="_Toc37694995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bookmarkStart w:id="468" w:name="_Toc296503039"/>
      <w:bookmarkStart w:id="469" w:name="_Toc337558740"/>
      <w:bookmarkStart w:id="470" w:name="_Toc296346540"/>
      <w:r>
        <w:rPr>
          <w:rFonts w:hint="eastAsia" w:ascii="宋体" w:hAnsi="宋体" w:eastAsia="宋体" w:cs="宋体"/>
          <w:color w:val="auto"/>
          <w:highlight w:val="none"/>
        </w:rPr>
        <w:t>.1 许可或批准</w:t>
      </w:r>
      <w:bookmarkEnd w:id="467"/>
      <w:bookmarkStart w:id="471" w:name="_Toc376949958"/>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2.2 发包人代表</w:t>
      </w:r>
      <w:bookmarkEnd w:id="471"/>
      <w:bookmarkStart w:id="472" w:name="_Toc37694995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2.3 发包人人员</w:t>
      </w:r>
      <w:bookmarkEnd w:id="468"/>
      <w:bookmarkEnd w:id="469"/>
      <w:bookmarkEnd w:id="470"/>
      <w:bookmarkEnd w:id="472"/>
      <w:bookmarkStart w:id="473" w:name="_Toc37694996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bookmarkStart w:id="474" w:name="_Toc296503040"/>
      <w:bookmarkStart w:id="475" w:name="_Toc296346541"/>
      <w:bookmarkStart w:id="476" w:name="_Toc337558741"/>
      <w:r>
        <w:rPr>
          <w:rFonts w:hint="eastAsia" w:ascii="宋体" w:hAnsi="宋体" w:eastAsia="宋体" w:cs="宋体"/>
          <w:color w:val="auto"/>
          <w:highlight w:val="none"/>
        </w:rPr>
        <w:t>.4 施工现场、施工条件和基础资料的提供</w:t>
      </w:r>
      <w:bookmarkEnd w:id="466"/>
      <w:bookmarkEnd w:id="473"/>
      <w:bookmarkEnd w:id="474"/>
      <w:bookmarkEnd w:id="475"/>
      <w:bookmarkEnd w:id="476"/>
      <w:bookmarkStart w:id="477" w:name="_Toc37694996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bookmarkStart w:id="478" w:name="_Toc296503042"/>
      <w:bookmarkStart w:id="479" w:name="_Toc296346543"/>
      <w:bookmarkStart w:id="480" w:name="_Toc337558745"/>
      <w:r>
        <w:rPr>
          <w:rFonts w:hint="eastAsia" w:ascii="宋体" w:hAnsi="宋体" w:eastAsia="宋体" w:cs="宋体"/>
          <w:color w:val="auto"/>
          <w:highlight w:val="none"/>
        </w:rPr>
        <w:t>.5 资</w:t>
      </w:r>
      <w:bookmarkEnd w:id="478"/>
      <w:bookmarkEnd w:id="479"/>
      <w:bookmarkEnd w:id="480"/>
      <w:r>
        <w:rPr>
          <w:rFonts w:hint="eastAsia" w:ascii="宋体" w:hAnsi="宋体" w:eastAsia="宋体" w:cs="宋体"/>
          <w:color w:val="auto"/>
          <w:highlight w:val="none"/>
        </w:rPr>
        <w:t>金来源证明及支付担保</w:t>
      </w:r>
      <w:bookmarkEnd w:id="477"/>
      <w:bookmarkStart w:id="481" w:name="_Toc37694996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2.6 支付合同价款</w:t>
      </w:r>
      <w:bookmarkEnd w:id="481"/>
      <w:bookmarkStart w:id="482" w:name="_Toc37694996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2.7 组织竣工验收</w:t>
      </w:r>
      <w:bookmarkEnd w:id="482"/>
      <w:bookmarkStart w:id="483" w:name="_Toc37694996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2.8 现场统一管理协议</w:t>
      </w:r>
      <w:bookmarkEnd w:id="483"/>
      <w:bookmarkStart w:id="484" w:name="_Toc376949965"/>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3</w:t>
      </w:r>
      <w:bookmarkStart w:id="485" w:name="_Toc337558746"/>
      <w:bookmarkStart w:id="486" w:name="_Toc296346546"/>
      <w:bookmarkStart w:id="487" w:name="_Toc296503045"/>
      <w:r>
        <w:rPr>
          <w:rFonts w:hint="eastAsia" w:ascii="宋体" w:hAnsi="宋体" w:eastAsia="宋体" w:cs="宋体"/>
          <w:b/>
          <w:bCs/>
          <w:color w:val="auto"/>
          <w:highlight w:val="none"/>
        </w:rPr>
        <w:t>. 承包人</w:t>
      </w:r>
      <w:bookmarkEnd w:id="484"/>
      <w:bookmarkEnd w:id="485"/>
      <w:bookmarkEnd w:id="486"/>
      <w:bookmarkEnd w:id="487"/>
      <w:bookmarkStart w:id="488" w:name="_Toc37694996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bookmarkStart w:id="489" w:name="_Toc296346547"/>
      <w:bookmarkStart w:id="490" w:name="_Toc337558747"/>
      <w:bookmarkStart w:id="491" w:name="_Toc296503046"/>
      <w:r>
        <w:rPr>
          <w:rFonts w:hint="eastAsia" w:ascii="宋体" w:hAnsi="宋体" w:eastAsia="宋体" w:cs="宋体"/>
          <w:color w:val="auto"/>
          <w:highlight w:val="none"/>
        </w:rPr>
        <w:t>.1 承包人的一般义务</w:t>
      </w:r>
      <w:bookmarkEnd w:id="488"/>
      <w:bookmarkEnd w:id="489"/>
      <w:bookmarkEnd w:id="490"/>
      <w:bookmarkEnd w:id="491"/>
      <w:bookmarkStart w:id="492" w:name="_Toc37694996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bookmarkStart w:id="493" w:name="_Toc296346548"/>
      <w:bookmarkStart w:id="494" w:name="_Toc296503047"/>
      <w:bookmarkStart w:id="495" w:name="_Toc337558748"/>
      <w:r>
        <w:rPr>
          <w:rFonts w:hint="eastAsia" w:ascii="宋体" w:hAnsi="宋体" w:eastAsia="宋体" w:cs="宋体"/>
          <w:color w:val="auto"/>
          <w:highlight w:val="none"/>
        </w:rPr>
        <w:t>.2 项目经理</w:t>
      </w:r>
      <w:bookmarkEnd w:id="492"/>
      <w:bookmarkEnd w:id="493"/>
      <w:bookmarkEnd w:id="494"/>
      <w:bookmarkEnd w:id="495"/>
      <w:bookmarkStart w:id="496" w:name="_Toc376949968"/>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bookmarkStart w:id="497" w:name="_Toc296346549"/>
      <w:bookmarkStart w:id="498" w:name="_Toc296503048"/>
      <w:bookmarkStart w:id="499" w:name="_Toc337558749"/>
      <w:r>
        <w:rPr>
          <w:rFonts w:hint="eastAsia" w:ascii="宋体" w:hAnsi="宋体" w:eastAsia="宋体" w:cs="宋体"/>
          <w:color w:val="auto"/>
          <w:highlight w:val="none"/>
        </w:rPr>
        <w:t xml:space="preserve">.3 </w:t>
      </w:r>
      <w:bookmarkEnd w:id="497"/>
      <w:bookmarkEnd w:id="498"/>
      <w:r>
        <w:rPr>
          <w:rFonts w:hint="eastAsia" w:ascii="宋体" w:hAnsi="宋体" w:eastAsia="宋体" w:cs="宋体"/>
          <w:color w:val="auto"/>
          <w:highlight w:val="none"/>
        </w:rPr>
        <w:t>承包人人员</w:t>
      </w:r>
      <w:bookmarkEnd w:id="496"/>
      <w:bookmarkEnd w:id="499"/>
      <w:bookmarkStart w:id="500" w:name="_Toc37694996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bookmarkStart w:id="501" w:name="_Toc337558750"/>
      <w:bookmarkStart w:id="502" w:name="_Toc296346551"/>
      <w:bookmarkStart w:id="503" w:name="_Toc296503050"/>
      <w:r>
        <w:rPr>
          <w:rFonts w:hint="eastAsia" w:ascii="宋体" w:hAnsi="宋体" w:eastAsia="宋体" w:cs="宋体"/>
          <w:color w:val="auto"/>
          <w:highlight w:val="none"/>
        </w:rPr>
        <w:t>.4 承包人现场查勘</w:t>
      </w:r>
      <w:bookmarkEnd w:id="500"/>
      <w:bookmarkEnd w:id="501"/>
      <w:bookmarkEnd w:id="502"/>
      <w:bookmarkEnd w:id="503"/>
      <w:bookmarkStart w:id="504" w:name="_Toc37694997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bookmarkStart w:id="505" w:name="_Toc296503051"/>
      <w:bookmarkStart w:id="506" w:name="_Toc296346552"/>
      <w:bookmarkStart w:id="507" w:name="_Toc337558751"/>
      <w:r>
        <w:rPr>
          <w:rFonts w:hint="eastAsia" w:ascii="宋体" w:hAnsi="宋体" w:eastAsia="宋体" w:cs="宋体"/>
          <w:color w:val="auto"/>
          <w:highlight w:val="none"/>
        </w:rPr>
        <w:t>.5 分包</w:t>
      </w:r>
      <w:bookmarkEnd w:id="504"/>
      <w:bookmarkEnd w:id="505"/>
      <w:bookmarkEnd w:id="506"/>
      <w:bookmarkEnd w:id="507"/>
      <w:bookmarkStart w:id="508" w:name="_Toc37694997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3.6 工程照管与成品、半成品保护</w:t>
      </w:r>
      <w:bookmarkEnd w:id="508"/>
      <w:bookmarkStart w:id="509" w:name="_Toc37694997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bookmarkStart w:id="510" w:name="_Toc296346553"/>
      <w:bookmarkStart w:id="511" w:name="_Toc296503052"/>
      <w:bookmarkStart w:id="512" w:name="_Toc337558752"/>
      <w:r>
        <w:rPr>
          <w:rFonts w:hint="eastAsia" w:ascii="宋体" w:hAnsi="宋体" w:eastAsia="宋体" w:cs="宋体"/>
          <w:color w:val="auto"/>
          <w:highlight w:val="none"/>
        </w:rPr>
        <w:t>.7 履约担保</w:t>
      </w:r>
      <w:bookmarkEnd w:id="509"/>
      <w:bookmarkEnd w:id="510"/>
      <w:bookmarkEnd w:id="511"/>
      <w:bookmarkEnd w:id="512"/>
      <w:bookmarkStart w:id="513" w:name="_Toc37694997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3.8 联合体</w:t>
      </w:r>
      <w:bookmarkEnd w:id="513"/>
      <w:bookmarkStart w:id="514" w:name="_Toc376949974"/>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4</w:t>
      </w:r>
      <w:bookmarkStart w:id="515" w:name="_Toc296503053"/>
      <w:bookmarkStart w:id="516" w:name="_Toc296346554"/>
      <w:bookmarkStart w:id="517" w:name="_Toc337558753"/>
      <w:r>
        <w:rPr>
          <w:rFonts w:hint="eastAsia" w:ascii="宋体" w:hAnsi="宋体" w:eastAsia="宋体" w:cs="宋体"/>
          <w:b/>
          <w:bCs/>
          <w:color w:val="auto"/>
          <w:highlight w:val="none"/>
        </w:rPr>
        <w:t>. 监</w:t>
      </w:r>
      <w:bookmarkEnd w:id="515"/>
      <w:bookmarkEnd w:id="516"/>
      <w:r>
        <w:rPr>
          <w:rFonts w:hint="eastAsia" w:ascii="宋体" w:hAnsi="宋体" w:eastAsia="宋体" w:cs="宋体"/>
          <w:b/>
          <w:bCs/>
          <w:color w:val="auto"/>
          <w:highlight w:val="none"/>
        </w:rPr>
        <w:t>理人</w:t>
      </w:r>
      <w:bookmarkEnd w:id="514"/>
      <w:bookmarkEnd w:id="517"/>
      <w:bookmarkStart w:id="518" w:name="_Toc376949975"/>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bookmarkStart w:id="519" w:name="_Toc296346555"/>
      <w:bookmarkStart w:id="520" w:name="_Toc296503054"/>
      <w:bookmarkStart w:id="521" w:name="_Toc337558754"/>
      <w:r>
        <w:rPr>
          <w:rFonts w:hint="eastAsia" w:ascii="宋体" w:hAnsi="宋体" w:eastAsia="宋体" w:cs="宋体"/>
          <w:color w:val="auto"/>
          <w:highlight w:val="none"/>
        </w:rPr>
        <w:t>.1监理人的一般规定</w:t>
      </w:r>
      <w:bookmarkEnd w:id="518"/>
      <w:bookmarkEnd w:id="519"/>
      <w:bookmarkEnd w:id="520"/>
      <w:bookmarkEnd w:id="521"/>
      <w:bookmarkStart w:id="522" w:name="_Toc37694997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bookmarkStart w:id="523" w:name="_Toc337558755"/>
      <w:r>
        <w:rPr>
          <w:rFonts w:hint="eastAsia" w:ascii="宋体" w:hAnsi="宋体" w:eastAsia="宋体" w:cs="宋体"/>
          <w:color w:val="auto"/>
          <w:highlight w:val="none"/>
        </w:rPr>
        <w:t>.2监理人员</w:t>
      </w:r>
      <w:bookmarkEnd w:id="522"/>
      <w:bookmarkEnd w:id="523"/>
      <w:bookmarkStart w:id="524" w:name="_Toc37694997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bookmarkStart w:id="525" w:name="_Toc296346556"/>
      <w:bookmarkStart w:id="526" w:name="_Toc296503055"/>
      <w:bookmarkStart w:id="527" w:name="_Toc337558756"/>
      <w:r>
        <w:rPr>
          <w:rFonts w:hint="eastAsia" w:ascii="宋体" w:hAnsi="宋体" w:eastAsia="宋体" w:cs="宋体"/>
          <w:color w:val="auto"/>
          <w:highlight w:val="none"/>
        </w:rPr>
        <w:t>.3</w:t>
      </w:r>
      <w:bookmarkEnd w:id="525"/>
      <w:bookmarkEnd w:id="526"/>
      <w:r>
        <w:rPr>
          <w:rFonts w:hint="eastAsia" w:ascii="宋体" w:hAnsi="宋体" w:eastAsia="宋体" w:cs="宋体"/>
          <w:color w:val="auto"/>
          <w:highlight w:val="none"/>
        </w:rPr>
        <w:t>监理人的指</w:t>
      </w:r>
      <w:bookmarkEnd w:id="527"/>
      <w:r>
        <w:rPr>
          <w:rFonts w:hint="eastAsia" w:ascii="宋体" w:hAnsi="宋体" w:eastAsia="宋体" w:cs="宋体"/>
          <w:color w:val="auto"/>
          <w:highlight w:val="none"/>
        </w:rPr>
        <w:t>示</w:t>
      </w:r>
      <w:bookmarkEnd w:id="524"/>
      <w:bookmarkStart w:id="528" w:name="_Toc376949978"/>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w:t>
      </w:r>
      <w:bookmarkStart w:id="529" w:name="_Toc296346558"/>
      <w:bookmarkStart w:id="530" w:name="_Toc296503057"/>
      <w:bookmarkStart w:id="531" w:name="_Toc337558757"/>
      <w:r>
        <w:rPr>
          <w:rFonts w:hint="eastAsia" w:ascii="宋体" w:hAnsi="宋体" w:eastAsia="宋体" w:cs="宋体"/>
          <w:color w:val="auto"/>
          <w:highlight w:val="none"/>
        </w:rPr>
        <w:t>.4 商定或确定</w:t>
      </w:r>
      <w:bookmarkEnd w:id="528"/>
      <w:bookmarkEnd w:id="529"/>
      <w:bookmarkEnd w:id="530"/>
      <w:bookmarkEnd w:id="531"/>
      <w:bookmarkStart w:id="532" w:name="_Toc376949979"/>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5</w:t>
      </w:r>
      <w:bookmarkStart w:id="533" w:name="_Toc337558758"/>
      <w:r>
        <w:rPr>
          <w:rFonts w:hint="eastAsia" w:ascii="宋体" w:hAnsi="宋体" w:eastAsia="宋体" w:cs="宋体"/>
          <w:b/>
          <w:bCs/>
          <w:color w:val="auto"/>
          <w:highlight w:val="none"/>
        </w:rPr>
        <w:t>. 工程质量</w:t>
      </w:r>
      <w:bookmarkEnd w:id="532"/>
      <w:bookmarkEnd w:id="533"/>
      <w:bookmarkStart w:id="534" w:name="_Toc37694998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bookmarkStart w:id="535" w:name="_Toc337558759"/>
      <w:r>
        <w:rPr>
          <w:rFonts w:hint="eastAsia" w:ascii="宋体" w:hAnsi="宋体" w:eastAsia="宋体" w:cs="宋体"/>
          <w:color w:val="auto"/>
          <w:highlight w:val="none"/>
        </w:rPr>
        <w:t>.1质量要求</w:t>
      </w:r>
      <w:bookmarkEnd w:id="534"/>
      <w:bookmarkEnd w:id="535"/>
      <w:bookmarkStart w:id="536" w:name="_Toc37694998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bookmarkStart w:id="537" w:name="_Toc337558760"/>
      <w:r>
        <w:rPr>
          <w:rFonts w:hint="eastAsia" w:ascii="宋体" w:hAnsi="宋体" w:eastAsia="宋体" w:cs="宋体"/>
          <w:color w:val="auto"/>
          <w:highlight w:val="none"/>
        </w:rPr>
        <w:t>.2质量保证措施</w:t>
      </w:r>
      <w:bookmarkEnd w:id="536"/>
      <w:bookmarkEnd w:id="537"/>
      <w:bookmarkStart w:id="538" w:name="_Toc37694998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bookmarkStart w:id="539" w:name="_Toc337558761"/>
      <w:r>
        <w:rPr>
          <w:rFonts w:hint="eastAsia" w:ascii="宋体" w:hAnsi="宋体" w:eastAsia="宋体" w:cs="宋体"/>
          <w:color w:val="auto"/>
          <w:highlight w:val="none"/>
        </w:rPr>
        <w:t>.3 隐蔽工程检查</w:t>
      </w:r>
      <w:bookmarkEnd w:id="538"/>
      <w:bookmarkEnd w:id="539"/>
      <w:bookmarkStart w:id="540" w:name="_Toc37694998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bookmarkStart w:id="541" w:name="_Toc337558762"/>
      <w:r>
        <w:rPr>
          <w:rFonts w:hint="eastAsia" w:ascii="宋体" w:hAnsi="宋体" w:eastAsia="宋体" w:cs="宋体"/>
          <w:color w:val="auto"/>
          <w:highlight w:val="none"/>
        </w:rPr>
        <w:t>.4不合格工程的处理</w:t>
      </w:r>
      <w:bookmarkEnd w:id="540"/>
      <w:bookmarkEnd w:id="541"/>
      <w:bookmarkStart w:id="542" w:name="_Toc37694998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5.5 质量争议检测</w:t>
      </w:r>
      <w:bookmarkEnd w:id="542"/>
      <w:bookmarkStart w:id="543" w:name="_Toc376949985"/>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6</w:t>
      </w:r>
      <w:bookmarkStart w:id="544" w:name="_Toc337558763"/>
      <w:r>
        <w:rPr>
          <w:rFonts w:hint="eastAsia" w:ascii="宋体" w:hAnsi="宋体" w:eastAsia="宋体" w:cs="宋体"/>
          <w:b/>
          <w:bCs/>
          <w:color w:val="auto"/>
          <w:highlight w:val="none"/>
        </w:rPr>
        <w:t>. 安全文明施工与环境保护</w:t>
      </w:r>
      <w:bookmarkEnd w:id="543"/>
      <w:bookmarkEnd w:id="544"/>
      <w:bookmarkStart w:id="545" w:name="_Toc37694998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w:t>
      </w:r>
      <w:bookmarkStart w:id="546" w:name="_Toc337558764"/>
      <w:r>
        <w:rPr>
          <w:rFonts w:hint="eastAsia" w:ascii="宋体" w:hAnsi="宋体" w:eastAsia="宋体" w:cs="宋体"/>
          <w:color w:val="auto"/>
          <w:highlight w:val="none"/>
        </w:rPr>
        <w:t>.1安全文明施工</w:t>
      </w:r>
      <w:bookmarkEnd w:id="545"/>
      <w:bookmarkEnd w:id="546"/>
      <w:bookmarkStart w:id="547" w:name="_Toc37694998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w:t>
      </w:r>
      <w:bookmarkStart w:id="548" w:name="_Toc337558765"/>
      <w:r>
        <w:rPr>
          <w:rFonts w:hint="eastAsia" w:ascii="宋体" w:hAnsi="宋体" w:eastAsia="宋体" w:cs="宋体"/>
          <w:color w:val="auto"/>
          <w:highlight w:val="none"/>
        </w:rPr>
        <w:t>.2 职业健康</w:t>
      </w:r>
      <w:bookmarkEnd w:id="547"/>
      <w:bookmarkEnd w:id="548"/>
      <w:bookmarkStart w:id="549" w:name="_Toc376949988"/>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w:t>
      </w:r>
      <w:bookmarkStart w:id="550" w:name="_Toc337558766"/>
      <w:r>
        <w:rPr>
          <w:rFonts w:hint="eastAsia" w:ascii="宋体" w:hAnsi="宋体" w:eastAsia="宋体" w:cs="宋体"/>
          <w:color w:val="auto"/>
          <w:highlight w:val="none"/>
        </w:rPr>
        <w:t>.3 环境保护</w:t>
      </w:r>
      <w:bookmarkEnd w:id="549"/>
      <w:bookmarkEnd w:id="550"/>
      <w:bookmarkStart w:id="551" w:name="_Toc376949989"/>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7</w:t>
      </w:r>
      <w:bookmarkStart w:id="552" w:name="_Toc337558767"/>
      <w:r>
        <w:rPr>
          <w:rFonts w:hint="eastAsia" w:ascii="宋体" w:hAnsi="宋体" w:eastAsia="宋体" w:cs="宋体"/>
          <w:b/>
          <w:bCs/>
          <w:color w:val="auto"/>
          <w:highlight w:val="none"/>
        </w:rPr>
        <w:t>. 工期和进度</w:t>
      </w:r>
      <w:bookmarkEnd w:id="551"/>
      <w:bookmarkEnd w:id="552"/>
      <w:bookmarkStart w:id="553" w:name="_Toc37694999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bookmarkStart w:id="554" w:name="_Toc337558768"/>
      <w:bookmarkStart w:id="555" w:name="_Toc296346567"/>
      <w:bookmarkStart w:id="556" w:name="_Toc296503066"/>
      <w:r>
        <w:rPr>
          <w:rFonts w:hint="eastAsia" w:ascii="宋体" w:hAnsi="宋体" w:eastAsia="宋体" w:cs="宋体"/>
          <w:color w:val="auto"/>
          <w:highlight w:val="none"/>
        </w:rPr>
        <w:t>.1施工组织设计</w:t>
      </w:r>
      <w:bookmarkEnd w:id="553"/>
      <w:bookmarkEnd w:id="554"/>
      <w:bookmarkStart w:id="557" w:name="_Toc37694999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bookmarkStart w:id="558" w:name="_Toc337558769"/>
      <w:r>
        <w:rPr>
          <w:rFonts w:hint="eastAsia" w:ascii="宋体" w:hAnsi="宋体" w:eastAsia="宋体" w:cs="宋体"/>
          <w:color w:val="auto"/>
          <w:highlight w:val="none"/>
        </w:rPr>
        <w:t>.2 施工进度计划</w:t>
      </w:r>
      <w:bookmarkEnd w:id="557"/>
      <w:bookmarkEnd w:id="558"/>
      <w:bookmarkStart w:id="559" w:name="_Toc37694999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bookmarkStart w:id="560" w:name="_Toc337558770"/>
      <w:r>
        <w:rPr>
          <w:rFonts w:hint="eastAsia" w:ascii="宋体" w:hAnsi="宋体" w:eastAsia="宋体" w:cs="宋体"/>
          <w:color w:val="auto"/>
          <w:highlight w:val="none"/>
        </w:rPr>
        <w:t>.3 开工</w:t>
      </w:r>
      <w:bookmarkEnd w:id="559"/>
      <w:bookmarkEnd w:id="560"/>
      <w:bookmarkStart w:id="561" w:name="_Toc37694999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7.4测量放线</w:t>
      </w:r>
      <w:bookmarkEnd w:id="561"/>
      <w:bookmarkStart w:id="562" w:name="_Toc37694999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bookmarkEnd w:id="555"/>
      <w:bookmarkEnd w:id="556"/>
      <w:bookmarkStart w:id="563" w:name="_Toc296346574"/>
      <w:bookmarkStart w:id="564" w:name="_Toc337558772"/>
      <w:bookmarkStart w:id="565" w:name="_Toc296503073"/>
      <w:r>
        <w:rPr>
          <w:rFonts w:hint="eastAsia" w:ascii="宋体" w:hAnsi="宋体" w:eastAsia="宋体" w:cs="宋体"/>
          <w:color w:val="auto"/>
          <w:highlight w:val="none"/>
        </w:rPr>
        <w:t>.5 工期延误</w:t>
      </w:r>
      <w:bookmarkEnd w:id="562"/>
      <w:bookmarkEnd w:id="563"/>
      <w:bookmarkEnd w:id="564"/>
      <w:bookmarkEnd w:id="565"/>
      <w:bookmarkStart w:id="566" w:name="_Toc376949995"/>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bookmarkStart w:id="567" w:name="_Toc296503074"/>
      <w:bookmarkStart w:id="568" w:name="_Toc337558773"/>
      <w:bookmarkStart w:id="569" w:name="_Toc296346575"/>
      <w:bookmarkStart w:id="570" w:name="_Toc296346578"/>
      <w:bookmarkStart w:id="571" w:name="_Toc296503077"/>
      <w:r>
        <w:rPr>
          <w:rFonts w:hint="eastAsia" w:ascii="宋体" w:hAnsi="宋体" w:eastAsia="宋体" w:cs="宋体"/>
          <w:color w:val="auto"/>
          <w:highlight w:val="none"/>
        </w:rPr>
        <w:t>.6 不利物质条件</w:t>
      </w:r>
      <w:bookmarkEnd w:id="566"/>
      <w:bookmarkEnd w:id="567"/>
      <w:bookmarkEnd w:id="568"/>
      <w:bookmarkEnd w:id="569"/>
      <w:bookmarkStart w:id="572" w:name="_Toc37694999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bookmarkStart w:id="573" w:name="_Toc337558774"/>
      <w:bookmarkStart w:id="574" w:name="_Toc296503075"/>
      <w:bookmarkStart w:id="575" w:name="_Toc296346576"/>
      <w:r>
        <w:rPr>
          <w:rFonts w:hint="eastAsia" w:ascii="宋体" w:hAnsi="宋体" w:eastAsia="宋体" w:cs="宋体"/>
          <w:color w:val="auto"/>
          <w:highlight w:val="none"/>
        </w:rPr>
        <w:t>.7 异常恶劣的气候条件</w:t>
      </w:r>
      <w:bookmarkEnd w:id="572"/>
      <w:bookmarkEnd w:id="573"/>
      <w:bookmarkEnd w:id="574"/>
      <w:bookmarkEnd w:id="575"/>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w:t>
      </w:r>
      <w:bookmarkStart w:id="576" w:name="_Toc337558775"/>
      <w:r>
        <w:rPr>
          <w:rFonts w:hint="eastAsia" w:ascii="宋体" w:hAnsi="宋体" w:eastAsia="宋体" w:cs="宋体"/>
          <w:color w:val="auto"/>
          <w:highlight w:val="none"/>
        </w:rPr>
        <w:t>.8 暂停施工</w:t>
      </w:r>
      <w:bookmarkEnd w:id="570"/>
      <w:bookmarkEnd w:id="571"/>
      <w:bookmarkEnd w:id="576"/>
      <w:bookmarkStart w:id="577" w:name="_Toc37694999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7.9提前竣工</w:t>
      </w:r>
      <w:bookmarkEnd w:id="577"/>
      <w:bookmarkStart w:id="578" w:name="_Toc376949998"/>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8</w:t>
      </w:r>
      <w:bookmarkStart w:id="579" w:name="_Toc296503058"/>
      <w:bookmarkStart w:id="580" w:name="_Toc337558776"/>
      <w:bookmarkStart w:id="581" w:name="_Toc296346559"/>
      <w:r>
        <w:rPr>
          <w:rFonts w:hint="eastAsia" w:ascii="宋体" w:hAnsi="宋体" w:eastAsia="宋体" w:cs="宋体"/>
          <w:b/>
          <w:bCs/>
          <w:color w:val="auto"/>
          <w:highlight w:val="none"/>
        </w:rPr>
        <w:t>. 材料与设备</w:t>
      </w:r>
      <w:bookmarkEnd w:id="578"/>
      <w:bookmarkEnd w:id="579"/>
      <w:bookmarkEnd w:id="580"/>
      <w:bookmarkEnd w:id="581"/>
      <w:bookmarkStart w:id="582" w:name="_Toc37694999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w:t>
      </w:r>
      <w:bookmarkStart w:id="583" w:name="_Toc296346560"/>
      <w:bookmarkStart w:id="584" w:name="_Toc296503059"/>
      <w:bookmarkStart w:id="585" w:name="_Toc337558777"/>
      <w:bookmarkStart w:id="586" w:name="_Toc468936960"/>
      <w:r>
        <w:rPr>
          <w:rFonts w:hint="eastAsia" w:ascii="宋体" w:hAnsi="宋体" w:eastAsia="宋体" w:cs="宋体"/>
          <w:color w:val="auto"/>
          <w:highlight w:val="none"/>
        </w:rPr>
        <w:t>.1发包人供应材料与工程设备</w:t>
      </w:r>
      <w:bookmarkEnd w:id="582"/>
      <w:bookmarkEnd w:id="583"/>
      <w:bookmarkEnd w:id="584"/>
      <w:bookmarkEnd w:id="585"/>
      <w:bookmarkStart w:id="587" w:name="_Toc37695000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w:t>
      </w:r>
      <w:bookmarkStart w:id="588" w:name="_Toc337558778"/>
      <w:bookmarkStart w:id="589" w:name="_Toc296346561"/>
      <w:bookmarkStart w:id="590" w:name="_Toc296503060"/>
      <w:r>
        <w:rPr>
          <w:rFonts w:hint="eastAsia" w:ascii="宋体" w:hAnsi="宋体" w:eastAsia="宋体" w:cs="宋体"/>
          <w:color w:val="auto"/>
          <w:highlight w:val="none"/>
        </w:rPr>
        <w:t>.2承包人采购材料与工程设备</w:t>
      </w:r>
      <w:bookmarkEnd w:id="587"/>
      <w:bookmarkEnd w:id="588"/>
      <w:bookmarkEnd w:id="589"/>
      <w:bookmarkEnd w:id="590"/>
      <w:bookmarkStart w:id="591" w:name="_Toc37695000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w:t>
      </w:r>
      <w:bookmarkStart w:id="592" w:name="_Toc296346562"/>
      <w:bookmarkStart w:id="593" w:name="_Toc337558779"/>
      <w:bookmarkStart w:id="594" w:name="_Toc296503061"/>
      <w:r>
        <w:rPr>
          <w:rFonts w:hint="eastAsia" w:ascii="宋体" w:hAnsi="宋体" w:eastAsia="宋体" w:cs="宋体"/>
          <w:color w:val="auto"/>
          <w:highlight w:val="none"/>
        </w:rPr>
        <w:t>.3材料与工程设备的接收与拒收</w:t>
      </w:r>
      <w:bookmarkEnd w:id="591"/>
      <w:bookmarkEnd w:id="592"/>
      <w:bookmarkEnd w:id="593"/>
      <w:bookmarkEnd w:id="594"/>
      <w:bookmarkStart w:id="595" w:name="_Toc37695000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w:t>
      </w:r>
      <w:bookmarkStart w:id="596" w:name="_Toc337558780"/>
      <w:bookmarkStart w:id="597" w:name="_Toc296503062"/>
      <w:bookmarkStart w:id="598" w:name="_Toc296346563"/>
      <w:r>
        <w:rPr>
          <w:rFonts w:hint="eastAsia" w:ascii="宋体" w:hAnsi="宋体" w:eastAsia="宋体" w:cs="宋体"/>
          <w:color w:val="auto"/>
          <w:highlight w:val="none"/>
        </w:rPr>
        <w:t>.4材料与工程设备的保管与使用</w:t>
      </w:r>
      <w:bookmarkEnd w:id="595"/>
      <w:bookmarkEnd w:id="596"/>
      <w:bookmarkEnd w:id="597"/>
      <w:bookmarkEnd w:id="598"/>
      <w:bookmarkStart w:id="599" w:name="_Toc37695000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8.5禁止使用不合格的材料和工程设备</w:t>
      </w:r>
      <w:bookmarkEnd w:id="599"/>
      <w:bookmarkStart w:id="600" w:name="_Toc37695000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8.6 样品</w:t>
      </w:r>
      <w:bookmarkEnd w:id="600"/>
      <w:bookmarkStart w:id="601" w:name="_Toc376950005"/>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8.7材料与工程设备的替代</w:t>
      </w:r>
      <w:bookmarkEnd w:id="601"/>
      <w:bookmarkStart w:id="602" w:name="_Toc37695000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8.8施工设备和临时设施</w:t>
      </w:r>
      <w:bookmarkEnd w:id="602"/>
      <w:bookmarkStart w:id="603" w:name="_Toc37695000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8</w:t>
      </w:r>
      <w:bookmarkStart w:id="604" w:name="_Toc296346564"/>
      <w:bookmarkStart w:id="605" w:name="_Toc296503063"/>
      <w:bookmarkStart w:id="606" w:name="_Toc337558781"/>
      <w:r>
        <w:rPr>
          <w:rFonts w:hint="eastAsia" w:ascii="宋体" w:hAnsi="宋体" w:eastAsia="宋体" w:cs="宋体"/>
          <w:color w:val="auto"/>
          <w:highlight w:val="none"/>
        </w:rPr>
        <w:t>.9材料与设备专用要求</w:t>
      </w:r>
      <w:bookmarkEnd w:id="586"/>
      <w:bookmarkEnd w:id="603"/>
      <w:bookmarkEnd w:id="604"/>
      <w:bookmarkEnd w:id="605"/>
      <w:bookmarkEnd w:id="606"/>
      <w:bookmarkStart w:id="607" w:name="_Toc376950008"/>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9</w:t>
      </w:r>
      <w:bookmarkStart w:id="608" w:name="_Toc337558782"/>
      <w:bookmarkStart w:id="609" w:name="_Toc296503083"/>
      <w:bookmarkStart w:id="610" w:name="_Toc296346584"/>
      <w:r>
        <w:rPr>
          <w:rFonts w:hint="eastAsia" w:ascii="宋体" w:hAnsi="宋体" w:eastAsia="宋体" w:cs="宋体"/>
          <w:b/>
          <w:bCs/>
          <w:color w:val="auto"/>
          <w:highlight w:val="none"/>
        </w:rPr>
        <w:t>. 试验与检验</w:t>
      </w:r>
      <w:bookmarkEnd w:id="607"/>
      <w:bookmarkEnd w:id="608"/>
      <w:bookmarkStart w:id="611" w:name="_Toc37695000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9</w:t>
      </w:r>
      <w:bookmarkStart w:id="612" w:name="_Toc337558783"/>
      <w:r>
        <w:rPr>
          <w:rFonts w:hint="eastAsia" w:ascii="宋体" w:hAnsi="宋体" w:eastAsia="宋体" w:cs="宋体"/>
          <w:color w:val="auto"/>
          <w:highlight w:val="none"/>
        </w:rPr>
        <w:t>.1试验设备与试验人员</w:t>
      </w:r>
      <w:bookmarkEnd w:id="611"/>
      <w:bookmarkEnd w:id="612"/>
      <w:bookmarkStart w:id="613" w:name="_Toc37695001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9</w:t>
      </w:r>
      <w:bookmarkStart w:id="614" w:name="_Toc337558784"/>
      <w:r>
        <w:rPr>
          <w:rFonts w:hint="eastAsia" w:ascii="宋体" w:hAnsi="宋体" w:eastAsia="宋体" w:cs="宋体"/>
          <w:color w:val="auto"/>
          <w:highlight w:val="none"/>
        </w:rPr>
        <w:t>.2取样</w:t>
      </w:r>
      <w:bookmarkEnd w:id="613"/>
      <w:bookmarkEnd w:id="614"/>
      <w:bookmarkStart w:id="615" w:name="_Toc37695001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9</w:t>
      </w:r>
      <w:bookmarkStart w:id="616" w:name="_Toc337558785"/>
      <w:r>
        <w:rPr>
          <w:rFonts w:hint="eastAsia" w:ascii="宋体" w:hAnsi="宋体" w:eastAsia="宋体" w:cs="宋体"/>
          <w:color w:val="auto"/>
          <w:highlight w:val="none"/>
        </w:rPr>
        <w:t>.3材料、工程设备和工程的试验和检验</w:t>
      </w:r>
      <w:bookmarkEnd w:id="615"/>
      <w:bookmarkEnd w:id="616"/>
      <w:bookmarkStart w:id="617" w:name="_Toc37695001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9</w:t>
      </w:r>
      <w:bookmarkStart w:id="618" w:name="_Toc337558786"/>
      <w:r>
        <w:rPr>
          <w:rFonts w:hint="eastAsia" w:ascii="宋体" w:hAnsi="宋体" w:eastAsia="宋体" w:cs="宋体"/>
          <w:color w:val="auto"/>
          <w:highlight w:val="none"/>
        </w:rPr>
        <w:t>.4现场工艺试验</w:t>
      </w:r>
      <w:bookmarkEnd w:id="617"/>
      <w:bookmarkEnd w:id="618"/>
      <w:bookmarkStart w:id="619" w:name="_Toc376950013"/>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w:t>
      </w:r>
      <w:bookmarkStart w:id="620" w:name="_Toc337558787"/>
      <w:r>
        <w:rPr>
          <w:rFonts w:hint="eastAsia" w:ascii="宋体" w:hAnsi="宋体" w:eastAsia="宋体" w:cs="宋体"/>
          <w:b/>
          <w:bCs/>
          <w:color w:val="auto"/>
          <w:highlight w:val="none"/>
        </w:rPr>
        <w:t>0. 变更</w:t>
      </w:r>
      <w:bookmarkEnd w:id="609"/>
      <w:bookmarkEnd w:id="610"/>
      <w:bookmarkEnd w:id="619"/>
      <w:bookmarkEnd w:id="62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621" w:name="_Toc376950014"/>
      <w:r>
        <w:rPr>
          <w:rFonts w:hint="eastAsia" w:ascii="宋体" w:hAnsi="宋体" w:eastAsia="宋体" w:cs="宋体"/>
          <w:color w:val="auto"/>
          <w:highlight w:val="none"/>
        </w:rPr>
        <w:t>1</w:t>
      </w:r>
      <w:bookmarkStart w:id="622" w:name="_Toc296346585"/>
      <w:bookmarkStart w:id="623" w:name="_Toc296503084"/>
      <w:bookmarkStart w:id="624" w:name="_Toc337558788"/>
      <w:r>
        <w:rPr>
          <w:rFonts w:hint="eastAsia" w:ascii="宋体" w:hAnsi="宋体" w:eastAsia="宋体" w:cs="宋体"/>
          <w:color w:val="auto"/>
          <w:highlight w:val="none"/>
        </w:rPr>
        <w:t>0.1变更的范围</w:t>
      </w:r>
      <w:bookmarkEnd w:id="621"/>
      <w:bookmarkEnd w:id="622"/>
      <w:bookmarkEnd w:id="623"/>
      <w:bookmarkEnd w:id="624"/>
      <w:bookmarkStart w:id="625" w:name="_Toc376950015"/>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626" w:name="_Toc296346586"/>
      <w:bookmarkStart w:id="627" w:name="_Toc296503085"/>
      <w:bookmarkStart w:id="628" w:name="_Toc337558789"/>
      <w:r>
        <w:rPr>
          <w:rFonts w:hint="eastAsia" w:ascii="宋体" w:hAnsi="宋体" w:eastAsia="宋体" w:cs="宋体"/>
          <w:color w:val="auto"/>
          <w:highlight w:val="none"/>
        </w:rPr>
        <w:t>0.2变更权</w:t>
      </w:r>
      <w:bookmarkEnd w:id="625"/>
      <w:bookmarkEnd w:id="626"/>
      <w:bookmarkEnd w:id="627"/>
      <w:bookmarkEnd w:id="628"/>
      <w:bookmarkStart w:id="629" w:name="_Toc37695001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630" w:name="_Toc296346587"/>
      <w:bookmarkStart w:id="631" w:name="_Toc337558790"/>
      <w:bookmarkStart w:id="632" w:name="_Toc296503086"/>
      <w:r>
        <w:rPr>
          <w:rFonts w:hint="eastAsia" w:ascii="宋体" w:hAnsi="宋体" w:eastAsia="宋体" w:cs="宋体"/>
          <w:color w:val="auto"/>
          <w:highlight w:val="none"/>
        </w:rPr>
        <w:t>0.3变更程序</w:t>
      </w:r>
      <w:bookmarkEnd w:id="629"/>
      <w:bookmarkEnd w:id="630"/>
      <w:bookmarkEnd w:id="631"/>
      <w:bookmarkEnd w:id="632"/>
      <w:bookmarkStart w:id="633" w:name="_Toc37695001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634" w:name="_Toc296503087"/>
      <w:bookmarkStart w:id="635" w:name="_Toc296346588"/>
      <w:bookmarkStart w:id="636" w:name="_Toc337558791"/>
      <w:r>
        <w:rPr>
          <w:rFonts w:hint="eastAsia" w:ascii="宋体" w:hAnsi="宋体" w:eastAsia="宋体" w:cs="宋体"/>
          <w:color w:val="auto"/>
          <w:highlight w:val="none"/>
        </w:rPr>
        <w:t>0.4变更估价</w:t>
      </w:r>
      <w:bookmarkEnd w:id="633"/>
      <w:bookmarkEnd w:id="634"/>
      <w:bookmarkEnd w:id="635"/>
      <w:bookmarkEnd w:id="63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637" w:name="_Toc376950018"/>
      <w:r>
        <w:rPr>
          <w:rFonts w:hint="eastAsia" w:ascii="宋体" w:hAnsi="宋体" w:eastAsia="宋体" w:cs="宋体"/>
          <w:color w:val="auto"/>
          <w:highlight w:val="none"/>
        </w:rPr>
        <w:t>1</w:t>
      </w:r>
      <w:bookmarkStart w:id="638" w:name="_Toc337558792"/>
      <w:bookmarkStart w:id="639" w:name="_Toc296503094"/>
      <w:bookmarkStart w:id="640" w:name="_Toc296346595"/>
      <w:r>
        <w:rPr>
          <w:rFonts w:hint="eastAsia" w:ascii="宋体" w:hAnsi="宋体" w:eastAsia="宋体" w:cs="宋体"/>
          <w:color w:val="auto"/>
          <w:highlight w:val="none"/>
        </w:rPr>
        <w:t>0.5承包人的合理化建议</w:t>
      </w:r>
      <w:bookmarkEnd w:id="637"/>
      <w:bookmarkEnd w:id="638"/>
      <w:bookmarkEnd w:id="639"/>
      <w:bookmarkEnd w:id="640"/>
      <w:bookmarkStart w:id="641" w:name="_Toc37695001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642" w:name="_Toc337558793"/>
      <w:r>
        <w:rPr>
          <w:rFonts w:hint="eastAsia" w:ascii="宋体" w:hAnsi="宋体" w:eastAsia="宋体" w:cs="宋体"/>
          <w:color w:val="auto"/>
          <w:highlight w:val="none"/>
        </w:rPr>
        <w:t>0.6变更引起的工期调整</w:t>
      </w:r>
      <w:bookmarkEnd w:id="641"/>
      <w:bookmarkEnd w:id="642"/>
      <w:bookmarkStart w:id="643" w:name="_Toc37695002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10.7暂估价</w:t>
      </w:r>
      <w:bookmarkEnd w:id="643"/>
      <w:bookmarkStart w:id="644" w:name="_Toc37695002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645" w:name="_Toc296346591"/>
      <w:bookmarkStart w:id="646" w:name="_Toc296503090"/>
      <w:bookmarkStart w:id="647" w:name="_Toc322522561"/>
      <w:bookmarkStart w:id="648" w:name="_Toc337558794"/>
      <w:r>
        <w:rPr>
          <w:rFonts w:hint="eastAsia" w:ascii="宋体" w:hAnsi="宋体" w:eastAsia="宋体" w:cs="宋体"/>
          <w:color w:val="auto"/>
          <w:highlight w:val="none"/>
        </w:rPr>
        <w:t>0.8暂列金额</w:t>
      </w:r>
      <w:bookmarkEnd w:id="644"/>
      <w:bookmarkEnd w:id="645"/>
      <w:bookmarkEnd w:id="646"/>
      <w:bookmarkEnd w:id="647"/>
      <w:bookmarkEnd w:id="648"/>
      <w:bookmarkStart w:id="649" w:name="_Toc37695002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bookmarkStart w:id="650" w:name="_Toc296346592"/>
      <w:bookmarkStart w:id="651" w:name="_Toc337558796"/>
      <w:bookmarkStart w:id="652" w:name="_Toc296503091"/>
      <w:r>
        <w:rPr>
          <w:rFonts w:hint="eastAsia" w:ascii="宋体" w:hAnsi="宋体" w:eastAsia="宋体" w:cs="宋体"/>
          <w:color w:val="auto"/>
          <w:highlight w:val="none"/>
        </w:rPr>
        <w:t>0.9计日工</w:t>
      </w:r>
      <w:bookmarkEnd w:id="649"/>
      <w:r>
        <w:rPr>
          <w:rFonts w:hint="eastAsia" w:ascii="宋体" w:hAnsi="宋体" w:eastAsia="宋体" w:cs="宋体"/>
          <w:color w:val="auto"/>
          <w:highlight w:val="none"/>
        </w:rPr>
        <w:t xml:space="preserve"> </w:t>
      </w:r>
      <w:bookmarkEnd w:id="650"/>
      <w:bookmarkEnd w:id="651"/>
      <w:bookmarkEnd w:id="652"/>
      <w:bookmarkStart w:id="653" w:name="_Toc376950023"/>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11. 价格调整</w:t>
      </w:r>
      <w:bookmarkEnd w:id="653"/>
      <w:bookmarkStart w:id="654" w:name="_Toc376950024"/>
      <w:bookmarkStart w:id="655" w:name="_Toc296346593"/>
      <w:bookmarkStart w:id="656" w:name="_Toc296503092"/>
      <w:bookmarkStart w:id="657" w:name="_Toc33755879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11.1市场价格波动引起的调整</w:t>
      </w:r>
      <w:bookmarkEnd w:id="654"/>
      <w:bookmarkEnd w:id="655"/>
      <w:bookmarkEnd w:id="656"/>
      <w:bookmarkEnd w:id="657"/>
      <w:bookmarkStart w:id="658" w:name="_Toc296503093"/>
      <w:bookmarkStart w:id="659" w:name="_Toc337558798"/>
      <w:bookmarkStart w:id="660" w:name="_Toc376950025"/>
      <w:bookmarkStart w:id="661" w:name="_Toc29634659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11.2法律变化引起的调整</w:t>
      </w:r>
      <w:bookmarkEnd w:id="658"/>
      <w:bookmarkEnd w:id="659"/>
      <w:bookmarkEnd w:id="660"/>
      <w:bookmarkEnd w:id="661"/>
      <w:bookmarkStart w:id="662" w:name="_Toc337558799"/>
      <w:bookmarkStart w:id="663" w:name="_Toc376950026"/>
      <w:bookmarkStart w:id="664" w:name="_Toc296503096"/>
      <w:bookmarkStart w:id="665" w:name="_Toc296346597"/>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12. 合同价格、计量与支付</w:t>
      </w:r>
      <w:bookmarkEnd w:id="662"/>
      <w:bookmarkEnd w:id="663"/>
      <w:bookmarkStart w:id="666" w:name="_Toc376950027"/>
      <w:bookmarkStart w:id="667" w:name="_Toc33755880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12.1 合同价</w:t>
      </w:r>
      <w:bookmarkEnd w:id="664"/>
      <w:bookmarkEnd w:id="665"/>
      <w:r>
        <w:rPr>
          <w:rFonts w:hint="eastAsia" w:ascii="宋体" w:hAnsi="宋体" w:eastAsia="宋体" w:cs="宋体"/>
          <w:color w:val="auto"/>
          <w:highlight w:val="none"/>
        </w:rPr>
        <w:t>格形式</w:t>
      </w:r>
      <w:bookmarkEnd w:id="666"/>
      <w:bookmarkEnd w:id="667"/>
      <w:bookmarkStart w:id="668" w:name="_Toc296503097"/>
      <w:bookmarkStart w:id="669" w:name="_Toc296346598"/>
      <w:bookmarkStart w:id="670" w:name="_Toc376950028"/>
      <w:bookmarkStart w:id="671" w:name="_Toc33755880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12.2预</w:t>
      </w:r>
      <w:bookmarkEnd w:id="668"/>
      <w:bookmarkEnd w:id="669"/>
      <w:bookmarkStart w:id="672" w:name="_Toc296346601"/>
      <w:bookmarkStart w:id="673" w:name="_Toc296503100"/>
      <w:r>
        <w:rPr>
          <w:rFonts w:hint="eastAsia" w:ascii="宋体" w:hAnsi="宋体" w:eastAsia="宋体" w:cs="宋体"/>
          <w:color w:val="auto"/>
          <w:highlight w:val="none"/>
        </w:rPr>
        <w:t>付款</w:t>
      </w:r>
      <w:bookmarkEnd w:id="670"/>
      <w:bookmarkEnd w:id="671"/>
      <w:bookmarkEnd w:id="672"/>
      <w:bookmarkEnd w:id="673"/>
      <w:bookmarkStart w:id="674" w:name="_Toc376950029"/>
      <w:bookmarkStart w:id="675" w:name="_Toc33755880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12.3计量</w:t>
      </w:r>
      <w:bookmarkEnd w:id="674"/>
      <w:bookmarkEnd w:id="675"/>
      <w:bookmarkStart w:id="676" w:name="_Toc296346602"/>
      <w:bookmarkStart w:id="677" w:name="_Toc296503101"/>
      <w:bookmarkStart w:id="678" w:name="_Toc376950030"/>
      <w:bookmarkStart w:id="679" w:name="_Toc33755880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12.4工程进度款支</w:t>
      </w:r>
      <w:bookmarkEnd w:id="676"/>
      <w:bookmarkEnd w:id="677"/>
      <w:r>
        <w:rPr>
          <w:rFonts w:hint="eastAsia" w:ascii="宋体" w:hAnsi="宋体" w:eastAsia="宋体" w:cs="宋体"/>
          <w:color w:val="auto"/>
          <w:highlight w:val="none"/>
        </w:rPr>
        <w:t>付</w:t>
      </w:r>
      <w:bookmarkEnd w:id="678"/>
      <w:bookmarkEnd w:id="679"/>
      <w:bookmarkStart w:id="680" w:name="_Toc37695003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12.5支付账户</w:t>
      </w:r>
      <w:bookmarkEnd w:id="680"/>
      <w:bookmarkStart w:id="681" w:name="_Toc322522574"/>
      <w:bookmarkStart w:id="682" w:name="_Toc337558804"/>
      <w:bookmarkStart w:id="683" w:name="_Toc376950032"/>
      <w:bookmarkStart w:id="684" w:name="_Toc296503106"/>
      <w:bookmarkStart w:id="685" w:name="_Toc296346607"/>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13. 验收和工程试车</w:t>
      </w:r>
      <w:bookmarkEnd w:id="681"/>
      <w:bookmarkEnd w:id="682"/>
      <w:bookmarkEnd w:id="683"/>
      <w:bookmarkEnd w:id="684"/>
      <w:bookmarkEnd w:id="685"/>
      <w:bookmarkStart w:id="686" w:name="_Toc337558805"/>
      <w:bookmarkStart w:id="687" w:name="_Toc376950033"/>
      <w:bookmarkStart w:id="688" w:name="_Toc296503110"/>
      <w:bookmarkStart w:id="689" w:name="_Toc29634661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13.1分部分项工程验收</w:t>
      </w:r>
      <w:bookmarkEnd w:id="686"/>
      <w:bookmarkEnd w:id="687"/>
      <w:bookmarkStart w:id="690" w:name="_Toc337558806"/>
      <w:bookmarkStart w:id="691" w:name="_Toc37695003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13.2竣工验收</w:t>
      </w:r>
      <w:bookmarkEnd w:id="688"/>
      <w:bookmarkEnd w:id="689"/>
      <w:bookmarkEnd w:id="690"/>
      <w:bookmarkEnd w:id="691"/>
      <w:bookmarkStart w:id="692" w:name="_Toc296503111"/>
      <w:bookmarkStart w:id="693" w:name="_Toc337558807"/>
      <w:bookmarkStart w:id="694" w:name="_Toc296346612"/>
      <w:bookmarkStart w:id="695" w:name="_Toc376950035"/>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13.3工程试车</w:t>
      </w:r>
      <w:bookmarkEnd w:id="692"/>
      <w:bookmarkEnd w:id="693"/>
      <w:bookmarkEnd w:id="694"/>
      <w:bookmarkEnd w:id="695"/>
      <w:bookmarkStart w:id="696" w:name="_Toc337558808"/>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697" w:name="_Toc376950036"/>
      <w:r>
        <w:rPr>
          <w:rFonts w:hint="eastAsia" w:ascii="宋体" w:hAnsi="宋体" w:eastAsia="宋体" w:cs="宋体"/>
          <w:color w:val="auto"/>
          <w:highlight w:val="none"/>
        </w:rPr>
        <w:t>13.4提前交付单位工程的验收</w:t>
      </w:r>
      <w:bookmarkEnd w:id="696"/>
      <w:bookmarkEnd w:id="697"/>
      <w:bookmarkStart w:id="698" w:name="_Toc37695003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13.5 施工期运行</w:t>
      </w:r>
      <w:bookmarkEnd w:id="698"/>
      <w:bookmarkStart w:id="699" w:name="_Toc296503112"/>
      <w:bookmarkStart w:id="700" w:name="_Toc296346613"/>
      <w:bookmarkStart w:id="701" w:name="_Toc376950038"/>
      <w:bookmarkStart w:id="702" w:name="_Toc33755880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13.6 竣工退</w:t>
      </w:r>
      <w:bookmarkEnd w:id="699"/>
      <w:bookmarkEnd w:id="700"/>
      <w:r>
        <w:rPr>
          <w:rFonts w:hint="eastAsia" w:ascii="宋体" w:hAnsi="宋体" w:eastAsia="宋体" w:cs="宋体"/>
          <w:color w:val="auto"/>
          <w:highlight w:val="none"/>
        </w:rPr>
        <w:t>场</w:t>
      </w:r>
      <w:bookmarkEnd w:id="701"/>
      <w:bookmarkEnd w:id="702"/>
      <w:bookmarkStart w:id="703" w:name="_Toc376950039"/>
      <w:bookmarkStart w:id="704" w:name="_Toc337558810"/>
      <w:bookmarkStart w:id="705" w:name="_Toc296346614"/>
      <w:bookmarkStart w:id="706" w:name="_Toc296503113"/>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14. 竣工结算</w:t>
      </w:r>
      <w:bookmarkEnd w:id="703"/>
      <w:bookmarkEnd w:id="704"/>
      <w:bookmarkStart w:id="707" w:name="_Toc337558811"/>
      <w:bookmarkStart w:id="708" w:name="_Toc37695004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14.1 竣工结算申请</w:t>
      </w:r>
      <w:bookmarkEnd w:id="707"/>
      <w:bookmarkEnd w:id="708"/>
      <w:bookmarkStart w:id="709" w:name="_Toc337558812"/>
      <w:bookmarkStart w:id="710" w:name="_Toc376950041"/>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14.2 竣工结算审核</w:t>
      </w:r>
      <w:bookmarkEnd w:id="709"/>
      <w:bookmarkEnd w:id="710"/>
      <w:bookmarkStart w:id="711" w:name="_Toc376950042"/>
      <w:bookmarkStart w:id="712" w:name="_Toc337558813"/>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14.3 甩项竣工协议</w:t>
      </w:r>
      <w:bookmarkEnd w:id="711"/>
      <w:bookmarkEnd w:id="712"/>
      <w:bookmarkStart w:id="713" w:name="_Toc376950043"/>
      <w:bookmarkStart w:id="714" w:name="_Toc33755881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14.4 最终结清</w:t>
      </w:r>
      <w:bookmarkEnd w:id="713"/>
      <w:bookmarkEnd w:id="714"/>
      <w:bookmarkStart w:id="715" w:name="_Toc376950044"/>
      <w:bookmarkStart w:id="716" w:name="_Toc337558815"/>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15. 缺陷责任与保修</w:t>
      </w:r>
      <w:bookmarkEnd w:id="705"/>
      <w:bookmarkEnd w:id="706"/>
      <w:bookmarkEnd w:id="715"/>
      <w:bookmarkEnd w:id="716"/>
      <w:bookmarkStart w:id="717" w:name="_Toc376950045"/>
      <w:bookmarkStart w:id="718" w:name="_Toc337558816"/>
      <w:bookmarkStart w:id="719" w:name="_Toc296346615"/>
      <w:bookmarkStart w:id="720" w:name="_Toc29650311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15.1 工程保修的原则</w:t>
      </w:r>
      <w:bookmarkEnd w:id="717"/>
      <w:bookmarkEnd w:id="718"/>
      <w:bookmarkStart w:id="721" w:name="_Toc337558817"/>
      <w:bookmarkStart w:id="722" w:name="_Toc376950046"/>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15.2 缺陷责任期</w:t>
      </w:r>
      <w:bookmarkEnd w:id="719"/>
      <w:bookmarkEnd w:id="720"/>
      <w:bookmarkEnd w:id="721"/>
      <w:bookmarkEnd w:id="722"/>
      <w:bookmarkStart w:id="723" w:name="_Toc337558818"/>
      <w:bookmarkStart w:id="724" w:name="_Toc376950047"/>
      <w:bookmarkStart w:id="725" w:name="_Toc296346616"/>
      <w:bookmarkStart w:id="726" w:name="_Toc296503115"/>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15.3 质量保证金</w:t>
      </w:r>
      <w:bookmarkEnd w:id="723"/>
      <w:bookmarkEnd w:id="724"/>
      <w:bookmarkStart w:id="727" w:name="_Toc337558819"/>
      <w:bookmarkStart w:id="728" w:name="_Toc376950048"/>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15.4 保修</w:t>
      </w:r>
      <w:bookmarkEnd w:id="725"/>
      <w:bookmarkEnd w:id="726"/>
      <w:bookmarkEnd w:id="727"/>
      <w:bookmarkEnd w:id="728"/>
      <w:bookmarkStart w:id="729" w:name="_Toc376950049"/>
      <w:bookmarkStart w:id="730" w:name="_Toc337558820"/>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16. 违约</w:t>
      </w:r>
      <w:bookmarkEnd w:id="729"/>
      <w:bookmarkEnd w:id="730"/>
      <w:bookmarkStart w:id="731" w:name="_Toc296346630"/>
      <w:bookmarkStart w:id="732" w:name="_Toc296503129"/>
      <w:bookmarkStart w:id="733" w:name="_Toc337558821"/>
      <w:bookmarkStart w:id="734" w:name="_Toc37695005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16.1 发</w:t>
      </w:r>
      <w:bookmarkEnd w:id="731"/>
      <w:bookmarkEnd w:id="732"/>
      <w:r>
        <w:rPr>
          <w:rFonts w:hint="eastAsia" w:ascii="宋体" w:hAnsi="宋体" w:eastAsia="宋体" w:cs="宋体"/>
          <w:color w:val="auto"/>
          <w:highlight w:val="none"/>
        </w:rPr>
        <w:t>包人违约</w:t>
      </w:r>
      <w:bookmarkEnd w:id="733"/>
      <w:bookmarkEnd w:id="734"/>
      <w:bookmarkStart w:id="735" w:name="_Toc337558822"/>
      <w:bookmarkStart w:id="736" w:name="_Toc376950051"/>
      <w:bookmarkStart w:id="737" w:name="_Toc296503131"/>
      <w:bookmarkStart w:id="738" w:name="_Toc29634663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16.2 承包人违约</w:t>
      </w:r>
      <w:bookmarkEnd w:id="735"/>
      <w:bookmarkEnd w:id="736"/>
      <w:bookmarkEnd w:id="737"/>
      <w:bookmarkEnd w:id="738"/>
      <w:bookmarkStart w:id="739" w:name="_Toc37695005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16.3 第三人造成的违约</w:t>
      </w:r>
      <w:bookmarkEnd w:id="739"/>
      <w:bookmarkStart w:id="740" w:name="_Toc376950053"/>
      <w:bookmarkStart w:id="741" w:name="_Toc296503116"/>
      <w:bookmarkStart w:id="742" w:name="_Toc337558823"/>
      <w:bookmarkStart w:id="743" w:name="_Toc296346617"/>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17. 不可抗力</w:t>
      </w:r>
      <w:bookmarkEnd w:id="740"/>
      <w:r>
        <w:rPr>
          <w:rFonts w:hint="eastAsia" w:ascii="宋体" w:hAnsi="宋体" w:eastAsia="宋体" w:cs="宋体"/>
          <w:b/>
          <w:bCs/>
          <w:color w:val="auto"/>
          <w:highlight w:val="none"/>
        </w:rPr>
        <w:t xml:space="preserve"> </w:t>
      </w:r>
      <w:bookmarkEnd w:id="741"/>
      <w:bookmarkEnd w:id="742"/>
      <w:bookmarkEnd w:id="743"/>
      <w:bookmarkStart w:id="744" w:name="_Toc337558824"/>
      <w:bookmarkStart w:id="745" w:name="_Toc296346618"/>
      <w:bookmarkStart w:id="746" w:name="_Toc376950054"/>
      <w:bookmarkStart w:id="747" w:name="_Toc29650311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17.1 不可抗力的确认</w:t>
      </w:r>
      <w:bookmarkEnd w:id="744"/>
      <w:bookmarkEnd w:id="745"/>
      <w:bookmarkEnd w:id="746"/>
      <w:bookmarkEnd w:id="747"/>
      <w:bookmarkStart w:id="748" w:name="_Toc376950055"/>
      <w:bookmarkStart w:id="749" w:name="_Toc337558825"/>
      <w:bookmarkStart w:id="750" w:name="_Toc296503118"/>
      <w:bookmarkStart w:id="751" w:name="_Toc29634661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17.2 不可抗力的通知</w:t>
      </w:r>
      <w:bookmarkEnd w:id="748"/>
      <w:bookmarkEnd w:id="749"/>
      <w:bookmarkEnd w:id="750"/>
      <w:bookmarkEnd w:id="751"/>
      <w:bookmarkStart w:id="752" w:name="_Toc337558826"/>
      <w:bookmarkStart w:id="753" w:name="_Toc296503119"/>
      <w:bookmarkStart w:id="754" w:name="_Toc376950056"/>
      <w:bookmarkStart w:id="755" w:name="_Toc296346620"/>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17.3 不可抗力后果的承担</w:t>
      </w:r>
      <w:bookmarkEnd w:id="752"/>
      <w:bookmarkEnd w:id="753"/>
      <w:bookmarkEnd w:id="754"/>
      <w:bookmarkEnd w:id="755"/>
      <w:bookmarkStart w:id="756" w:name="_Toc337558827"/>
      <w:bookmarkStart w:id="757" w:name="_Toc376950057"/>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17.4 因不可抗力解除合同</w:t>
      </w:r>
      <w:bookmarkEnd w:id="756"/>
      <w:bookmarkEnd w:id="757"/>
      <w:bookmarkStart w:id="758" w:name="_Toc376950058"/>
      <w:bookmarkStart w:id="759" w:name="_Toc337558828"/>
      <w:bookmarkStart w:id="760" w:name="_Toc296503120"/>
      <w:bookmarkStart w:id="761" w:name="_Toc296346621"/>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r>
        <w:rPr>
          <w:rFonts w:hint="eastAsia" w:ascii="宋体" w:hAnsi="宋体" w:eastAsia="宋体" w:cs="宋体"/>
          <w:b/>
          <w:bCs/>
          <w:color w:val="auto"/>
          <w:highlight w:val="none"/>
        </w:rPr>
        <w:t>18. 保险</w:t>
      </w:r>
      <w:bookmarkEnd w:id="758"/>
      <w:bookmarkEnd w:id="759"/>
      <w:bookmarkEnd w:id="760"/>
      <w:bookmarkEnd w:id="761"/>
      <w:bookmarkStart w:id="762" w:name="_Toc296346622"/>
      <w:bookmarkStart w:id="763" w:name="_Toc296503121"/>
      <w:bookmarkStart w:id="764" w:name="_Toc376950059"/>
      <w:bookmarkStart w:id="765" w:name="_Toc337558829"/>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18.1 工程保险</w:t>
      </w:r>
      <w:bookmarkEnd w:id="762"/>
      <w:bookmarkEnd w:id="763"/>
      <w:bookmarkEnd w:id="764"/>
      <w:bookmarkEnd w:id="765"/>
      <w:bookmarkStart w:id="766" w:name="_Toc376950060"/>
      <w:bookmarkStart w:id="767" w:name="_Toc337558830"/>
      <w:bookmarkStart w:id="768" w:name="_Toc296346623"/>
      <w:bookmarkStart w:id="769" w:name="_Toc296503122"/>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18.2 工伤保险</w:t>
      </w:r>
      <w:bookmarkEnd w:id="766"/>
    </w:p>
    <w:bookmarkEnd w:id="767"/>
    <w:bookmarkEnd w:id="768"/>
    <w:bookmarkEnd w:id="769"/>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770" w:name="_Toc376950061"/>
      <w:bookmarkStart w:id="771" w:name="_Toc296346626"/>
      <w:bookmarkStart w:id="772" w:name="_Toc337558831"/>
      <w:bookmarkStart w:id="773" w:name="_Toc296503125"/>
      <w:r>
        <w:rPr>
          <w:rFonts w:hint="eastAsia" w:ascii="宋体" w:hAnsi="宋体" w:eastAsia="宋体" w:cs="宋体"/>
          <w:color w:val="auto"/>
          <w:highlight w:val="none"/>
        </w:rPr>
        <w:t>18.3其他保险</w:t>
      </w:r>
      <w:bookmarkEnd w:id="770"/>
    </w:p>
    <w:bookmarkEnd w:id="771"/>
    <w:bookmarkEnd w:id="772"/>
    <w:bookmarkEnd w:id="773"/>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774" w:name="_Toc376950062"/>
      <w:r>
        <w:rPr>
          <w:rFonts w:hint="eastAsia" w:ascii="宋体" w:hAnsi="宋体" w:eastAsia="宋体" w:cs="宋体"/>
          <w:color w:val="auto"/>
          <w:highlight w:val="none"/>
        </w:rPr>
        <w:t>18.4持续保险</w:t>
      </w:r>
      <w:bookmarkEnd w:id="774"/>
    </w:p>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775" w:name="_Toc376950063"/>
      <w:bookmarkStart w:id="776" w:name="_Toc296346627"/>
      <w:bookmarkStart w:id="777" w:name="_Toc296503126"/>
      <w:bookmarkStart w:id="778" w:name="_Toc337558832"/>
      <w:r>
        <w:rPr>
          <w:rFonts w:hint="eastAsia" w:ascii="宋体" w:hAnsi="宋体" w:eastAsia="宋体" w:cs="宋体"/>
          <w:color w:val="auto"/>
          <w:highlight w:val="none"/>
        </w:rPr>
        <w:t>18.5 保险凭证</w:t>
      </w:r>
      <w:bookmarkEnd w:id="775"/>
    </w:p>
    <w:bookmarkEnd w:id="776"/>
    <w:bookmarkEnd w:id="777"/>
    <w:bookmarkEnd w:id="778"/>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779" w:name="_Toc376950064"/>
      <w:bookmarkStart w:id="780" w:name="_Toc296346628"/>
      <w:bookmarkStart w:id="781" w:name="_Toc337558833"/>
      <w:bookmarkStart w:id="782" w:name="_Toc296503127"/>
      <w:r>
        <w:rPr>
          <w:rFonts w:hint="eastAsia" w:ascii="宋体" w:hAnsi="宋体" w:eastAsia="宋体" w:cs="宋体"/>
          <w:color w:val="auto"/>
          <w:highlight w:val="none"/>
        </w:rPr>
        <w:t>18.6 未按约定投保的补救</w:t>
      </w:r>
      <w:bookmarkEnd w:id="779"/>
    </w:p>
    <w:bookmarkEnd w:id="780"/>
    <w:bookmarkEnd w:id="781"/>
    <w:bookmarkEnd w:id="782"/>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783" w:name="_Toc376950065"/>
      <w:bookmarkStart w:id="784" w:name="_Toc337558834"/>
      <w:r>
        <w:rPr>
          <w:rFonts w:hint="eastAsia" w:ascii="宋体" w:hAnsi="宋体" w:eastAsia="宋体" w:cs="宋体"/>
          <w:color w:val="auto"/>
          <w:highlight w:val="none"/>
        </w:rPr>
        <w:t>18.7 通知义务</w:t>
      </w:r>
      <w:bookmarkEnd w:id="783"/>
    </w:p>
    <w:bookmarkEnd w:id="784"/>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bookmarkStart w:id="785" w:name="_Toc376950066"/>
      <w:bookmarkStart w:id="786" w:name="_Toc337558835"/>
      <w:bookmarkStart w:id="787" w:name="_Toc296503140"/>
      <w:bookmarkStart w:id="788" w:name="_Toc296346641"/>
      <w:r>
        <w:rPr>
          <w:rFonts w:hint="eastAsia" w:ascii="宋体" w:hAnsi="宋体" w:eastAsia="宋体" w:cs="宋体"/>
          <w:b/>
          <w:bCs/>
          <w:color w:val="auto"/>
          <w:highlight w:val="none"/>
        </w:rPr>
        <w:t>19. 索赔</w:t>
      </w:r>
      <w:bookmarkEnd w:id="785"/>
    </w:p>
    <w:bookmarkEnd w:id="786"/>
    <w:bookmarkEnd w:id="787"/>
    <w:bookmarkEnd w:id="788"/>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789" w:name="_Toc376950067"/>
      <w:bookmarkStart w:id="790" w:name="_Toc337558836"/>
      <w:bookmarkStart w:id="791" w:name="_Toc296503141"/>
      <w:bookmarkStart w:id="792" w:name="_Toc296346642"/>
      <w:r>
        <w:rPr>
          <w:rFonts w:hint="eastAsia" w:ascii="宋体" w:hAnsi="宋体" w:eastAsia="宋体" w:cs="宋体"/>
          <w:color w:val="auto"/>
          <w:highlight w:val="none"/>
        </w:rPr>
        <w:t>19.1承包人的索赔</w:t>
      </w:r>
      <w:bookmarkEnd w:id="789"/>
    </w:p>
    <w:bookmarkEnd w:id="790"/>
    <w:bookmarkEnd w:id="791"/>
    <w:bookmarkEnd w:id="792"/>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793" w:name="_Toc376950068"/>
      <w:bookmarkStart w:id="794" w:name="_Toc296503142"/>
      <w:bookmarkStart w:id="795" w:name="_Toc337558837"/>
      <w:bookmarkStart w:id="796" w:name="_Toc296346643"/>
      <w:r>
        <w:rPr>
          <w:rFonts w:hint="eastAsia" w:ascii="宋体" w:hAnsi="宋体" w:eastAsia="宋体" w:cs="宋体"/>
          <w:color w:val="auto"/>
          <w:highlight w:val="none"/>
        </w:rPr>
        <w:t>19.2 对承包人索赔的处理</w:t>
      </w:r>
      <w:bookmarkEnd w:id="793"/>
    </w:p>
    <w:bookmarkEnd w:id="794"/>
    <w:bookmarkEnd w:id="795"/>
    <w:bookmarkEnd w:id="796"/>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797" w:name="_Toc376950069"/>
      <w:bookmarkStart w:id="798" w:name="_Toc337558838"/>
      <w:bookmarkStart w:id="799" w:name="_Toc296503143"/>
      <w:bookmarkStart w:id="800" w:name="_Toc296346644"/>
      <w:r>
        <w:rPr>
          <w:rFonts w:hint="eastAsia" w:ascii="宋体" w:hAnsi="宋体" w:eastAsia="宋体" w:cs="宋体"/>
          <w:color w:val="auto"/>
          <w:highlight w:val="none"/>
        </w:rPr>
        <w:t>19.3发包人的索赔</w:t>
      </w:r>
      <w:bookmarkEnd w:id="797"/>
    </w:p>
    <w:bookmarkEnd w:id="798"/>
    <w:bookmarkEnd w:id="799"/>
    <w:bookmarkEnd w:id="800"/>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801" w:name="_Toc376950070"/>
      <w:bookmarkStart w:id="802" w:name="_Toc296346645"/>
      <w:bookmarkStart w:id="803" w:name="_Toc337558839"/>
      <w:bookmarkStart w:id="804" w:name="_Toc296503144"/>
      <w:r>
        <w:rPr>
          <w:rFonts w:hint="eastAsia" w:ascii="宋体" w:hAnsi="宋体" w:eastAsia="宋体" w:cs="宋体"/>
          <w:color w:val="auto"/>
          <w:highlight w:val="none"/>
        </w:rPr>
        <w:t>19.4 对发包人索赔的处理</w:t>
      </w:r>
      <w:bookmarkEnd w:id="801"/>
    </w:p>
    <w:bookmarkEnd w:id="802"/>
    <w:bookmarkEnd w:id="803"/>
    <w:bookmarkEnd w:id="804"/>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805" w:name="_Toc376950071"/>
      <w:r>
        <w:rPr>
          <w:rFonts w:hint="eastAsia" w:ascii="宋体" w:hAnsi="宋体" w:eastAsia="宋体" w:cs="宋体"/>
          <w:color w:val="auto"/>
          <w:highlight w:val="none"/>
        </w:rPr>
        <w:t>19.5 提出索赔的期限</w:t>
      </w:r>
      <w:bookmarkEnd w:id="805"/>
    </w:p>
    <w:p>
      <w:pPr>
        <w:keepNext w:val="0"/>
        <w:keepLines w:val="0"/>
        <w:pageBreakBefore w:val="0"/>
        <w:widowControl w:val="0"/>
        <w:shd w:val="clear"/>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auto"/>
          <w:highlight w:val="none"/>
        </w:rPr>
      </w:pPr>
      <w:bookmarkStart w:id="806" w:name="_Toc376950072"/>
      <w:r>
        <w:rPr>
          <w:rFonts w:hint="eastAsia" w:ascii="宋体" w:hAnsi="宋体" w:eastAsia="宋体" w:cs="宋体"/>
          <w:b/>
          <w:bCs/>
          <w:color w:val="auto"/>
          <w:highlight w:val="none"/>
        </w:rPr>
        <w:t>20</w:t>
      </w:r>
      <w:bookmarkStart w:id="807" w:name="_Toc296346647"/>
      <w:bookmarkStart w:id="808" w:name="_Toc337558840"/>
      <w:bookmarkStart w:id="809" w:name="_Toc296503146"/>
      <w:r>
        <w:rPr>
          <w:rFonts w:hint="eastAsia" w:ascii="宋体" w:hAnsi="宋体" w:eastAsia="宋体" w:cs="宋体"/>
          <w:b/>
          <w:bCs/>
          <w:color w:val="auto"/>
          <w:highlight w:val="none"/>
        </w:rPr>
        <w:t>. 争议解决</w:t>
      </w:r>
      <w:bookmarkEnd w:id="806"/>
    </w:p>
    <w:bookmarkEnd w:id="807"/>
    <w:bookmarkEnd w:id="808"/>
    <w:bookmarkEnd w:id="809"/>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810" w:name="_Toc376950073"/>
      <w:bookmarkStart w:id="811" w:name="_Toc337558841"/>
      <w:bookmarkStart w:id="812" w:name="_Toc296346648"/>
      <w:bookmarkStart w:id="813" w:name="_Toc296503147"/>
      <w:r>
        <w:rPr>
          <w:rFonts w:hint="eastAsia" w:ascii="宋体" w:hAnsi="宋体" w:eastAsia="宋体" w:cs="宋体"/>
          <w:color w:val="auto"/>
          <w:highlight w:val="none"/>
        </w:rPr>
        <w:t>20.1和解</w:t>
      </w:r>
      <w:bookmarkEnd w:id="810"/>
    </w:p>
    <w:bookmarkEnd w:id="811"/>
    <w:bookmarkEnd w:id="812"/>
    <w:bookmarkEnd w:id="813"/>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814" w:name="_Toc376950074"/>
      <w:r>
        <w:rPr>
          <w:rFonts w:hint="eastAsia" w:ascii="宋体" w:hAnsi="宋体" w:eastAsia="宋体" w:cs="宋体"/>
          <w:color w:val="auto"/>
          <w:highlight w:val="none"/>
        </w:rPr>
        <w:t>20</w:t>
      </w:r>
      <w:bookmarkStart w:id="815" w:name="_Toc296346649"/>
      <w:bookmarkStart w:id="816" w:name="_Toc296503148"/>
      <w:bookmarkStart w:id="817" w:name="_Toc337558842"/>
      <w:r>
        <w:rPr>
          <w:rFonts w:hint="eastAsia" w:ascii="宋体" w:hAnsi="宋体" w:eastAsia="宋体" w:cs="宋体"/>
          <w:color w:val="auto"/>
          <w:highlight w:val="none"/>
        </w:rPr>
        <w:t>.2调解</w:t>
      </w:r>
      <w:bookmarkEnd w:id="814"/>
    </w:p>
    <w:bookmarkEnd w:id="815"/>
    <w:bookmarkEnd w:id="816"/>
    <w:bookmarkEnd w:id="817"/>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auto"/>
          <w:highlight w:val="none"/>
        </w:rPr>
      </w:pPr>
      <w:bookmarkStart w:id="818" w:name="_Toc376950075"/>
      <w:bookmarkStart w:id="819" w:name="_Toc337558843"/>
      <w:bookmarkStart w:id="820" w:name="_Toc296503149"/>
      <w:bookmarkStart w:id="821" w:name="_Toc296346650"/>
      <w:r>
        <w:rPr>
          <w:rFonts w:hint="eastAsia" w:ascii="宋体" w:hAnsi="宋体" w:eastAsia="宋体" w:cs="宋体"/>
          <w:color w:val="auto"/>
          <w:highlight w:val="none"/>
        </w:rPr>
        <w:t>20.3争议评审</w:t>
      </w:r>
      <w:bookmarkEnd w:id="818"/>
    </w:p>
    <w:bookmarkEnd w:id="819"/>
    <w:bookmarkEnd w:id="820"/>
    <w:bookmarkEnd w:id="821"/>
    <w:p>
      <w:pPr>
        <w:keepNext w:val="0"/>
        <w:keepLines w:val="0"/>
        <w:pageBreakBefore w:val="0"/>
        <w:widowControl w:val="0"/>
        <w:shd w:val="clear"/>
        <w:kinsoku/>
        <w:wordWrap/>
        <w:overflowPunct/>
        <w:topLinePunct w:val="0"/>
        <w:autoSpaceDE/>
        <w:autoSpaceDN/>
        <w:bidi w:val="0"/>
        <w:adjustRightInd w:val="0"/>
        <w:snapToGrid w:val="0"/>
        <w:spacing w:line="360" w:lineRule="auto"/>
        <w:ind w:firstLine="420" w:firstLineChars="200"/>
        <w:textAlignment w:val="auto"/>
        <w:rPr>
          <w:rFonts w:hAnsi="宋体"/>
          <w:b w:val="0"/>
          <w:color w:val="auto"/>
          <w:szCs w:val="21"/>
          <w:highlight w:val="none"/>
        </w:rPr>
      </w:pPr>
      <w:bookmarkStart w:id="822" w:name="_Toc376950076"/>
      <w:bookmarkStart w:id="823" w:name="_Toc296503150"/>
      <w:bookmarkStart w:id="824" w:name="_Toc296346651"/>
      <w:bookmarkStart w:id="825" w:name="_Toc337558844"/>
      <w:r>
        <w:rPr>
          <w:rFonts w:hint="eastAsia" w:ascii="宋体" w:hAnsi="宋体" w:eastAsia="宋体" w:cs="宋体"/>
          <w:color w:val="auto"/>
          <w:highlight w:val="none"/>
        </w:rPr>
        <w:t>20.4仲裁或诉讼</w:t>
      </w:r>
      <w:bookmarkEnd w:id="822"/>
    </w:p>
    <w:bookmarkEnd w:id="823"/>
    <w:bookmarkEnd w:id="824"/>
    <w:bookmarkEnd w:id="825"/>
    <w:p>
      <w:pPr>
        <w:pStyle w:val="34"/>
        <w:shd w:val="clear"/>
        <w:spacing w:line="600" w:lineRule="exact"/>
        <w:jc w:val="center"/>
        <w:outlineLvl w:val="1"/>
        <w:rPr>
          <w:b/>
          <w:bCs/>
          <w:color w:val="auto"/>
          <w:sz w:val="32"/>
          <w:highlight w:val="none"/>
        </w:rPr>
      </w:pPr>
      <w:r>
        <w:rPr>
          <w:color w:val="auto"/>
          <w:highlight w:val="none"/>
        </w:rPr>
        <w:br w:type="page"/>
      </w:r>
      <w:bookmarkStart w:id="826" w:name="_Toc69645080"/>
      <w:bookmarkStart w:id="827" w:name="_Toc492909400"/>
      <w:r>
        <w:rPr>
          <w:rFonts w:hint="eastAsia"/>
          <w:b/>
          <w:bCs/>
          <w:color w:val="auto"/>
          <w:sz w:val="32"/>
          <w:highlight w:val="none"/>
        </w:rPr>
        <w:t>第三部分 专用合同条款</w:t>
      </w:r>
      <w:bookmarkEnd w:id="826"/>
      <w:bookmarkEnd w:id="827"/>
    </w:p>
    <w:p>
      <w:pPr>
        <w:shd w:val="clear"/>
        <w:jc w:val="center"/>
        <w:rPr>
          <w:color w:val="auto"/>
          <w:highlight w:val="none"/>
        </w:rPr>
      </w:pPr>
      <w:bookmarkStart w:id="828" w:name="_Toc353493423"/>
      <w:bookmarkStart w:id="829" w:name="_Toc380068012"/>
      <w:bookmarkStart w:id="830" w:name="_Toc351203652"/>
      <w:r>
        <w:rPr>
          <w:color w:val="auto"/>
          <w:highlight w:val="none"/>
        </w:rPr>
        <w:t>三、专用合同条款</w:t>
      </w:r>
      <w:bookmarkEnd w:id="828"/>
      <w:bookmarkEnd w:id="829"/>
    </w:p>
    <w:p>
      <w:pPr>
        <w:pStyle w:val="6"/>
        <w:shd w:val="clear"/>
        <w:adjustRightInd w:val="0"/>
        <w:snapToGrid w:val="0"/>
        <w:spacing w:before="0" w:after="0" w:line="360" w:lineRule="exact"/>
        <w:rPr>
          <w:rFonts w:ascii="宋体" w:hAnsi="宋体"/>
          <w:color w:val="auto"/>
          <w:sz w:val="21"/>
          <w:szCs w:val="21"/>
          <w:highlight w:val="none"/>
        </w:rPr>
      </w:pPr>
      <w:bookmarkStart w:id="831" w:name="_Toc351203633"/>
      <w:r>
        <w:rPr>
          <w:rFonts w:ascii="宋体" w:hAnsi="宋体"/>
          <w:color w:val="auto"/>
          <w:sz w:val="21"/>
          <w:szCs w:val="21"/>
          <w:highlight w:val="none"/>
        </w:rPr>
        <w:t>1</w:t>
      </w:r>
      <w:bookmarkStart w:id="832" w:name="_Toc292559866"/>
      <w:bookmarkStart w:id="833" w:name="_Toc296347155"/>
      <w:bookmarkStart w:id="834" w:name="_Toc292559361"/>
      <w:bookmarkStart w:id="835" w:name="_Toc297120456"/>
      <w:bookmarkStart w:id="836" w:name="_Toc296891196"/>
      <w:bookmarkStart w:id="837" w:name="_Toc296503156"/>
      <w:bookmarkStart w:id="838" w:name="_Toc297048342"/>
      <w:bookmarkStart w:id="839" w:name="_Toc296346657"/>
      <w:bookmarkStart w:id="840" w:name="_Toc296890984"/>
      <w:bookmarkStart w:id="841" w:name="_Toc296944495"/>
      <w:r>
        <w:rPr>
          <w:rFonts w:ascii="宋体" w:hAnsi="宋体"/>
          <w:color w:val="auto"/>
          <w:sz w:val="21"/>
          <w:szCs w:val="21"/>
          <w:highlight w:val="none"/>
        </w:rPr>
        <w:t>. 一般约定</w:t>
      </w:r>
      <w:bookmarkEnd w:id="831"/>
    </w:p>
    <w:bookmarkEnd w:id="832"/>
    <w:bookmarkEnd w:id="833"/>
    <w:bookmarkEnd w:id="834"/>
    <w:bookmarkEnd w:id="835"/>
    <w:bookmarkEnd w:id="836"/>
    <w:bookmarkEnd w:id="837"/>
    <w:bookmarkEnd w:id="838"/>
    <w:bookmarkEnd w:id="839"/>
    <w:bookmarkEnd w:id="840"/>
    <w:bookmarkEnd w:id="841"/>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1.1 词语定义</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1.1.1合同</w:t>
      </w:r>
    </w:p>
    <w:p>
      <w:pPr>
        <w:shd w:val="clear"/>
        <w:adjustRightInd w:val="0"/>
        <w:snapToGrid w:val="0"/>
        <w:spacing w:line="360" w:lineRule="exact"/>
        <w:ind w:firstLine="420" w:firstLineChars="200"/>
        <w:rPr>
          <w:rFonts w:hint="eastAsia" w:hAnsi="宋体"/>
          <w:color w:val="auto"/>
          <w:kern w:val="0"/>
          <w:sz w:val="21"/>
          <w:szCs w:val="21"/>
          <w:highlight w:val="none"/>
        </w:rPr>
      </w:pPr>
      <w:r>
        <w:rPr>
          <w:rFonts w:hAnsi="宋体"/>
          <w:color w:val="auto"/>
          <w:kern w:val="0"/>
          <w:sz w:val="21"/>
          <w:szCs w:val="21"/>
          <w:highlight w:val="none"/>
        </w:rPr>
        <w:t>1.1.1.10其他合同文件包括：</w:t>
      </w:r>
    </w:p>
    <w:p>
      <w:pPr>
        <w:shd w:val="clear"/>
        <w:ind w:firstLine="420" w:firstLineChars="200"/>
        <w:rPr>
          <w:rFonts w:hint="eastAsia"/>
          <w:color w:val="auto"/>
          <w:sz w:val="21"/>
          <w:szCs w:val="21"/>
          <w:highlight w:val="none"/>
          <w:u w:val="single"/>
        </w:rPr>
      </w:pPr>
      <w:r>
        <w:rPr>
          <w:rFonts w:hint="eastAsia"/>
          <w:color w:val="auto"/>
          <w:sz w:val="21"/>
          <w:szCs w:val="21"/>
          <w:highlight w:val="none"/>
        </w:rPr>
        <w:t>施工组织设计：</w:t>
      </w:r>
      <w:r>
        <w:rPr>
          <w:rFonts w:hint="eastAsia"/>
          <w:b/>
          <w:color w:val="auto"/>
          <w:sz w:val="21"/>
          <w:szCs w:val="21"/>
          <w:highlight w:val="none"/>
          <w:u w:val="single"/>
        </w:rPr>
        <w:t>施工组织</w:t>
      </w:r>
      <w:r>
        <w:rPr>
          <w:rFonts w:hint="eastAsia"/>
          <w:b/>
          <w:color w:val="auto"/>
          <w:sz w:val="21"/>
          <w:szCs w:val="21"/>
          <w:highlight w:val="none"/>
          <w:u w:val="single"/>
        </w:rPr>
        <w:fldChar w:fldCharType="begin"/>
      </w:r>
      <w:r>
        <w:rPr>
          <w:rFonts w:hint="eastAsia"/>
          <w:b/>
          <w:color w:val="auto"/>
          <w:sz w:val="21"/>
          <w:szCs w:val="21"/>
          <w:highlight w:val="none"/>
          <w:u w:val="single"/>
        </w:rPr>
        <w:instrText xml:space="preserve"> HYPERLINK "http://baike.baidu.com/view/14417.htm" \t "_blank" </w:instrText>
      </w:r>
      <w:r>
        <w:rPr>
          <w:rFonts w:hint="eastAsia"/>
          <w:b/>
          <w:color w:val="auto"/>
          <w:sz w:val="21"/>
          <w:szCs w:val="21"/>
          <w:highlight w:val="none"/>
          <w:u w:val="single"/>
        </w:rPr>
        <w:fldChar w:fldCharType="separate"/>
      </w:r>
      <w:r>
        <w:rPr>
          <w:rFonts w:hint="eastAsia"/>
          <w:color w:val="auto"/>
          <w:sz w:val="21"/>
          <w:szCs w:val="21"/>
          <w:highlight w:val="none"/>
        </w:rPr>
        <w:t>设计</w:t>
      </w:r>
      <w:r>
        <w:rPr>
          <w:rFonts w:hint="eastAsia"/>
          <w:b/>
          <w:color w:val="auto"/>
          <w:sz w:val="21"/>
          <w:szCs w:val="21"/>
          <w:highlight w:val="none"/>
          <w:u w:val="single"/>
        </w:rPr>
        <w:fldChar w:fldCharType="end"/>
      </w:r>
      <w:r>
        <w:rPr>
          <w:rFonts w:hint="eastAsia"/>
          <w:b/>
          <w:color w:val="auto"/>
          <w:sz w:val="21"/>
          <w:szCs w:val="21"/>
          <w:highlight w:val="none"/>
          <w:u w:val="single"/>
        </w:rPr>
        <w:t>是用来指导</w:t>
      </w:r>
      <w:r>
        <w:rPr>
          <w:rFonts w:hint="eastAsia"/>
          <w:b/>
          <w:color w:val="auto"/>
          <w:sz w:val="21"/>
          <w:szCs w:val="21"/>
          <w:highlight w:val="none"/>
          <w:u w:val="single"/>
        </w:rPr>
        <w:fldChar w:fldCharType="begin"/>
      </w:r>
      <w:r>
        <w:rPr>
          <w:rFonts w:hint="eastAsia"/>
          <w:b/>
          <w:color w:val="auto"/>
          <w:sz w:val="21"/>
          <w:szCs w:val="21"/>
          <w:highlight w:val="none"/>
          <w:u w:val="single"/>
        </w:rPr>
        <w:instrText xml:space="preserve"> HYPERLINK "http://baike.baidu.com/view/1094820.htm" \t "_blank" </w:instrText>
      </w:r>
      <w:r>
        <w:rPr>
          <w:rFonts w:hint="eastAsia"/>
          <w:b/>
          <w:color w:val="auto"/>
          <w:sz w:val="21"/>
          <w:szCs w:val="21"/>
          <w:highlight w:val="none"/>
          <w:u w:val="single"/>
        </w:rPr>
        <w:fldChar w:fldCharType="separate"/>
      </w:r>
      <w:r>
        <w:rPr>
          <w:rFonts w:hint="eastAsia"/>
          <w:color w:val="auto"/>
          <w:sz w:val="21"/>
          <w:szCs w:val="21"/>
          <w:highlight w:val="none"/>
        </w:rPr>
        <w:t>施工项目</w:t>
      </w:r>
      <w:r>
        <w:rPr>
          <w:rFonts w:hint="eastAsia"/>
          <w:b/>
          <w:color w:val="auto"/>
          <w:sz w:val="21"/>
          <w:szCs w:val="21"/>
          <w:highlight w:val="none"/>
          <w:u w:val="single"/>
        </w:rPr>
        <w:fldChar w:fldCharType="end"/>
      </w:r>
      <w:r>
        <w:rPr>
          <w:rFonts w:hint="eastAsia"/>
          <w:b/>
          <w:color w:val="auto"/>
          <w:sz w:val="21"/>
          <w:szCs w:val="21"/>
          <w:highlight w:val="none"/>
          <w:u w:val="single"/>
        </w:rPr>
        <w:t>全过程各项活动的技术、经济和组织的综合性文件。</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1.1.2 合同当事人及其他相关方</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1.1.2.4监理人：</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名    称：</w:t>
      </w:r>
      <w:r>
        <w:rPr>
          <w:rFonts w:hint="eastAsia" w:ascii="MingLiU_HKSCS" w:hAnsi="MingLiU_HKSCS" w:cs="MingLiU_HKSCS"/>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资质类别和等级：</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联系电话：</w:t>
      </w:r>
      <w:r>
        <w:rPr>
          <w:rFonts w:hint="eastAsia" w:ascii="MingLiU_HKSCS" w:hAnsi="MingLiU_HKSCS" w:cs="MingLiU_HKSCS"/>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电子信箱：</w:t>
      </w:r>
      <w:r>
        <w:rPr>
          <w:rFonts w:hint="eastAsia" w:ascii="MingLiU_HKSCS" w:hAnsi="MingLiU_HKSCS" w:cs="MingLiU_HKSCS"/>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通信地址：</w:t>
      </w:r>
      <w:r>
        <w:rPr>
          <w:rFonts w:hint="eastAsia" w:ascii="MingLiU_HKSCS" w:hAnsi="MingLiU_HKSCS" w:cs="MingLiU_HKSCS"/>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1.1.2.5 设计人：</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名    称：</w:t>
      </w:r>
      <w:r>
        <w:rPr>
          <w:rFonts w:hint="eastAsia" w:ascii="MingLiU_HKSCS" w:hAnsi="MingLiU_HKSCS" w:cs="MingLiU_HKSCS"/>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资质类别和等级：</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联系电话：</w:t>
      </w:r>
      <w:r>
        <w:rPr>
          <w:rFonts w:hint="eastAsia" w:ascii="MingLiU_HKSCS" w:hAnsi="MingLiU_HKSCS" w:cs="MingLiU_HKSCS"/>
          <w:color w:val="auto"/>
          <w:sz w:val="21"/>
          <w:szCs w:val="21"/>
          <w:highlight w:val="none"/>
          <w:u w:val="single"/>
        </w:rPr>
        <w:t xml:space="preserve">                            </w:t>
      </w:r>
      <w:r>
        <w:rPr>
          <w:rFonts w:hint="eastAsia" w:ascii="MingLiU_HKSCS" w:hAnsi="MingLiU_HKSCS" w:cs="MingLiU_HKSCS"/>
          <w:color w:val="auto"/>
          <w:sz w:val="21"/>
          <w:szCs w:val="21"/>
          <w:highlight w:val="none"/>
          <w:u w:val="single"/>
          <w:lang w:val="en-US" w:eastAsia="zh-CN"/>
        </w:rPr>
        <w:t xml:space="preserve"> </w:t>
      </w:r>
      <w:r>
        <w:rPr>
          <w:rFonts w:hint="eastAsia" w:hAnsi="宋体" w:cs="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电子信箱：</w:t>
      </w:r>
      <w:r>
        <w:rPr>
          <w:rFonts w:hint="eastAsia" w:ascii="MingLiU_HKSCS" w:hAnsi="MingLiU_HKSCS" w:cs="MingLiU_HKSCS"/>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通信地址：</w:t>
      </w:r>
      <w:r>
        <w:rPr>
          <w:rFonts w:hint="eastAsia" w:ascii="MingLiU_HKSCS" w:hAnsi="MingLiU_HKSCS" w:cs="MingLiU_HKSCS"/>
          <w:color w:val="auto"/>
          <w:sz w:val="21"/>
          <w:szCs w:val="21"/>
          <w:highlight w:val="none"/>
          <w:u w:val="single"/>
        </w:rPr>
        <w:t xml:space="preserve">                           </w:t>
      </w:r>
      <w:r>
        <w:rPr>
          <w:rFonts w:hint="eastAsia" w:ascii="MingLiU_HKSCS" w:hAnsi="MingLiU_HKSCS" w:cs="MingLiU_HKSCS"/>
          <w:color w:val="auto"/>
          <w:sz w:val="21"/>
          <w:szCs w:val="21"/>
          <w:highlight w:val="none"/>
          <w:u w:val="single"/>
          <w:lang w:val="en-US" w:eastAsia="zh-CN"/>
        </w:rPr>
        <w:t xml:space="preserve"> </w:t>
      </w:r>
      <w:r>
        <w:rPr>
          <w:rFonts w:hint="eastAsia" w:ascii="MingLiU_HKSCS" w:hAnsi="MingLiU_HKSCS" w:cs="MingLiU_HKSCS"/>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1.1.3 工程和设备</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1.1.3.7 作为施工现场组成部分的其他场所包括：</w:t>
      </w:r>
      <w:r>
        <w:rPr>
          <w:rFonts w:hint="eastAsia" w:hAnsi="宋体"/>
          <w:color w:val="auto"/>
          <w:sz w:val="21"/>
          <w:szCs w:val="21"/>
          <w:highlight w:val="none"/>
          <w:u w:val="single"/>
        </w:rPr>
        <w:t>是指用于工程施工的场所，以及在专用合同条款中指明作为施工场所组成部分的其他场所</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1.1.3.9 永久占地包括：</w:t>
      </w:r>
      <w:r>
        <w:rPr>
          <w:rFonts w:hint="eastAsia" w:hAnsi="宋体"/>
          <w:color w:val="auto"/>
          <w:sz w:val="21"/>
          <w:szCs w:val="21"/>
          <w:highlight w:val="none"/>
          <w:u w:val="single"/>
        </w:rPr>
        <w:t>根据施工图所需永久占用的土地</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kern w:val="0"/>
          <w:sz w:val="21"/>
          <w:szCs w:val="21"/>
          <w:highlight w:val="none"/>
        </w:rPr>
        <w:t>1.1.3.10 临时占地包括：</w:t>
      </w:r>
      <w:r>
        <w:rPr>
          <w:rFonts w:hint="eastAsia" w:hAnsi="宋体"/>
          <w:color w:val="auto"/>
          <w:sz w:val="21"/>
          <w:szCs w:val="21"/>
          <w:highlight w:val="none"/>
          <w:u w:val="single"/>
        </w:rPr>
        <w:t>红线范围外为配合施工需要临时占用的土地</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 xml:space="preserve">1.3法律 </w:t>
      </w:r>
    </w:p>
    <w:p>
      <w:pPr>
        <w:shd w:val="clear"/>
        <w:autoSpaceDE w:val="0"/>
        <w:autoSpaceDN w:val="0"/>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适用于合同的其他规范性文件：</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1、《杭州市建设工程工程量清单计价实施细则》(杭建市发【2018】578号)；</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2、《关于进一步加强杭州市建设工程市场要素价格动态管理的指导意见》（杭建市发【2018】579号）；</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3、省市建设行政部门颁发的其他现行有效文件：</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（1）《关于转发省建设厅&lt;关于进一步加强建筑施工领域企业安全生产工作的实施意见&gt;的通知》 （杭建工发〔2011〕130号）；</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（2）《关于进一步加强建设工程安全质量物联网管理应用平台建设的通知》（杭建工发【2012】426号）；</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（3）《杭州市人民政府办公厅关于印发杭州市建设工程推广应用预拌砂浆管理办法的通知》（杭政办函（2011）32号）；</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（4）《关于开展建筑工程扬尘在线监测设施安装工作的通知》（杭建工〔2019〕27号）；</w:t>
      </w:r>
    </w:p>
    <w:p>
      <w:pPr>
        <w:shd w:val="clear"/>
        <w:autoSpaceDE w:val="0"/>
        <w:autoSpaceDN w:val="0"/>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rPr>
        <w:t>（6）新工艺、新技术的约定</w:t>
      </w:r>
      <w:r>
        <w:rPr>
          <w:rFonts w:hint="eastAsia" w:hAnsi="宋体"/>
          <w:color w:val="auto"/>
          <w:sz w:val="21"/>
          <w:szCs w:val="21"/>
          <w:highlight w:val="none"/>
          <w:u w:val="single"/>
        </w:rPr>
        <w:t xml:space="preserve">：/ </w:t>
      </w:r>
    </w:p>
    <w:p>
      <w:pPr>
        <w:shd w:val="clear"/>
        <w:autoSpaceDE w:val="0"/>
        <w:autoSpaceDN w:val="0"/>
        <w:adjustRightInd w:val="0"/>
        <w:snapToGrid w:val="0"/>
        <w:spacing w:line="360" w:lineRule="exact"/>
        <w:ind w:firstLine="420" w:firstLineChars="200"/>
        <w:rPr>
          <w:rFonts w:hint="eastAsia" w:hAnsi="宋体" w:eastAsia="宋体"/>
          <w:color w:val="auto"/>
          <w:sz w:val="21"/>
          <w:szCs w:val="21"/>
          <w:highlight w:val="none"/>
          <w:u w:val="single"/>
          <w:lang w:eastAsia="zh-CN"/>
        </w:rPr>
      </w:pPr>
      <w:r>
        <w:rPr>
          <w:rFonts w:hint="eastAsia" w:hAnsi="宋体"/>
          <w:color w:val="auto"/>
          <w:sz w:val="21"/>
          <w:szCs w:val="21"/>
          <w:highlight w:val="none"/>
        </w:rPr>
        <w:t>（7）其他：</w:t>
      </w:r>
      <w:r>
        <w:rPr>
          <w:rFonts w:hint="eastAsia" w:hAnsi="宋体"/>
          <w:color w:val="auto"/>
          <w:sz w:val="21"/>
          <w:szCs w:val="21"/>
          <w:highlight w:val="none"/>
          <w:u w:val="single"/>
        </w:rPr>
        <w:t>地方政府或部门颁发的其他相关规定</w:t>
      </w:r>
      <w:r>
        <w:rPr>
          <w:rFonts w:hint="eastAsia" w:hAnsi="宋体"/>
          <w:color w:val="auto"/>
          <w:sz w:val="21"/>
          <w:szCs w:val="21"/>
          <w:highlight w:val="none"/>
          <w:u w:val="none"/>
          <w:lang w:eastAsia="zh-CN"/>
        </w:rPr>
        <w:t>。</w:t>
      </w:r>
    </w:p>
    <w:p>
      <w:pPr>
        <w:shd w:val="clear"/>
        <w:autoSpaceDE w:val="0"/>
        <w:autoSpaceDN w:val="0"/>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以上</w:t>
      </w:r>
      <w:r>
        <w:rPr>
          <w:rFonts w:hAnsi="宋体"/>
          <w:color w:val="auto"/>
          <w:sz w:val="21"/>
          <w:szCs w:val="21"/>
          <w:highlight w:val="none"/>
          <w:u w:val="single"/>
        </w:rPr>
        <w:t>规范性</w:t>
      </w:r>
      <w:r>
        <w:rPr>
          <w:rFonts w:hint="eastAsia" w:hAnsi="宋体"/>
          <w:color w:val="auto"/>
          <w:sz w:val="21"/>
          <w:szCs w:val="21"/>
          <w:highlight w:val="none"/>
          <w:u w:val="single"/>
        </w:rPr>
        <w:t>文件如有最新版本的，以最新的文件为准</w:t>
      </w:r>
      <w:r>
        <w:rPr>
          <w:rFonts w:hint="eastAsia" w:hAnsi="宋体"/>
          <w:color w:val="auto"/>
          <w:sz w:val="21"/>
          <w:szCs w:val="21"/>
          <w:highlight w:val="none"/>
          <w:u w:val="none"/>
        </w:rPr>
        <w:t>。</w:t>
      </w:r>
    </w:p>
    <w:p>
      <w:pPr>
        <w:shd w:val="clear"/>
        <w:autoSpaceDE w:val="0"/>
        <w:autoSpaceDN w:val="0"/>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1.4 标准和规范</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sz w:val="21"/>
          <w:szCs w:val="21"/>
          <w:highlight w:val="none"/>
        </w:rPr>
        <w:t>1.4.1适用于工程的标准规范包括：</w:t>
      </w:r>
      <w:r>
        <w:rPr>
          <w:rFonts w:hint="eastAsia" w:hAnsi="宋体"/>
          <w:color w:val="auto"/>
          <w:sz w:val="21"/>
          <w:szCs w:val="21"/>
          <w:highlight w:val="none"/>
          <w:u w:val="single"/>
        </w:rPr>
        <w:t>现行国家和地方颁发的建筑工程施工相关标准、规范。在合同生效后，如果相关标准规范及文件作了修改或新的规范标准被颁布实施，则承包人应遵守上述修改后或颁布的规范标准；如发生不一致时，则以要求最为严格，标准最高的规范、规程或标准作为合同项下施工工作依据，未经发包人同意承包人擅自施工的，发包人有权要求承包人予以恢复，由此导致的所有损失及工期延误等均由承包人自行承担</w:t>
      </w:r>
      <w:r>
        <w:rPr>
          <w:rFonts w:hint="eastAsia" w:hAnsi="宋体"/>
          <w:color w:val="auto"/>
          <w:sz w:val="21"/>
          <w:szCs w:val="21"/>
          <w:highlight w:val="none"/>
          <w:u w:val="none"/>
        </w:rPr>
        <w:t xml:space="preserve">。 </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kern w:val="0"/>
          <w:sz w:val="21"/>
          <w:szCs w:val="21"/>
          <w:highlight w:val="none"/>
        </w:rPr>
        <w:t>1.4.2 发包人提供国外标准、规范的名称：</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发包人提供国外标准、规范的份数：</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kern w:val="0"/>
          <w:sz w:val="21"/>
          <w:szCs w:val="21"/>
          <w:highlight w:val="none"/>
        </w:rPr>
        <w:t>发包人提供国外标准、规范的名称：</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1.4.3发包人对工程的技术标准和功能要求的特殊要求：</w:t>
      </w:r>
      <w:r>
        <w:rPr>
          <w:rFonts w:hint="eastAsia" w:hAnsi="宋体"/>
          <w:color w:val="auto"/>
          <w:sz w:val="21"/>
          <w:szCs w:val="21"/>
          <w:highlight w:val="none"/>
          <w:u w:val="single"/>
        </w:rPr>
        <w:t>本工程按现行国家相应规范施工</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1.5 合同文件的优先顺序</w:t>
      </w:r>
    </w:p>
    <w:p>
      <w:pPr>
        <w:shd w:val="clear"/>
        <w:autoSpaceDE w:val="0"/>
        <w:autoSpaceDN w:val="0"/>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合同文件组成及优先顺序为：</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1</w:t>
      </w:r>
      <w:r>
        <w:rPr>
          <w:rFonts w:hint="eastAsia" w:hAnsi="宋体"/>
          <w:color w:val="auto"/>
          <w:sz w:val="21"/>
          <w:szCs w:val="21"/>
          <w:highlight w:val="none"/>
          <w:u w:val="single"/>
        </w:rPr>
        <w:t>）合同协议书；</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2</w:t>
      </w:r>
      <w:r>
        <w:rPr>
          <w:rFonts w:hint="eastAsia" w:hAnsi="宋体"/>
          <w:color w:val="auto"/>
          <w:sz w:val="21"/>
          <w:szCs w:val="21"/>
          <w:highlight w:val="none"/>
          <w:u w:val="single"/>
        </w:rPr>
        <w:t>）中标通知书（或项目发承包基本情况表）；</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3</w:t>
      </w:r>
      <w:r>
        <w:rPr>
          <w:rFonts w:hint="eastAsia" w:hAnsi="宋体"/>
          <w:color w:val="auto"/>
          <w:sz w:val="21"/>
          <w:szCs w:val="21"/>
          <w:highlight w:val="none"/>
          <w:u w:val="single"/>
        </w:rPr>
        <w:t>）投标函及其附录（如果有）；</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4</w:t>
      </w:r>
      <w:r>
        <w:rPr>
          <w:rFonts w:hint="eastAsia" w:hAnsi="宋体"/>
          <w:color w:val="auto"/>
          <w:sz w:val="21"/>
          <w:szCs w:val="21"/>
          <w:highlight w:val="none"/>
          <w:u w:val="single"/>
        </w:rPr>
        <w:t>）专用合同条款及其附件；</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5</w:t>
      </w:r>
      <w:r>
        <w:rPr>
          <w:rFonts w:hint="eastAsia" w:hAnsi="宋体"/>
          <w:color w:val="auto"/>
          <w:sz w:val="21"/>
          <w:szCs w:val="21"/>
          <w:highlight w:val="none"/>
          <w:u w:val="single"/>
        </w:rPr>
        <w:t>）通用合同条款；</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6</w:t>
      </w:r>
      <w:r>
        <w:rPr>
          <w:rFonts w:hint="eastAsia" w:hAnsi="宋体"/>
          <w:color w:val="auto"/>
          <w:sz w:val="21"/>
          <w:szCs w:val="21"/>
          <w:highlight w:val="none"/>
          <w:u w:val="single"/>
        </w:rPr>
        <w:t>）技术标准和要求；</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7</w:t>
      </w:r>
      <w:r>
        <w:rPr>
          <w:rFonts w:hint="eastAsia" w:hAnsi="宋体"/>
          <w:color w:val="auto"/>
          <w:sz w:val="21"/>
          <w:szCs w:val="21"/>
          <w:highlight w:val="none"/>
          <w:u w:val="single"/>
        </w:rPr>
        <w:t>）图纸；</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8</w:t>
      </w:r>
      <w:r>
        <w:rPr>
          <w:rFonts w:hint="eastAsia" w:hAnsi="宋体"/>
          <w:color w:val="auto"/>
          <w:sz w:val="21"/>
          <w:szCs w:val="21"/>
          <w:highlight w:val="none"/>
          <w:u w:val="single"/>
        </w:rPr>
        <w:t>）已标价工程量清单或预算书；</w:t>
      </w:r>
    </w:p>
    <w:p>
      <w:pPr>
        <w:shd w:val="clear"/>
        <w:spacing w:line="400" w:lineRule="exact"/>
        <w:ind w:firstLine="420" w:firstLineChars="200"/>
        <w:rPr>
          <w:rFonts w:hAnsi="宋体"/>
          <w:color w:val="auto"/>
          <w:sz w:val="21"/>
          <w:szCs w:val="21"/>
          <w:highlight w:val="none"/>
          <w:u w:val="single"/>
        </w:rPr>
      </w:pPr>
      <w:r>
        <w:rPr>
          <w:rFonts w:hint="eastAsia" w:hAnsi="宋体"/>
          <w:color w:val="auto"/>
          <w:sz w:val="21"/>
          <w:szCs w:val="21"/>
          <w:highlight w:val="none"/>
          <w:u w:val="single"/>
        </w:rPr>
        <w:t>（</w:t>
      </w:r>
      <w:r>
        <w:rPr>
          <w:rFonts w:hAnsi="宋体"/>
          <w:color w:val="auto"/>
          <w:sz w:val="21"/>
          <w:szCs w:val="21"/>
          <w:highlight w:val="none"/>
          <w:u w:val="single"/>
        </w:rPr>
        <w:t>9</w:t>
      </w:r>
      <w:r>
        <w:rPr>
          <w:rFonts w:hint="eastAsia" w:hAnsi="宋体"/>
          <w:color w:val="auto"/>
          <w:sz w:val="21"/>
          <w:szCs w:val="21"/>
          <w:highlight w:val="none"/>
          <w:u w:val="single"/>
        </w:rPr>
        <w:t>）其他合同文件：</w:t>
      </w:r>
    </w:p>
    <w:p>
      <w:pPr>
        <w:shd w:val="clear"/>
        <w:spacing w:line="400" w:lineRule="exact"/>
        <w:ind w:firstLine="420" w:firstLineChars="200"/>
        <w:rPr>
          <w:rFonts w:hAnsi="宋体"/>
          <w:color w:val="auto"/>
          <w:sz w:val="21"/>
          <w:szCs w:val="21"/>
          <w:highlight w:val="none"/>
          <w:u w:val="single"/>
        </w:rPr>
      </w:pPr>
      <w:r>
        <w:rPr>
          <w:rFonts w:hAnsi="宋体"/>
          <w:color w:val="auto"/>
          <w:sz w:val="21"/>
          <w:szCs w:val="21"/>
          <w:highlight w:val="none"/>
          <w:u w:val="single"/>
        </w:rPr>
        <w:t>①</w:t>
      </w:r>
      <w:r>
        <w:rPr>
          <w:rFonts w:hint="eastAsia" w:hAnsi="宋体"/>
          <w:b/>
          <w:bCs/>
          <w:color w:val="auto"/>
          <w:sz w:val="21"/>
          <w:szCs w:val="21"/>
          <w:highlight w:val="none"/>
          <w:u w:val="single"/>
        </w:rPr>
        <w:t>投标时提供的施工组织设计及经发包人审核批准的实施性施工组织设计</w:t>
      </w:r>
      <w:r>
        <w:rPr>
          <w:rFonts w:hint="eastAsia" w:hAnsi="宋体"/>
          <w:color w:val="auto"/>
          <w:sz w:val="21"/>
          <w:szCs w:val="21"/>
          <w:highlight w:val="none"/>
          <w:u w:val="single"/>
        </w:rPr>
        <w:t>；</w:t>
      </w:r>
    </w:p>
    <w:p>
      <w:pPr>
        <w:shd w:val="clear"/>
        <w:adjustRightInd w:val="0"/>
        <w:snapToGrid w:val="0"/>
        <w:spacing w:line="360" w:lineRule="exact"/>
        <w:ind w:firstLine="422" w:firstLineChars="200"/>
        <w:rPr>
          <w:rFonts w:hint="eastAsia" w:hAnsi="宋体"/>
          <w:color w:val="auto"/>
          <w:kern w:val="0"/>
          <w:sz w:val="21"/>
          <w:szCs w:val="21"/>
          <w:highlight w:val="none"/>
          <w:u w:val="single"/>
        </w:rPr>
      </w:pPr>
      <w:r>
        <w:rPr>
          <w:rFonts w:hint="eastAsia" w:hAnsi="宋体"/>
          <w:b/>
          <w:color w:val="auto"/>
          <w:sz w:val="21"/>
          <w:szCs w:val="21"/>
          <w:highlight w:val="none"/>
          <w:u w:val="single"/>
        </w:rPr>
        <w:t>②其他：招标文件</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 图纸和承包人文件</w:t>
      </w:r>
      <w:r>
        <w:rPr>
          <w:rFonts w:hAnsi="宋体"/>
          <w:color w:val="auto"/>
          <w:sz w:val="21"/>
          <w:szCs w:val="21"/>
          <w:highlight w:val="none"/>
        </w:rPr>
        <w:tab/>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1.6.1 图纸的提供</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发包人向承包人提供图纸的期限：</w:t>
      </w:r>
      <w:r>
        <w:rPr>
          <w:rFonts w:hint="eastAsia" w:hAnsi="宋体"/>
          <w:color w:val="auto"/>
          <w:sz w:val="21"/>
          <w:szCs w:val="21"/>
          <w:highlight w:val="none"/>
          <w:u w:val="single"/>
        </w:rPr>
        <w:t xml:space="preserve">合同签订后7天内  </w:t>
      </w:r>
      <w:r>
        <w:rPr>
          <w:rFonts w:hint="eastAsia" w:hAnsi="宋体"/>
          <w:color w:val="auto"/>
          <w:sz w:val="21"/>
          <w:szCs w:val="21"/>
          <w:highlight w:val="none"/>
        </w:rPr>
        <w:t xml:space="preserve">   </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发包人向承包人提供图纸的数量：</w:t>
      </w:r>
      <w:r>
        <w:rPr>
          <w:rFonts w:hAnsi="宋体"/>
          <w:color w:val="auto"/>
          <w:sz w:val="21"/>
          <w:szCs w:val="21"/>
          <w:highlight w:val="none"/>
          <w:u w:val="single"/>
        </w:rPr>
        <w:t>3</w:t>
      </w:r>
      <w:r>
        <w:rPr>
          <w:rFonts w:hint="eastAsia" w:hAnsi="宋体"/>
          <w:color w:val="auto"/>
          <w:sz w:val="21"/>
          <w:szCs w:val="21"/>
          <w:highlight w:val="none"/>
          <w:u w:val="single"/>
        </w:rPr>
        <w:t>套，</w:t>
      </w:r>
      <w:r>
        <w:rPr>
          <w:rFonts w:hAnsi="宋体"/>
          <w:color w:val="auto"/>
          <w:sz w:val="21"/>
          <w:szCs w:val="21"/>
          <w:highlight w:val="none"/>
          <w:u w:val="single"/>
        </w:rPr>
        <w:t>如承包人额外需要提供施工图纸的，则额外增加的施工图纸的制作费由承包人承担</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发包人向承包人提供图纸的内容：</w:t>
      </w:r>
      <w:r>
        <w:rPr>
          <w:rFonts w:hint="eastAsia" w:hAnsi="宋体"/>
          <w:color w:val="auto"/>
          <w:sz w:val="21"/>
          <w:szCs w:val="21"/>
          <w:highlight w:val="none"/>
          <w:u w:val="single"/>
        </w:rPr>
        <w:t>施工图（详见签收表）</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1.6.4 承包人文件</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需要由承包人提供的文件，包括：</w:t>
      </w:r>
      <w:r>
        <w:rPr>
          <w:rFonts w:hint="eastAsia" w:hAnsi="宋体"/>
          <w:color w:val="auto"/>
          <w:sz w:val="21"/>
          <w:szCs w:val="21"/>
          <w:highlight w:val="none"/>
          <w:u w:val="single"/>
        </w:rPr>
        <w:t>发包人、监理人、质监站要求提供的开工前所需的所有资料；</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承包人提供的文件的期限为：</w:t>
      </w:r>
      <w:r>
        <w:rPr>
          <w:rFonts w:hint="eastAsia" w:hAnsi="宋体"/>
          <w:color w:val="auto"/>
          <w:sz w:val="21"/>
          <w:szCs w:val="21"/>
          <w:highlight w:val="none"/>
          <w:u w:val="single"/>
        </w:rPr>
        <w:t>正式开工前一周</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承包人提供的文件的数量为：</w:t>
      </w:r>
      <w:r>
        <w:rPr>
          <w:rFonts w:hint="eastAsia" w:hAnsi="宋体"/>
          <w:color w:val="auto"/>
          <w:sz w:val="21"/>
          <w:szCs w:val="21"/>
          <w:highlight w:val="none"/>
          <w:u w:val="single"/>
        </w:rPr>
        <w:t>开工报告一式四份，其余两份</w:t>
      </w:r>
      <w:r>
        <w:rPr>
          <w:rFonts w:hint="eastAsia" w:hAnsi="宋体"/>
          <w:color w:val="auto"/>
          <w:sz w:val="21"/>
          <w:szCs w:val="21"/>
          <w:highlight w:val="none"/>
          <w:u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承包人提供的文件的形式为：</w:t>
      </w:r>
      <w:r>
        <w:rPr>
          <w:rFonts w:hint="eastAsia" w:hAnsi="宋体"/>
          <w:color w:val="auto"/>
          <w:sz w:val="21"/>
          <w:szCs w:val="21"/>
          <w:highlight w:val="none"/>
          <w:u w:val="single"/>
        </w:rPr>
        <w:t>书面形式</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w:t>
      </w:r>
      <w:r>
        <w:rPr>
          <w:rFonts w:hint="eastAsia" w:hAnsi="宋体"/>
          <w:color w:val="auto"/>
          <w:sz w:val="21"/>
          <w:szCs w:val="21"/>
          <w:highlight w:val="none"/>
        </w:rPr>
        <w:t>审批</w:t>
      </w:r>
      <w:r>
        <w:rPr>
          <w:rFonts w:hAnsi="宋体"/>
          <w:color w:val="auto"/>
          <w:sz w:val="21"/>
          <w:szCs w:val="21"/>
          <w:highlight w:val="none"/>
        </w:rPr>
        <w:t>承包人文件的期限：</w:t>
      </w:r>
      <w:r>
        <w:rPr>
          <w:rFonts w:hint="eastAsia" w:hAnsi="宋体"/>
          <w:color w:val="auto"/>
          <w:sz w:val="21"/>
          <w:szCs w:val="21"/>
          <w:highlight w:val="none"/>
          <w:u w:val="single"/>
        </w:rPr>
        <w:t>收到承包人齐全资料后一周内</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1.6.5 现场图纸准备</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关于现场图纸准备的约定：</w:t>
      </w:r>
      <w:r>
        <w:rPr>
          <w:rFonts w:hint="eastAsia" w:hAnsi="宋体"/>
          <w:color w:val="auto"/>
          <w:sz w:val="21"/>
          <w:szCs w:val="21"/>
          <w:highlight w:val="none"/>
          <w:u w:val="single"/>
        </w:rPr>
        <w:t>按通用条款约定</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1.7 联络</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1.7.1发包人和承包人应当在</w:t>
      </w:r>
      <w:r>
        <w:rPr>
          <w:rFonts w:hint="eastAsia" w:hAnsi="宋体"/>
          <w:color w:val="auto"/>
          <w:sz w:val="21"/>
          <w:szCs w:val="21"/>
          <w:highlight w:val="none"/>
          <w:u w:val="single"/>
        </w:rPr>
        <w:t>3</w:t>
      </w:r>
      <w:r>
        <w:rPr>
          <w:rFonts w:hAnsi="宋体"/>
          <w:color w:val="auto"/>
          <w:sz w:val="21"/>
          <w:szCs w:val="21"/>
          <w:highlight w:val="none"/>
          <w:u w:val="single"/>
        </w:rPr>
        <w:t xml:space="preserve"> </w:t>
      </w:r>
      <w:r>
        <w:rPr>
          <w:rFonts w:hAnsi="宋体"/>
          <w:color w:val="auto"/>
          <w:kern w:val="0"/>
          <w:sz w:val="21"/>
          <w:szCs w:val="21"/>
          <w:highlight w:val="none"/>
        </w:rPr>
        <w:t>天内将与合同有关的通知、批准、证明、证书、指示、指令、要求、请求、同意、意见、确定和决定等书面函件送达对方当事人</w:t>
      </w:r>
      <w:r>
        <w:rPr>
          <w:rFonts w:hint="eastAsia"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1.7.2 发包人接收文件的地点：</w:t>
      </w:r>
      <w:r>
        <w:rPr>
          <w:rFonts w:hint="eastAsia" w:hAnsi="宋体"/>
          <w:color w:val="auto"/>
          <w:sz w:val="21"/>
          <w:szCs w:val="21"/>
          <w:highlight w:val="none"/>
          <w:u w:val="single"/>
        </w:rPr>
        <w:t>发包人现场办公室</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发包人指定的接收人为：</w:t>
      </w:r>
      <w:r>
        <w:rPr>
          <w:rFonts w:hint="eastAsia" w:hAnsi="宋体"/>
          <w:color w:val="auto"/>
          <w:sz w:val="21"/>
          <w:szCs w:val="21"/>
          <w:highlight w:val="none"/>
          <w:u w:val="single"/>
        </w:rPr>
        <w:t>发包人代表</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承包人接收文件的地点：</w:t>
      </w:r>
      <w:r>
        <w:rPr>
          <w:rFonts w:hint="eastAsia" w:hAnsi="宋体"/>
          <w:color w:val="auto"/>
          <w:sz w:val="21"/>
          <w:szCs w:val="21"/>
          <w:highlight w:val="none"/>
          <w:u w:val="single"/>
        </w:rPr>
        <w:t>工程现场</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承包人指定的接收人为：</w:t>
      </w:r>
      <w:r>
        <w:rPr>
          <w:rFonts w:hint="eastAsia" w:hAnsi="宋体"/>
          <w:color w:val="auto"/>
          <w:sz w:val="21"/>
          <w:szCs w:val="21"/>
          <w:highlight w:val="none"/>
          <w:u w:val="single"/>
        </w:rPr>
        <w:t>项目经理</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监理人接收文件的地点：</w:t>
      </w:r>
      <w:r>
        <w:rPr>
          <w:rFonts w:hint="eastAsia" w:hAnsi="宋体"/>
          <w:color w:val="auto"/>
          <w:sz w:val="21"/>
          <w:szCs w:val="21"/>
          <w:highlight w:val="none"/>
          <w:u w:val="single"/>
        </w:rPr>
        <w:t>工程现场</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监理人指定的接收人为：</w:t>
      </w:r>
      <w:r>
        <w:rPr>
          <w:rFonts w:hint="eastAsia" w:hAnsi="宋体"/>
          <w:color w:val="auto"/>
          <w:sz w:val="21"/>
          <w:szCs w:val="21"/>
          <w:highlight w:val="none"/>
          <w:u w:val="single"/>
        </w:rPr>
        <w:t>总监或总监代表</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1.10 交通运输</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w:t>
      </w:r>
      <w:bookmarkStart w:id="842" w:name="_Toc300934943"/>
      <w:bookmarkStart w:id="843" w:name="_Toc312677986"/>
      <w:bookmarkStart w:id="844" w:name="_Toc304295521"/>
      <w:bookmarkStart w:id="845" w:name="_Toc303539100"/>
      <w:bookmarkStart w:id="846" w:name="_Toc318581155"/>
      <w:r>
        <w:rPr>
          <w:rFonts w:hAnsi="宋体"/>
          <w:color w:val="auto"/>
          <w:sz w:val="21"/>
          <w:szCs w:val="21"/>
          <w:highlight w:val="none"/>
        </w:rPr>
        <w:t>.10.1 出入现场的权利</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关于出入现场的权利的约定：</w:t>
      </w:r>
      <w:r>
        <w:rPr>
          <w:rFonts w:hint="eastAsia" w:hAnsi="宋体"/>
          <w:color w:val="auto"/>
          <w:sz w:val="21"/>
          <w:szCs w:val="21"/>
          <w:highlight w:val="none"/>
          <w:u w:val="single"/>
        </w:rPr>
        <w:t>发包人应根据施工需要，负责取得出入施工现场所需的批准手续和全部权利</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承包人应在订立合同前查勘施工现场，并根据工程规模及技术参数合理预见工程施工所需的进出施工现场的方式、手段、路径等。因承包人未合理预见所增加的费用和（或）延误的工期由承包人承担。</w:t>
      </w:r>
    </w:p>
    <w:bookmarkEnd w:id="842"/>
    <w:bookmarkEnd w:id="843"/>
    <w:bookmarkEnd w:id="844"/>
    <w:bookmarkEnd w:id="845"/>
    <w:bookmarkEnd w:id="846"/>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w:t>
      </w:r>
      <w:bookmarkStart w:id="847" w:name="_Toc318581156"/>
      <w:bookmarkStart w:id="848" w:name="_Toc304295522"/>
      <w:bookmarkStart w:id="849" w:name="_Toc303539101"/>
      <w:bookmarkStart w:id="850" w:name="_Toc300934944"/>
      <w:bookmarkStart w:id="851" w:name="_Toc312677987"/>
      <w:r>
        <w:rPr>
          <w:rFonts w:hAnsi="宋体"/>
          <w:color w:val="auto"/>
          <w:sz w:val="21"/>
          <w:szCs w:val="21"/>
          <w:highlight w:val="none"/>
        </w:rPr>
        <w:t>.10.3 场内交通</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关于场外交通和场内交通的边界的约定：</w:t>
      </w:r>
      <w:r>
        <w:rPr>
          <w:rFonts w:hint="eastAsia" w:hAnsi="宋体"/>
          <w:color w:val="auto"/>
          <w:sz w:val="21"/>
          <w:szCs w:val="21"/>
          <w:highlight w:val="none"/>
          <w:u w:val="single"/>
        </w:rPr>
        <w:t>以施工现场围墙（挡）为界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关于发包人向承包人免费提供满足工程施工需要的场内道路和交通设施的约定：</w:t>
      </w:r>
      <w:r>
        <w:rPr>
          <w:rFonts w:hint="eastAsia" w:hAnsi="宋体"/>
          <w:color w:val="auto"/>
          <w:sz w:val="21"/>
          <w:szCs w:val="21"/>
          <w:highlight w:val="none"/>
          <w:u w:val="single"/>
        </w:rPr>
        <w:t>利用现有的</w:t>
      </w:r>
      <w:r>
        <w:rPr>
          <w:rFonts w:hAnsi="宋体"/>
          <w:color w:val="auto"/>
          <w:sz w:val="21"/>
          <w:szCs w:val="21"/>
          <w:highlight w:val="none"/>
          <w:u w:val="single"/>
        </w:rPr>
        <w:t>场内道路和交通设施</w:t>
      </w:r>
      <w:r>
        <w:rPr>
          <w:rFonts w:hint="eastAsia" w:hAnsi="宋体"/>
          <w:color w:val="auto"/>
          <w:sz w:val="21"/>
          <w:szCs w:val="21"/>
          <w:highlight w:val="none"/>
          <w:u w:val="single"/>
        </w:rPr>
        <w:t>，如需新建，承包人自行建设，并承担费用</w:t>
      </w:r>
      <w:r>
        <w:rPr>
          <w:rFonts w:hAnsi="宋体"/>
          <w:color w:val="auto"/>
          <w:sz w:val="21"/>
          <w:szCs w:val="21"/>
          <w:highlight w:val="none"/>
        </w:rPr>
        <w:t>。</w:t>
      </w:r>
      <w:bookmarkEnd w:id="847"/>
      <w:bookmarkEnd w:id="848"/>
      <w:bookmarkEnd w:id="849"/>
      <w:bookmarkEnd w:id="850"/>
      <w:bookmarkEnd w:id="851"/>
      <w:r>
        <w:rPr>
          <w:rFonts w:hAnsi="宋体"/>
          <w:color w:val="auto"/>
          <w:sz w:val="21"/>
          <w:szCs w:val="21"/>
          <w:highlight w:val="none"/>
        </w:rPr>
        <w:t xml:space="preserve">  </w:t>
      </w:r>
      <w:bookmarkStart w:id="852" w:name="_Toc318581157"/>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1.10.4超大件和超重件的运输</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运输超大件或超重件所需的道路和桥梁临时加固改造费用和其他有关费用由</w:t>
      </w:r>
      <w:r>
        <w:rPr>
          <w:rFonts w:hint="eastAsia" w:hAnsi="宋体"/>
          <w:color w:val="auto"/>
          <w:sz w:val="21"/>
          <w:szCs w:val="21"/>
          <w:highlight w:val="none"/>
          <w:u w:val="single"/>
        </w:rPr>
        <w:t xml:space="preserve"> 承包人</w:t>
      </w:r>
      <w:r>
        <w:rPr>
          <w:rFonts w:hAnsi="宋体"/>
          <w:color w:val="auto"/>
          <w:sz w:val="21"/>
          <w:szCs w:val="21"/>
          <w:highlight w:val="none"/>
          <w:u w:val="single"/>
        </w:rPr>
        <w:t xml:space="preserve"> </w:t>
      </w:r>
      <w:r>
        <w:rPr>
          <w:rFonts w:hAnsi="宋体"/>
          <w:color w:val="auto"/>
          <w:sz w:val="21"/>
          <w:szCs w:val="21"/>
          <w:highlight w:val="none"/>
        </w:rPr>
        <w:t>承担。</w:t>
      </w:r>
    </w:p>
    <w:p>
      <w:pPr>
        <w:shd w:val="clear"/>
        <w:adjustRightInd w:val="0"/>
        <w:snapToGrid w:val="0"/>
        <w:spacing w:line="360" w:lineRule="exact"/>
        <w:ind w:firstLine="420" w:firstLineChars="200"/>
        <w:rPr>
          <w:rFonts w:hint="eastAsia" w:hAnsi="宋体" w:eastAsia="宋体"/>
          <w:color w:val="auto"/>
          <w:sz w:val="21"/>
          <w:szCs w:val="21"/>
          <w:highlight w:val="none"/>
          <w:lang w:eastAsia="zh-CN"/>
        </w:rPr>
      </w:pPr>
      <w:r>
        <w:rPr>
          <w:rFonts w:hint="eastAsia" w:hAnsi="宋体"/>
          <w:color w:val="auto"/>
          <w:sz w:val="21"/>
          <w:szCs w:val="21"/>
          <w:highlight w:val="none"/>
        </w:rPr>
        <w:t>本工程的超大件：</w:t>
      </w:r>
      <w:r>
        <w:rPr>
          <w:rFonts w:hint="eastAsia" w:hAnsi="宋体"/>
          <w:color w:val="auto"/>
          <w:sz w:val="21"/>
          <w:szCs w:val="21"/>
          <w:highlight w:val="none"/>
          <w:u w:val="single"/>
        </w:rPr>
        <w:t>见设计文件</w:t>
      </w:r>
      <w:r>
        <w:rPr>
          <w:rFonts w:hint="eastAsia" w:hAnsi="宋体"/>
          <w:color w:val="auto"/>
          <w:sz w:val="21"/>
          <w:szCs w:val="21"/>
          <w:highlight w:val="none"/>
          <w:u w:val="none"/>
          <w:lang w:eastAsia="zh-CN"/>
        </w:rPr>
        <w:t>；</w:t>
      </w:r>
    </w:p>
    <w:p>
      <w:pPr>
        <w:shd w:val="clear"/>
        <w:adjustRightInd w:val="0"/>
        <w:snapToGrid w:val="0"/>
        <w:spacing w:line="360" w:lineRule="exact"/>
        <w:ind w:firstLine="420" w:firstLineChars="200"/>
        <w:rPr>
          <w:rFonts w:hint="eastAsia" w:hAnsi="宋体" w:eastAsia="宋体"/>
          <w:color w:val="auto"/>
          <w:sz w:val="21"/>
          <w:szCs w:val="21"/>
          <w:highlight w:val="none"/>
          <w:lang w:eastAsia="zh-CN"/>
        </w:rPr>
      </w:pPr>
      <w:r>
        <w:rPr>
          <w:rFonts w:hint="eastAsia" w:hAnsi="宋体"/>
          <w:color w:val="auto"/>
          <w:sz w:val="21"/>
          <w:szCs w:val="21"/>
          <w:highlight w:val="none"/>
        </w:rPr>
        <w:t>本工程的超重件：</w:t>
      </w:r>
      <w:r>
        <w:rPr>
          <w:rFonts w:hint="eastAsia" w:hAnsi="宋体"/>
          <w:color w:val="auto"/>
          <w:sz w:val="21"/>
          <w:szCs w:val="21"/>
          <w:highlight w:val="none"/>
          <w:u w:val="single"/>
        </w:rPr>
        <w:t>见设计文件</w:t>
      </w:r>
      <w:r>
        <w:rPr>
          <w:rFonts w:hint="eastAsia" w:hAnsi="宋体"/>
          <w:color w:val="auto"/>
          <w:sz w:val="21"/>
          <w:szCs w:val="21"/>
          <w:highlight w:val="none"/>
          <w:u w:val="none"/>
          <w:lang w:eastAsia="zh-CN"/>
        </w:rPr>
        <w:t>；</w:t>
      </w:r>
    </w:p>
    <w:bookmarkEnd w:id="852"/>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1.11 知识产权</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sz w:val="21"/>
          <w:szCs w:val="21"/>
          <w:highlight w:val="none"/>
        </w:rPr>
        <w:t>关于发包人提供的上述文件的使用限制的要求：</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1.11.2 关于承包人为实施工程所编制文件的著作权的归属：</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关于承包人提供的上述文件的使用限制的要求：</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1.11.4 承包人在施工过程中所采用的专利、专有技术、技术秘密的使用费的承担方式：</w:t>
      </w:r>
      <w:r>
        <w:rPr>
          <w:rFonts w:hint="eastAsia" w:hAnsi="宋体"/>
          <w:color w:val="auto"/>
          <w:sz w:val="21"/>
          <w:szCs w:val="21"/>
          <w:highlight w:val="none"/>
          <w:u w:val="single"/>
        </w:rPr>
        <w:t>（除发包人指明外）承包人在施工过程中所采用的专利、专有技术、技术秘密的使用费包含在合同价款内</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1.13工程量清单错误的修正</w:t>
      </w:r>
    </w:p>
    <w:p>
      <w:pPr>
        <w:shd w:val="clear"/>
        <w:adjustRightInd w:val="0"/>
        <w:snapToGrid w:val="0"/>
        <w:spacing w:line="360" w:lineRule="exact"/>
        <w:ind w:firstLine="420" w:firstLineChars="200"/>
        <w:rPr>
          <w:rFonts w:hint="eastAsia" w:hAnsi="宋体"/>
          <w:color w:val="auto"/>
          <w:kern w:val="0"/>
          <w:sz w:val="21"/>
          <w:szCs w:val="21"/>
          <w:highlight w:val="none"/>
        </w:rPr>
      </w:pPr>
      <w:r>
        <w:rPr>
          <w:rFonts w:hint="eastAsia" w:hAnsi="宋体"/>
          <w:color w:val="auto"/>
          <w:sz w:val="21"/>
          <w:szCs w:val="21"/>
          <w:highlight w:val="none"/>
        </w:rPr>
        <w:t>出现工程量清单错误时，是否调整合同价格：</w:t>
      </w:r>
      <w:r>
        <w:rPr>
          <w:rFonts w:hint="eastAsia" w:hAnsi="宋体"/>
          <w:color w:val="auto"/>
          <w:sz w:val="21"/>
          <w:szCs w:val="21"/>
          <w:highlight w:val="none"/>
          <w:u w:val="single"/>
        </w:rPr>
        <w:t xml:space="preserve"> 是 </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允许调整合同价格的工程量偏差范围：</w:t>
      </w:r>
      <w:r>
        <w:rPr>
          <w:rFonts w:hint="eastAsia" w:hAnsi="宋体"/>
          <w:b/>
          <w:color w:val="auto"/>
          <w:kern w:val="0"/>
          <w:sz w:val="21"/>
          <w:szCs w:val="21"/>
          <w:highlight w:val="none"/>
          <w:u w:val="single"/>
        </w:rPr>
        <w:t>按专用条款10.4.1第（4）款</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b/>
          <w:color w:val="auto"/>
          <w:sz w:val="21"/>
          <w:szCs w:val="21"/>
          <w:highlight w:val="none"/>
        </w:rPr>
      </w:pPr>
      <w:bookmarkStart w:id="853" w:name="_Toc351203634"/>
      <w:r>
        <w:rPr>
          <w:rFonts w:hint="eastAsia" w:hAnsi="宋体"/>
          <w:color w:val="auto"/>
          <w:sz w:val="21"/>
          <w:szCs w:val="21"/>
          <w:highlight w:val="none"/>
        </w:rPr>
        <w:t>调整合同价格的修正时间</w:t>
      </w:r>
      <w:r>
        <w:rPr>
          <w:rFonts w:hint="eastAsia" w:hAnsi="宋体"/>
          <w:b/>
          <w:color w:val="auto"/>
          <w:sz w:val="21"/>
          <w:szCs w:val="21"/>
          <w:highlight w:val="none"/>
        </w:rPr>
        <w:t>：</w:t>
      </w:r>
      <w:r>
        <w:rPr>
          <w:rFonts w:hint="eastAsia" w:hAnsi="宋体"/>
          <w:bCs/>
          <w:color w:val="auto"/>
          <w:sz w:val="21"/>
          <w:szCs w:val="21"/>
          <w:highlight w:val="none"/>
          <w:u w:val="single"/>
        </w:rPr>
        <w:t>结算时调整</w:t>
      </w:r>
      <w:r>
        <w:rPr>
          <w:rFonts w:hint="eastAsia" w:hAnsi="宋体"/>
          <w:bCs/>
          <w:color w:val="auto"/>
          <w:sz w:val="21"/>
          <w:szCs w:val="21"/>
          <w:highlight w:val="none"/>
          <w:u w:val="none"/>
        </w:rPr>
        <w:t>。</w:t>
      </w:r>
      <w:r>
        <w:rPr>
          <w:rFonts w:hint="eastAsia" w:hAnsi="宋体"/>
          <w:b/>
          <w:color w:val="auto"/>
          <w:sz w:val="21"/>
          <w:szCs w:val="21"/>
          <w:highlight w:val="none"/>
        </w:rPr>
        <w:t xml:space="preserve"> </w:t>
      </w:r>
    </w:p>
    <w:p>
      <w:pPr>
        <w:pStyle w:val="6"/>
        <w:shd w:val="clear"/>
        <w:adjustRightInd w:val="0"/>
        <w:snapToGrid w:val="0"/>
        <w:spacing w:before="0" w:after="0" w:line="360" w:lineRule="exact"/>
        <w:rPr>
          <w:rFonts w:ascii="宋体" w:hAnsi="宋体"/>
          <w:color w:val="auto"/>
          <w:sz w:val="21"/>
          <w:szCs w:val="21"/>
          <w:highlight w:val="none"/>
        </w:rPr>
      </w:pPr>
      <w:r>
        <w:rPr>
          <w:rFonts w:ascii="宋体" w:hAnsi="宋体"/>
          <w:color w:val="auto"/>
          <w:sz w:val="21"/>
          <w:szCs w:val="21"/>
          <w:highlight w:val="none"/>
        </w:rPr>
        <w:t>2</w:t>
      </w:r>
      <w:bookmarkStart w:id="854" w:name="_Toc296347156"/>
      <w:bookmarkStart w:id="855" w:name="_Toc292559867"/>
      <w:bookmarkStart w:id="856" w:name="_Toc296891197"/>
      <w:bookmarkStart w:id="857" w:name="_Toc297120457"/>
      <w:bookmarkStart w:id="858" w:name="_Toc296346658"/>
      <w:bookmarkStart w:id="859" w:name="_Toc297048343"/>
      <w:bookmarkStart w:id="860" w:name="_Toc292559362"/>
      <w:bookmarkStart w:id="861" w:name="_Toc296503157"/>
      <w:bookmarkStart w:id="862" w:name="_Toc296890985"/>
      <w:bookmarkStart w:id="863" w:name="_Toc296944496"/>
      <w:r>
        <w:rPr>
          <w:rFonts w:ascii="宋体" w:hAnsi="宋体"/>
          <w:color w:val="auto"/>
          <w:sz w:val="21"/>
          <w:szCs w:val="21"/>
          <w:highlight w:val="none"/>
        </w:rPr>
        <w:t>. 发包人</w:t>
      </w:r>
      <w:bookmarkEnd w:id="853"/>
    </w:p>
    <w:bookmarkEnd w:id="854"/>
    <w:bookmarkEnd w:id="855"/>
    <w:bookmarkEnd w:id="856"/>
    <w:bookmarkEnd w:id="857"/>
    <w:bookmarkEnd w:id="858"/>
    <w:bookmarkEnd w:id="859"/>
    <w:bookmarkEnd w:id="860"/>
    <w:bookmarkEnd w:id="861"/>
    <w:bookmarkEnd w:id="862"/>
    <w:bookmarkEnd w:id="863"/>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发包人应根据工程所需配备发包人代表，同时配备1-2名相关人员到岗履职。</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2.2 发包人代表</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发包人代表：</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姓    名：</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身份证号：</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职    务：</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联系电话：</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电子信箱：</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通信地址：</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sz w:val="21"/>
          <w:szCs w:val="21"/>
          <w:highlight w:val="none"/>
        </w:rPr>
        <w:t>发包人对发包人代表的授权范围如下：</w:t>
      </w:r>
      <w:r>
        <w:rPr>
          <w:rFonts w:hint="eastAsia" w:hAnsi="宋体"/>
          <w:color w:val="auto"/>
          <w:sz w:val="21"/>
          <w:szCs w:val="21"/>
          <w:highlight w:val="none"/>
          <w:u w:val="single"/>
        </w:rPr>
        <w:t>对质量、成本、安全、进度进行全面管理，涉及合同价格变更、安全事故、质量事故等重大事项的处理须经发包人代表签字同意</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2.4 施工现场、施工条件和基础资料的提供</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2.4.1 提供施工现场</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关于发包人移交施工现场的期限要求：</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2.4.2 提供施工条件</w:t>
      </w:r>
    </w:p>
    <w:p>
      <w:pPr>
        <w:shd w:val="clear"/>
        <w:autoSpaceDE w:val="0"/>
        <w:autoSpaceDN w:val="0"/>
        <w:adjustRightInd w:val="0"/>
        <w:snapToGrid w:val="0"/>
        <w:spacing w:line="360" w:lineRule="exact"/>
        <w:ind w:firstLine="420" w:firstLineChars="200"/>
        <w:rPr>
          <w:rFonts w:hint="eastAsia" w:hAnsi="宋体"/>
          <w:b/>
          <w:color w:val="auto"/>
          <w:kern w:val="0"/>
          <w:sz w:val="21"/>
          <w:szCs w:val="21"/>
          <w:highlight w:val="none"/>
        </w:rPr>
      </w:pPr>
      <w:r>
        <w:rPr>
          <w:rFonts w:hAnsi="宋体"/>
          <w:color w:val="auto"/>
          <w:sz w:val="21"/>
          <w:szCs w:val="21"/>
          <w:highlight w:val="none"/>
        </w:rPr>
        <w:t>关于发包人应负责提供施工</w:t>
      </w:r>
      <w:r>
        <w:rPr>
          <w:rFonts w:hint="eastAsia" w:hAnsi="宋体"/>
          <w:color w:val="auto"/>
          <w:sz w:val="21"/>
          <w:szCs w:val="21"/>
          <w:highlight w:val="none"/>
        </w:rPr>
        <w:t>所需要的条件，</w:t>
      </w:r>
      <w:r>
        <w:rPr>
          <w:rFonts w:hAnsi="宋体"/>
          <w:color w:val="auto"/>
          <w:sz w:val="21"/>
          <w:szCs w:val="21"/>
          <w:highlight w:val="none"/>
        </w:rPr>
        <w:t>包括：</w:t>
      </w:r>
      <w:r>
        <w:rPr>
          <w:rFonts w:hint="eastAsia" w:hAnsi="宋体"/>
          <w:color w:val="auto"/>
          <w:sz w:val="21"/>
          <w:szCs w:val="21"/>
          <w:highlight w:val="none"/>
          <w:u w:val="single"/>
        </w:rPr>
        <w:t>除通用合同条款第2.4.2条规定外，</w:t>
      </w:r>
      <w:r>
        <w:rPr>
          <w:rFonts w:hAnsi="宋体"/>
          <w:color w:val="auto"/>
          <w:sz w:val="21"/>
          <w:szCs w:val="21"/>
          <w:highlight w:val="none"/>
          <w:u w:val="single"/>
        </w:rPr>
        <w:t>开工日3天前，由发包人组织承包人、监理单位进行图纸会审</w:t>
      </w:r>
      <w:r>
        <w:rPr>
          <w:rFonts w:hint="eastAsia" w:hAnsi="宋体"/>
          <w:color w:val="auto"/>
          <w:sz w:val="21"/>
          <w:szCs w:val="21"/>
          <w:highlight w:val="none"/>
          <w:u w:val="single"/>
        </w:rPr>
        <w:t>、</w:t>
      </w:r>
      <w:r>
        <w:rPr>
          <w:rFonts w:hAnsi="宋体"/>
          <w:color w:val="auto"/>
          <w:sz w:val="21"/>
          <w:szCs w:val="21"/>
          <w:highlight w:val="none"/>
          <w:u w:val="single"/>
        </w:rPr>
        <w:t>交底</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2.5 资金来源证明及支付担保</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发包人提供资金来源证明的期限要求：</w:t>
      </w:r>
      <w:r>
        <w:rPr>
          <w:rFonts w:hint="eastAsia" w:hAnsi="宋体"/>
          <w:color w:val="auto"/>
          <w:sz w:val="21"/>
          <w:szCs w:val="21"/>
          <w:highlight w:val="none"/>
          <w:u w:val="single"/>
        </w:rPr>
        <w:t>无</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发包人是否提供支付担保：</w:t>
      </w:r>
      <w:r>
        <w:rPr>
          <w:rFonts w:hint="eastAsia" w:hAnsi="宋体"/>
          <w:color w:val="auto"/>
          <w:sz w:val="21"/>
          <w:szCs w:val="21"/>
          <w:highlight w:val="none"/>
          <w:u w:val="single"/>
        </w:rPr>
        <w:t>本项目不提供支付担保</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发包人提供支付担保的形式：</w:t>
      </w:r>
      <w:r>
        <w:rPr>
          <w:rFonts w:hint="eastAsia" w:hAnsi="宋体"/>
          <w:color w:val="auto"/>
          <w:sz w:val="21"/>
          <w:szCs w:val="21"/>
          <w:highlight w:val="none"/>
          <w:u w:val="single"/>
        </w:rPr>
        <w:t>无</w:t>
      </w:r>
      <w:r>
        <w:rPr>
          <w:rFonts w:hAnsi="宋体"/>
          <w:color w:val="auto"/>
          <w:sz w:val="21"/>
          <w:szCs w:val="21"/>
          <w:highlight w:val="none"/>
          <w:u w:val="single"/>
        </w:rPr>
        <w:t xml:space="preserve"> </w:t>
      </w:r>
      <w:r>
        <w:rPr>
          <w:rFonts w:hAnsi="宋体"/>
          <w:color w:val="auto"/>
          <w:sz w:val="21"/>
          <w:szCs w:val="21"/>
          <w:highlight w:val="none"/>
        </w:rPr>
        <w:t>。</w:t>
      </w:r>
    </w:p>
    <w:p>
      <w:pPr>
        <w:pStyle w:val="6"/>
        <w:shd w:val="clear"/>
        <w:adjustRightInd w:val="0"/>
        <w:snapToGrid w:val="0"/>
        <w:spacing w:before="0" w:after="0" w:line="360" w:lineRule="exact"/>
        <w:rPr>
          <w:rFonts w:ascii="宋体" w:hAnsi="宋体"/>
          <w:color w:val="auto"/>
          <w:sz w:val="21"/>
          <w:szCs w:val="21"/>
          <w:highlight w:val="none"/>
        </w:rPr>
      </w:pPr>
      <w:bookmarkStart w:id="864" w:name="_Toc351203635"/>
      <w:r>
        <w:rPr>
          <w:rFonts w:ascii="宋体" w:hAnsi="宋体"/>
          <w:color w:val="auto"/>
          <w:sz w:val="21"/>
          <w:szCs w:val="21"/>
          <w:highlight w:val="none"/>
        </w:rPr>
        <w:t>3</w:t>
      </w:r>
      <w:bookmarkStart w:id="865" w:name="_Toc296346659"/>
      <w:bookmarkStart w:id="866" w:name="_Toc297120458"/>
      <w:bookmarkStart w:id="867" w:name="_Toc296891198"/>
      <w:bookmarkStart w:id="868" w:name="_Toc296890986"/>
      <w:bookmarkStart w:id="869" w:name="_Toc296347157"/>
      <w:bookmarkStart w:id="870" w:name="_Toc292559868"/>
      <w:bookmarkStart w:id="871" w:name="_Toc296503158"/>
      <w:bookmarkStart w:id="872" w:name="_Toc296944497"/>
      <w:bookmarkStart w:id="873" w:name="_Toc297048344"/>
      <w:bookmarkStart w:id="874" w:name="_Toc292559363"/>
      <w:r>
        <w:rPr>
          <w:rFonts w:ascii="宋体" w:hAnsi="宋体"/>
          <w:color w:val="auto"/>
          <w:sz w:val="21"/>
          <w:szCs w:val="21"/>
          <w:highlight w:val="none"/>
        </w:rPr>
        <w:t>. 承包人</w:t>
      </w:r>
      <w:bookmarkEnd w:id="864"/>
    </w:p>
    <w:bookmarkEnd w:id="865"/>
    <w:bookmarkEnd w:id="866"/>
    <w:bookmarkEnd w:id="867"/>
    <w:bookmarkEnd w:id="868"/>
    <w:bookmarkEnd w:id="869"/>
    <w:bookmarkEnd w:id="870"/>
    <w:bookmarkEnd w:id="871"/>
    <w:bookmarkEnd w:id="872"/>
    <w:bookmarkEnd w:id="873"/>
    <w:bookmarkEnd w:id="874"/>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3.1 承包人的一般义务</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w:t>
      </w:r>
      <w:r>
        <w:rPr>
          <w:rFonts w:hint="eastAsia" w:hAnsi="宋体"/>
          <w:color w:val="auto"/>
          <w:kern w:val="0"/>
          <w:sz w:val="21"/>
          <w:szCs w:val="21"/>
          <w:highlight w:val="none"/>
        </w:rPr>
        <w:t>9</w:t>
      </w:r>
      <w:r>
        <w:rPr>
          <w:rFonts w:hAnsi="宋体"/>
          <w:color w:val="auto"/>
          <w:kern w:val="0"/>
          <w:sz w:val="21"/>
          <w:szCs w:val="21"/>
          <w:highlight w:val="none"/>
        </w:rPr>
        <w:t>）</w:t>
      </w:r>
      <w:r>
        <w:rPr>
          <w:rFonts w:hAnsi="宋体"/>
          <w:color w:val="auto"/>
          <w:sz w:val="21"/>
          <w:szCs w:val="21"/>
          <w:highlight w:val="none"/>
        </w:rPr>
        <w:t>承包人提交的竣工资料的内容：</w:t>
      </w:r>
      <w:r>
        <w:rPr>
          <w:rFonts w:hint="eastAsia" w:hAnsi="宋体"/>
          <w:color w:val="auto"/>
          <w:sz w:val="21"/>
          <w:szCs w:val="21"/>
          <w:highlight w:val="none"/>
          <w:u w:val="single"/>
        </w:rPr>
        <w:t>按JGJ／T185-2009、杭建办发〔2013〕153号及杭州市城建档案馆资料归档要求</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承包人需要提交的竣工资料套数：</w:t>
      </w:r>
      <w:r>
        <w:rPr>
          <w:rFonts w:hint="eastAsia" w:hAnsi="宋体"/>
          <w:color w:val="auto"/>
          <w:kern w:val="0"/>
          <w:sz w:val="21"/>
          <w:szCs w:val="21"/>
          <w:highlight w:val="none"/>
          <w:u w:val="single"/>
        </w:rPr>
        <w:t>一式叁份，同时提供电子文档</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承包人提交的竣工资料的费用承担：</w:t>
      </w:r>
      <w:r>
        <w:rPr>
          <w:rFonts w:hint="eastAsia" w:hAnsi="宋体"/>
          <w:color w:val="auto"/>
          <w:sz w:val="21"/>
          <w:szCs w:val="21"/>
          <w:highlight w:val="none"/>
          <w:u w:val="single"/>
        </w:rPr>
        <w:t>承包人承担</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承包人提交的竣工资料移交时间：</w:t>
      </w:r>
      <w:r>
        <w:rPr>
          <w:rFonts w:hAnsi="宋体"/>
          <w:color w:val="auto"/>
          <w:sz w:val="21"/>
          <w:szCs w:val="21"/>
          <w:highlight w:val="none"/>
          <w:u w:val="single"/>
        </w:rPr>
        <w:t>合同规定的工程竣工前28天</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承包人提交的竣工资料形式要求：</w:t>
      </w:r>
      <w:r>
        <w:rPr>
          <w:rFonts w:hint="eastAsia" w:hAnsi="宋体"/>
          <w:color w:val="auto"/>
          <w:sz w:val="21"/>
          <w:szCs w:val="21"/>
          <w:highlight w:val="none"/>
          <w:u w:val="single"/>
        </w:rPr>
        <w:t>按JGJ／T185-2009、杭建办发〔2013〕153号及杭州市城建档案馆资料归档要求，需档案馆重新整理，费用由承包人承担</w:t>
      </w:r>
      <w:r>
        <w:rPr>
          <w:rFonts w:hAnsi="宋体"/>
          <w:color w:val="auto"/>
          <w:sz w:val="21"/>
          <w:szCs w:val="21"/>
          <w:highlight w:val="none"/>
        </w:rPr>
        <w:t>。</w:t>
      </w:r>
    </w:p>
    <w:p>
      <w:pPr>
        <w:shd w:val="clear"/>
        <w:autoSpaceDE w:val="0"/>
        <w:autoSpaceDN w:val="0"/>
        <w:adjustRightInd w:val="0"/>
        <w:snapToGrid w:val="0"/>
        <w:spacing w:line="340" w:lineRule="exact"/>
        <w:ind w:left="420"/>
        <w:rPr>
          <w:rFonts w:hint="eastAsia" w:hAnsi="宋体"/>
          <w:color w:val="auto"/>
          <w:kern w:val="0"/>
          <w:sz w:val="21"/>
          <w:szCs w:val="21"/>
          <w:highlight w:val="none"/>
          <w:u w:val="single"/>
        </w:rPr>
      </w:pPr>
      <w:r>
        <w:rPr>
          <w:rFonts w:hAnsi="宋体"/>
          <w:color w:val="auto"/>
          <w:kern w:val="0"/>
          <w:sz w:val="21"/>
          <w:szCs w:val="21"/>
          <w:highlight w:val="none"/>
        </w:rPr>
        <w:t>（6）承包人应履行的其他义务：</w:t>
      </w:r>
    </w:p>
    <w:p>
      <w:pPr>
        <w:numPr>
          <w:ilvl w:val="0"/>
          <w:numId w:val="1"/>
        </w:numPr>
        <w:shd w:val="clear"/>
        <w:autoSpaceDE w:val="0"/>
        <w:autoSpaceDN w:val="0"/>
        <w:adjustRightInd w:val="0"/>
        <w:snapToGrid w:val="0"/>
        <w:spacing w:line="340" w:lineRule="exact"/>
        <w:ind w:left="0" w:firstLine="420" w:firstLineChars="200"/>
        <w:rPr>
          <w:rFonts w:hint="eastAsia" w:hAnsi="宋体"/>
          <w:color w:val="auto"/>
          <w:kern w:val="0"/>
          <w:sz w:val="21"/>
          <w:szCs w:val="21"/>
          <w:highlight w:val="none"/>
          <w:u w:val="single"/>
        </w:rPr>
      </w:pPr>
      <w:r>
        <w:rPr>
          <w:rFonts w:hint="eastAsia" w:hAnsi="宋体"/>
          <w:color w:val="auto"/>
          <w:kern w:val="0"/>
          <w:sz w:val="21"/>
          <w:szCs w:val="21"/>
          <w:highlight w:val="none"/>
          <w:u w:val="single"/>
        </w:rPr>
        <w:t>根据工程需要，提供和维修非夜间施工使用的照明、围栏设施，并负责安全保卫。</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成品保护：承包人应做好施工现场建筑物、构筑物、设备、管线的保护工作，并对所造成的损伤、损害负全部责任，承担全部费用。对采取的保护措施发生的费用列入措施费；发现损坏应及时抢修，确保在影响范围内的设备、管线、建筑物、构筑物的正常使用，并承担有关费用。为此增加的技术措施费包含在投标报价中。</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施工场地清洁卫生要求：按浙江省、杭州市的</w:t>
      </w:r>
      <w:r>
        <w:rPr>
          <w:rFonts w:hint="eastAsia" w:hAnsi="宋体"/>
          <w:color w:val="auto"/>
          <w:kern w:val="0"/>
          <w:sz w:val="21"/>
          <w:szCs w:val="21"/>
          <w:highlight w:val="none"/>
          <w:u w:val="single"/>
          <w:lang w:val="en-US" w:eastAsia="zh-CN"/>
        </w:rPr>
        <w:t>相</w:t>
      </w:r>
      <w:r>
        <w:rPr>
          <w:rFonts w:hint="eastAsia" w:hAnsi="宋体"/>
          <w:color w:val="auto"/>
          <w:kern w:val="0"/>
          <w:sz w:val="21"/>
          <w:szCs w:val="21"/>
          <w:highlight w:val="none"/>
          <w:u w:val="single"/>
        </w:rPr>
        <w:t>关要求、规定执行。所发生的各项清理费用、临时性收费、临时性占用场地费、临时性设施费及不可预见的费用，均已包括在合同总价内。</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所有施工车辆必须按发包人指定的行车路线进出施工场地，承包人必须随时对施工车辆散落在公共道路上的杂物进行清扫，保持道路整洁，避免扬尘。施工场地做到“工完、料净、场地清”，承担因自身原因违反有关规定造成的损失和罚款。</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参加发包人召开的与本工程相关的会议，并作好会前有关资料的准备。在保修期内要及时做好回访工作，属保修责任范围的事项应及时按质检标准修好。</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在工程实施过程中，要自始至终将安全和质量管理放在首位；除按发包人要求做好安全质量管理外，应采取应急预警措施以确保本项目工程的安全和质量以及周边建筑物、构筑物及市政设施的安全。</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由于承包人施工原因，引起第三方与发包人或承包人的纠纷或第三方向发包人或承包人提出的索赔等，由承包人全权负责解决并承担全部责任，由此引起的一切后果与发包人无关。</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在工程实施过程中，严格执行省、市颁发的相关规定，切实加强外来务工人员管理，保障农民工的合法权益。按主管部门要求，如必要设立民工学校应按规定设立，费用自理。若在施工期间，由于承包人的责任发生违法、违规事件，后果由承包人自负。</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文明施工按市政府有关部门颁发的文明施工要求及招标文件中技术条款执行，施工时不影响经交管部门审批确认的道路交通的正常运行和保证排水畅通。施工区域范围内必须采取全封闭措施，搞好市容环境卫生，并接受有关主管部门和发包人、监理人的检查；环境控制按招标文件的要求执行。因承包人原因造成工程损失或人身伤害，由承包人承担全部责任及费用。</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上述（包括但不限于）各条款涉及的各类费用均已包括在合同价款内，发包人不再向承包人另行支付。且如果因此类原因导致工期延误，工期不予顺延，并由承包人承担相应的责任及费用。</w:t>
      </w:r>
    </w:p>
    <w:p>
      <w:pPr>
        <w:numPr>
          <w:ilvl w:val="0"/>
          <w:numId w:val="1"/>
        </w:numPr>
        <w:shd w:val="clear"/>
        <w:autoSpaceDE w:val="0"/>
        <w:autoSpaceDN w:val="0"/>
        <w:adjustRightInd w:val="0"/>
        <w:snapToGrid w:val="0"/>
        <w:spacing w:line="340" w:lineRule="exact"/>
        <w:ind w:left="0" w:firstLine="420" w:firstLineChars="200"/>
        <w:rPr>
          <w:rFonts w:hAnsi="宋体"/>
          <w:color w:val="auto"/>
          <w:kern w:val="0"/>
          <w:sz w:val="21"/>
          <w:szCs w:val="21"/>
          <w:highlight w:val="none"/>
          <w:u w:val="single"/>
        </w:rPr>
      </w:pPr>
      <w:r>
        <w:rPr>
          <w:rFonts w:hint="eastAsia" w:hAnsi="宋体"/>
          <w:color w:val="auto"/>
          <w:kern w:val="0"/>
          <w:sz w:val="21"/>
          <w:szCs w:val="21"/>
          <w:highlight w:val="none"/>
          <w:u w:val="single"/>
        </w:rPr>
        <w:t>承包人对其递交的变更、签证、结算资料的合法性、真实性、完整性负责，并不由于发包人和监理人的签认免除承包人的责任。</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3.2 项目经理</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kern w:val="0"/>
          <w:sz w:val="21"/>
          <w:szCs w:val="21"/>
          <w:highlight w:val="none"/>
        </w:rPr>
        <w:t xml:space="preserve">3.2.1 </w:t>
      </w:r>
      <w:r>
        <w:rPr>
          <w:rFonts w:hAnsi="宋体"/>
          <w:color w:val="auto"/>
          <w:sz w:val="21"/>
          <w:szCs w:val="21"/>
          <w:highlight w:val="none"/>
        </w:rPr>
        <w:t>项目经理：</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姓    名：</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身份证号：</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建造师执业资格等级：</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建造师注册证书号：</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建造师执业印章号：</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安全生产考核合格证书号：</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联系电话：</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电子信箱：</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eastAsia="宋体"/>
          <w:color w:val="auto"/>
          <w:sz w:val="21"/>
          <w:szCs w:val="21"/>
          <w:highlight w:val="none"/>
          <w:lang w:eastAsia="zh-CN"/>
        </w:rPr>
      </w:pPr>
      <w:r>
        <w:rPr>
          <w:rFonts w:hAnsi="宋体"/>
          <w:color w:val="auto"/>
          <w:sz w:val="21"/>
          <w:szCs w:val="21"/>
          <w:highlight w:val="none"/>
        </w:rPr>
        <w:t>通信地址：</w:t>
      </w:r>
      <w:r>
        <w:rPr>
          <w:rFonts w:hint="eastAsia" w:ascii="MingLiU_HKSCS" w:hAnsi="MingLiU_HKSCS" w:cs="MingLiU_HKSCS"/>
          <w:color w:val="auto"/>
          <w:sz w:val="21"/>
          <w:szCs w:val="21"/>
          <w:highlight w:val="none"/>
          <w:u w:val="single"/>
        </w:rPr>
        <w:t xml:space="preserve">                     </w:t>
      </w:r>
      <w:r>
        <w:rPr>
          <w:rFonts w:hint="eastAsia" w:hAnsi="宋体"/>
          <w:color w:val="auto"/>
          <w:sz w:val="21"/>
          <w:szCs w:val="21"/>
          <w:highlight w:val="none"/>
          <w:lang w:eastAsia="zh-CN"/>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承包人对项目经理的授权范围如下：</w:t>
      </w:r>
      <w:r>
        <w:rPr>
          <w:rFonts w:hint="eastAsia" w:hAnsi="宋体"/>
          <w:color w:val="auto"/>
          <w:sz w:val="21"/>
          <w:szCs w:val="21"/>
          <w:highlight w:val="none"/>
          <w:u w:val="single"/>
        </w:rPr>
        <w:t>按国家相应法规约定</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关于项目经理每月在施工现场的时间要求：</w:t>
      </w:r>
      <w:r>
        <w:rPr>
          <w:rFonts w:hint="eastAsia" w:hAnsi="宋体"/>
          <w:color w:val="auto"/>
          <w:sz w:val="21"/>
          <w:szCs w:val="21"/>
          <w:highlight w:val="none"/>
          <w:u w:val="single"/>
        </w:rPr>
        <w:t>到位率为80%</w:t>
      </w:r>
      <w:r>
        <w:rPr>
          <w:rFonts w:hAnsi="宋体"/>
          <w:color w:val="auto"/>
          <w:sz w:val="21"/>
          <w:szCs w:val="21"/>
          <w:highlight w:val="none"/>
          <w:u w:val="single"/>
        </w:rPr>
        <w:t>(按每月25天，每天工作8小时考勤)</w:t>
      </w:r>
      <w:r>
        <w:rPr>
          <w:rFonts w:hint="eastAsia" w:hAnsi="宋体"/>
          <w:color w:val="auto"/>
          <w:sz w:val="21"/>
          <w:szCs w:val="21"/>
          <w:highlight w:val="none"/>
          <w:u w:val="single"/>
        </w:rPr>
        <w:t>，重要施工工序或环节时项目经理、技术负责人等必须到场</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承包人未提交劳动合同，以及没有为项目经理缴纳社会保险证明的违约责任：</w:t>
      </w:r>
      <w:r>
        <w:rPr>
          <w:rFonts w:hint="eastAsia" w:hAnsi="宋体"/>
          <w:color w:val="auto"/>
          <w:sz w:val="21"/>
          <w:szCs w:val="21"/>
          <w:highlight w:val="none"/>
          <w:u w:val="single"/>
        </w:rPr>
        <w:t>发包人有权要求更换项目经理，并通报有关建设行政主管部门进行处罚</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项目经理未经批准，擅自离开施工现场的违约责任：</w:t>
      </w:r>
      <w:r>
        <w:rPr>
          <w:rFonts w:hint="eastAsia" w:hAnsi="宋体"/>
          <w:color w:val="auto"/>
          <w:sz w:val="21"/>
          <w:szCs w:val="21"/>
          <w:highlight w:val="none"/>
          <w:u w:val="single"/>
        </w:rPr>
        <w:t>按违约金人民币1000元/天从结算款中扣除</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sz w:val="21"/>
          <w:szCs w:val="21"/>
          <w:highlight w:val="none"/>
        </w:rPr>
        <w:t>3.2.3</w:t>
      </w:r>
      <w:r>
        <w:rPr>
          <w:rFonts w:hint="eastAsia" w:hAnsi="宋体"/>
          <w:color w:val="auto"/>
          <w:sz w:val="21"/>
          <w:szCs w:val="21"/>
          <w:highlight w:val="none"/>
        </w:rPr>
        <w:t xml:space="preserve"> 承包人擅自更换项目经理的违约责任：</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rPr>
        <w:t>（1）</w:t>
      </w:r>
      <w:r>
        <w:rPr>
          <w:rFonts w:hint="eastAsia" w:hAnsi="宋体"/>
          <w:color w:val="auto"/>
          <w:kern w:val="0"/>
          <w:sz w:val="21"/>
          <w:szCs w:val="21"/>
          <w:highlight w:val="none"/>
        </w:rPr>
        <w:t>承包人确需更换项目经理的，继任项目经理注册执业资格、管理经验的约定：</w:t>
      </w:r>
      <w:r>
        <w:rPr>
          <w:rFonts w:hint="eastAsia" w:hAnsi="宋体"/>
          <w:color w:val="auto"/>
          <w:sz w:val="21"/>
          <w:szCs w:val="21"/>
          <w:highlight w:val="none"/>
          <w:u w:val="single"/>
        </w:rPr>
        <w:t>按通用条款约定</w:t>
      </w:r>
      <w:r>
        <w:rPr>
          <w:rFonts w:hint="eastAsia" w:hAnsi="宋体"/>
          <w:color w:val="auto"/>
          <w:kern w:val="0"/>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kern w:val="0"/>
          <w:sz w:val="21"/>
          <w:szCs w:val="21"/>
          <w:highlight w:val="none"/>
        </w:rPr>
        <w:t>（2）</w:t>
      </w:r>
      <w:r>
        <w:rPr>
          <w:rFonts w:hAnsi="宋体"/>
          <w:color w:val="auto"/>
          <w:sz w:val="21"/>
          <w:szCs w:val="21"/>
          <w:highlight w:val="none"/>
        </w:rPr>
        <w:t>承包人擅自更换项目经理的违约责任：</w:t>
      </w:r>
      <w:r>
        <w:rPr>
          <w:rFonts w:hint="eastAsia" w:hAnsi="宋体"/>
          <w:color w:val="auto"/>
          <w:sz w:val="21"/>
          <w:szCs w:val="21"/>
          <w:highlight w:val="none"/>
          <w:u w:val="single"/>
        </w:rPr>
        <w:t>在施工期间不准更换，特殊情况要求更换的项目经理的，须经发包人同意并报招标办及相关部门认可备案。</w:t>
      </w:r>
      <w:r>
        <w:rPr>
          <w:rFonts w:hAnsi="宋体"/>
          <w:color w:val="auto"/>
          <w:sz w:val="21"/>
          <w:szCs w:val="21"/>
          <w:highlight w:val="none"/>
          <w:u w:val="single"/>
        </w:rPr>
        <w:t>承包人更换项目经理的将被视为</w:t>
      </w:r>
      <w:r>
        <w:rPr>
          <w:rFonts w:hint="eastAsia" w:hAnsi="宋体"/>
          <w:color w:val="auto"/>
          <w:sz w:val="21"/>
          <w:szCs w:val="21"/>
          <w:highlight w:val="none"/>
          <w:u w:val="single"/>
        </w:rPr>
        <w:t>承包</w:t>
      </w:r>
      <w:r>
        <w:rPr>
          <w:rFonts w:hAnsi="宋体"/>
          <w:color w:val="auto"/>
          <w:sz w:val="21"/>
          <w:szCs w:val="21"/>
          <w:highlight w:val="none"/>
          <w:u w:val="single"/>
        </w:rPr>
        <w:t>人违约</w:t>
      </w:r>
      <w:r>
        <w:rPr>
          <w:rFonts w:hint="eastAsia" w:hAnsi="宋体"/>
          <w:color w:val="auto"/>
          <w:sz w:val="21"/>
          <w:szCs w:val="21"/>
          <w:highlight w:val="none"/>
          <w:u w:val="single"/>
        </w:rPr>
        <w:t>，</w:t>
      </w:r>
      <w:r>
        <w:rPr>
          <w:rFonts w:hAnsi="宋体"/>
          <w:color w:val="auto"/>
          <w:sz w:val="21"/>
          <w:szCs w:val="21"/>
          <w:highlight w:val="none"/>
          <w:u w:val="single"/>
        </w:rPr>
        <w:t>并按照</w:t>
      </w:r>
      <w:r>
        <w:rPr>
          <w:rFonts w:hint="eastAsia" w:hAnsi="宋体"/>
          <w:color w:val="auto"/>
          <w:sz w:val="21"/>
          <w:szCs w:val="21"/>
          <w:highlight w:val="none"/>
          <w:u w:val="single"/>
        </w:rPr>
        <w:t>1</w:t>
      </w:r>
      <w:r>
        <w:rPr>
          <w:rFonts w:hAnsi="宋体"/>
          <w:color w:val="auto"/>
          <w:sz w:val="21"/>
          <w:szCs w:val="21"/>
          <w:highlight w:val="none"/>
          <w:u w:val="single"/>
        </w:rPr>
        <w:t>万元/人·</w:t>
      </w:r>
      <w:r>
        <w:rPr>
          <w:rFonts w:hint="eastAsia" w:hAnsi="宋体"/>
          <w:color w:val="auto"/>
          <w:sz w:val="21"/>
          <w:szCs w:val="21"/>
          <w:highlight w:val="none"/>
          <w:u w:val="single"/>
        </w:rPr>
        <w:t>次付给发包人违约金</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3.2.4 承包人无正当理由拒绝更换项目经理的违约责任：</w:t>
      </w:r>
      <w:r>
        <w:rPr>
          <w:rFonts w:hint="eastAsia" w:hAnsi="宋体"/>
          <w:color w:val="auto"/>
          <w:sz w:val="21"/>
          <w:szCs w:val="21"/>
          <w:highlight w:val="none"/>
          <w:u w:val="single"/>
        </w:rPr>
        <w:t>从结算款中扣除1万元/人/次的违约金</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3.3 承包人人员</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3.3.1 承包人提交项目管理机构及施工现场管理人员安排报告的期限：</w:t>
      </w:r>
      <w:r>
        <w:rPr>
          <w:rFonts w:hint="eastAsia" w:hAnsi="宋体"/>
          <w:color w:val="auto"/>
          <w:sz w:val="21"/>
          <w:szCs w:val="21"/>
          <w:highlight w:val="none"/>
          <w:u w:val="single"/>
        </w:rPr>
        <w:t>合同生效后7天内</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3.3.2 承包人需更换主要施工管理人员的，继任人员的数量、注册执业资格、管理经验的约定：</w:t>
      </w:r>
      <w:r>
        <w:rPr>
          <w:rFonts w:hint="eastAsia" w:hAnsi="宋体"/>
          <w:color w:val="auto"/>
          <w:sz w:val="21"/>
          <w:szCs w:val="21"/>
          <w:highlight w:val="none"/>
          <w:u w:val="single"/>
        </w:rPr>
        <w:t xml:space="preserve">  不得低于原主要施工管理人员的数量、注册执业资格、管理经验</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3.3.3 承包人无正当理由拒绝撤换主要施工管理人员的违约责任：</w:t>
      </w:r>
      <w:r>
        <w:rPr>
          <w:rFonts w:hint="eastAsia" w:hAnsi="宋体"/>
          <w:color w:val="auto"/>
          <w:sz w:val="21"/>
          <w:szCs w:val="21"/>
          <w:highlight w:val="none"/>
          <w:u w:val="single"/>
        </w:rPr>
        <w:t>从结算款中扣除0.5万元/人/次的违约金</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3.3.4 承包人主要施工管理人员离开施工现场的批准要求：</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3.3.5承包人擅自更换主要施工管理人员的违约责任：</w:t>
      </w:r>
      <w:r>
        <w:rPr>
          <w:rFonts w:hint="eastAsia" w:hAnsi="宋体"/>
          <w:color w:val="auto"/>
          <w:sz w:val="21"/>
          <w:szCs w:val="21"/>
          <w:highlight w:val="none"/>
          <w:u w:val="single"/>
        </w:rPr>
        <w:t>在施工期间不准更换，特殊情况要求更换的，须经发包人同意备案。</w:t>
      </w:r>
      <w:r>
        <w:rPr>
          <w:rFonts w:hAnsi="宋体"/>
          <w:color w:val="auto"/>
          <w:sz w:val="21"/>
          <w:szCs w:val="21"/>
          <w:highlight w:val="none"/>
          <w:u w:val="single"/>
        </w:rPr>
        <w:t>承包人更换</w:t>
      </w:r>
      <w:r>
        <w:rPr>
          <w:rFonts w:hint="eastAsia" w:hAnsi="宋体"/>
          <w:color w:val="auto"/>
          <w:sz w:val="21"/>
          <w:szCs w:val="21"/>
          <w:highlight w:val="none"/>
          <w:u w:val="single"/>
        </w:rPr>
        <w:t>技术负责人、施工员</w:t>
      </w:r>
      <w:r>
        <w:rPr>
          <w:rFonts w:hAnsi="宋体"/>
          <w:color w:val="auto"/>
          <w:sz w:val="21"/>
          <w:szCs w:val="21"/>
          <w:highlight w:val="none"/>
          <w:u w:val="single"/>
        </w:rPr>
        <w:t>的将被视为</w:t>
      </w:r>
      <w:r>
        <w:rPr>
          <w:rFonts w:hint="eastAsia" w:hAnsi="宋体"/>
          <w:color w:val="auto"/>
          <w:sz w:val="21"/>
          <w:szCs w:val="21"/>
          <w:highlight w:val="none"/>
          <w:u w:val="single"/>
        </w:rPr>
        <w:t>承包</w:t>
      </w:r>
      <w:r>
        <w:rPr>
          <w:rFonts w:hAnsi="宋体"/>
          <w:color w:val="auto"/>
          <w:sz w:val="21"/>
          <w:szCs w:val="21"/>
          <w:highlight w:val="none"/>
          <w:u w:val="single"/>
        </w:rPr>
        <w:t>人违约</w:t>
      </w:r>
      <w:r>
        <w:rPr>
          <w:rFonts w:hint="eastAsia" w:hAnsi="宋体"/>
          <w:color w:val="auto"/>
          <w:sz w:val="21"/>
          <w:szCs w:val="21"/>
          <w:highlight w:val="none"/>
          <w:u w:val="single"/>
        </w:rPr>
        <w:t>，</w:t>
      </w:r>
      <w:r>
        <w:rPr>
          <w:rFonts w:hAnsi="宋体"/>
          <w:color w:val="auto"/>
          <w:sz w:val="21"/>
          <w:szCs w:val="21"/>
          <w:highlight w:val="none"/>
          <w:u w:val="single"/>
        </w:rPr>
        <w:t>并按照</w:t>
      </w:r>
      <w:r>
        <w:rPr>
          <w:rFonts w:hint="eastAsia" w:hAnsi="宋体"/>
          <w:color w:val="auto"/>
          <w:sz w:val="21"/>
          <w:szCs w:val="21"/>
          <w:highlight w:val="none"/>
          <w:u w:val="single"/>
        </w:rPr>
        <w:t>500</w:t>
      </w:r>
      <w:r>
        <w:rPr>
          <w:rFonts w:hAnsi="宋体"/>
          <w:color w:val="auto"/>
          <w:sz w:val="21"/>
          <w:szCs w:val="21"/>
          <w:highlight w:val="none"/>
          <w:u w:val="single"/>
        </w:rPr>
        <w:t>元/人·</w:t>
      </w:r>
      <w:r>
        <w:rPr>
          <w:rFonts w:hint="eastAsia" w:hAnsi="宋体"/>
          <w:color w:val="auto"/>
          <w:sz w:val="21"/>
          <w:szCs w:val="21"/>
          <w:highlight w:val="none"/>
          <w:u w:val="single"/>
        </w:rPr>
        <w:t>次付给发包人违约金</w:t>
      </w:r>
      <w:r>
        <w:rPr>
          <w:rFonts w:hAnsi="宋体"/>
          <w:color w:val="auto"/>
          <w:sz w:val="21"/>
          <w:szCs w:val="21"/>
          <w:highlight w:val="none"/>
          <w:u w:val="none"/>
        </w:rPr>
        <w:t>。</w:t>
      </w:r>
      <w:r>
        <w:rPr>
          <w:rFonts w:hAnsi="宋体"/>
          <w:color w:val="auto"/>
          <w:sz w:val="21"/>
          <w:szCs w:val="21"/>
          <w:highlight w:val="none"/>
        </w:rPr>
        <w:t xml:space="preserve">     </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承包人主要施工管理人员擅自离开施工现场的违约责任：</w:t>
      </w:r>
      <w:r>
        <w:rPr>
          <w:rFonts w:hAnsi="宋体"/>
          <w:color w:val="auto"/>
          <w:sz w:val="21"/>
          <w:szCs w:val="21"/>
          <w:highlight w:val="none"/>
          <w:u w:val="single"/>
        </w:rPr>
        <w:t>若技术负责人、施工员出勤率不足投标承诺，</w:t>
      </w:r>
      <w:r>
        <w:rPr>
          <w:rFonts w:hint="eastAsia" w:hAnsi="宋体"/>
          <w:color w:val="auto"/>
          <w:sz w:val="21"/>
          <w:szCs w:val="21"/>
          <w:highlight w:val="none"/>
          <w:u w:val="single"/>
        </w:rPr>
        <w:t>支付违约金500</w:t>
      </w:r>
      <w:r>
        <w:rPr>
          <w:rFonts w:hAnsi="宋体"/>
          <w:color w:val="auto"/>
          <w:sz w:val="21"/>
          <w:szCs w:val="21"/>
          <w:highlight w:val="none"/>
          <w:u w:val="single"/>
        </w:rPr>
        <w:t>元人民币/天/人；安全员、质检员、材料员出勤率不足投标承诺，</w:t>
      </w:r>
      <w:r>
        <w:rPr>
          <w:rFonts w:hint="eastAsia" w:hAnsi="宋体"/>
          <w:color w:val="auto"/>
          <w:sz w:val="21"/>
          <w:szCs w:val="21"/>
          <w:highlight w:val="none"/>
          <w:u w:val="single"/>
        </w:rPr>
        <w:t>支付违约金300</w:t>
      </w:r>
      <w:r>
        <w:rPr>
          <w:rFonts w:hAnsi="宋体"/>
          <w:color w:val="auto"/>
          <w:sz w:val="21"/>
          <w:szCs w:val="21"/>
          <w:highlight w:val="none"/>
          <w:u w:val="single"/>
        </w:rPr>
        <w:t>元人民币/天/人</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w:t>
      </w:r>
      <w:bookmarkStart w:id="875" w:name="_Toc297120459"/>
      <w:bookmarkStart w:id="876" w:name="_Toc297216151"/>
      <w:bookmarkStart w:id="877" w:name="_Toc300934945"/>
      <w:bookmarkStart w:id="878" w:name="_Toc296503159"/>
      <w:bookmarkStart w:id="879" w:name="_Toc292559869"/>
      <w:bookmarkStart w:id="880" w:name="_Toc296346660"/>
      <w:bookmarkStart w:id="881" w:name="_Toc303539102"/>
      <w:bookmarkStart w:id="882" w:name="_Toc296944498"/>
      <w:bookmarkStart w:id="883" w:name="_Toc312677988"/>
      <w:bookmarkStart w:id="884" w:name="_Toc296890987"/>
      <w:bookmarkStart w:id="885" w:name="_Toc297123492"/>
      <w:bookmarkStart w:id="886" w:name="_Toc292559364"/>
      <w:bookmarkStart w:id="887" w:name="_Toc296891199"/>
      <w:bookmarkStart w:id="888" w:name="_Toc304295523"/>
      <w:bookmarkStart w:id="889" w:name="_Toc296347158"/>
      <w:bookmarkStart w:id="890" w:name="_Toc297048345"/>
      <w:r>
        <w:rPr>
          <w:rFonts w:hAnsi="宋体"/>
          <w:color w:val="auto"/>
          <w:sz w:val="21"/>
          <w:szCs w:val="21"/>
          <w:highlight w:val="none"/>
        </w:rPr>
        <w:t>.5 分包</w:t>
      </w:r>
    </w:p>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w:t>
      </w:r>
      <w:bookmarkStart w:id="891" w:name="_Toc297120460"/>
      <w:bookmarkStart w:id="892" w:name="_Toc297123493"/>
      <w:bookmarkStart w:id="893" w:name="_Toc296503160"/>
      <w:bookmarkStart w:id="894" w:name="_Toc297048346"/>
      <w:bookmarkStart w:id="895" w:name="_Toc292559365"/>
      <w:bookmarkStart w:id="896" w:name="_Toc296346661"/>
      <w:bookmarkStart w:id="897" w:name="_Toc297216152"/>
      <w:bookmarkStart w:id="898" w:name="_Toc296347159"/>
      <w:bookmarkStart w:id="899" w:name="_Toc296891200"/>
      <w:bookmarkStart w:id="900" w:name="_Toc304295524"/>
      <w:bookmarkStart w:id="901" w:name="_Toc292559870"/>
      <w:bookmarkStart w:id="902" w:name="_Toc296944499"/>
      <w:bookmarkStart w:id="903" w:name="_Toc300934946"/>
      <w:bookmarkStart w:id="904" w:name="_Toc296890988"/>
      <w:bookmarkStart w:id="905" w:name="_Toc303539103"/>
      <w:bookmarkStart w:id="906" w:name="_Toc312677989"/>
      <w:bookmarkStart w:id="907" w:name="_Toc318581158"/>
      <w:r>
        <w:rPr>
          <w:rFonts w:hAnsi="宋体"/>
          <w:color w:val="auto"/>
          <w:sz w:val="21"/>
          <w:szCs w:val="21"/>
          <w:highlight w:val="none"/>
        </w:rPr>
        <w:t>.5.1 分包的一般约定</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禁止分包的工程包括：</w:t>
      </w:r>
      <w:r>
        <w:rPr>
          <w:rFonts w:hint="eastAsia" w:hAnsi="宋体"/>
          <w:color w:val="auto"/>
          <w:sz w:val="21"/>
          <w:szCs w:val="21"/>
          <w:highlight w:val="none"/>
          <w:u w:val="single"/>
        </w:rPr>
        <w:t>关键性工作</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主体结构、关键性工作的范围：</w:t>
      </w:r>
      <w:r>
        <w:rPr>
          <w:rFonts w:hint="eastAsia" w:hAnsi="宋体"/>
          <w:color w:val="auto"/>
          <w:sz w:val="21"/>
          <w:szCs w:val="21"/>
          <w:highlight w:val="none"/>
          <w:u w:val="single"/>
        </w:rPr>
        <w:t>发生时双方协商确定</w:t>
      </w:r>
      <w:r>
        <w:rPr>
          <w:rFonts w:hAnsi="宋体"/>
          <w:color w:val="auto"/>
          <w:sz w:val="21"/>
          <w:szCs w:val="21"/>
          <w:highlight w:val="none"/>
        </w:rPr>
        <w:t>。</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Start w:id="908" w:name="_Toc297216153"/>
      <w:bookmarkStart w:id="909" w:name="_Toc297123494"/>
      <w:bookmarkStart w:id="910" w:name="_Toc304295525"/>
      <w:bookmarkStart w:id="911" w:name="_Toc300934947"/>
      <w:bookmarkStart w:id="912" w:name="_Toc296890989"/>
      <w:bookmarkStart w:id="913" w:name="_Toc303539104"/>
      <w:bookmarkStart w:id="914" w:name="_Toc296347160"/>
      <w:bookmarkStart w:id="915" w:name="_Toc296944500"/>
      <w:bookmarkStart w:id="916" w:name="_Toc296891201"/>
      <w:bookmarkStart w:id="917" w:name="_Toc297120461"/>
      <w:bookmarkStart w:id="918" w:name="_Toc296503161"/>
      <w:bookmarkStart w:id="919" w:name="_Toc297048347"/>
      <w:bookmarkStart w:id="920" w:name="_Toc296346662"/>
    </w:p>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w:t>
      </w:r>
      <w:bookmarkStart w:id="921" w:name="_Toc318581159"/>
      <w:bookmarkStart w:id="922" w:name="_Toc312677990"/>
      <w:r>
        <w:rPr>
          <w:rFonts w:hAnsi="宋体"/>
          <w:color w:val="auto"/>
          <w:sz w:val="21"/>
          <w:szCs w:val="21"/>
          <w:highlight w:val="none"/>
        </w:rPr>
        <w:t>.5.2分包的确定</w:t>
      </w:r>
    </w:p>
    <w:p>
      <w:pPr>
        <w:shd w:val="clear"/>
        <w:adjustRightInd w:val="0"/>
        <w:snapToGrid w:val="0"/>
        <w:spacing w:line="360" w:lineRule="exact"/>
        <w:ind w:firstLine="420" w:firstLineChars="200"/>
        <w:rPr>
          <w:rFonts w:hAnsi="宋体"/>
          <w:b/>
          <w:color w:val="auto"/>
          <w:sz w:val="21"/>
          <w:szCs w:val="21"/>
          <w:highlight w:val="none"/>
          <w:u w:val="single"/>
        </w:rPr>
      </w:pPr>
      <w:r>
        <w:rPr>
          <w:rFonts w:hAnsi="宋体"/>
          <w:color w:val="auto"/>
          <w:sz w:val="21"/>
          <w:szCs w:val="21"/>
          <w:highlight w:val="none"/>
        </w:rPr>
        <w:t>允许分包的专业工程包括：</w:t>
      </w:r>
      <w:r>
        <w:rPr>
          <w:rFonts w:hint="eastAsia" w:hAnsi="宋体" w:cs="Arial"/>
          <w:color w:val="auto"/>
          <w:sz w:val="21"/>
          <w:szCs w:val="21"/>
          <w:highlight w:val="none"/>
          <w:u w:val="single"/>
        </w:rPr>
        <w:t>未经发包人同意，承包人不得将承包工程的任何部分分包，如发现擅自分包，除立即取消分包人的分包资格外，承包人还应按合同价的1%向发包人支付违约金</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其他关于分包的约定：</w:t>
      </w:r>
      <w:r>
        <w:rPr>
          <w:rFonts w:hint="eastAsia" w:hAnsi="宋体"/>
          <w:color w:val="auto"/>
          <w:sz w:val="21"/>
          <w:szCs w:val="21"/>
          <w:highlight w:val="none"/>
          <w:u w:val="single"/>
        </w:rPr>
        <w:t xml:space="preserve">   /   </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3.5.4 分包合同价款</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关于分包合同价款支付的约定：</w:t>
      </w:r>
      <w:r>
        <w:rPr>
          <w:rFonts w:hint="eastAsia" w:hAnsi="宋体"/>
          <w:color w:val="auto"/>
          <w:sz w:val="21"/>
          <w:szCs w:val="21"/>
          <w:highlight w:val="none"/>
          <w:u w:val="single"/>
        </w:rPr>
        <w:t>按通用条款执行</w:t>
      </w:r>
      <w:r>
        <w:rPr>
          <w:rFonts w:hint="eastAsia" w:hAnsi="宋体"/>
          <w:color w:val="auto"/>
          <w:sz w:val="21"/>
          <w:szCs w:val="21"/>
          <w:highlight w:val="none"/>
        </w:rPr>
        <w:t>。</w:t>
      </w:r>
    </w:p>
    <w:bookmarkEnd w:id="921"/>
    <w:bookmarkEnd w:id="922"/>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3.6 工程照管与成品、半成品保护</w:t>
      </w:r>
    </w:p>
    <w:p>
      <w:pPr>
        <w:shd w:val="clear"/>
        <w:adjustRightInd w:val="0"/>
        <w:snapToGrid w:val="0"/>
        <w:spacing w:line="360" w:lineRule="exact"/>
        <w:ind w:firstLine="420" w:firstLineChars="200"/>
        <w:rPr>
          <w:rFonts w:hint="eastAsia" w:hAnsi="宋体"/>
          <w:b/>
          <w:color w:val="auto"/>
          <w:kern w:val="0"/>
          <w:sz w:val="21"/>
          <w:szCs w:val="21"/>
          <w:highlight w:val="none"/>
          <w:u w:val="single"/>
        </w:rPr>
      </w:pPr>
      <w:r>
        <w:rPr>
          <w:rFonts w:hAnsi="宋体"/>
          <w:color w:val="auto"/>
          <w:kern w:val="0"/>
          <w:sz w:val="21"/>
          <w:szCs w:val="21"/>
          <w:highlight w:val="none"/>
        </w:rPr>
        <w:t>承包人负责照管工程及工程相关的材料、工程设备的起始时间：</w:t>
      </w:r>
      <w:r>
        <w:rPr>
          <w:rFonts w:hint="eastAsia" w:hAnsi="宋体"/>
          <w:color w:val="auto"/>
          <w:sz w:val="21"/>
          <w:szCs w:val="21"/>
          <w:highlight w:val="none"/>
          <w:u w:val="single"/>
        </w:rPr>
        <w:t>按通用条款执行</w:t>
      </w:r>
      <w:r>
        <w:rPr>
          <w:rFonts w:hint="eastAsia" w:hAnsi="宋体"/>
          <w:color w:val="auto"/>
          <w:kern w:val="0"/>
          <w:sz w:val="21"/>
          <w:szCs w:val="21"/>
          <w:highlight w:val="none"/>
          <w:u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3.7 履约担保</w:t>
      </w:r>
    </w:p>
    <w:p>
      <w:pPr>
        <w:shd w:val="clear"/>
        <w:adjustRightInd w:val="0"/>
        <w:snapToGrid w:val="0"/>
        <w:spacing w:line="360" w:lineRule="exact"/>
        <w:ind w:firstLine="420" w:firstLineChars="200"/>
        <w:rPr>
          <w:rFonts w:hAnsi="宋体"/>
          <w:color w:val="auto"/>
          <w:sz w:val="21"/>
          <w:szCs w:val="21"/>
          <w:highlight w:val="none"/>
        </w:rPr>
      </w:pPr>
      <w:r>
        <w:rPr>
          <w:rFonts w:hint="eastAsia" w:hAnsi="宋体"/>
          <w:color w:val="auto"/>
          <w:sz w:val="21"/>
          <w:szCs w:val="21"/>
          <w:highlight w:val="none"/>
        </w:rPr>
        <w:t>承包人是否提供履约担保：</w:t>
      </w:r>
      <w:r>
        <w:rPr>
          <w:rFonts w:hAnsi="宋体"/>
          <w:color w:val="auto"/>
          <w:sz w:val="21"/>
          <w:szCs w:val="21"/>
          <w:highlight w:val="none"/>
          <w:u w:val="single"/>
        </w:rPr>
        <w:t xml:space="preserve"> </w:t>
      </w:r>
      <w:r>
        <w:rPr>
          <w:rFonts w:hint="eastAsia" w:hAnsi="宋体"/>
          <w:color w:val="auto"/>
          <w:sz w:val="21"/>
          <w:szCs w:val="21"/>
          <w:highlight w:val="none"/>
          <w:u w:val="single"/>
        </w:rPr>
        <w:t>提供</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s="Arial"/>
          <w:color w:val="auto"/>
          <w:kern w:val="0"/>
          <w:sz w:val="21"/>
          <w:szCs w:val="21"/>
          <w:highlight w:val="none"/>
          <w:u w:val="single"/>
        </w:rPr>
      </w:pPr>
      <w:r>
        <w:rPr>
          <w:rFonts w:hAnsi="宋体"/>
          <w:color w:val="auto"/>
          <w:sz w:val="21"/>
          <w:szCs w:val="21"/>
          <w:highlight w:val="none"/>
        </w:rPr>
        <w:t>承包人提供履约担保的形式</w:t>
      </w:r>
      <w:r>
        <w:rPr>
          <w:rFonts w:hint="eastAsia" w:hAnsi="宋体"/>
          <w:color w:val="auto"/>
          <w:sz w:val="21"/>
          <w:szCs w:val="21"/>
          <w:highlight w:val="none"/>
        </w:rPr>
        <w:t>、金额及期限的</w:t>
      </w:r>
      <w:r>
        <w:rPr>
          <w:rFonts w:hAnsi="宋体"/>
          <w:color w:val="auto"/>
          <w:sz w:val="21"/>
          <w:szCs w:val="21"/>
          <w:highlight w:val="none"/>
        </w:rPr>
        <w:t>：</w:t>
      </w:r>
      <w:r>
        <w:rPr>
          <w:rFonts w:hAnsi="宋体" w:cs="Arial"/>
          <w:color w:val="auto"/>
          <w:kern w:val="0"/>
          <w:sz w:val="21"/>
          <w:szCs w:val="21"/>
          <w:highlight w:val="none"/>
          <w:u w:val="single"/>
        </w:rPr>
        <w:t>合同</w:t>
      </w:r>
      <w:r>
        <w:rPr>
          <w:rFonts w:hint="eastAsia" w:hAnsi="宋体" w:cs="Arial"/>
          <w:color w:val="auto"/>
          <w:kern w:val="0"/>
          <w:sz w:val="21"/>
          <w:szCs w:val="21"/>
          <w:highlight w:val="none"/>
          <w:u w:val="single"/>
          <w:lang w:val="en-US" w:eastAsia="zh-CN"/>
        </w:rPr>
        <w:t>签订后7天内，承包</w:t>
      </w:r>
      <w:r>
        <w:rPr>
          <w:rFonts w:hAnsi="宋体" w:cs="Arial"/>
          <w:color w:val="auto"/>
          <w:kern w:val="0"/>
          <w:sz w:val="21"/>
          <w:szCs w:val="21"/>
          <w:highlight w:val="none"/>
          <w:u w:val="single"/>
        </w:rPr>
        <w:t>人应</w:t>
      </w:r>
      <w:r>
        <w:rPr>
          <w:rFonts w:hint="eastAsia" w:hAnsi="宋体" w:cs="Arial"/>
          <w:color w:val="auto"/>
          <w:kern w:val="0"/>
          <w:sz w:val="21"/>
          <w:szCs w:val="21"/>
          <w:highlight w:val="none"/>
          <w:u w:val="single"/>
        </w:rPr>
        <w:t>按</w:t>
      </w:r>
      <w:r>
        <w:rPr>
          <w:rFonts w:hint="eastAsia" w:hAnsi="宋体" w:cs="Arial"/>
          <w:color w:val="auto"/>
          <w:kern w:val="0"/>
          <w:sz w:val="21"/>
          <w:szCs w:val="21"/>
          <w:highlight w:val="none"/>
          <w:u w:val="single"/>
          <w:lang w:val="en-US" w:eastAsia="zh-CN"/>
        </w:rPr>
        <w:t>合同总价的1</w:t>
      </w:r>
      <w:r>
        <w:rPr>
          <w:rFonts w:hint="eastAsia" w:hAnsi="宋体" w:cs="Arial"/>
          <w:color w:val="auto"/>
          <w:kern w:val="0"/>
          <w:sz w:val="21"/>
          <w:szCs w:val="21"/>
          <w:highlight w:val="none"/>
          <w:u w:val="single"/>
        </w:rPr>
        <w:t>%</w:t>
      </w:r>
      <w:r>
        <w:rPr>
          <w:rFonts w:hint="eastAsia" w:hAnsi="宋体" w:cs="Arial"/>
          <w:color w:val="auto"/>
          <w:kern w:val="0"/>
          <w:sz w:val="21"/>
          <w:szCs w:val="21"/>
          <w:highlight w:val="none"/>
          <w:u w:val="single"/>
          <w:lang w:eastAsia="zh-CN"/>
        </w:rPr>
        <w:t>，</w:t>
      </w:r>
      <w:r>
        <w:rPr>
          <w:rFonts w:hint="eastAsia" w:hAnsi="宋体" w:cs="Arial"/>
          <w:color w:val="auto"/>
          <w:kern w:val="0"/>
          <w:sz w:val="21"/>
          <w:szCs w:val="21"/>
          <w:highlight w:val="none"/>
          <w:u w:val="single"/>
          <w:lang w:val="en-US" w:eastAsia="zh-CN"/>
        </w:rPr>
        <w:t>即    元</w:t>
      </w:r>
      <w:r>
        <w:rPr>
          <w:rFonts w:hint="eastAsia" w:hAnsi="宋体" w:cs="Arial"/>
          <w:color w:val="auto"/>
          <w:kern w:val="0"/>
          <w:sz w:val="21"/>
          <w:szCs w:val="21"/>
          <w:highlight w:val="none"/>
          <w:u w:val="single"/>
        </w:rPr>
        <w:t>的履约保证金，以支票、汇票、本票或者金融机构、担保机构出具的保函等非现金形式提交</w:t>
      </w:r>
      <w:r>
        <w:rPr>
          <w:rFonts w:hint="eastAsia" w:hAnsi="宋体" w:cs="Arial"/>
          <w:color w:val="auto"/>
          <w:kern w:val="0"/>
          <w:sz w:val="21"/>
          <w:szCs w:val="21"/>
          <w:highlight w:val="none"/>
          <w:u w:val="single"/>
          <w:lang w:val="en-US" w:eastAsia="zh-CN"/>
        </w:rPr>
        <w:t>给发包人</w:t>
      </w:r>
      <w:r>
        <w:rPr>
          <w:rFonts w:hint="eastAsia" w:hAnsi="宋体" w:cs="Arial"/>
          <w:color w:val="auto"/>
          <w:kern w:val="0"/>
          <w:sz w:val="21"/>
          <w:szCs w:val="21"/>
          <w:highlight w:val="none"/>
          <w:u w:val="none"/>
        </w:rPr>
        <w:t>。</w:t>
      </w:r>
    </w:p>
    <w:p>
      <w:pPr>
        <w:pStyle w:val="6"/>
        <w:shd w:val="clear"/>
        <w:adjustRightInd w:val="0"/>
        <w:snapToGrid w:val="0"/>
        <w:spacing w:before="0" w:after="0" w:line="360" w:lineRule="exact"/>
        <w:rPr>
          <w:rFonts w:ascii="宋体" w:hAnsi="宋体"/>
          <w:color w:val="auto"/>
          <w:sz w:val="21"/>
          <w:szCs w:val="21"/>
          <w:highlight w:val="none"/>
        </w:rPr>
      </w:pPr>
      <w:bookmarkStart w:id="923" w:name="_Toc351203636"/>
      <w:r>
        <w:rPr>
          <w:rFonts w:ascii="宋体" w:hAnsi="宋体"/>
          <w:color w:val="auto"/>
          <w:sz w:val="21"/>
          <w:szCs w:val="21"/>
          <w:highlight w:val="none"/>
        </w:rPr>
        <w:t>4</w:t>
      </w:r>
      <w:bookmarkStart w:id="924" w:name="_Toc297120462"/>
      <w:bookmarkStart w:id="925" w:name="_Toc296347161"/>
      <w:bookmarkStart w:id="926" w:name="_Toc292559366"/>
      <w:bookmarkStart w:id="927" w:name="_Toc296346663"/>
      <w:bookmarkStart w:id="928" w:name="_Toc296891202"/>
      <w:bookmarkStart w:id="929" w:name="_Toc292559871"/>
      <w:bookmarkStart w:id="930" w:name="_Toc267251413"/>
      <w:bookmarkStart w:id="931" w:name="_Toc296503162"/>
      <w:bookmarkStart w:id="932" w:name="_Toc296944501"/>
      <w:bookmarkStart w:id="933" w:name="_Toc296890990"/>
      <w:bookmarkStart w:id="934" w:name="_Toc297048348"/>
      <w:r>
        <w:rPr>
          <w:rFonts w:ascii="宋体" w:hAnsi="宋体"/>
          <w:color w:val="auto"/>
          <w:sz w:val="21"/>
          <w:szCs w:val="21"/>
          <w:highlight w:val="none"/>
        </w:rPr>
        <w:t>. 监</w:t>
      </w:r>
      <w:bookmarkEnd w:id="924"/>
      <w:bookmarkEnd w:id="925"/>
      <w:bookmarkEnd w:id="926"/>
      <w:bookmarkEnd w:id="927"/>
      <w:bookmarkEnd w:id="928"/>
      <w:bookmarkEnd w:id="929"/>
      <w:bookmarkEnd w:id="930"/>
      <w:bookmarkEnd w:id="931"/>
      <w:bookmarkEnd w:id="932"/>
      <w:bookmarkEnd w:id="933"/>
      <w:bookmarkEnd w:id="934"/>
      <w:r>
        <w:rPr>
          <w:rFonts w:ascii="宋体" w:hAnsi="宋体"/>
          <w:color w:val="auto"/>
          <w:sz w:val="21"/>
          <w:szCs w:val="21"/>
          <w:highlight w:val="none"/>
        </w:rPr>
        <w:t>理人</w:t>
      </w:r>
      <w:bookmarkEnd w:id="923"/>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4.1监理人的一般规定</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关于监理人的监理内容：</w:t>
      </w:r>
      <w:r>
        <w:rPr>
          <w:rFonts w:hint="eastAsia" w:hAnsi="宋体" w:cs="Arial"/>
          <w:color w:val="auto"/>
          <w:kern w:val="0"/>
          <w:sz w:val="21"/>
          <w:szCs w:val="21"/>
          <w:highlight w:val="none"/>
          <w:u w:val="single"/>
        </w:rPr>
        <w:t>按监理合同约定实行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关于监理人的监理权限：</w:t>
      </w:r>
      <w:r>
        <w:rPr>
          <w:rFonts w:hint="eastAsia" w:hAnsi="宋体" w:cs="Arial"/>
          <w:color w:val="auto"/>
          <w:kern w:val="0"/>
          <w:sz w:val="21"/>
          <w:szCs w:val="21"/>
          <w:highlight w:val="none"/>
          <w:u w:val="single"/>
        </w:rPr>
        <w:t>按监理合同约定实行</w:t>
      </w:r>
      <w:r>
        <w:rPr>
          <w:rFonts w:hAnsi="宋体"/>
          <w:color w:val="auto"/>
          <w:sz w:val="21"/>
          <w:szCs w:val="21"/>
          <w:highlight w:val="none"/>
        </w:rPr>
        <w:t xml:space="preserve">。 </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关于监理人在施工现场的办公场所、生活场所的提供和费用承担的约定：</w:t>
      </w:r>
      <w:r>
        <w:rPr>
          <w:rFonts w:hAnsi="宋体"/>
          <w:color w:val="auto"/>
          <w:sz w:val="21"/>
          <w:szCs w:val="21"/>
          <w:highlight w:val="none"/>
          <w:u w:val="single"/>
        </w:rPr>
        <w:t xml:space="preserve"> </w:t>
      </w:r>
      <w:r>
        <w:rPr>
          <w:rFonts w:hint="eastAsia" w:hAnsi="宋体" w:cs="Arial"/>
          <w:color w:val="auto"/>
          <w:kern w:val="0"/>
          <w:sz w:val="21"/>
          <w:szCs w:val="21"/>
          <w:highlight w:val="none"/>
          <w:u w:val="single"/>
        </w:rPr>
        <w:t>/</w:t>
      </w:r>
      <w:r>
        <w:rPr>
          <w:rFonts w:hint="eastAsia" w:hAnsi="宋体" w:cs="Arial"/>
          <w:color w:val="auto"/>
          <w:kern w:val="0"/>
          <w:sz w:val="21"/>
          <w:szCs w:val="21"/>
          <w:highlight w:val="none"/>
          <w:u w:val="single"/>
          <w:lang w:val="en-US" w:eastAsia="zh-CN"/>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4.2 监理人员</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总监理工程师：</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姓    名：</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职    务：</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监理工程师执业资格证书号：</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联系电话：</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电子信箱：</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通信地址：</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关于监理人的其他约定：</w:t>
      </w:r>
      <w:r>
        <w:rPr>
          <w:rFonts w:hint="eastAsia" w:ascii="MingLiU_HKSCS" w:hAnsi="MingLiU_HKSCS" w:cs="MingLiU_HKSCS"/>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4.4 商定或确定</w:t>
      </w:r>
    </w:p>
    <w:p>
      <w:pPr>
        <w:shd w:val="clear"/>
        <w:adjustRightInd w:val="0"/>
        <w:snapToGrid w:val="0"/>
        <w:spacing w:line="360" w:lineRule="exact"/>
        <w:ind w:firstLine="420" w:firstLineChars="200"/>
        <w:rPr>
          <w:rFonts w:hint="eastAsia" w:hAnsi="宋体"/>
          <w:color w:val="auto"/>
          <w:sz w:val="21"/>
          <w:szCs w:val="21"/>
          <w:highlight w:val="none"/>
        </w:rPr>
      </w:pPr>
      <w:bookmarkStart w:id="935" w:name="_Toc267251418"/>
      <w:r>
        <w:rPr>
          <w:rFonts w:hAnsi="宋体"/>
          <w:color w:val="auto"/>
          <w:sz w:val="21"/>
          <w:szCs w:val="21"/>
          <w:highlight w:val="none"/>
        </w:rPr>
        <w:t>在发包人和承包人不能通过协商达成一致意见时，发包人授权监理人对以下事项进行确定</w:t>
      </w:r>
      <w:bookmarkStart w:id="936" w:name="_Toc351203637"/>
      <w:r>
        <w:rPr>
          <w:rFonts w:hint="eastAsia" w:hAnsi="宋体"/>
          <w:color w:val="auto"/>
          <w:sz w:val="21"/>
          <w:szCs w:val="21"/>
          <w:highlight w:val="none"/>
        </w:rPr>
        <w:t>：</w:t>
      </w:r>
    </w:p>
    <w:p>
      <w:pPr>
        <w:pStyle w:val="6"/>
        <w:shd w:val="clear"/>
        <w:adjustRightInd w:val="0"/>
        <w:snapToGrid w:val="0"/>
        <w:spacing w:before="0" w:after="0" w:line="360" w:lineRule="exact"/>
        <w:rPr>
          <w:rFonts w:ascii="宋体" w:hAnsi="宋体"/>
          <w:color w:val="auto"/>
          <w:sz w:val="21"/>
          <w:szCs w:val="21"/>
          <w:highlight w:val="none"/>
        </w:rPr>
      </w:pPr>
      <w:r>
        <w:rPr>
          <w:rFonts w:ascii="宋体" w:hAnsi="宋体"/>
          <w:color w:val="auto"/>
          <w:sz w:val="21"/>
          <w:szCs w:val="21"/>
          <w:highlight w:val="none"/>
        </w:rPr>
        <w:t>5</w:t>
      </w:r>
      <w:bookmarkEnd w:id="935"/>
      <w:bookmarkStart w:id="937" w:name="_Toc296891203"/>
      <w:bookmarkStart w:id="938" w:name="_Toc296890991"/>
      <w:bookmarkStart w:id="939" w:name="_Toc297120463"/>
      <w:bookmarkStart w:id="940" w:name="_Toc297048349"/>
      <w:bookmarkStart w:id="941" w:name="_Toc292559872"/>
      <w:bookmarkStart w:id="942" w:name="_Toc296347162"/>
      <w:bookmarkStart w:id="943" w:name="_Toc292559367"/>
      <w:bookmarkStart w:id="944" w:name="_Toc296346664"/>
      <w:bookmarkStart w:id="945" w:name="_Toc296503163"/>
      <w:bookmarkStart w:id="946" w:name="_Toc296944502"/>
      <w:r>
        <w:rPr>
          <w:rFonts w:ascii="宋体" w:hAnsi="宋体"/>
          <w:color w:val="auto"/>
          <w:sz w:val="21"/>
          <w:szCs w:val="21"/>
          <w:highlight w:val="none"/>
        </w:rPr>
        <w:t>. 工程质量</w:t>
      </w:r>
      <w:bookmarkEnd w:id="936"/>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5.1 质量要求</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5</w:t>
      </w:r>
      <w:bookmarkStart w:id="947" w:name="_Toc297123496"/>
      <w:bookmarkStart w:id="948" w:name="_Toc304295527"/>
      <w:bookmarkStart w:id="949" w:name="_Toc297216155"/>
      <w:bookmarkStart w:id="950" w:name="_Toc312677997"/>
      <w:bookmarkStart w:id="951" w:name="_Toc300934949"/>
      <w:bookmarkStart w:id="952" w:name="_Toc318581164"/>
      <w:bookmarkStart w:id="953" w:name="_Toc303539106"/>
      <w:r>
        <w:rPr>
          <w:rFonts w:hAnsi="宋体"/>
          <w:color w:val="auto"/>
          <w:sz w:val="21"/>
          <w:szCs w:val="21"/>
          <w:highlight w:val="none"/>
        </w:rPr>
        <w:t>.1.1 特殊质量标准和要求：</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关于工程奖项的约定：</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5.3 隐蔽工程检查</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5.3.2承包人提前通知监理人隐蔽工程检查的期限的约定：</w:t>
      </w:r>
      <w:r>
        <w:rPr>
          <w:rFonts w:hint="eastAsia" w:hAnsi="宋体" w:cs="Arial"/>
          <w:color w:val="auto"/>
          <w:kern w:val="0"/>
          <w:sz w:val="21"/>
          <w:szCs w:val="21"/>
          <w:highlight w:val="none"/>
          <w:u w:val="single"/>
        </w:rPr>
        <w:t>承包人应在共同检查前48小时书面通知监理人检查，通知中应载明隐蔽检查的内容、时间和地点，并应附有自检记录和必要的检查资料</w:t>
      </w:r>
      <w:r>
        <w:rPr>
          <w:rFonts w:hAnsi="宋体" w:cs="Arial"/>
          <w:color w:val="auto"/>
          <w:kern w:val="0"/>
          <w:sz w:val="21"/>
          <w:szCs w:val="21"/>
          <w:highlight w:val="none"/>
          <w:u w:val="single"/>
        </w:rPr>
        <w:t>。</w:t>
      </w:r>
      <w:r>
        <w:rPr>
          <w:rFonts w:hint="eastAsia" w:hAnsi="宋体" w:cs="Arial"/>
          <w:color w:val="auto"/>
          <w:kern w:val="0"/>
          <w:sz w:val="21"/>
          <w:szCs w:val="21"/>
          <w:highlight w:val="none"/>
          <w:u w:val="single"/>
        </w:rPr>
        <w:t>隐蔽工程必须做好影像资料收集、整理</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监理人不能按时进行检查时，应提前</w:t>
      </w:r>
      <w:r>
        <w:rPr>
          <w:rFonts w:hAnsi="宋体"/>
          <w:color w:val="auto"/>
          <w:sz w:val="21"/>
          <w:szCs w:val="21"/>
          <w:highlight w:val="none"/>
          <w:u w:val="single"/>
        </w:rPr>
        <w:t xml:space="preserve">  </w:t>
      </w:r>
      <w:r>
        <w:rPr>
          <w:rFonts w:hint="eastAsia" w:hAnsi="宋体"/>
          <w:color w:val="auto"/>
          <w:sz w:val="21"/>
          <w:szCs w:val="21"/>
          <w:highlight w:val="none"/>
          <w:u w:val="single"/>
        </w:rPr>
        <w:t>48</w:t>
      </w:r>
      <w:r>
        <w:rPr>
          <w:rFonts w:hAnsi="宋体"/>
          <w:color w:val="auto"/>
          <w:sz w:val="21"/>
          <w:szCs w:val="21"/>
          <w:highlight w:val="none"/>
          <w:u w:val="single"/>
        </w:rPr>
        <w:t xml:space="preserve">  </w:t>
      </w:r>
      <w:r>
        <w:rPr>
          <w:rFonts w:hAnsi="宋体"/>
          <w:color w:val="auto"/>
          <w:sz w:val="21"/>
          <w:szCs w:val="21"/>
          <w:highlight w:val="none"/>
        </w:rPr>
        <w:t>小时提交书面延期要求。</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关于延期最长不得超过：</w:t>
      </w:r>
      <w:r>
        <w:rPr>
          <w:rFonts w:hAnsi="宋体"/>
          <w:color w:val="auto"/>
          <w:sz w:val="21"/>
          <w:szCs w:val="21"/>
          <w:highlight w:val="none"/>
          <w:u w:val="single"/>
        </w:rPr>
        <w:t xml:space="preserve">  </w:t>
      </w:r>
      <w:r>
        <w:rPr>
          <w:rFonts w:hint="eastAsia" w:hAnsi="宋体"/>
          <w:color w:val="auto"/>
          <w:sz w:val="21"/>
          <w:szCs w:val="21"/>
          <w:highlight w:val="none"/>
          <w:u w:val="single"/>
        </w:rPr>
        <w:t>48</w:t>
      </w:r>
      <w:r>
        <w:rPr>
          <w:rFonts w:hAnsi="宋体"/>
          <w:color w:val="auto"/>
          <w:sz w:val="21"/>
          <w:szCs w:val="21"/>
          <w:highlight w:val="none"/>
          <w:u w:val="single"/>
        </w:rPr>
        <w:t xml:space="preserve">  </w:t>
      </w:r>
      <w:r>
        <w:rPr>
          <w:rFonts w:hAnsi="宋体"/>
          <w:color w:val="auto"/>
          <w:sz w:val="21"/>
          <w:szCs w:val="21"/>
          <w:highlight w:val="none"/>
        </w:rPr>
        <w:t>小时。</w:t>
      </w:r>
    </w:p>
    <w:p>
      <w:pPr>
        <w:pStyle w:val="6"/>
        <w:shd w:val="clear"/>
        <w:adjustRightInd w:val="0"/>
        <w:snapToGrid w:val="0"/>
        <w:spacing w:before="0" w:after="0" w:line="360" w:lineRule="exact"/>
        <w:rPr>
          <w:rFonts w:ascii="宋体" w:hAnsi="宋体"/>
          <w:color w:val="auto"/>
          <w:sz w:val="21"/>
          <w:szCs w:val="21"/>
          <w:highlight w:val="none"/>
        </w:rPr>
      </w:pPr>
      <w:bookmarkStart w:id="954" w:name="_Toc351203638"/>
      <w:r>
        <w:rPr>
          <w:rFonts w:ascii="宋体" w:hAnsi="宋体"/>
          <w:color w:val="auto"/>
          <w:sz w:val="21"/>
          <w:szCs w:val="21"/>
          <w:highlight w:val="none"/>
        </w:rPr>
        <w:t>6. 安全文明施工与环境保护</w:t>
      </w:r>
      <w:bookmarkEnd w:id="954"/>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6.1安全文明施工</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sz w:val="21"/>
          <w:szCs w:val="21"/>
          <w:highlight w:val="none"/>
        </w:rPr>
        <w:t>6.1.1 项目安全生产的达标目标及相应事项的约定：</w:t>
      </w:r>
      <w:r>
        <w:rPr>
          <w:rFonts w:hint="eastAsia" w:hAnsi="宋体"/>
          <w:color w:val="auto"/>
          <w:sz w:val="21"/>
          <w:szCs w:val="21"/>
          <w:highlight w:val="none"/>
          <w:u w:val="single"/>
        </w:rPr>
        <w:t>施工现场按照《建筑施工安全检查标准》（JGJ59-2011）评定达到“合格”标准</w:t>
      </w:r>
      <w:r>
        <w:rPr>
          <w:rFonts w:hint="eastAsia" w:hAnsi="宋体"/>
          <w:color w:val="auto"/>
          <w:sz w:val="21"/>
          <w:szCs w:val="21"/>
          <w:highlight w:val="none"/>
          <w:u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6.1.4 关于治安保卫的特别约定：</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关于编制施工场地治安管理计划的约定：</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int="eastAsia" w:hAnsi="宋体"/>
          <w:color w:val="auto"/>
          <w:sz w:val="21"/>
          <w:szCs w:val="21"/>
          <w:highlight w:val="none"/>
        </w:rPr>
        <w:t>6.1.5 文明施工</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合同当事人对文明施工的要求：</w:t>
      </w:r>
    </w:p>
    <w:p>
      <w:pPr>
        <w:shd w:val="clear"/>
        <w:adjustRightInd w:val="0"/>
        <w:snapToGrid w:val="0"/>
        <w:spacing w:line="360" w:lineRule="exact"/>
        <w:ind w:firstLine="420" w:firstLineChars="200"/>
        <w:rPr>
          <w:rFonts w:hint="eastAsia" w:hAnsi="宋体"/>
          <w:color w:val="auto"/>
          <w:sz w:val="21"/>
          <w:szCs w:val="21"/>
          <w:highlight w:val="none"/>
          <w:u w:val="single"/>
          <w:lang w:val="zh-CN"/>
        </w:rPr>
      </w:pPr>
      <w:r>
        <w:rPr>
          <w:rFonts w:hint="eastAsia" w:hAnsi="宋体"/>
          <w:color w:val="auto"/>
          <w:sz w:val="21"/>
          <w:szCs w:val="21"/>
          <w:highlight w:val="none"/>
          <w:u w:val="single"/>
        </w:rPr>
        <w:t>（1）</w:t>
      </w:r>
      <w:r>
        <w:rPr>
          <w:rFonts w:hint="eastAsia" w:hAnsi="宋体"/>
          <w:color w:val="auto"/>
          <w:sz w:val="21"/>
          <w:szCs w:val="21"/>
          <w:highlight w:val="none"/>
          <w:u w:val="single"/>
          <w:lang w:val="zh-CN"/>
        </w:rPr>
        <w:t>遵守地方政府和有关部门对施工场地交通、环卫、安全和施工噪音等管理规定，并办理相关审批手续</w:t>
      </w:r>
      <w:r>
        <w:rPr>
          <w:rFonts w:hint="eastAsia" w:hAnsi="宋体"/>
          <w:color w:val="auto"/>
          <w:sz w:val="21"/>
          <w:szCs w:val="21"/>
          <w:highlight w:val="none"/>
          <w:lang w:val="zh-CN"/>
        </w:rPr>
        <w:t>。</w:t>
      </w:r>
    </w:p>
    <w:p>
      <w:pPr>
        <w:shd w:val="clear"/>
        <w:adjustRightInd w:val="0"/>
        <w:snapToGrid w:val="0"/>
        <w:spacing w:line="360" w:lineRule="exact"/>
        <w:ind w:firstLine="420" w:firstLineChars="200"/>
        <w:rPr>
          <w:rFonts w:hint="eastAsia" w:hAnsi="宋体"/>
          <w:color w:val="auto"/>
          <w:sz w:val="21"/>
          <w:szCs w:val="21"/>
          <w:highlight w:val="none"/>
          <w:lang w:val="zh-CN"/>
        </w:rPr>
      </w:pPr>
      <w:r>
        <w:rPr>
          <w:rFonts w:hint="eastAsia" w:hAnsi="宋体"/>
          <w:color w:val="auto"/>
          <w:sz w:val="21"/>
          <w:szCs w:val="21"/>
          <w:highlight w:val="none"/>
          <w:u w:val="single"/>
          <w:lang w:val="zh-CN"/>
        </w:rPr>
        <w:t>（2）承包人应采取有效措施尽量减小尘土和噪音污染，需要进行夜间作业时应经有关部门批准</w:t>
      </w:r>
      <w:r>
        <w:rPr>
          <w:rFonts w:hint="eastAsia" w:hAnsi="宋体"/>
          <w:color w:val="auto"/>
          <w:sz w:val="21"/>
          <w:szCs w:val="21"/>
          <w:highlight w:val="none"/>
          <w:lang w:val="zh-CN"/>
        </w:rPr>
        <w:t>。</w:t>
      </w:r>
    </w:p>
    <w:p>
      <w:pPr>
        <w:shd w:val="clear"/>
        <w:adjustRightInd w:val="0"/>
        <w:snapToGrid w:val="0"/>
        <w:spacing w:line="360" w:lineRule="exact"/>
        <w:ind w:firstLine="420" w:firstLineChars="200"/>
        <w:rPr>
          <w:rFonts w:hint="eastAsia" w:hAnsi="宋体"/>
          <w:color w:val="auto"/>
          <w:sz w:val="21"/>
          <w:szCs w:val="21"/>
          <w:highlight w:val="none"/>
          <w:u w:val="single"/>
          <w:lang w:val="zh-CN"/>
        </w:rPr>
      </w:pPr>
      <w:r>
        <w:rPr>
          <w:rFonts w:hint="eastAsia" w:hAnsi="宋体"/>
          <w:color w:val="auto"/>
          <w:sz w:val="21"/>
          <w:szCs w:val="21"/>
          <w:highlight w:val="none"/>
          <w:u w:val="single"/>
          <w:lang w:val="zh-CN"/>
        </w:rPr>
        <w:t>（3）其他：承包人应严格按浙江省和杭州市</w:t>
      </w:r>
      <w:r>
        <w:rPr>
          <w:rFonts w:hint="eastAsia" w:hAnsi="宋体"/>
          <w:color w:val="auto"/>
          <w:sz w:val="21"/>
          <w:szCs w:val="21"/>
          <w:highlight w:val="none"/>
          <w:u w:val="single"/>
          <w:lang w:val="en-US" w:eastAsia="zh-CN"/>
        </w:rPr>
        <w:t>的相关</w:t>
      </w:r>
      <w:r>
        <w:rPr>
          <w:rFonts w:hint="eastAsia" w:hAnsi="宋体"/>
          <w:color w:val="auto"/>
          <w:sz w:val="21"/>
          <w:szCs w:val="21"/>
          <w:highlight w:val="none"/>
          <w:u w:val="single"/>
          <w:lang w:val="zh-CN"/>
        </w:rPr>
        <w:t>要求组织施工，遵守工程建设安全文明的有关规定，认真落实各项安全保护措施，并随时接受发包人、监理工程师及有关部门的监督检查；承包人应对进入施工现场的施工人员进行安全文明教育，配备必要的劳动保护用具，保证工程的施工安全和人身安全</w:t>
      </w:r>
      <w:r>
        <w:rPr>
          <w:rFonts w:hint="eastAsia" w:hAnsi="宋体"/>
          <w:color w:val="auto"/>
          <w:sz w:val="21"/>
          <w:szCs w:val="21"/>
          <w:highlight w:val="none"/>
          <w:lang w:val="zh-CN"/>
        </w:rPr>
        <w:t xml:space="preserve">。 </w:t>
      </w:r>
    </w:p>
    <w:p>
      <w:pPr>
        <w:shd w:val="clear"/>
        <w:adjustRightInd w:val="0"/>
        <w:snapToGrid w:val="0"/>
        <w:spacing w:line="360" w:lineRule="exact"/>
        <w:ind w:firstLine="420" w:firstLineChars="200"/>
        <w:rPr>
          <w:rFonts w:hint="eastAsia" w:hAnsi="宋体"/>
          <w:color w:val="auto"/>
          <w:sz w:val="21"/>
          <w:szCs w:val="21"/>
          <w:highlight w:val="none"/>
          <w:u w:val="single"/>
          <w:lang w:val="zh-CN"/>
        </w:rPr>
      </w:pPr>
      <w:r>
        <w:rPr>
          <w:rFonts w:hint="eastAsia" w:hAnsi="宋体"/>
          <w:color w:val="auto"/>
          <w:sz w:val="21"/>
          <w:szCs w:val="21"/>
          <w:highlight w:val="none"/>
          <w:u w:val="single"/>
          <w:lang w:val="zh-CN"/>
        </w:rPr>
        <w:t>（4）上述手续办理费用约定如下：由承包人支付</w:t>
      </w:r>
      <w:r>
        <w:rPr>
          <w:rFonts w:hint="eastAsia" w:hAnsi="宋体"/>
          <w:color w:val="auto"/>
          <w:sz w:val="21"/>
          <w:szCs w:val="21"/>
          <w:highlight w:val="none"/>
          <w:u w:val="none"/>
          <w:lang w:val="zh-CN"/>
        </w:rPr>
        <w:t>。</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6.1.6 关于安全文明施工费支付比例和支付期限的约定</w:t>
      </w:r>
      <w:r>
        <w:rPr>
          <w:rFonts w:hint="eastAsia" w:hAnsi="宋体"/>
          <w:color w:val="auto"/>
          <w:sz w:val="21"/>
          <w:szCs w:val="21"/>
          <w:highlight w:val="none"/>
        </w:rPr>
        <w:t>，按以下第</w:t>
      </w:r>
      <w:r>
        <w:rPr>
          <w:rFonts w:hint="eastAsia" w:hAnsi="宋体"/>
          <w:color w:val="auto"/>
          <w:sz w:val="21"/>
          <w:szCs w:val="21"/>
          <w:highlight w:val="none"/>
          <w:u w:val="single"/>
        </w:rPr>
        <w:t>（1）</w:t>
      </w:r>
      <w:r>
        <w:rPr>
          <w:rFonts w:hint="eastAsia" w:hAnsi="宋体"/>
          <w:color w:val="auto"/>
          <w:sz w:val="21"/>
          <w:szCs w:val="21"/>
          <w:highlight w:val="none"/>
        </w:rPr>
        <w:t>种方式约定：</w:t>
      </w:r>
    </w:p>
    <w:p>
      <w:pPr>
        <w:shd w:val="clear"/>
        <w:adjustRightInd w:val="0"/>
        <w:snapToGrid w:val="0"/>
        <w:spacing w:line="360" w:lineRule="exact"/>
        <w:ind w:firstLine="420" w:firstLineChars="200"/>
        <w:rPr>
          <w:rFonts w:hint="eastAsia" w:hAnsi="宋体"/>
          <w:color w:val="auto"/>
          <w:kern w:val="0"/>
          <w:sz w:val="21"/>
          <w:szCs w:val="21"/>
          <w:highlight w:val="none"/>
          <w:u w:val="single"/>
        </w:rPr>
      </w:pPr>
      <w:r>
        <w:rPr>
          <w:rFonts w:hint="eastAsia" w:hAnsi="宋体"/>
          <w:color w:val="auto"/>
          <w:sz w:val="21"/>
          <w:szCs w:val="21"/>
          <w:highlight w:val="none"/>
          <w:u w:val="single"/>
        </w:rPr>
        <w:t>（1）</w:t>
      </w:r>
      <w:r>
        <w:rPr>
          <w:rFonts w:hint="eastAsia" w:hAnsi="宋体"/>
          <w:color w:val="auto"/>
          <w:kern w:val="0"/>
          <w:sz w:val="21"/>
          <w:szCs w:val="21"/>
          <w:highlight w:val="none"/>
          <w:u w:val="single"/>
        </w:rPr>
        <w:t>安全文明施工费支付按以下第（①）种方式约定：</w:t>
      </w:r>
      <w:r>
        <w:rPr>
          <w:rFonts w:hint="eastAsia" w:hAnsi="宋体"/>
          <w:color w:val="auto"/>
          <w:kern w:val="0"/>
          <w:sz w:val="21"/>
          <w:szCs w:val="21"/>
          <w:highlight w:val="none"/>
          <w:u w:val="none"/>
        </w:rPr>
        <w:t xml:space="preserve"> </w:t>
      </w:r>
    </w:p>
    <w:p>
      <w:pPr>
        <w:shd w:val="clear"/>
        <w:adjustRightInd w:val="0"/>
        <w:snapToGrid w:val="0"/>
        <w:spacing w:line="360" w:lineRule="exact"/>
        <w:ind w:firstLine="420" w:firstLineChars="200"/>
        <w:rPr>
          <w:rFonts w:hint="eastAsia" w:hAnsi="宋体"/>
          <w:color w:val="auto"/>
          <w:kern w:val="0"/>
          <w:sz w:val="21"/>
          <w:szCs w:val="21"/>
          <w:highlight w:val="none"/>
        </w:rPr>
      </w:pPr>
      <w:r>
        <w:rPr>
          <w:rFonts w:hint="eastAsia" w:hAnsi="宋体"/>
          <w:color w:val="auto"/>
          <w:kern w:val="0"/>
          <w:sz w:val="21"/>
          <w:szCs w:val="21"/>
          <w:highlight w:val="none"/>
        </w:rPr>
        <w:t>①</w:t>
      </w:r>
      <w:r>
        <w:rPr>
          <w:rFonts w:hint="eastAsia" w:hAnsi="宋体"/>
          <w:color w:val="auto"/>
          <w:kern w:val="0"/>
          <w:sz w:val="21"/>
          <w:szCs w:val="21"/>
          <w:highlight w:val="none"/>
          <w:u w:val="single"/>
        </w:rPr>
        <w:t xml:space="preserve">  视相关措施的落实情况与进度款同期支付   </w:t>
      </w:r>
      <w:r>
        <w:rPr>
          <w:rFonts w:hint="eastAsia" w:hAnsi="宋体"/>
          <w:color w:val="auto"/>
          <w:kern w:val="0"/>
          <w:sz w:val="21"/>
          <w:szCs w:val="21"/>
          <w:highlight w:val="none"/>
        </w:rPr>
        <w:t>。</w:t>
      </w:r>
    </w:p>
    <w:p>
      <w:pPr>
        <w:shd w:val="clear"/>
        <w:adjustRightInd w:val="0"/>
        <w:snapToGrid w:val="0"/>
        <w:spacing w:line="360" w:lineRule="exact"/>
        <w:ind w:firstLine="420" w:firstLineChars="200"/>
        <w:rPr>
          <w:rFonts w:hint="eastAsia" w:hAnsi="宋体"/>
          <w:color w:val="auto"/>
          <w:kern w:val="0"/>
          <w:sz w:val="21"/>
          <w:szCs w:val="21"/>
          <w:highlight w:val="none"/>
          <w:u w:val="single"/>
        </w:rPr>
      </w:pPr>
      <w:r>
        <w:rPr>
          <w:rFonts w:hint="eastAsia" w:hAnsi="宋体"/>
          <w:color w:val="auto"/>
          <w:kern w:val="0"/>
          <w:sz w:val="21"/>
          <w:szCs w:val="21"/>
          <w:highlight w:val="none"/>
        </w:rPr>
        <w:t>②</w:t>
      </w:r>
      <w:r>
        <w:rPr>
          <w:rFonts w:hint="eastAsia" w:hAnsi="宋体"/>
          <w:color w:val="auto"/>
          <w:kern w:val="0"/>
          <w:sz w:val="21"/>
          <w:szCs w:val="21"/>
          <w:highlight w:val="none"/>
          <w:u w:val="single"/>
        </w:rPr>
        <w:t xml:space="preserve">  其他：  /    </w:t>
      </w:r>
      <w:r>
        <w:rPr>
          <w:rFonts w:hint="eastAsia" w:hAnsi="宋体"/>
          <w:color w:val="auto"/>
          <w:kern w:val="0"/>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kern w:val="0"/>
          <w:sz w:val="21"/>
          <w:szCs w:val="21"/>
          <w:highlight w:val="none"/>
          <w:u w:val="single"/>
        </w:rPr>
        <w:t xml:space="preserve">（2）其他：   /  </w:t>
      </w:r>
      <w:r>
        <w:rPr>
          <w:rFonts w:hint="eastAsia" w:hAnsi="宋体"/>
          <w:color w:val="auto"/>
          <w:kern w:val="0"/>
          <w:sz w:val="21"/>
          <w:szCs w:val="21"/>
          <w:highlight w:val="none"/>
        </w:rPr>
        <w:t>。</w:t>
      </w:r>
    </w:p>
    <w:bookmarkEnd w:id="947"/>
    <w:bookmarkEnd w:id="948"/>
    <w:bookmarkEnd w:id="949"/>
    <w:bookmarkEnd w:id="950"/>
    <w:bookmarkEnd w:id="951"/>
    <w:bookmarkEnd w:id="952"/>
    <w:bookmarkEnd w:id="953"/>
    <w:p>
      <w:pPr>
        <w:pStyle w:val="6"/>
        <w:shd w:val="clear"/>
        <w:adjustRightInd w:val="0"/>
        <w:snapToGrid w:val="0"/>
        <w:spacing w:before="0" w:after="0" w:line="360" w:lineRule="exact"/>
        <w:rPr>
          <w:rFonts w:ascii="宋体" w:hAnsi="宋体"/>
          <w:color w:val="auto"/>
          <w:sz w:val="21"/>
          <w:szCs w:val="21"/>
          <w:highlight w:val="none"/>
        </w:rPr>
      </w:pPr>
      <w:bookmarkStart w:id="955" w:name="_Toc351203639"/>
      <w:r>
        <w:rPr>
          <w:rFonts w:ascii="宋体" w:hAnsi="宋体"/>
          <w:color w:val="auto"/>
          <w:sz w:val="21"/>
          <w:szCs w:val="21"/>
          <w:highlight w:val="none"/>
        </w:rPr>
        <w:t>7. 工期和进度</w:t>
      </w:r>
      <w:bookmarkEnd w:id="955"/>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7.1 施工组织设计</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sz w:val="21"/>
          <w:szCs w:val="21"/>
          <w:highlight w:val="none"/>
        </w:rPr>
        <w:t>7.1.</w:t>
      </w:r>
      <w:r>
        <w:rPr>
          <w:rFonts w:hint="eastAsia" w:hAnsi="宋体"/>
          <w:color w:val="auto"/>
          <w:sz w:val="21"/>
          <w:szCs w:val="21"/>
          <w:highlight w:val="none"/>
        </w:rPr>
        <w:t>1 合</w:t>
      </w:r>
      <w:r>
        <w:rPr>
          <w:rFonts w:hint="eastAsia" w:hAnsi="宋体"/>
          <w:color w:val="auto"/>
          <w:kern w:val="0"/>
          <w:sz w:val="21"/>
          <w:szCs w:val="21"/>
          <w:highlight w:val="none"/>
        </w:rPr>
        <w:t>同当事人约定的</w:t>
      </w:r>
      <w:r>
        <w:rPr>
          <w:rFonts w:hAnsi="宋体"/>
          <w:color w:val="auto"/>
          <w:kern w:val="0"/>
          <w:sz w:val="21"/>
          <w:szCs w:val="21"/>
          <w:highlight w:val="none"/>
        </w:rPr>
        <w:t>施工组织设计</w:t>
      </w:r>
      <w:r>
        <w:rPr>
          <w:rFonts w:hint="eastAsia" w:hAnsi="宋体"/>
          <w:color w:val="auto"/>
          <w:kern w:val="0"/>
          <w:sz w:val="21"/>
          <w:szCs w:val="21"/>
          <w:highlight w:val="none"/>
        </w:rPr>
        <w:t>应包括的其他内容</w:t>
      </w:r>
      <w:r>
        <w:rPr>
          <w:rFonts w:hAnsi="宋体"/>
          <w:color w:val="auto"/>
          <w:kern w:val="0"/>
          <w:sz w:val="21"/>
          <w:szCs w:val="21"/>
          <w:highlight w:val="none"/>
        </w:rPr>
        <w:t>：</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sz w:val="21"/>
          <w:szCs w:val="21"/>
          <w:highlight w:val="none"/>
        </w:rPr>
        <w:t xml:space="preserve">7.1.2 </w:t>
      </w:r>
      <w:r>
        <w:rPr>
          <w:rFonts w:hAnsi="宋体"/>
          <w:color w:val="auto"/>
          <w:kern w:val="0"/>
          <w:sz w:val="21"/>
          <w:szCs w:val="21"/>
          <w:highlight w:val="none"/>
        </w:rPr>
        <w:t>施工组织设计的提交和修改</w:t>
      </w:r>
    </w:p>
    <w:p>
      <w:pPr>
        <w:shd w:val="clear"/>
        <w:autoSpaceDE w:val="0"/>
        <w:autoSpaceDN w:val="0"/>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kern w:val="0"/>
          <w:sz w:val="21"/>
          <w:szCs w:val="21"/>
          <w:highlight w:val="none"/>
        </w:rPr>
        <w:t>承包人提交详细施工组织设计的期限的约定：</w:t>
      </w:r>
      <w:r>
        <w:rPr>
          <w:rFonts w:hint="eastAsia" w:hAnsi="宋体"/>
          <w:color w:val="auto"/>
          <w:sz w:val="21"/>
          <w:szCs w:val="21"/>
          <w:highlight w:val="none"/>
          <w:u w:val="single"/>
        </w:rPr>
        <w:t>合同签订后（14）天内提供</w:t>
      </w:r>
      <w:r>
        <w:rPr>
          <w:rFonts w:hAnsi="宋体"/>
          <w:color w:val="auto"/>
          <w:kern w:val="0"/>
          <w:sz w:val="21"/>
          <w:szCs w:val="21"/>
          <w:highlight w:val="none"/>
          <w:u w:val="single"/>
        </w:rPr>
        <w:t>详细</w:t>
      </w:r>
      <w:r>
        <w:rPr>
          <w:rFonts w:hint="eastAsia" w:hAnsi="宋体"/>
          <w:color w:val="auto"/>
          <w:sz w:val="21"/>
          <w:szCs w:val="21"/>
          <w:highlight w:val="none"/>
          <w:u w:val="single"/>
        </w:rPr>
        <w:t>施工组织设计（施工方案）和进度计划</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发包人和监理人在收到</w:t>
      </w:r>
      <w:r>
        <w:rPr>
          <w:rFonts w:hint="eastAsia" w:hAnsi="宋体"/>
          <w:color w:val="auto"/>
          <w:sz w:val="21"/>
          <w:szCs w:val="21"/>
          <w:highlight w:val="none"/>
        </w:rPr>
        <w:t>详细的施工组织设计</w:t>
      </w:r>
      <w:r>
        <w:rPr>
          <w:rFonts w:hAnsi="宋体"/>
          <w:color w:val="auto"/>
          <w:sz w:val="21"/>
          <w:szCs w:val="21"/>
          <w:highlight w:val="none"/>
        </w:rPr>
        <w:t>后确认或提出修改意见的期限：</w:t>
      </w:r>
      <w:r>
        <w:rPr>
          <w:rFonts w:hint="eastAsia" w:hAnsi="宋体"/>
          <w:color w:val="auto"/>
          <w:sz w:val="21"/>
          <w:szCs w:val="21"/>
          <w:highlight w:val="none"/>
          <w:u w:val="single"/>
        </w:rPr>
        <w:t>收到施工组织设计后 14天内</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w:t>
      </w:r>
      <w:bookmarkStart w:id="956" w:name="_Toc304295541"/>
      <w:bookmarkStart w:id="957" w:name="_Toc312677479"/>
      <w:bookmarkStart w:id="958" w:name="_Toc297216173"/>
      <w:bookmarkStart w:id="959" w:name="_Toc297123514"/>
      <w:bookmarkStart w:id="960" w:name="_Toc312678005"/>
      <w:bookmarkStart w:id="961" w:name="_Toc303539123"/>
      <w:bookmarkStart w:id="962" w:name="_Toc300934966"/>
      <w:r>
        <w:rPr>
          <w:rFonts w:hAnsi="宋体"/>
          <w:color w:val="auto"/>
          <w:sz w:val="21"/>
          <w:szCs w:val="21"/>
          <w:highlight w:val="none"/>
        </w:rPr>
        <w:t>.2 施工进度计划</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7.2.2 施工进度计划的修订</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发包人和监理人在收到修订的施工进度计划后确认或提出修改意见的期限：</w:t>
      </w:r>
      <w:r>
        <w:rPr>
          <w:rFonts w:hint="eastAsia" w:hAnsi="宋体"/>
          <w:color w:val="auto"/>
          <w:sz w:val="21"/>
          <w:szCs w:val="21"/>
          <w:highlight w:val="none"/>
          <w:u w:val="single"/>
        </w:rPr>
        <w:t>收到</w:t>
      </w:r>
      <w:r>
        <w:rPr>
          <w:rFonts w:hAnsi="宋体"/>
          <w:color w:val="auto"/>
          <w:sz w:val="21"/>
          <w:szCs w:val="21"/>
          <w:highlight w:val="none"/>
          <w:u w:val="single"/>
        </w:rPr>
        <w:t>修订的施工进度计划</w:t>
      </w:r>
      <w:r>
        <w:rPr>
          <w:rFonts w:hint="eastAsia" w:hAnsi="宋体"/>
          <w:color w:val="auto"/>
          <w:sz w:val="21"/>
          <w:szCs w:val="21"/>
          <w:highlight w:val="none"/>
          <w:u w:val="single"/>
        </w:rPr>
        <w:t>后7天内</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7.3 开工</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7.3.1 开工准备</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关于承包人提交</w:t>
      </w:r>
      <w:r>
        <w:rPr>
          <w:rFonts w:hAnsi="宋体"/>
          <w:color w:val="auto"/>
          <w:kern w:val="0"/>
          <w:sz w:val="21"/>
          <w:szCs w:val="21"/>
          <w:highlight w:val="none"/>
        </w:rPr>
        <w:t>工程开工报审表的期限：</w:t>
      </w:r>
      <w:r>
        <w:rPr>
          <w:rFonts w:hint="eastAsia" w:hAnsi="宋体"/>
          <w:color w:val="auto"/>
          <w:sz w:val="21"/>
          <w:szCs w:val="21"/>
          <w:highlight w:val="none"/>
          <w:u w:val="single"/>
        </w:rPr>
        <w:t>开工前7天</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关于发包人应完成的其他开工准备工作及期限：</w:t>
      </w:r>
      <w:r>
        <w:rPr>
          <w:rFonts w:hint="eastAsia" w:hAnsi="宋体"/>
          <w:color w:val="auto"/>
          <w:sz w:val="21"/>
          <w:szCs w:val="21"/>
          <w:highlight w:val="none"/>
          <w:u w:val="single"/>
        </w:rPr>
        <w:t>开工前</w:t>
      </w:r>
      <w:r>
        <w:rPr>
          <w:rFonts w:hint="eastAsia" w:hAnsi="宋体"/>
          <w:color w:val="auto"/>
          <w:sz w:val="21"/>
          <w:szCs w:val="21"/>
          <w:highlight w:val="none"/>
          <w:u w:val="single"/>
          <w:lang w:val="en-US" w:eastAsia="zh-CN"/>
        </w:rPr>
        <w:t>7</w:t>
      </w:r>
      <w:r>
        <w:rPr>
          <w:rFonts w:hint="eastAsia" w:hAnsi="宋体"/>
          <w:color w:val="auto"/>
          <w:sz w:val="21"/>
          <w:szCs w:val="21"/>
          <w:highlight w:val="none"/>
          <w:u w:val="single"/>
        </w:rPr>
        <w:t>天</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关于承包人应完成的其他开工准备工作及期限：</w:t>
      </w:r>
      <w:r>
        <w:rPr>
          <w:rFonts w:hint="eastAsia" w:hAnsi="宋体"/>
          <w:color w:val="auto"/>
          <w:sz w:val="21"/>
          <w:szCs w:val="21"/>
          <w:highlight w:val="none"/>
          <w:u w:val="single"/>
        </w:rPr>
        <w:t>开工前</w:t>
      </w:r>
      <w:r>
        <w:rPr>
          <w:rFonts w:hint="eastAsia" w:hAnsi="宋体"/>
          <w:color w:val="auto"/>
          <w:sz w:val="21"/>
          <w:szCs w:val="21"/>
          <w:highlight w:val="none"/>
          <w:u w:val="single"/>
          <w:lang w:val="en-US" w:eastAsia="zh-CN"/>
        </w:rPr>
        <w:t>7</w:t>
      </w:r>
      <w:r>
        <w:rPr>
          <w:rFonts w:hint="eastAsia" w:hAnsi="宋体"/>
          <w:color w:val="auto"/>
          <w:sz w:val="21"/>
          <w:szCs w:val="21"/>
          <w:highlight w:val="none"/>
          <w:u w:val="single"/>
        </w:rPr>
        <w:t>天</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7.3.2开工通知</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因发包人原因造成监理人未能在计划开工日期之日起</w:t>
      </w:r>
      <w:r>
        <w:rPr>
          <w:rFonts w:hAnsi="宋体"/>
          <w:color w:val="auto"/>
          <w:sz w:val="21"/>
          <w:szCs w:val="21"/>
          <w:highlight w:val="none"/>
          <w:u w:val="single"/>
        </w:rPr>
        <w:t xml:space="preserve"> </w:t>
      </w:r>
      <w:r>
        <w:rPr>
          <w:rFonts w:hint="eastAsia" w:hAnsi="宋体"/>
          <w:color w:val="auto"/>
          <w:sz w:val="21"/>
          <w:szCs w:val="21"/>
          <w:highlight w:val="none"/>
          <w:u w:val="single"/>
        </w:rPr>
        <w:t>90</w:t>
      </w:r>
      <w:r>
        <w:rPr>
          <w:rFonts w:hAnsi="宋体"/>
          <w:color w:val="auto"/>
          <w:sz w:val="21"/>
          <w:szCs w:val="21"/>
          <w:highlight w:val="none"/>
          <w:u w:val="single"/>
        </w:rPr>
        <w:t xml:space="preserve"> </w:t>
      </w:r>
      <w:r>
        <w:rPr>
          <w:rFonts w:hAnsi="宋体"/>
          <w:color w:val="auto"/>
          <w:sz w:val="21"/>
          <w:szCs w:val="21"/>
          <w:highlight w:val="none"/>
        </w:rPr>
        <w:t>天内发出开工通知的，承包人有权提出价格调整要求，或者解除合同。</w:t>
      </w:r>
    </w:p>
    <w:bookmarkEnd w:id="956"/>
    <w:bookmarkEnd w:id="957"/>
    <w:bookmarkEnd w:id="958"/>
    <w:bookmarkEnd w:id="959"/>
    <w:bookmarkEnd w:id="960"/>
    <w:bookmarkEnd w:id="961"/>
    <w:bookmarkEnd w:id="962"/>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7.4 测量放线</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7.4.1发包人通过监理人向承包人提供测量基准点、基准线和水准点及其书面资料的期限</w:t>
      </w:r>
      <w:r>
        <w:rPr>
          <w:rFonts w:hint="eastAsia" w:hAnsi="宋体"/>
          <w:color w:val="auto"/>
          <w:sz w:val="21"/>
          <w:szCs w:val="21"/>
          <w:highlight w:val="none"/>
        </w:rPr>
        <w:t>：</w:t>
      </w:r>
      <w:r>
        <w:rPr>
          <w:rFonts w:hint="eastAsia" w:hAnsi="宋体"/>
          <w:color w:val="auto"/>
          <w:sz w:val="21"/>
          <w:szCs w:val="21"/>
          <w:highlight w:val="none"/>
          <w:u w:val="single"/>
        </w:rPr>
        <w:t>开工前</w:t>
      </w:r>
      <w:r>
        <w:rPr>
          <w:rFonts w:hint="eastAsia" w:hAnsi="宋体"/>
          <w:color w:val="auto"/>
          <w:sz w:val="21"/>
          <w:szCs w:val="21"/>
          <w:highlight w:val="none"/>
          <w:u w:val="single"/>
          <w:lang w:val="en-US" w:eastAsia="zh-CN"/>
        </w:rPr>
        <w:t>7</w:t>
      </w:r>
      <w:r>
        <w:rPr>
          <w:rFonts w:hint="eastAsia" w:hAnsi="宋体"/>
          <w:color w:val="auto"/>
          <w:sz w:val="21"/>
          <w:szCs w:val="21"/>
          <w:highlight w:val="none"/>
          <w:u w:val="single"/>
        </w:rPr>
        <w:t>天</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w:t>
      </w:r>
      <w:bookmarkStart w:id="963" w:name="_Toc300934968"/>
      <w:bookmarkStart w:id="964" w:name="_Toc312678010"/>
      <w:bookmarkStart w:id="965" w:name="_Toc297216175"/>
      <w:bookmarkStart w:id="966" w:name="_Toc304295546"/>
      <w:bookmarkStart w:id="967" w:name="_Toc312677484"/>
      <w:bookmarkStart w:id="968" w:name="_Toc297123516"/>
      <w:bookmarkStart w:id="969" w:name="_Toc303539125"/>
      <w:r>
        <w:rPr>
          <w:rFonts w:hAnsi="宋体"/>
          <w:color w:val="auto"/>
          <w:sz w:val="21"/>
          <w:szCs w:val="21"/>
          <w:highlight w:val="none"/>
        </w:rPr>
        <w:t>.5 工期延误</w:t>
      </w:r>
    </w:p>
    <w:bookmarkEnd w:id="963"/>
    <w:bookmarkEnd w:id="964"/>
    <w:bookmarkEnd w:id="965"/>
    <w:bookmarkEnd w:id="966"/>
    <w:bookmarkEnd w:id="967"/>
    <w:bookmarkEnd w:id="968"/>
    <w:bookmarkEnd w:id="969"/>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7.5.1 因发包人原因导致工期延误</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（7）因发包人原因导致工期延误的其他情形：</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①重大设计变更引起的工期延误</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 xml:space="preserve">②其他：  /  </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w:t>
      </w:r>
      <w:bookmarkStart w:id="970" w:name="_Toc312677486"/>
      <w:bookmarkStart w:id="971" w:name="_Toc318581169"/>
      <w:bookmarkStart w:id="972" w:name="_Toc312678012"/>
      <w:bookmarkStart w:id="973" w:name="_Toc303539127"/>
      <w:bookmarkStart w:id="974" w:name="_Toc297123518"/>
      <w:bookmarkStart w:id="975" w:name="_Toc297216177"/>
      <w:bookmarkStart w:id="976" w:name="_Toc300934970"/>
      <w:bookmarkStart w:id="977" w:name="_Toc304295548"/>
      <w:r>
        <w:rPr>
          <w:rFonts w:hAnsi="宋体"/>
          <w:color w:val="auto"/>
          <w:sz w:val="21"/>
          <w:szCs w:val="21"/>
          <w:highlight w:val="none"/>
        </w:rPr>
        <w:t>.5.2 因承包人原因导致工期延误</w:t>
      </w:r>
    </w:p>
    <w:bookmarkEnd w:id="970"/>
    <w:bookmarkEnd w:id="971"/>
    <w:bookmarkEnd w:id="972"/>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因</w:t>
      </w:r>
      <w:bookmarkStart w:id="978" w:name="_Toc312677487"/>
      <w:bookmarkStart w:id="979" w:name="_Toc312678013"/>
      <w:bookmarkStart w:id="980" w:name="_Toc318581170"/>
      <w:r>
        <w:rPr>
          <w:rFonts w:hAnsi="宋体"/>
          <w:color w:val="auto"/>
          <w:sz w:val="21"/>
          <w:szCs w:val="21"/>
          <w:highlight w:val="none"/>
        </w:rPr>
        <w:t>承包人原因造成工期延误，逾期竣工违约金的计算方法为：</w:t>
      </w:r>
      <w:r>
        <w:rPr>
          <w:rFonts w:hAnsi="宋体" w:cs="Arial"/>
          <w:color w:val="auto"/>
          <w:sz w:val="21"/>
          <w:szCs w:val="21"/>
          <w:highlight w:val="none"/>
          <w:u w:val="single"/>
        </w:rPr>
        <w:t>每延误一天，按</w:t>
      </w:r>
      <w:r>
        <w:rPr>
          <w:rFonts w:hint="eastAsia" w:hAnsi="宋体" w:cs="Arial"/>
          <w:color w:val="auto"/>
          <w:sz w:val="21"/>
          <w:szCs w:val="21"/>
          <w:highlight w:val="none"/>
          <w:u w:val="single"/>
        </w:rPr>
        <w:t>1000元/天</w:t>
      </w:r>
      <w:r>
        <w:rPr>
          <w:rFonts w:hAnsi="宋体" w:cs="Arial"/>
          <w:color w:val="auto"/>
          <w:sz w:val="21"/>
          <w:szCs w:val="21"/>
          <w:highlight w:val="none"/>
          <w:u w:val="single"/>
        </w:rPr>
        <w:t>向发包人支付违约金，延误工期延误超过</w:t>
      </w:r>
      <w:r>
        <w:rPr>
          <w:rFonts w:hint="eastAsia" w:hAnsi="宋体" w:cs="Arial"/>
          <w:color w:val="auto"/>
          <w:sz w:val="21"/>
          <w:szCs w:val="21"/>
          <w:highlight w:val="none"/>
          <w:u w:val="single"/>
        </w:rPr>
        <w:t>20</w:t>
      </w:r>
      <w:r>
        <w:rPr>
          <w:rFonts w:hAnsi="宋体" w:cs="Arial"/>
          <w:color w:val="auto"/>
          <w:sz w:val="21"/>
          <w:szCs w:val="21"/>
          <w:highlight w:val="none"/>
          <w:u w:val="single"/>
        </w:rPr>
        <w:t>天的，发包人同时有权解除合同</w:t>
      </w:r>
      <w:r>
        <w:rPr>
          <w:rFonts w:hAnsi="宋体"/>
          <w:color w:val="auto"/>
          <w:sz w:val="21"/>
          <w:szCs w:val="21"/>
          <w:highlight w:val="none"/>
        </w:rPr>
        <w:t>。</w:t>
      </w:r>
      <w:bookmarkEnd w:id="973"/>
      <w:bookmarkEnd w:id="974"/>
      <w:bookmarkEnd w:id="975"/>
      <w:bookmarkEnd w:id="976"/>
      <w:bookmarkEnd w:id="977"/>
      <w:bookmarkEnd w:id="978"/>
      <w:bookmarkEnd w:id="979"/>
    </w:p>
    <w:bookmarkEnd w:id="980"/>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因承包人原因造成工期延误，逾</w:t>
      </w:r>
      <w:bookmarkStart w:id="981" w:name="_Toc312678014"/>
      <w:bookmarkStart w:id="982" w:name="_Toc318581171"/>
      <w:r>
        <w:rPr>
          <w:rFonts w:hAnsi="宋体"/>
          <w:color w:val="auto"/>
          <w:sz w:val="21"/>
          <w:szCs w:val="21"/>
          <w:highlight w:val="none"/>
        </w:rPr>
        <w:t>期竣工违约金的上限：</w:t>
      </w:r>
      <w:r>
        <w:rPr>
          <w:rFonts w:hint="eastAsia" w:hAnsi="宋体"/>
          <w:color w:val="auto"/>
          <w:sz w:val="21"/>
          <w:szCs w:val="21"/>
          <w:highlight w:val="none"/>
          <w:u w:val="single"/>
        </w:rPr>
        <w:t>全部履约保证金</w:t>
      </w:r>
      <w:r>
        <w:rPr>
          <w:rFonts w:hAnsi="宋体"/>
          <w:color w:val="auto"/>
          <w:sz w:val="21"/>
          <w:szCs w:val="21"/>
          <w:highlight w:val="none"/>
        </w:rPr>
        <w:t>。</w:t>
      </w:r>
    </w:p>
    <w:bookmarkEnd w:id="981"/>
    <w:bookmarkEnd w:id="982"/>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w:t>
      </w:r>
      <w:bookmarkStart w:id="983" w:name="_Toc297216178"/>
      <w:bookmarkStart w:id="984" w:name="_Toc300934971"/>
      <w:bookmarkStart w:id="985" w:name="_Toc303539128"/>
      <w:bookmarkStart w:id="986" w:name="_Toc297123519"/>
      <w:bookmarkStart w:id="987" w:name="_Toc304295549"/>
      <w:bookmarkStart w:id="988" w:name="_Toc312678015"/>
      <w:r>
        <w:rPr>
          <w:rFonts w:hAnsi="宋体"/>
          <w:color w:val="auto"/>
          <w:sz w:val="21"/>
          <w:szCs w:val="21"/>
          <w:highlight w:val="none"/>
        </w:rPr>
        <w:t>.6 不</w:t>
      </w:r>
      <w:bookmarkEnd w:id="983"/>
      <w:bookmarkEnd w:id="984"/>
      <w:bookmarkEnd w:id="985"/>
      <w:bookmarkEnd w:id="986"/>
      <w:bookmarkEnd w:id="987"/>
      <w:bookmarkEnd w:id="988"/>
      <w:r>
        <w:rPr>
          <w:rFonts w:hAnsi="宋体"/>
          <w:color w:val="auto"/>
          <w:sz w:val="21"/>
          <w:szCs w:val="21"/>
          <w:highlight w:val="none"/>
        </w:rPr>
        <w:t>利物质条件</w:t>
      </w:r>
    </w:p>
    <w:p>
      <w:pPr>
        <w:shd w:val="clear"/>
        <w:adjustRightInd w:val="0"/>
        <w:snapToGrid w:val="0"/>
        <w:spacing w:line="360" w:lineRule="exact"/>
        <w:ind w:firstLine="420" w:firstLineChars="200"/>
        <w:rPr>
          <w:rFonts w:hint="eastAsia" w:hAnsi="宋体"/>
          <w:color w:val="auto"/>
          <w:sz w:val="21"/>
          <w:szCs w:val="21"/>
          <w:highlight w:val="none"/>
        </w:rPr>
      </w:pPr>
      <w:bookmarkStart w:id="989" w:name="_Toc297216179"/>
      <w:bookmarkStart w:id="990" w:name="_Toc297123520"/>
      <w:bookmarkStart w:id="991" w:name="_Toc300934972"/>
      <w:bookmarkStart w:id="992" w:name="_Toc304295550"/>
      <w:bookmarkStart w:id="993" w:name="_Toc303539129"/>
      <w:bookmarkStart w:id="994" w:name="_Toc318581172"/>
      <w:bookmarkStart w:id="995" w:name="_Toc312678016"/>
      <w:r>
        <w:rPr>
          <w:rFonts w:hAnsi="宋体"/>
          <w:color w:val="auto"/>
          <w:sz w:val="21"/>
          <w:szCs w:val="21"/>
          <w:highlight w:val="none"/>
        </w:rPr>
        <w:t>不利物质条件的其他情形和有关约定：</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 xml:space="preserve">（1）施工场地周围地下管线     </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 xml:space="preserve">（2）地下障碍物和污染物       </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 xml:space="preserve">（3）邻近建筑物、构筑物的保护要求   </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 xml:space="preserve">（4）其他 ： /     </w:t>
      </w:r>
      <w:r>
        <w:rPr>
          <w:rFonts w:hint="eastAsia" w:hAnsi="宋体"/>
          <w:color w:val="auto"/>
          <w:sz w:val="21"/>
          <w:szCs w:val="21"/>
          <w:highlight w:val="none"/>
        </w:rPr>
        <w:t>。</w:t>
      </w:r>
    </w:p>
    <w:bookmarkEnd w:id="989"/>
    <w:bookmarkEnd w:id="990"/>
    <w:bookmarkEnd w:id="991"/>
    <w:bookmarkEnd w:id="992"/>
    <w:bookmarkEnd w:id="993"/>
    <w:bookmarkEnd w:id="994"/>
    <w:bookmarkEnd w:id="995"/>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w:t>
      </w:r>
      <w:bookmarkStart w:id="996" w:name="_Toc297123521"/>
      <w:bookmarkStart w:id="997" w:name="_Toc304295551"/>
      <w:bookmarkStart w:id="998" w:name="_Toc303539130"/>
      <w:bookmarkStart w:id="999" w:name="_Toc297216180"/>
      <w:bookmarkStart w:id="1000" w:name="_Toc312678017"/>
      <w:bookmarkStart w:id="1001" w:name="_Toc300934973"/>
      <w:r>
        <w:rPr>
          <w:rFonts w:hAnsi="宋体"/>
          <w:color w:val="auto"/>
          <w:sz w:val="21"/>
          <w:szCs w:val="21"/>
          <w:highlight w:val="none"/>
        </w:rPr>
        <w:t>.7异常恶劣的气候条件</w:t>
      </w:r>
    </w:p>
    <w:bookmarkEnd w:id="996"/>
    <w:bookmarkEnd w:id="997"/>
    <w:bookmarkEnd w:id="998"/>
    <w:bookmarkEnd w:id="999"/>
    <w:bookmarkEnd w:id="1000"/>
    <w:bookmarkEnd w:id="1001"/>
    <w:p>
      <w:pPr>
        <w:shd w:val="clear"/>
        <w:adjustRightInd w:val="0"/>
        <w:snapToGrid w:val="0"/>
        <w:spacing w:line="360" w:lineRule="exact"/>
        <w:ind w:firstLine="420" w:firstLineChars="200"/>
        <w:rPr>
          <w:rFonts w:hint="eastAsia" w:hAnsi="宋体"/>
          <w:b/>
          <w:color w:val="auto"/>
          <w:sz w:val="21"/>
          <w:szCs w:val="21"/>
          <w:highlight w:val="none"/>
        </w:rPr>
      </w:pPr>
      <w:r>
        <w:rPr>
          <w:rFonts w:hAnsi="宋体"/>
          <w:color w:val="auto"/>
          <w:sz w:val="21"/>
          <w:szCs w:val="21"/>
          <w:highlight w:val="none"/>
        </w:rPr>
        <w:t>发包人和承包人同意以下情形视为异常恶劣的气候条件：</w:t>
      </w:r>
      <w:r>
        <w:rPr>
          <w:rFonts w:hint="eastAsia" w:hAnsi="宋体"/>
          <w:color w:val="auto"/>
          <w:sz w:val="21"/>
          <w:szCs w:val="21"/>
          <w:highlight w:val="none"/>
          <w:u w:val="single"/>
        </w:rPr>
        <w:t>日最高气温达到40度及以上的天气；启动台风橙色及以上的预警的天气；启动防汛预案一级响应的天气；启动防冻预案一级响应的天气</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7.9 提前竣工的奖励</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7.9.2提前竣工的奖励：</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pStyle w:val="6"/>
        <w:shd w:val="clear"/>
        <w:adjustRightInd w:val="0"/>
        <w:snapToGrid w:val="0"/>
        <w:spacing w:before="0" w:after="0" w:line="360" w:lineRule="exact"/>
        <w:rPr>
          <w:rFonts w:ascii="宋体" w:hAnsi="宋体"/>
          <w:color w:val="auto"/>
          <w:sz w:val="21"/>
          <w:szCs w:val="21"/>
          <w:highlight w:val="none"/>
        </w:rPr>
      </w:pPr>
      <w:bookmarkStart w:id="1002" w:name="_Toc351203640"/>
      <w:r>
        <w:rPr>
          <w:rFonts w:ascii="宋体" w:hAnsi="宋体"/>
          <w:color w:val="auto"/>
          <w:sz w:val="21"/>
          <w:szCs w:val="21"/>
          <w:highlight w:val="none"/>
        </w:rPr>
        <w:t>8. 材料与设备</w:t>
      </w:r>
      <w:bookmarkEnd w:id="1002"/>
    </w:p>
    <w:bookmarkEnd w:id="937"/>
    <w:bookmarkEnd w:id="938"/>
    <w:bookmarkEnd w:id="939"/>
    <w:bookmarkEnd w:id="940"/>
    <w:bookmarkEnd w:id="941"/>
    <w:bookmarkEnd w:id="942"/>
    <w:bookmarkEnd w:id="943"/>
    <w:bookmarkEnd w:id="944"/>
    <w:bookmarkEnd w:id="945"/>
    <w:bookmarkEnd w:id="946"/>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8</w:t>
      </w:r>
      <w:bookmarkStart w:id="1003" w:name="_Toc296346668"/>
      <w:bookmarkStart w:id="1004" w:name="_Toc297120467"/>
      <w:bookmarkStart w:id="1005" w:name="_Toc296503167"/>
      <w:bookmarkStart w:id="1006" w:name="_Toc296890995"/>
      <w:bookmarkStart w:id="1007" w:name="_Toc312678019"/>
      <w:bookmarkStart w:id="1008" w:name="_Toc296347166"/>
      <w:bookmarkStart w:id="1009" w:name="_Toc297216186"/>
      <w:bookmarkStart w:id="1010" w:name="_Toc312677493"/>
      <w:bookmarkStart w:id="1011" w:name="_Toc297123527"/>
      <w:bookmarkStart w:id="1012" w:name="_Toc296944506"/>
      <w:bookmarkStart w:id="1013" w:name="_Toc303539136"/>
      <w:bookmarkStart w:id="1014" w:name="_Toc297048353"/>
      <w:bookmarkStart w:id="1015" w:name="_Toc304295556"/>
      <w:bookmarkStart w:id="1016" w:name="_Toc292559372"/>
      <w:bookmarkStart w:id="1017" w:name="_Toc296891207"/>
      <w:bookmarkStart w:id="1018" w:name="_Toc292559877"/>
      <w:bookmarkStart w:id="1019" w:name="_Toc300934979"/>
      <w:bookmarkStart w:id="1020" w:name="_Toc280868654"/>
      <w:bookmarkStart w:id="1021" w:name="_Toc280868655"/>
      <w:bookmarkStart w:id="1022" w:name="_Toc267251424"/>
      <w:bookmarkStart w:id="1023" w:name="_Toc280868656"/>
      <w:r>
        <w:rPr>
          <w:rFonts w:hAnsi="宋体"/>
          <w:color w:val="auto"/>
          <w:sz w:val="21"/>
          <w:szCs w:val="21"/>
          <w:highlight w:val="none"/>
        </w:rPr>
        <w:t>.4材料与工程设备的保管与使用</w:t>
      </w:r>
    </w:p>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8</w:t>
      </w:r>
      <w:bookmarkStart w:id="1024" w:name="_Toc292559373"/>
      <w:bookmarkStart w:id="1025" w:name="_Toc292559878"/>
      <w:bookmarkStart w:id="1026" w:name="_Toc297120468"/>
      <w:bookmarkStart w:id="1027" w:name="_Toc297216187"/>
      <w:bookmarkStart w:id="1028" w:name="_Toc300934980"/>
      <w:bookmarkStart w:id="1029" w:name="_Toc303539137"/>
      <w:bookmarkStart w:id="1030" w:name="_Toc297048354"/>
      <w:bookmarkStart w:id="1031" w:name="_Toc312677494"/>
      <w:bookmarkStart w:id="1032" w:name="_Toc312678020"/>
      <w:bookmarkStart w:id="1033" w:name="_Toc296944507"/>
      <w:bookmarkStart w:id="1034" w:name="_Toc296890996"/>
      <w:bookmarkStart w:id="1035" w:name="_Toc296346669"/>
      <w:bookmarkStart w:id="1036" w:name="_Toc296503168"/>
      <w:bookmarkStart w:id="1037" w:name="_Toc296347167"/>
      <w:bookmarkStart w:id="1038" w:name="_Toc297123528"/>
      <w:bookmarkStart w:id="1039" w:name="_Toc296891208"/>
      <w:bookmarkStart w:id="1040" w:name="_Toc304295557"/>
      <w:bookmarkStart w:id="1041" w:name="_Toc318581173"/>
      <w:r>
        <w:rPr>
          <w:rFonts w:hAnsi="宋体"/>
          <w:color w:val="auto"/>
          <w:sz w:val="21"/>
          <w:szCs w:val="21"/>
          <w:highlight w:val="none"/>
        </w:rPr>
        <w:t>.4.1发包人供应的材料设备的保管费用的承担：</w:t>
      </w:r>
      <w:bookmarkEnd w:id="1024"/>
      <w:bookmarkEnd w:id="1025"/>
      <w:r>
        <w:rPr>
          <w:rFonts w:hint="eastAsia" w:hAnsi="宋体"/>
          <w:color w:val="auto"/>
          <w:sz w:val="21"/>
          <w:szCs w:val="21"/>
          <w:highlight w:val="none"/>
          <w:u w:val="single"/>
        </w:rPr>
        <w:t>无</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8.6 样品</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8.6.1样品的报送</w:t>
      </w:r>
      <w:r>
        <w:rPr>
          <w:rFonts w:hint="eastAsia" w:hAnsi="宋体"/>
          <w:color w:val="auto"/>
          <w:kern w:val="0"/>
          <w:sz w:val="21"/>
          <w:szCs w:val="21"/>
          <w:highlight w:val="none"/>
        </w:rPr>
        <w:t>与封存</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需要承包人报送样品的材料或工程设备，样品的种类、名称、规格、数量要求：</w:t>
      </w:r>
      <w:r>
        <w:rPr>
          <w:rFonts w:hint="eastAsia" w:hAnsi="宋体"/>
          <w:color w:val="auto"/>
          <w:sz w:val="21"/>
          <w:szCs w:val="21"/>
          <w:highlight w:val="none"/>
          <w:u w:val="single"/>
        </w:rPr>
        <w:t>按有关规定和监理人要求执行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8.8 施工设备和临时设施</w:t>
      </w:r>
    </w:p>
    <w:p>
      <w:pPr>
        <w:shd w:val="clear"/>
        <w:autoSpaceDE w:val="0"/>
        <w:autoSpaceDN w:val="0"/>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8.8.1 承包人提供的施工设备和临时设施</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关于修建临时设施费用承担的约定：</w:t>
      </w:r>
      <w:r>
        <w:rPr>
          <w:rFonts w:hint="eastAsia" w:hAnsi="宋体"/>
          <w:color w:val="auto"/>
          <w:sz w:val="21"/>
          <w:szCs w:val="21"/>
          <w:highlight w:val="none"/>
          <w:u w:val="single"/>
        </w:rPr>
        <w:t>由承包人自行承担</w:t>
      </w:r>
      <w:r>
        <w:rPr>
          <w:rFonts w:hint="eastAsia" w:hAnsi="宋体"/>
          <w:color w:val="auto"/>
          <w:sz w:val="21"/>
          <w:szCs w:val="21"/>
          <w:highlight w:val="none"/>
          <w:u w:val="none"/>
        </w:rPr>
        <w:t>。</w:t>
      </w:r>
    </w:p>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Pr>
        <w:pStyle w:val="6"/>
        <w:shd w:val="clear"/>
        <w:adjustRightInd w:val="0"/>
        <w:snapToGrid w:val="0"/>
        <w:spacing w:before="0" w:after="0" w:line="360" w:lineRule="exact"/>
        <w:rPr>
          <w:rFonts w:ascii="宋体" w:hAnsi="宋体"/>
          <w:color w:val="auto"/>
          <w:sz w:val="21"/>
          <w:szCs w:val="21"/>
          <w:highlight w:val="none"/>
        </w:rPr>
      </w:pPr>
      <w:bookmarkStart w:id="1042" w:name="_Toc351203641"/>
      <w:r>
        <w:rPr>
          <w:rFonts w:ascii="宋体" w:hAnsi="宋体"/>
          <w:color w:val="auto"/>
          <w:sz w:val="21"/>
          <w:szCs w:val="21"/>
          <w:highlight w:val="none"/>
        </w:rPr>
        <w:t>9</w:t>
      </w:r>
      <w:bookmarkEnd w:id="1021"/>
      <w:bookmarkEnd w:id="1022"/>
      <w:bookmarkEnd w:id="1023"/>
      <w:bookmarkStart w:id="1043" w:name="_Toc297123533"/>
      <w:bookmarkStart w:id="1044" w:name="_Toc312678021"/>
      <w:bookmarkStart w:id="1045" w:name="_Toc300934982"/>
      <w:bookmarkStart w:id="1046" w:name="_Toc297216192"/>
      <w:bookmarkStart w:id="1047" w:name="_Toc304295559"/>
      <w:bookmarkStart w:id="1048" w:name="_Toc303539139"/>
      <w:bookmarkStart w:id="1049" w:name="_Toc312677495"/>
      <w:bookmarkStart w:id="1050" w:name="_Toc267251428"/>
      <w:bookmarkStart w:id="1051" w:name="_Toc296891213"/>
      <w:bookmarkStart w:id="1052" w:name="_Toc296891001"/>
      <w:bookmarkStart w:id="1053" w:name="_Toc292559883"/>
      <w:bookmarkStart w:id="1054" w:name="_Toc296944512"/>
      <w:bookmarkStart w:id="1055" w:name="_Toc296346674"/>
      <w:bookmarkStart w:id="1056" w:name="_Toc292559378"/>
      <w:bookmarkStart w:id="1057" w:name="_Toc296347172"/>
      <w:bookmarkStart w:id="1058" w:name="_Toc296503173"/>
      <w:bookmarkStart w:id="1059" w:name="_Toc297048359"/>
      <w:bookmarkStart w:id="1060" w:name="_Toc267251427"/>
      <w:bookmarkStart w:id="1061" w:name="_Toc297120473"/>
      <w:r>
        <w:rPr>
          <w:rFonts w:ascii="宋体" w:hAnsi="宋体"/>
          <w:color w:val="auto"/>
          <w:sz w:val="21"/>
          <w:szCs w:val="21"/>
          <w:highlight w:val="none"/>
        </w:rPr>
        <w:t>. 试验与检验</w:t>
      </w:r>
      <w:bookmarkEnd w:id="1042"/>
    </w:p>
    <w:bookmarkEnd w:id="1043"/>
    <w:bookmarkEnd w:id="1044"/>
    <w:bookmarkEnd w:id="1045"/>
    <w:bookmarkEnd w:id="1046"/>
    <w:bookmarkEnd w:id="1047"/>
    <w:bookmarkEnd w:id="1048"/>
    <w:bookmarkEnd w:id="1049"/>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9</w:t>
      </w:r>
      <w:bookmarkStart w:id="1062" w:name="_Toc303539140"/>
      <w:bookmarkStart w:id="1063" w:name="_Toc304295560"/>
      <w:bookmarkStart w:id="1064" w:name="_Toc312677496"/>
      <w:bookmarkStart w:id="1065" w:name="_Toc297216193"/>
      <w:bookmarkStart w:id="1066" w:name="_Toc300934983"/>
      <w:bookmarkStart w:id="1067" w:name="_Toc312678022"/>
      <w:bookmarkStart w:id="1068" w:name="_Toc297123534"/>
      <w:r>
        <w:rPr>
          <w:rFonts w:hAnsi="宋体"/>
          <w:color w:val="auto"/>
          <w:sz w:val="21"/>
          <w:szCs w:val="21"/>
          <w:highlight w:val="none"/>
        </w:rPr>
        <w:t>.1试验设备与试验人员</w:t>
      </w:r>
    </w:p>
    <w:bookmarkEnd w:id="1062"/>
    <w:bookmarkEnd w:id="1063"/>
    <w:bookmarkEnd w:id="1064"/>
    <w:bookmarkEnd w:id="1065"/>
    <w:bookmarkEnd w:id="1066"/>
    <w:bookmarkEnd w:id="1067"/>
    <w:bookmarkEnd w:id="1068"/>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9</w:t>
      </w:r>
      <w:bookmarkStart w:id="1069" w:name="_Toc312677497"/>
      <w:bookmarkStart w:id="1070" w:name="_Toc312678023"/>
      <w:bookmarkStart w:id="1071" w:name="_Toc304295561"/>
      <w:bookmarkStart w:id="1072" w:name="_Toc300934984"/>
      <w:bookmarkStart w:id="1073" w:name="_Toc303539141"/>
      <w:bookmarkStart w:id="1074" w:name="_Toc297216194"/>
      <w:bookmarkStart w:id="1075" w:name="_Toc297123535"/>
      <w:bookmarkStart w:id="1076" w:name="_Toc318581174"/>
      <w:r>
        <w:rPr>
          <w:rFonts w:hAnsi="宋体"/>
          <w:color w:val="auto"/>
          <w:sz w:val="21"/>
          <w:szCs w:val="21"/>
          <w:highlight w:val="none"/>
        </w:rPr>
        <w:t>.1.2 试验设备</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施工现场需要配置的试验场所：</w:t>
      </w:r>
      <w:bookmarkEnd w:id="1069"/>
      <w:bookmarkEnd w:id="1070"/>
      <w:bookmarkEnd w:id="1071"/>
      <w:bookmarkEnd w:id="1072"/>
      <w:bookmarkEnd w:id="1073"/>
      <w:bookmarkEnd w:id="1074"/>
      <w:bookmarkEnd w:id="1075"/>
      <w:bookmarkStart w:id="1077" w:name="_Toc304295562"/>
      <w:bookmarkStart w:id="1078" w:name="_Toc300934985"/>
      <w:bookmarkStart w:id="1079" w:name="_Toc297216195"/>
      <w:bookmarkStart w:id="1080" w:name="_Toc303539142"/>
      <w:bookmarkStart w:id="1081" w:name="_Toc312677498"/>
      <w:bookmarkStart w:id="1082" w:name="_Toc297123536"/>
      <w:bookmarkStart w:id="1083" w:name="_Toc312678024"/>
      <w:r>
        <w:rPr>
          <w:rFonts w:hint="eastAsia" w:hAnsi="宋体"/>
          <w:color w:val="auto"/>
          <w:sz w:val="21"/>
          <w:szCs w:val="21"/>
          <w:highlight w:val="none"/>
          <w:u w:val="single"/>
        </w:rPr>
        <w:t>按有关规定和甲方（监理人）要求执行</w:t>
      </w:r>
      <w:r>
        <w:rPr>
          <w:rFonts w:hAnsi="宋体"/>
          <w:color w:val="auto"/>
          <w:sz w:val="21"/>
          <w:szCs w:val="21"/>
          <w:highlight w:val="none"/>
        </w:rPr>
        <w:t>。</w:t>
      </w:r>
      <w:r>
        <w:rPr>
          <w:rFonts w:hint="eastAsia" w:hAnsi="宋体"/>
          <w:color w:val="auto"/>
          <w:sz w:val="21"/>
          <w:szCs w:val="21"/>
          <w:highlight w:val="none"/>
        </w:rPr>
        <w:t xml:space="preserve"> </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施工现场需要配备的试验设备：</w:t>
      </w:r>
      <w:r>
        <w:rPr>
          <w:rFonts w:hint="eastAsia" w:hAnsi="宋体"/>
          <w:color w:val="auto"/>
          <w:sz w:val="21"/>
          <w:szCs w:val="21"/>
          <w:highlight w:val="none"/>
          <w:u w:val="single"/>
        </w:rPr>
        <w:t>按有关规定和甲方（监理人）要求执行</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sz w:val="21"/>
          <w:szCs w:val="21"/>
          <w:highlight w:val="none"/>
        </w:rPr>
        <w:t>施工现场需要具备的其他试验条件：</w:t>
      </w:r>
      <w:r>
        <w:rPr>
          <w:rFonts w:hint="eastAsia" w:hAnsi="宋体"/>
          <w:color w:val="auto"/>
          <w:sz w:val="21"/>
          <w:szCs w:val="21"/>
          <w:highlight w:val="none"/>
          <w:u w:val="single"/>
        </w:rPr>
        <w:t>按有关规定和甲方（监理人）要求执行</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kern w:val="0"/>
          <w:sz w:val="21"/>
          <w:szCs w:val="21"/>
          <w:highlight w:val="none"/>
        </w:rPr>
      </w:pPr>
      <w:r>
        <w:rPr>
          <w:rFonts w:hAnsi="宋体"/>
          <w:color w:val="auto"/>
          <w:sz w:val="21"/>
          <w:szCs w:val="21"/>
          <w:highlight w:val="none"/>
        </w:rPr>
        <w:t>9.</w:t>
      </w:r>
      <w:r>
        <w:rPr>
          <w:rFonts w:hint="eastAsia" w:hAnsi="宋体"/>
          <w:color w:val="auto"/>
          <w:sz w:val="21"/>
          <w:szCs w:val="21"/>
          <w:highlight w:val="none"/>
        </w:rPr>
        <w:t>3</w:t>
      </w:r>
      <w:r>
        <w:rPr>
          <w:rFonts w:hint="eastAsia" w:hAnsi="宋体"/>
          <w:color w:val="auto"/>
          <w:kern w:val="0"/>
          <w:sz w:val="21"/>
          <w:szCs w:val="21"/>
          <w:highlight w:val="none"/>
        </w:rPr>
        <w:t>材料、工程设备和工程的试验和检验</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kern w:val="0"/>
          <w:sz w:val="21"/>
          <w:szCs w:val="21"/>
          <w:highlight w:val="none"/>
        </w:rPr>
        <w:t>试验、检测单位资质条件约定：</w:t>
      </w:r>
      <w:r>
        <w:rPr>
          <w:rFonts w:hint="eastAsia" w:hAnsi="宋体"/>
          <w:color w:val="auto"/>
          <w:sz w:val="21"/>
          <w:szCs w:val="21"/>
          <w:highlight w:val="none"/>
          <w:u w:val="single"/>
        </w:rPr>
        <w:t>按有关规定和甲方（监理人）要求执行</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kern w:val="0"/>
          <w:sz w:val="21"/>
          <w:szCs w:val="21"/>
          <w:highlight w:val="none"/>
        </w:rPr>
        <w:t>试验、检测单位选择约定：</w:t>
      </w:r>
      <w:r>
        <w:rPr>
          <w:rFonts w:hint="eastAsia" w:hAnsi="宋体"/>
          <w:color w:val="auto"/>
          <w:sz w:val="21"/>
          <w:szCs w:val="21"/>
          <w:highlight w:val="none"/>
          <w:u w:val="single"/>
        </w:rPr>
        <w:t>承包人选择单位后报监理人、发包人审核，审核通过后方可确定试验、检测单位</w:t>
      </w:r>
      <w:r>
        <w:rPr>
          <w:rFonts w:hint="eastAsia"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试验、检测费用约定：</w:t>
      </w:r>
      <w:r>
        <w:rPr>
          <w:rFonts w:hAnsi="宋体"/>
          <w:color w:val="auto"/>
          <w:sz w:val="21"/>
          <w:szCs w:val="21"/>
          <w:highlight w:val="none"/>
          <w:u w:val="single"/>
        </w:rPr>
        <w:t>工程有关</w:t>
      </w:r>
      <w:r>
        <w:rPr>
          <w:rFonts w:hint="eastAsia" w:hAnsi="宋体"/>
          <w:color w:val="auto"/>
          <w:sz w:val="21"/>
          <w:szCs w:val="21"/>
          <w:highlight w:val="none"/>
          <w:u w:val="single"/>
        </w:rPr>
        <w:t>试验、检测</w:t>
      </w:r>
      <w:r>
        <w:rPr>
          <w:rFonts w:hAnsi="宋体"/>
          <w:color w:val="auto"/>
          <w:sz w:val="21"/>
          <w:szCs w:val="21"/>
          <w:highlight w:val="none"/>
          <w:u w:val="single"/>
        </w:rPr>
        <w:t>费用由承包人承担</w:t>
      </w:r>
      <w:r>
        <w:rPr>
          <w:rFonts w:hint="eastAsia" w:hAnsi="宋体"/>
          <w:color w:val="auto"/>
          <w:sz w:val="21"/>
          <w:szCs w:val="21"/>
          <w:highlight w:val="none"/>
          <w:u w:val="single"/>
        </w:rPr>
        <w:t>（政府有关部门明确规定需要发包人支付的除外）</w:t>
      </w:r>
      <w:r>
        <w:rPr>
          <w:rFonts w:hAnsi="宋体"/>
          <w:color w:val="auto"/>
          <w:sz w:val="21"/>
          <w:szCs w:val="21"/>
          <w:highlight w:val="none"/>
          <w:u w:val="single"/>
        </w:rPr>
        <w:t>，并已包含在合同价款中，不再另行计算</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9.4 现场工艺试验</w:t>
      </w:r>
      <w:r>
        <w:rPr>
          <w:rFonts w:hint="eastAsia" w:hAnsi="宋体"/>
          <w:color w:val="auto"/>
          <w:sz w:val="21"/>
          <w:szCs w:val="21"/>
          <w:highlight w:val="none"/>
        </w:rPr>
        <w:t xml:space="preserve"> </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现场工艺试验的有关约定：</w:t>
      </w:r>
      <w:r>
        <w:rPr>
          <w:rFonts w:hint="eastAsia" w:hAnsi="宋体"/>
          <w:color w:val="auto"/>
          <w:sz w:val="21"/>
          <w:szCs w:val="21"/>
          <w:highlight w:val="none"/>
          <w:u w:val="single"/>
        </w:rPr>
        <w:t>按有关规定和甲方（监理人）要求执行</w:t>
      </w:r>
      <w:r>
        <w:rPr>
          <w:rFonts w:hAnsi="宋体"/>
          <w:color w:val="auto"/>
          <w:sz w:val="21"/>
          <w:szCs w:val="21"/>
          <w:highlight w:val="none"/>
        </w:rPr>
        <w:t>。</w:t>
      </w:r>
    </w:p>
    <w:bookmarkEnd w:id="1076"/>
    <w:bookmarkEnd w:id="1077"/>
    <w:bookmarkEnd w:id="1078"/>
    <w:bookmarkEnd w:id="1079"/>
    <w:bookmarkEnd w:id="1080"/>
    <w:bookmarkEnd w:id="1081"/>
    <w:bookmarkEnd w:id="1082"/>
    <w:bookmarkEnd w:id="1083"/>
    <w:p>
      <w:pPr>
        <w:pStyle w:val="6"/>
        <w:shd w:val="clear"/>
        <w:adjustRightInd w:val="0"/>
        <w:snapToGrid w:val="0"/>
        <w:spacing w:before="0" w:after="0" w:line="360" w:lineRule="exact"/>
        <w:rPr>
          <w:rFonts w:ascii="宋体" w:hAnsi="宋体"/>
          <w:color w:val="auto"/>
          <w:sz w:val="21"/>
          <w:szCs w:val="21"/>
          <w:highlight w:val="none"/>
        </w:rPr>
      </w:pPr>
      <w:bookmarkStart w:id="1084" w:name="_Toc351203642"/>
      <w:r>
        <w:rPr>
          <w:rFonts w:ascii="宋体" w:hAnsi="宋体"/>
          <w:color w:val="auto"/>
          <w:sz w:val="21"/>
          <w:szCs w:val="21"/>
          <w:highlight w:val="none"/>
        </w:rPr>
        <w:t>1</w:t>
      </w:r>
      <w:bookmarkEnd w:id="1050"/>
      <w:bookmarkEnd w:id="1051"/>
      <w:bookmarkEnd w:id="1052"/>
      <w:bookmarkEnd w:id="1053"/>
      <w:bookmarkEnd w:id="1054"/>
      <w:bookmarkEnd w:id="1055"/>
      <w:bookmarkEnd w:id="1056"/>
      <w:bookmarkEnd w:id="1057"/>
      <w:bookmarkEnd w:id="1058"/>
      <w:bookmarkEnd w:id="1059"/>
      <w:bookmarkEnd w:id="1060"/>
      <w:bookmarkEnd w:id="1061"/>
      <w:bookmarkStart w:id="1085" w:name="_Toc296891021"/>
      <w:bookmarkStart w:id="1086" w:name="_Toc296347192"/>
      <w:bookmarkStart w:id="1087" w:name="_Toc300934989"/>
      <w:bookmarkStart w:id="1088" w:name="_Toc297048379"/>
      <w:bookmarkStart w:id="1089" w:name="_Toc303539146"/>
      <w:bookmarkStart w:id="1090" w:name="_Toc297123540"/>
      <w:bookmarkStart w:id="1091" w:name="_Toc296346694"/>
      <w:bookmarkStart w:id="1092" w:name="_Toc292559903"/>
      <w:bookmarkStart w:id="1093" w:name="_Toc296891233"/>
      <w:bookmarkStart w:id="1094" w:name="_Toc297216199"/>
      <w:bookmarkStart w:id="1095" w:name="_Toc297120493"/>
      <w:bookmarkStart w:id="1096" w:name="_Toc292559398"/>
      <w:bookmarkStart w:id="1097" w:name="_Toc304295566"/>
      <w:bookmarkStart w:id="1098" w:name="_Toc296503193"/>
      <w:bookmarkStart w:id="1099" w:name="_Toc296944532"/>
      <w:bookmarkStart w:id="1100" w:name="_Toc312677499"/>
      <w:bookmarkStart w:id="1101" w:name="_Toc312678025"/>
      <w:bookmarkStart w:id="1102" w:name="_Toc267251437"/>
      <w:bookmarkStart w:id="1103" w:name="_Toc267251439"/>
      <w:bookmarkStart w:id="1104" w:name="_Toc267251435"/>
      <w:bookmarkStart w:id="1105" w:name="_Toc267251441"/>
      <w:bookmarkStart w:id="1106" w:name="_Toc267251433"/>
      <w:bookmarkStart w:id="1107" w:name="_Toc267251440"/>
      <w:bookmarkStart w:id="1108" w:name="_Toc267251442"/>
      <w:r>
        <w:rPr>
          <w:rFonts w:ascii="宋体" w:hAnsi="宋体"/>
          <w:color w:val="auto"/>
          <w:sz w:val="21"/>
          <w:szCs w:val="21"/>
          <w:highlight w:val="none"/>
        </w:rPr>
        <w:t>0. 变更</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bookmarkEnd w:id="1100"/>
    <w:bookmarkEnd w:id="1101"/>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w:t>
      </w:r>
      <w:bookmarkStart w:id="1109" w:name="_Toc296347193"/>
      <w:bookmarkStart w:id="1110" w:name="_Toc304295567"/>
      <w:bookmarkStart w:id="1111" w:name="_Toc312678026"/>
      <w:bookmarkStart w:id="1112" w:name="_Toc296891234"/>
      <w:bookmarkStart w:id="1113" w:name="_Toc292559904"/>
      <w:bookmarkStart w:id="1114" w:name="_Toc297123541"/>
      <w:bookmarkStart w:id="1115" w:name="_Toc300934990"/>
      <w:bookmarkStart w:id="1116" w:name="_Toc296891022"/>
      <w:bookmarkStart w:id="1117" w:name="_Toc297120494"/>
      <w:bookmarkStart w:id="1118" w:name="_Toc312677500"/>
      <w:bookmarkStart w:id="1119" w:name="_Toc297216200"/>
      <w:bookmarkStart w:id="1120" w:name="_Toc296944533"/>
      <w:bookmarkStart w:id="1121" w:name="_Toc296346695"/>
      <w:bookmarkStart w:id="1122" w:name="_Toc303539147"/>
      <w:bookmarkStart w:id="1123" w:name="_Toc296503194"/>
      <w:bookmarkStart w:id="1124" w:name="_Toc297048380"/>
      <w:bookmarkStart w:id="1125" w:name="_Toc292559399"/>
      <w:r>
        <w:rPr>
          <w:rFonts w:hAnsi="宋体"/>
          <w:color w:val="auto"/>
          <w:sz w:val="21"/>
          <w:szCs w:val="21"/>
          <w:highlight w:val="none"/>
        </w:rPr>
        <w:t>0.1变更的范围</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sz w:val="21"/>
          <w:szCs w:val="21"/>
          <w:highlight w:val="none"/>
        </w:rPr>
        <w:t>关于变更的范围的约定：</w:t>
      </w:r>
      <w:r>
        <w:rPr>
          <w:rFonts w:hint="eastAsia" w:hAnsi="宋体"/>
          <w:color w:val="auto"/>
          <w:sz w:val="21"/>
          <w:szCs w:val="21"/>
          <w:highlight w:val="none"/>
          <w:u w:val="single"/>
        </w:rPr>
        <w:t>按通用合同条款约定</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10.4 变更估价</w:t>
      </w:r>
    </w:p>
    <w:p>
      <w:pPr>
        <w:shd w:val="clear"/>
        <w:adjustRightInd w:val="0"/>
        <w:snapToGrid w:val="0"/>
        <w:spacing w:line="360" w:lineRule="exact"/>
        <w:ind w:firstLine="420" w:firstLineChars="200"/>
        <w:rPr>
          <w:rFonts w:hAnsi="宋体"/>
          <w:color w:val="auto"/>
          <w:sz w:val="21"/>
          <w:szCs w:val="21"/>
          <w:highlight w:val="none"/>
        </w:rPr>
      </w:pPr>
      <w:r>
        <w:rPr>
          <w:rFonts w:hint="eastAsia" w:hAnsi="宋体"/>
          <w:color w:val="auto"/>
          <w:sz w:val="21"/>
          <w:szCs w:val="21"/>
          <w:highlight w:val="none"/>
        </w:rPr>
        <w:t>10.4.1 变更估价原则</w:t>
      </w:r>
    </w:p>
    <w:p>
      <w:pPr>
        <w:shd w:val="clear"/>
        <w:autoSpaceDE w:val="0"/>
        <w:autoSpaceDN w:val="0"/>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 xml:space="preserve">关于变更估价的约定: </w:t>
      </w:r>
      <w:r>
        <w:rPr>
          <w:rFonts w:hint="eastAsia" w:hAnsi="宋体"/>
          <w:b/>
          <w:color w:val="auto"/>
          <w:sz w:val="21"/>
          <w:szCs w:val="21"/>
          <w:highlight w:val="none"/>
          <w:u w:val="single"/>
        </w:rPr>
        <w:t>按本合同条款12.1执行</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Start w:id="1126" w:name="_Toc296347196"/>
      <w:bookmarkStart w:id="1127" w:name="_Toc296346698"/>
      <w:bookmarkStart w:id="1128" w:name="_Toc296503197"/>
      <w:bookmarkStart w:id="1129" w:name="_Toc292559907"/>
      <w:bookmarkStart w:id="1130" w:name="_Toc297123544"/>
      <w:bookmarkStart w:id="1131" w:name="_Toc296944536"/>
      <w:bookmarkStart w:id="1132" w:name="_Toc297216203"/>
      <w:bookmarkStart w:id="1133" w:name="_Toc297120497"/>
      <w:bookmarkStart w:id="1134" w:name="_Toc300934993"/>
      <w:bookmarkStart w:id="1135" w:name="_Toc303539150"/>
      <w:bookmarkStart w:id="1136" w:name="_Toc296891237"/>
      <w:bookmarkStart w:id="1137" w:name="_Toc297048383"/>
      <w:bookmarkStart w:id="1138" w:name="_Toc296891025"/>
      <w:bookmarkStart w:id="1139" w:name="_Toc292559402"/>
      <w:bookmarkStart w:id="1140" w:name="_Toc312677503"/>
      <w:bookmarkStart w:id="1141" w:name="_Toc312678029"/>
      <w:bookmarkStart w:id="1142" w:name="_Toc304295570"/>
      <w:r>
        <w:rPr>
          <w:rFonts w:hAnsi="宋体"/>
          <w:color w:val="auto"/>
          <w:sz w:val="21"/>
          <w:szCs w:val="21"/>
          <w:highlight w:val="none"/>
        </w:rPr>
        <w:t>0.5承</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Start w:id="1143" w:name="_Toc292559408"/>
      <w:bookmarkStart w:id="1144" w:name="_Toc297048389"/>
      <w:bookmarkStart w:id="1145" w:name="_Toc297120503"/>
      <w:bookmarkStart w:id="1146" w:name="_Toc303539151"/>
      <w:bookmarkStart w:id="1147" w:name="_Toc296503203"/>
      <w:bookmarkStart w:id="1148" w:name="_Toc297216204"/>
      <w:bookmarkStart w:id="1149" w:name="_Toc296347202"/>
      <w:bookmarkStart w:id="1150" w:name="_Toc296346704"/>
      <w:bookmarkStart w:id="1151" w:name="_Toc296944542"/>
      <w:bookmarkStart w:id="1152" w:name="_Toc296891031"/>
      <w:bookmarkStart w:id="1153" w:name="_Toc292559913"/>
      <w:bookmarkStart w:id="1154" w:name="_Toc300934994"/>
      <w:bookmarkStart w:id="1155" w:name="_Toc296891243"/>
      <w:bookmarkStart w:id="1156" w:name="_Toc297123545"/>
      <w:r>
        <w:rPr>
          <w:rFonts w:hAnsi="宋体"/>
          <w:color w:val="auto"/>
          <w:sz w:val="21"/>
          <w:szCs w:val="21"/>
          <w:highlight w:val="none"/>
        </w:rPr>
        <w:t>包人的合理化建议</w:t>
      </w:r>
    </w:p>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监理人审查承包人合理化建议的期限：</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发包人审批承包人合理化建议的期限：</w:t>
      </w:r>
      <w:r>
        <w:rPr>
          <w:rFonts w:hint="eastAsia" w:hAnsi="宋体"/>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承</w:t>
      </w:r>
      <w:bookmarkStart w:id="1157" w:name="_Toc318581175"/>
      <w:bookmarkStart w:id="1158" w:name="_Toc304295571"/>
      <w:bookmarkStart w:id="1159" w:name="_Toc296891032"/>
      <w:bookmarkStart w:id="1160" w:name="_Toc297123546"/>
      <w:bookmarkStart w:id="1161" w:name="_Toc296503204"/>
      <w:bookmarkStart w:id="1162" w:name="_Toc300934995"/>
      <w:bookmarkStart w:id="1163" w:name="_Toc296944543"/>
      <w:bookmarkStart w:id="1164" w:name="_Toc296346705"/>
      <w:bookmarkStart w:id="1165" w:name="_Toc292559409"/>
      <w:bookmarkStart w:id="1166" w:name="_Toc297216205"/>
      <w:bookmarkStart w:id="1167" w:name="_Toc312677504"/>
      <w:bookmarkStart w:id="1168" w:name="_Toc292559914"/>
      <w:bookmarkStart w:id="1169" w:name="_Toc303539152"/>
      <w:bookmarkStart w:id="1170" w:name="_Toc296891244"/>
      <w:bookmarkStart w:id="1171" w:name="_Toc296347203"/>
      <w:bookmarkStart w:id="1172" w:name="_Toc312678030"/>
      <w:bookmarkStart w:id="1173" w:name="_Toc297048390"/>
      <w:bookmarkStart w:id="1174" w:name="_Toc297120504"/>
      <w:r>
        <w:rPr>
          <w:rFonts w:hAnsi="宋体"/>
          <w:color w:val="auto"/>
          <w:sz w:val="21"/>
          <w:szCs w:val="21"/>
          <w:highlight w:val="none"/>
        </w:rPr>
        <w:t>包人提出的合理化建议降低了合同价格或者提高了工程经济效益的奖励的方法和金额为：</w:t>
      </w:r>
      <w:r>
        <w:rPr>
          <w:rFonts w:hint="eastAsia" w:hAnsi="宋体"/>
          <w:color w:val="auto"/>
          <w:sz w:val="21"/>
          <w:szCs w:val="21"/>
          <w:highlight w:val="none"/>
          <w:u w:val="single"/>
          <w:lang w:val="en-US" w:eastAsia="zh-CN"/>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w:t>
      </w:r>
      <w:bookmarkStart w:id="1175" w:name="_Toc312677507"/>
      <w:bookmarkStart w:id="1176" w:name="_Toc297216207"/>
      <w:bookmarkStart w:id="1177" w:name="_Toc296891027"/>
      <w:bookmarkStart w:id="1178" w:name="_Toc296347198"/>
      <w:bookmarkStart w:id="1179" w:name="_Toc297120499"/>
      <w:bookmarkStart w:id="1180" w:name="_Toc303539154"/>
      <w:bookmarkStart w:id="1181" w:name="_Toc296346700"/>
      <w:bookmarkStart w:id="1182" w:name="_Toc304295574"/>
      <w:bookmarkStart w:id="1183" w:name="_Toc312678033"/>
      <w:bookmarkStart w:id="1184" w:name="_Toc297048385"/>
      <w:bookmarkStart w:id="1185" w:name="_Toc296944538"/>
      <w:bookmarkStart w:id="1186" w:name="_Toc300934997"/>
      <w:bookmarkStart w:id="1187" w:name="_Toc292559909"/>
      <w:bookmarkStart w:id="1188" w:name="_Toc296503199"/>
      <w:bookmarkStart w:id="1189" w:name="_Toc297123548"/>
      <w:bookmarkStart w:id="1190" w:name="_Toc296891239"/>
      <w:bookmarkStart w:id="1191" w:name="_Toc292559404"/>
      <w:r>
        <w:rPr>
          <w:rFonts w:hAnsi="宋体"/>
          <w:color w:val="auto"/>
          <w:sz w:val="21"/>
          <w:szCs w:val="21"/>
          <w:highlight w:val="none"/>
        </w:rPr>
        <w:t>0.7 暂估价</w:t>
      </w:r>
    </w:p>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Pr>
        <w:shd w:val="clear"/>
        <w:adjustRightInd w:val="0"/>
        <w:snapToGrid w:val="0"/>
        <w:spacing w:line="360" w:lineRule="exact"/>
        <w:ind w:firstLine="420" w:firstLineChars="200"/>
        <w:rPr>
          <w:rFonts w:hAnsi="宋体"/>
          <w:color w:val="auto"/>
          <w:sz w:val="21"/>
          <w:szCs w:val="21"/>
          <w:highlight w:val="none"/>
        </w:rPr>
      </w:pPr>
      <w:r>
        <w:rPr>
          <w:rFonts w:hAnsi="宋体"/>
          <w:color w:val="auto"/>
          <w:kern w:val="0"/>
          <w:sz w:val="21"/>
          <w:szCs w:val="21"/>
          <w:highlight w:val="none"/>
        </w:rPr>
        <w:t>暂</w:t>
      </w:r>
      <w:bookmarkStart w:id="1192" w:name="_Toc312678034"/>
      <w:bookmarkStart w:id="1193" w:name="_Toc318581176"/>
      <w:bookmarkStart w:id="1194" w:name="_Toc312677508"/>
      <w:r>
        <w:rPr>
          <w:rFonts w:hAnsi="宋体"/>
          <w:color w:val="auto"/>
          <w:kern w:val="0"/>
          <w:sz w:val="21"/>
          <w:szCs w:val="21"/>
          <w:highlight w:val="none"/>
        </w:rPr>
        <w:t>估价材料和工程设备的明细详见附件</w:t>
      </w:r>
      <w:r>
        <w:rPr>
          <w:rFonts w:hint="eastAsia" w:hAnsi="宋体"/>
          <w:color w:val="auto"/>
          <w:kern w:val="0"/>
          <w:sz w:val="21"/>
          <w:szCs w:val="21"/>
          <w:highlight w:val="none"/>
        </w:rPr>
        <w:t>11：《</w:t>
      </w:r>
      <w:r>
        <w:rPr>
          <w:rFonts w:hAnsi="宋体"/>
          <w:color w:val="auto"/>
          <w:sz w:val="21"/>
          <w:szCs w:val="21"/>
          <w:highlight w:val="none"/>
        </w:rPr>
        <w:t>暂估价一览表</w:t>
      </w:r>
      <w:r>
        <w:rPr>
          <w:rFonts w:hint="eastAsia" w:hAnsi="宋体"/>
          <w:color w:val="auto"/>
          <w:sz w:val="21"/>
          <w:szCs w:val="21"/>
          <w:highlight w:val="none"/>
        </w:rPr>
        <w:t>》</w:t>
      </w:r>
      <w:r>
        <w:rPr>
          <w:rFonts w:hint="eastAsia" w:hAnsi="宋体"/>
          <w:color w:val="auto"/>
          <w:kern w:val="0"/>
          <w:sz w:val="21"/>
          <w:szCs w:val="21"/>
          <w:highlight w:val="none"/>
        </w:rPr>
        <w:t>。</w:t>
      </w:r>
    </w:p>
    <w:bookmarkEnd w:id="1192"/>
    <w:bookmarkEnd w:id="1193"/>
    <w:bookmarkEnd w:id="1194"/>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w:t>
      </w:r>
      <w:bookmarkStart w:id="1195" w:name="_Toc318581177"/>
      <w:bookmarkStart w:id="1196" w:name="_Toc312678035"/>
      <w:bookmarkStart w:id="1197" w:name="_Toc312677509"/>
      <w:r>
        <w:rPr>
          <w:rFonts w:hAnsi="宋体"/>
          <w:color w:val="auto"/>
          <w:sz w:val="21"/>
          <w:szCs w:val="21"/>
          <w:highlight w:val="none"/>
        </w:rPr>
        <w:t>0.7.1 依法必须招标的暂估价项目</w:t>
      </w:r>
    </w:p>
    <w:bookmarkEnd w:id="1195"/>
    <w:bookmarkEnd w:id="1196"/>
    <w:bookmarkEnd w:id="1197"/>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对于依法必须招标的暂估价项目的确认和批准采取第</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种方式确定。</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10.7.2 不属于依法必须招标的暂估价项目</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对于不属于依法必须招标的暂估价项目的确认和批准采取第</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种方式确定。</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sz w:val="21"/>
          <w:szCs w:val="21"/>
          <w:highlight w:val="none"/>
        </w:rPr>
        <w:t>第3种方式：</w:t>
      </w:r>
      <w:r>
        <w:rPr>
          <w:rFonts w:hAnsi="宋体"/>
          <w:color w:val="auto"/>
          <w:kern w:val="0"/>
          <w:sz w:val="21"/>
          <w:szCs w:val="21"/>
          <w:highlight w:val="none"/>
        </w:rPr>
        <w:t>承包人直接实施的暂估价项目</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承包人直接实施的暂估价项目的约定：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10.8 暂列金额</w:t>
      </w:r>
    </w:p>
    <w:p>
      <w:pPr>
        <w:shd w:val="clear"/>
        <w:autoSpaceDE w:val="0"/>
        <w:autoSpaceDN w:val="0"/>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kern w:val="0"/>
          <w:sz w:val="21"/>
          <w:szCs w:val="21"/>
          <w:highlight w:val="none"/>
        </w:rPr>
        <w:t>合同当事人关于暂列金额使用的约定：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int="eastAsia" w:hAnsi="宋体"/>
          <w:color w:val="auto"/>
          <w:kern w:val="0"/>
          <w:sz w:val="21"/>
          <w:szCs w:val="21"/>
          <w:highlight w:val="none"/>
        </w:rPr>
        <w:t>。</w:t>
      </w:r>
    </w:p>
    <w:p>
      <w:pPr>
        <w:pStyle w:val="6"/>
        <w:shd w:val="clear"/>
        <w:adjustRightInd w:val="0"/>
        <w:snapToGrid w:val="0"/>
        <w:spacing w:before="0" w:after="0" w:line="360" w:lineRule="exact"/>
        <w:rPr>
          <w:rFonts w:ascii="宋体" w:hAnsi="宋体"/>
          <w:color w:val="auto"/>
          <w:sz w:val="21"/>
          <w:szCs w:val="21"/>
          <w:highlight w:val="none"/>
        </w:rPr>
      </w:pPr>
      <w:bookmarkStart w:id="1198" w:name="_Toc351203643"/>
      <w:r>
        <w:rPr>
          <w:rFonts w:ascii="宋体" w:hAnsi="宋体"/>
          <w:color w:val="auto"/>
          <w:sz w:val="21"/>
          <w:szCs w:val="21"/>
          <w:highlight w:val="none"/>
        </w:rPr>
        <w:t>11. 价格调整</w:t>
      </w:r>
      <w:bookmarkEnd w:id="1198"/>
    </w:p>
    <w:p>
      <w:pPr>
        <w:shd w:val="clear"/>
        <w:adjustRightInd w:val="0"/>
        <w:snapToGrid w:val="0"/>
        <w:spacing w:line="360" w:lineRule="exact"/>
        <w:ind w:firstLine="420" w:firstLineChars="200"/>
        <w:rPr>
          <w:rFonts w:hAnsi="宋体"/>
          <w:color w:val="auto"/>
          <w:sz w:val="21"/>
          <w:szCs w:val="21"/>
          <w:highlight w:val="none"/>
        </w:rPr>
      </w:pPr>
      <w:bookmarkStart w:id="1199" w:name="_Toc296891241"/>
      <w:bookmarkStart w:id="1200" w:name="_Toc297123550"/>
      <w:bookmarkStart w:id="1201" w:name="_Toc296944540"/>
      <w:bookmarkStart w:id="1202" w:name="_Toc304295577"/>
      <w:bookmarkStart w:id="1203" w:name="_Toc292559911"/>
      <w:bookmarkStart w:id="1204" w:name="_Toc297216209"/>
      <w:bookmarkStart w:id="1205" w:name="_Toc303539157"/>
      <w:bookmarkStart w:id="1206" w:name="_Toc296891029"/>
      <w:bookmarkStart w:id="1207" w:name="_Toc300935000"/>
      <w:bookmarkStart w:id="1208" w:name="_Toc296503201"/>
      <w:bookmarkStart w:id="1209" w:name="_Toc296347200"/>
      <w:bookmarkStart w:id="1210" w:name="_Toc292559406"/>
      <w:bookmarkStart w:id="1211" w:name="_Toc312678039"/>
      <w:bookmarkStart w:id="1212" w:name="_Toc296346702"/>
      <w:bookmarkStart w:id="1213" w:name="_Toc297120501"/>
      <w:bookmarkStart w:id="1214" w:name="_Toc297048387"/>
      <w:r>
        <w:rPr>
          <w:rFonts w:hAnsi="宋体"/>
          <w:color w:val="auto"/>
          <w:sz w:val="21"/>
          <w:szCs w:val="21"/>
          <w:highlight w:val="none"/>
        </w:rPr>
        <w:t>11.1 市场价格波动引起的调整</w:t>
      </w:r>
    </w:p>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Pr>
        <w:shd w:val="clear"/>
        <w:adjustRightInd w:val="0"/>
        <w:snapToGrid w:val="0"/>
        <w:spacing w:line="360" w:lineRule="exact"/>
        <w:ind w:firstLine="420" w:firstLineChars="200"/>
        <w:rPr>
          <w:rFonts w:hAnsi="宋体"/>
          <w:color w:val="auto"/>
          <w:sz w:val="21"/>
          <w:szCs w:val="21"/>
          <w:highlight w:val="none"/>
        </w:rPr>
      </w:pPr>
      <w:r>
        <w:rPr>
          <w:rFonts w:hAnsi="宋体"/>
          <w:color w:val="auto"/>
          <w:kern w:val="0"/>
          <w:sz w:val="21"/>
          <w:szCs w:val="21"/>
          <w:highlight w:val="none"/>
        </w:rPr>
        <w:t>市场价格波动是否调整合同价格的约定：</w:t>
      </w:r>
      <w:r>
        <w:rPr>
          <w:rFonts w:hAnsi="宋体"/>
          <w:color w:val="auto"/>
          <w:sz w:val="21"/>
          <w:szCs w:val="21"/>
          <w:highlight w:val="none"/>
          <w:u w:val="single"/>
        </w:rPr>
        <w:t xml:space="preserve">  </w:t>
      </w:r>
      <w:r>
        <w:rPr>
          <w:rFonts w:hint="eastAsia" w:hAnsi="宋体"/>
          <w:color w:val="auto"/>
          <w:sz w:val="21"/>
          <w:szCs w:val="21"/>
          <w:highlight w:val="none"/>
          <w:u w:val="single"/>
        </w:rPr>
        <w:t>否</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因市场价格波动调整合同价格，采用以下第</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u w:val="single"/>
        </w:rPr>
        <w:t xml:space="preserve"> </w:t>
      </w:r>
      <w:r>
        <w:rPr>
          <w:rFonts w:hAnsi="宋体"/>
          <w:color w:val="auto"/>
          <w:sz w:val="21"/>
          <w:szCs w:val="21"/>
          <w:highlight w:val="none"/>
        </w:rPr>
        <w:t>种方式对合同价格进行调整：</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第1种方式：采用价格指数</w:t>
      </w:r>
      <w:r>
        <w:rPr>
          <w:rFonts w:hint="eastAsia" w:hAnsi="宋体"/>
          <w:color w:val="auto"/>
          <w:sz w:val="21"/>
          <w:szCs w:val="21"/>
          <w:highlight w:val="none"/>
        </w:rPr>
        <w:t>进行价格</w:t>
      </w:r>
      <w:r>
        <w:rPr>
          <w:rFonts w:hAnsi="宋体"/>
          <w:color w:val="auto"/>
          <w:sz w:val="21"/>
          <w:szCs w:val="21"/>
          <w:highlight w:val="none"/>
        </w:rPr>
        <w:t>调整。</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关于各可调因子、定值和变值权重，以及基本价格指数及其来源的约定：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 xml:space="preserve">；  </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第2种方式：采用造价信息</w:t>
      </w:r>
      <w:r>
        <w:rPr>
          <w:rFonts w:hint="eastAsia" w:hAnsi="宋体"/>
          <w:color w:val="auto"/>
          <w:sz w:val="21"/>
          <w:szCs w:val="21"/>
          <w:highlight w:val="none"/>
        </w:rPr>
        <w:t>进行价格</w:t>
      </w:r>
      <w:r>
        <w:rPr>
          <w:rFonts w:hAnsi="宋体"/>
          <w:color w:val="auto"/>
          <w:sz w:val="21"/>
          <w:szCs w:val="21"/>
          <w:highlight w:val="none"/>
        </w:rPr>
        <w:t>调整。</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（2）关于基准价格的约定：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专用合同条款</w:t>
      </w:r>
      <w:r>
        <w:rPr>
          <w:rFonts w:hint="eastAsia" w:hAnsi="宋体" w:cs="宋体"/>
          <w:color w:val="auto"/>
          <w:sz w:val="21"/>
          <w:szCs w:val="21"/>
          <w:highlight w:val="none"/>
        </w:rPr>
        <w:t>①</w:t>
      </w:r>
      <w:r>
        <w:rPr>
          <w:rFonts w:hAnsi="宋体"/>
          <w:color w:val="auto"/>
          <w:sz w:val="21"/>
          <w:szCs w:val="21"/>
          <w:highlight w:val="none"/>
        </w:rPr>
        <w:t>承包人在已标价工程量清单或预算书中载明的材料单价低于基准价格的：专用合同条款合同履行期间材料单价涨幅以基准价格为基础超过</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%时，或材料单价跌幅以已标价工程量清单或预算书中载明材料单价为基础超过</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%时，其超过部分据实调整。</w:t>
      </w:r>
    </w:p>
    <w:p>
      <w:pPr>
        <w:shd w:val="clear"/>
        <w:adjustRightInd w:val="0"/>
        <w:snapToGrid w:val="0"/>
        <w:spacing w:line="360" w:lineRule="exact"/>
        <w:ind w:firstLine="420" w:firstLineChars="200"/>
        <w:rPr>
          <w:rFonts w:hAnsi="宋体"/>
          <w:color w:val="auto"/>
          <w:sz w:val="21"/>
          <w:szCs w:val="21"/>
          <w:highlight w:val="none"/>
        </w:rPr>
      </w:pPr>
      <w:r>
        <w:rPr>
          <w:rFonts w:hint="eastAsia" w:hAnsi="宋体" w:cs="宋体"/>
          <w:color w:val="auto"/>
          <w:sz w:val="21"/>
          <w:szCs w:val="21"/>
          <w:highlight w:val="none"/>
        </w:rPr>
        <w:t>②</w:t>
      </w:r>
      <w:r>
        <w:rPr>
          <w:rFonts w:hAnsi="宋体"/>
          <w:color w:val="auto"/>
          <w:sz w:val="21"/>
          <w:szCs w:val="21"/>
          <w:highlight w:val="none"/>
        </w:rPr>
        <w:t>承包人在已标价工程量清单或预算书中载明的材料单价高于基准价格的：专用合同条款合同履行期间材料单价跌幅以基准价格为基础超过</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%时，材料单价涨幅以已标价工程量清单或预算书中载明材料单价为基础超过</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%时，其超过部分据实调整。</w:t>
      </w:r>
    </w:p>
    <w:p>
      <w:pPr>
        <w:shd w:val="clear"/>
        <w:adjustRightInd w:val="0"/>
        <w:snapToGrid w:val="0"/>
        <w:spacing w:line="360" w:lineRule="exact"/>
        <w:ind w:firstLine="420" w:firstLineChars="200"/>
        <w:rPr>
          <w:rFonts w:hAnsi="宋体"/>
          <w:color w:val="auto"/>
          <w:sz w:val="21"/>
          <w:szCs w:val="21"/>
          <w:highlight w:val="none"/>
        </w:rPr>
      </w:pPr>
      <w:r>
        <w:rPr>
          <w:rFonts w:hint="eastAsia" w:hAnsi="宋体" w:cs="宋体"/>
          <w:color w:val="auto"/>
          <w:sz w:val="21"/>
          <w:szCs w:val="21"/>
          <w:highlight w:val="none"/>
        </w:rPr>
        <w:t>③</w:t>
      </w:r>
      <w:r>
        <w:rPr>
          <w:rFonts w:hAnsi="宋体"/>
          <w:color w:val="auto"/>
          <w:sz w:val="21"/>
          <w:szCs w:val="21"/>
          <w:highlight w:val="none"/>
        </w:rPr>
        <w:t>承包人在已标价工程量清单或预算书中载明的材料单价等于基准单价的：专用合同条款合同履行期间材料单价涨跌幅以基准单价为基础超过±</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%时，其超过部分据实调整。</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第3种方式：</w:t>
      </w:r>
      <w:r>
        <w:rPr>
          <w:rFonts w:hint="eastAsia" w:hAnsi="宋体"/>
          <w:color w:val="auto"/>
          <w:sz w:val="21"/>
          <w:szCs w:val="21"/>
          <w:highlight w:val="none"/>
        </w:rPr>
        <w:t>采用政策性文件进行价格调整。</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政府投资工程因市场价格波动引起的调整按以下</w:t>
      </w:r>
      <w:r>
        <w:rPr>
          <w:rFonts w:hint="eastAsia" w:hAnsi="宋体"/>
          <w:color w:val="auto"/>
          <w:sz w:val="21"/>
          <w:szCs w:val="21"/>
          <w:highlight w:val="none"/>
          <w:u w:val="single"/>
        </w:rPr>
        <w:t>/</w:t>
      </w:r>
      <w:r>
        <w:rPr>
          <w:rFonts w:hint="eastAsia" w:hAnsi="宋体"/>
          <w:color w:val="auto"/>
          <w:sz w:val="21"/>
          <w:szCs w:val="21"/>
          <w:highlight w:val="none"/>
        </w:rPr>
        <w:t>约定执行：</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其中：</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1、风险范围及幅度的约定：</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（1）人工费的风险幅度（ / %）</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（2）材料价格的风险幅度（ / %）</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rPr>
        <w:t>2、材料价款动态调整结算方式采用以下第</w:t>
      </w:r>
      <w:r>
        <w:rPr>
          <w:rFonts w:hint="eastAsia" w:hAnsi="宋体"/>
          <w:color w:val="auto"/>
          <w:sz w:val="21"/>
          <w:szCs w:val="21"/>
          <w:highlight w:val="none"/>
          <w:u w:val="single"/>
        </w:rPr>
        <w:t xml:space="preserve"> / </w:t>
      </w:r>
      <w:r>
        <w:rPr>
          <w:rFonts w:hint="eastAsia" w:hAnsi="宋体"/>
          <w:color w:val="auto"/>
          <w:sz w:val="21"/>
          <w:szCs w:val="21"/>
          <w:highlight w:val="none"/>
        </w:rPr>
        <w:t>种方式约定：</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（1）按时间进度分段结算： /  。</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u w:val="single"/>
        </w:rPr>
        <w:t xml:space="preserve">（2）按工程形象部位(目标)分段结算：/  </w:t>
      </w:r>
      <w:r>
        <w:rPr>
          <w:rFonts w:hint="eastAsia" w:hAnsi="宋体"/>
          <w:color w:val="auto"/>
          <w:sz w:val="21"/>
          <w:szCs w:val="21"/>
          <w:highlight w:val="none"/>
          <w:u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int="eastAsia" w:hAnsi="宋体"/>
          <w:color w:val="auto"/>
          <w:sz w:val="21"/>
          <w:szCs w:val="21"/>
          <w:highlight w:val="none"/>
          <w:u w:val="single"/>
        </w:rPr>
        <w:t>（3）竣工后一次性结算</w:t>
      </w:r>
      <w:r>
        <w:rPr>
          <w:rFonts w:hint="eastAsia" w:hAnsi="宋体"/>
          <w:color w:val="auto"/>
          <w:sz w:val="21"/>
          <w:szCs w:val="21"/>
          <w:highlight w:val="none"/>
        </w:rPr>
        <w:t>。</w:t>
      </w:r>
    </w:p>
    <w:bookmarkEnd w:id="1102"/>
    <w:bookmarkEnd w:id="1103"/>
    <w:bookmarkEnd w:id="1104"/>
    <w:bookmarkEnd w:id="1105"/>
    <w:bookmarkEnd w:id="1106"/>
    <w:bookmarkEnd w:id="1107"/>
    <w:p>
      <w:pPr>
        <w:pStyle w:val="6"/>
        <w:shd w:val="clear"/>
        <w:adjustRightInd w:val="0"/>
        <w:snapToGrid w:val="0"/>
        <w:spacing w:before="0" w:after="0" w:line="360" w:lineRule="exact"/>
        <w:rPr>
          <w:rFonts w:hint="eastAsia" w:ascii="宋体" w:hAnsi="宋体" w:eastAsia="宋体"/>
          <w:color w:val="auto"/>
          <w:sz w:val="21"/>
          <w:szCs w:val="21"/>
          <w:highlight w:val="none"/>
        </w:rPr>
      </w:pPr>
      <w:bookmarkStart w:id="1215" w:name="_Toc297048391"/>
      <w:bookmarkStart w:id="1216" w:name="_Toc296944544"/>
      <w:bookmarkStart w:id="1217" w:name="_Toc297120505"/>
      <w:bookmarkStart w:id="1218" w:name="_Toc292559915"/>
      <w:bookmarkStart w:id="1219" w:name="_Toc296891245"/>
      <w:bookmarkStart w:id="1220" w:name="_Toc296347204"/>
      <w:bookmarkStart w:id="1221" w:name="_Toc296503205"/>
      <w:bookmarkStart w:id="1222" w:name="_Toc296346706"/>
      <w:bookmarkStart w:id="1223" w:name="_Toc296891033"/>
      <w:bookmarkStart w:id="1224" w:name="_Toc292559410"/>
      <w:bookmarkStart w:id="1225" w:name="_Toc312678040"/>
      <w:bookmarkStart w:id="1226" w:name="_Toc297216211"/>
      <w:bookmarkStart w:id="1227" w:name="_Toc303539159"/>
      <w:bookmarkStart w:id="1228" w:name="_Toc351203644"/>
      <w:bookmarkStart w:id="1229" w:name="_Toc304295579"/>
      <w:bookmarkStart w:id="1230" w:name="_Toc300935002"/>
      <w:bookmarkStart w:id="1231" w:name="_Toc297123552"/>
      <w:r>
        <w:rPr>
          <w:rFonts w:ascii="宋体" w:hAnsi="宋体" w:eastAsia="宋体"/>
          <w:color w:val="auto"/>
          <w:sz w:val="21"/>
          <w:szCs w:val="21"/>
          <w:highlight w:val="none"/>
        </w:rPr>
        <w:t xml:space="preserve">12. </w:t>
      </w:r>
      <w:bookmarkEnd w:id="1215"/>
      <w:bookmarkEnd w:id="1216"/>
      <w:bookmarkEnd w:id="1217"/>
      <w:bookmarkEnd w:id="1218"/>
      <w:bookmarkEnd w:id="1219"/>
      <w:bookmarkEnd w:id="1220"/>
      <w:bookmarkEnd w:id="1221"/>
      <w:bookmarkEnd w:id="1222"/>
      <w:bookmarkEnd w:id="1223"/>
      <w:bookmarkEnd w:id="1224"/>
      <w:r>
        <w:rPr>
          <w:rFonts w:ascii="宋体" w:hAnsi="宋体" w:eastAsia="宋体"/>
          <w:color w:val="auto"/>
          <w:sz w:val="21"/>
          <w:szCs w:val="21"/>
          <w:highlight w:val="none"/>
        </w:rPr>
        <w:t>合同价格、计量与支付</w:t>
      </w:r>
      <w:bookmarkEnd w:id="1225"/>
      <w:bookmarkEnd w:id="1226"/>
      <w:bookmarkEnd w:id="1227"/>
      <w:bookmarkEnd w:id="1228"/>
      <w:bookmarkEnd w:id="1229"/>
      <w:bookmarkEnd w:id="1230"/>
      <w:bookmarkEnd w:id="1231"/>
      <w:bookmarkStart w:id="1232" w:name="_Toc292559411"/>
      <w:bookmarkStart w:id="1233" w:name="_Toc292559916"/>
      <w:bookmarkStart w:id="1234" w:name="_Toc267251461"/>
      <w:bookmarkStart w:id="1235" w:name="_Toc297120506"/>
      <w:bookmarkStart w:id="1236" w:name="_Toc296944545"/>
      <w:bookmarkStart w:id="1237" w:name="_Toc297048392"/>
      <w:bookmarkStart w:id="1238" w:name="_Toc296503206"/>
      <w:bookmarkStart w:id="1239" w:name="_Toc296346707"/>
      <w:bookmarkStart w:id="1240" w:name="_Toc296891246"/>
      <w:bookmarkStart w:id="1241" w:name="_Toc296347205"/>
      <w:bookmarkStart w:id="1242" w:name="_Toc296891034"/>
      <w:bookmarkStart w:id="1243" w:name="_Toc297216212"/>
      <w:bookmarkStart w:id="1244" w:name="_Toc312678041"/>
      <w:bookmarkStart w:id="1245" w:name="_Toc304295580"/>
      <w:bookmarkStart w:id="1246" w:name="_Toc303539160"/>
      <w:bookmarkStart w:id="1247" w:name="_Toc297123553"/>
      <w:bookmarkStart w:id="1248" w:name="_Toc300935003"/>
    </w:p>
    <w:p>
      <w:pPr>
        <w:shd w:val="clear"/>
        <w:adjustRightInd w:val="0"/>
        <w:snapToGrid w:val="0"/>
        <w:spacing w:line="360" w:lineRule="exact"/>
        <w:ind w:firstLine="422" w:firstLineChars="200"/>
        <w:rPr>
          <w:rFonts w:hAnsi="宋体"/>
          <w:b/>
          <w:color w:val="auto"/>
          <w:sz w:val="21"/>
          <w:szCs w:val="21"/>
          <w:highlight w:val="none"/>
        </w:rPr>
      </w:pPr>
      <w:r>
        <w:rPr>
          <w:rFonts w:hAnsi="宋体"/>
          <w:b/>
          <w:color w:val="auto"/>
          <w:sz w:val="21"/>
          <w:szCs w:val="21"/>
          <w:highlight w:val="none"/>
        </w:rPr>
        <w:t>12.1 合</w:t>
      </w:r>
      <w:bookmarkEnd w:id="1232"/>
      <w:bookmarkEnd w:id="1233"/>
      <w:bookmarkEnd w:id="1234"/>
      <w:r>
        <w:rPr>
          <w:rFonts w:hAnsi="宋体"/>
          <w:b/>
          <w:color w:val="auto"/>
          <w:sz w:val="21"/>
          <w:szCs w:val="21"/>
          <w:highlight w:val="none"/>
        </w:rPr>
        <w:t>同</w:t>
      </w:r>
      <w:r>
        <w:rPr>
          <w:rFonts w:hAnsi="宋体"/>
          <w:color w:val="auto"/>
          <w:sz w:val="21"/>
          <w:szCs w:val="21"/>
          <w:highlight w:val="none"/>
        </w:rPr>
        <w:t>价</w:t>
      </w:r>
      <w:bookmarkEnd w:id="1235"/>
      <w:bookmarkEnd w:id="1236"/>
      <w:bookmarkEnd w:id="1237"/>
      <w:bookmarkEnd w:id="1238"/>
      <w:bookmarkEnd w:id="1239"/>
      <w:bookmarkEnd w:id="1240"/>
      <w:bookmarkEnd w:id="1241"/>
      <w:bookmarkEnd w:id="1242"/>
      <w:r>
        <w:rPr>
          <w:rFonts w:hAnsi="宋体"/>
          <w:color w:val="auto"/>
          <w:sz w:val="21"/>
          <w:szCs w:val="21"/>
          <w:highlight w:val="none"/>
        </w:rPr>
        <w:t>格</w:t>
      </w:r>
      <w:r>
        <w:rPr>
          <w:rFonts w:hAnsi="宋体"/>
          <w:b/>
          <w:color w:val="auto"/>
          <w:sz w:val="21"/>
          <w:szCs w:val="21"/>
          <w:highlight w:val="none"/>
        </w:rPr>
        <w:t>形式</w:t>
      </w:r>
    </w:p>
    <w:bookmarkEnd w:id="1243"/>
    <w:bookmarkEnd w:id="1244"/>
    <w:bookmarkEnd w:id="1245"/>
    <w:bookmarkEnd w:id="1246"/>
    <w:bookmarkEnd w:id="1247"/>
    <w:bookmarkEnd w:id="1248"/>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1、单价合同。</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Ansi="宋体"/>
          <w:color w:val="auto"/>
          <w:sz w:val="21"/>
          <w:szCs w:val="21"/>
          <w:highlight w:val="none"/>
        </w:rPr>
        <w:t>综合单价包含的风险范围：</w:t>
      </w:r>
    </w:p>
    <w:p>
      <w:pPr>
        <w:pStyle w:val="34"/>
        <w:shd w:val="clear"/>
        <w:ind w:firstLine="420" w:firstLineChars="200"/>
        <w:rPr>
          <w:rFonts w:hint="eastAsia" w:hAnsi="宋体" w:cs="Arial"/>
          <w:color w:val="auto"/>
          <w:highlight w:val="none"/>
          <w:u w:val="single"/>
        </w:rPr>
      </w:pPr>
      <w:r>
        <w:rPr>
          <w:rFonts w:hint="eastAsia" w:hAnsi="宋体" w:cs="Arial"/>
          <w:color w:val="auto"/>
          <w:highlight w:val="none"/>
          <w:u w:val="single"/>
        </w:rPr>
        <w:t>A、工程所需、技术规范要求的所有施工组织措施费和承包人报价时补充的施工技术措施费都已包括在签约合同价中；</w:t>
      </w:r>
    </w:p>
    <w:p>
      <w:pPr>
        <w:pStyle w:val="34"/>
        <w:shd w:val="clear"/>
        <w:ind w:firstLine="420" w:firstLineChars="200"/>
        <w:rPr>
          <w:rFonts w:hAnsi="宋体" w:cs="Arial"/>
          <w:color w:val="auto"/>
          <w:highlight w:val="none"/>
          <w:u w:val="single"/>
        </w:rPr>
      </w:pPr>
      <w:r>
        <w:rPr>
          <w:rFonts w:hAnsi="宋体" w:cs="Arial"/>
          <w:color w:val="auto"/>
          <w:highlight w:val="none"/>
          <w:u w:val="single"/>
        </w:rPr>
        <w:t>B</w:t>
      </w:r>
      <w:r>
        <w:rPr>
          <w:rFonts w:hint="eastAsia" w:hAnsi="宋体" w:cs="Arial"/>
          <w:color w:val="auto"/>
          <w:highlight w:val="none"/>
          <w:u w:val="single"/>
        </w:rPr>
        <w:t>、</w:t>
      </w:r>
      <w:r>
        <w:rPr>
          <w:rFonts w:hAnsi="宋体" w:cs="Arial"/>
          <w:color w:val="auto"/>
          <w:highlight w:val="none"/>
          <w:u w:val="single"/>
        </w:rPr>
        <w:t xml:space="preserve">所有招标文件或工程量清单明示要求报价的内容而承包商未予报价的，将被认为包含在合同总价中，结算时合同价款将不再追加； </w:t>
      </w:r>
    </w:p>
    <w:p>
      <w:pPr>
        <w:pStyle w:val="34"/>
        <w:shd w:val="clear"/>
        <w:adjustRightInd w:val="0"/>
        <w:snapToGrid w:val="0"/>
        <w:spacing w:line="360" w:lineRule="exact"/>
        <w:ind w:firstLine="420" w:firstLineChars="200"/>
        <w:rPr>
          <w:rFonts w:hAnsi="宋体" w:cs="Arial"/>
          <w:color w:val="auto"/>
          <w:highlight w:val="none"/>
          <w:u w:val="single"/>
        </w:rPr>
      </w:pPr>
      <w:r>
        <w:rPr>
          <w:rFonts w:hAnsi="宋体" w:cs="Arial"/>
          <w:color w:val="auto"/>
          <w:highlight w:val="none"/>
          <w:u w:val="single"/>
        </w:rPr>
        <w:t>C</w:t>
      </w:r>
      <w:r>
        <w:rPr>
          <w:rFonts w:hint="eastAsia" w:hAnsi="宋体" w:cs="Arial"/>
          <w:color w:val="auto"/>
          <w:highlight w:val="none"/>
          <w:u w:val="single"/>
        </w:rPr>
        <w:t>、</w:t>
      </w:r>
      <w:r>
        <w:rPr>
          <w:rFonts w:hAnsi="宋体" w:cs="Arial"/>
          <w:color w:val="auto"/>
          <w:highlight w:val="none"/>
          <w:u w:val="single"/>
        </w:rPr>
        <w:t>承包人对工程现场环境以及发包人提供的招标文件、图纸等资料作出错误的推论、理解而导致报价失误，属于承包商风险，结算时合同价款将不予调整；</w:t>
      </w:r>
    </w:p>
    <w:p>
      <w:pPr>
        <w:pStyle w:val="34"/>
        <w:shd w:val="clear"/>
        <w:adjustRightInd w:val="0"/>
        <w:snapToGrid w:val="0"/>
        <w:spacing w:line="360" w:lineRule="exact"/>
        <w:ind w:firstLine="420" w:firstLineChars="200"/>
        <w:rPr>
          <w:rFonts w:hAnsi="宋体" w:cs="Arial"/>
          <w:color w:val="auto"/>
          <w:highlight w:val="none"/>
          <w:u w:val="single"/>
        </w:rPr>
      </w:pPr>
      <w:r>
        <w:rPr>
          <w:rFonts w:hAnsi="宋体" w:cs="Arial"/>
          <w:color w:val="auto"/>
          <w:highlight w:val="none"/>
          <w:u w:val="single"/>
        </w:rPr>
        <w:t>d、人工、材料、机械价格的上涨（风险范围以外合同价款调整方法另有约定的除外）；</w:t>
      </w:r>
    </w:p>
    <w:p>
      <w:pPr>
        <w:pStyle w:val="34"/>
        <w:shd w:val="clear"/>
        <w:adjustRightInd w:val="0"/>
        <w:snapToGrid w:val="0"/>
        <w:spacing w:line="360" w:lineRule="exact"/>
        <w:ind w:firstLine="420" w:firstLineChars="200"/>
        <w:rPr>
          <w:rFonts w:hint="eastAsia" w:hAnsi="宋体" w:cs="Arial"/>
          <w:color w:val="auto"/>
          <w:highlight w:val="none"/>
          <w:u w:val="single"/>
        </w:rPr>
      </w:pPr>
      <w:r>
        <w:rPr>
          <w:rFonts w:hAnsi="宋体" w:cs="Arial"/>
          <w:color w:val="auto"/>
          <w:highlight w:val="none"/>
          <w:u w:val="single"/>
        </w:rPr>
        <w:t>e</w:t>
      </w:r>
      <w:r>
        <w:rPr>
          <w:rFonts w:hint="eastAsia" w:hAnsi="宋体" w:cs="Arial"/>
          <w:color w:val="auto"/>
          <w:highlight w:val="none"/>
          <w:u w:val="single"/>
        </w:rPr>
        <w:t>、</w:t>
      </w:r>
      <w:r>
        <w:rPr>
          <w:rFonts w:hAnsi="宋体" w:cs="Arial"/>
          <w:color w:val="auto"/>
          <w:highlight w:val="none"/>
          <w:u w:val="single"/>
        </w:rPr>
        <w:t xml:space="preserve">其他招标文件及合同中明示的合同价款中包含的风险。除专用条款中约定可调整合同价款的因素为风险范围以外的因素外，其余因素均属于合同价款所包含的风险范围，均不影响本合同的固定价格。 </w:t>
      </w:r>
    </w:p>
    <w:p>
      <w:pPr>
        <w:pStyle w:val="34"/>
        <w:shd w:val="clear"/>
        <w:adjustRightInd w:val="0"/>
        <w:snapToGrid w:val="0"/>
        <w:spacing w:line="360" w:lineRule="exact"/>
        <w:ind w:firstLine="420" w:firstLineChars="200"/>
        <w:rPr>
          <w:rFonts w:hAnsi="宋体" w:cs="Arial"/>
          <w:color w:val="auto"/>
          <w:highlight w:val="none"/>
          <w:u w:val="single"/>
        </w:rPr>
      </w:pPr>
      <w:r>
        <w:rPr>
          <w:rFonts w:hint="eastAsia" w:hAnsi="宋体" w:cs="Arial"/>
          <w:color w:val="auto"/>
          <w:highlight w:val="none"/>
          <w:u w:val="single"/>
        </w:rPr>
        <w:t>f、清单子目中如未能对项目特征、工作内容进行完全性描述的，投标人必须结合规范、实际维修施工需要进行报价，否则视为已计入相应项目综合单价中，结算时不调整。</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风险费用的计算方法：</w:t>
      </w:r>
      <w:r>
        <w:rPr>
          <w:rFonts w:hint="eastAsia" w:hAnsi="宋体"/>
          <w:color w:val="auto"/>
          <w:kern w:val="0"/>
          <w:sz w:val="21"/>
          <w:szCs w:val="21"/>
          <w:highlight w:val="none"/>
          <w:u w:val="single"/>
        </w:rPr>
        <w:t>以上风险范围之内费用已由承包人自行预测并计入投标总价中</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风险范围以外合同价格的调整方法：</w:t>
      </w:r>
    </w:p>
    <w:p>
      <w:pPr>
        <w:pStyle w:val="965"/>
        <w:widowControl/>
        <w:shd w:val="clear"/>
        <w:spacing w:line="360" w:lineRule="auto"/>
        <w:ind w:firstLine="422" w:firstLineChars="200"/>
        <w:rPr>
          <w:rFonts w:hint="eastAsia" w:hAnsi="宋体" w:cs="Arial"/>
          <w:b/>
          <w:color w:val="auto"/>
          <w:szCs w:val="21"/>
          <w:highlight w:val="none"/>
          <w:u w:val="single"/>
        </w:rPr>
      </w:pPr>
      <w:r>
        <w:rPr>
          <w:rFonts w:hint="eastAsia" w:hAnsi="宋体" w:cs="Arial"/>
          <w:b/>
          <w:color w:val="auto"/>
          <w:szCs w:val="21"/>
          <w:highlight w:val="none"/>
          <w:u w:val="single"/>
        </w:rPr>
        <w:t>工程量：</w:t>
      </w:r>
    </w:p>
    <w:p>
      <w:pPr>
        <w:pStyle w:val="965"/>
        <w:widowControl/>
        <w:shd w:val="clea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（1）已标价工程量清单或预算书有相同项目的，按照相同项目单价确定。</w:t>
      </w:r>
    </w:p>
    <w:p>
      <w:pPr>
        <w:pStyle w:val="965"/>
        <w:widowControl/>
        <w:shd w:val="clea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（2）已标价工程量清单或预算书中无相同项目，但有类似项目的，参照类似项目的单价确定。</w:t>
      </w:r>
    </w:p>
    <w:p>
      <w:pPr>
        <w:pStyle w:val="965"/>
        <w:widowControl/>
        <w:shd w:val="clea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参照方法可按下列方式处理：</w:t>
      </w:r>
    </w:p>
    <w:p>
      <w:pPr>
        <w:pStyle w:val="965"/>
        <w:widowControl/>
        <w:shd w:val="clea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①某种材料（包括半成品或成品）等级、标准发生变化的，清单组合子目不变，仅调整不同的材料价格。</w:t>
      </w:r>
    </w:p>
    <w:p>
      <w:pPr>
        <w:pStyle w:val="965"/>
        <w:widowControl/>
        <w:shd w:val="clear"/>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②清单项目某一特征或工程内容变化，不影响其他特征及工程内容价格的，其他特征组合标准不变，仅调整发生变化的组合子目价格。</w:t>
      </w:r>
    </w:p>
    <w:p>
      <w:pPr>
        <w:pStyle w:val="965"/>
        <w:widowControl/>
        <w:shd w:val="clear"/>
        <w:autoSpaceDE w:val="0"/>
        <w:autoSpaceDN w:val="0"/>
        <w:adjustRightIn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（3）已标价工程量清单或预算书中无相同项目及类似项目单价的，其单价的确定，</w:t>
      </w:r>
      <w:r>
        <w:rPr>
          <w:rFonts w:hint="eastAsia" w:ascii="宋体" w:hAnsi="宋体" w:cs="宋体"/>
          <w:snapToGrid w:val="0"/>
          <w:color w:val="auto"/>
          <w:kern w:val="0"/>
          <w:highlight w:val="none"/>
          <w:u w:val="single"/>
        </w:rPr>
        <w:t>按以下依据和规定进行调整：</w:t>
      </w:r>
    </w:p>
    <w:p>
      <w:pPr>
        <w:pStyle w:val="967"/>
        <w:widowControl/>
        <w:shd w:val="clear"/>
        <w:spacing w:line="360" w:lineRule="auto"/>
        <w:ind w:firstLine="420" w:firstLineChars="200"/>
        <w:rPr>
          <w:rFonts w:hint="eastAsia" w:ascii="宋体" w:hAnsi="宋体" w:cs="宋体"/>
          <w:color w:val="auto"/>
          <w:kern w:val="0"/>
          <w:highlight w:val="none"/>
          <w:u w:val="single"/>
        </w:rPr>
      </w:pPr>
      <w:r>
        <w:rPr>
          <w:rFonts w:hint="eastAsia" w:ascii="宋体" w:hAnsi="宋体" w:cs="宋体"/>
          <w:snapToGrid w:val="0"/>
          <w:color w:val="auto"/>
          <w:kern w:val="0"/>
          <w:highlight w:val="none"/>
          <w:u w:val="single"/>
        </w:rPr>
        <w:t>①《浙江省建设工程计价规则（</w:t>
      </w:r>
      <w:r>
        <w:rPr>
          <w:rFonts w:hint="eastAsia" w:ascii="宋体" w:hAnsi="宋体" w:cs="宋体"/>
          <w:color w:val="auto"/>
          <w:kern w:val="0"/>
          <w:highlight w:val="none"/>
          <w:u w:val="single"/>
        </w:rPr>
        <w:t>2018</w:t>
      </w:r>
      <w:r>
        <w:rPr>
          <w:rFonts w:hint="eastAsia" w:ascii="宋体" w:hAnsi="宋体" w:cs="宋体"/>
          <w:snapToGrid w:val="0"/>
          <w:color w:val="auto"/>
          <w:kern w:val="0"/>
          <w:highlight w:val="none"/>
          <w:u w:val="single"/>
        </w:rPr>
        <w:t>版）》；</w:t>
      </w:r>
    </w:p>
    <w:p>
      <w:pPr>
        <w:pStyle w:val="967"/>
        <w:widowControl/>
        <w:shd w:val="clear"/>
        <w:spacing w:line="360" w:lineRule="auto"/>
        <w:ind w:firstLine="420" w:firstLineChars="200"/>
        <w:rPr>
          <w:rFonts w:hint="eastAsia" w:ascii="宋体" w:hAnsi="宋体" w:cs="宋体"/>
          <w:color w:val="auto"/>
          <w:kern w:val="0"/>
          <w:highlight w:val="none"/>
          <w:u w:val="single"/>
        </w:rPr>
      </w:pPr>
      <w:r>
        <w:rPr>
          <w:rFonts w:hint="eastAsia" w:ascii="宋体" w:hAnsi="宋体" w:cs="宋体"/>
          <w:snapToGrid w:val="0"/>
          <w:color w:val="auto"/>
          <w:kern w:val="0"/>
          <w:highlight w:val="none"/>
          <w:u w:val="single"/>
        </w:rPr>
        <w:t>②《浙江省房屋建筑与装饰工程预算定额（</w:t>
      </w:r>
      <w:r>
        <w:rPr>
          <w:rFonts w:hint="eastAsia" w:ascii="宋体" w:hAnsi="宋体" w:cs="宋体"/>
          <w:color w:val="auto"/>
          <w:kern w:val="0"/>
          <w:highlight w:val="none"/>
          <w:u w:val="single"/>
        </w:rPr>
        <w:t>2018</w:t>
      </w:r>
      <w:r>
        <w:rPr>
          <w:rFonts w:hint="eastAsia" w:ascii="宋体" w:hAnsi="宋体" w:cs="宋体"/>
          <w:snapToGrid w:val="0"/>
          <w:color w:val="auto"/>
          <w:kern w:val="0"/>
          <w:highlight w:val="none"/>
          <w:u w:val="single"/>
        </w:rPr>
        <w:t>版）》、《浙江省通用安装工程预算定额（</w:t>
      </w:r>
      <w:r>
        <w:rPr>
          <w:rFonts w:hint="eastAsia" w:ascii="宋体" w:hAnsi="宋体" w:cs="宋体"/>
          <w:color w:val="auto"/>
          <w:kern w:val="0"/>
          <w:highlight w:val="none"/>
          <w:u w:val="single"/>
        </w:rPr>
        <w:t>2018</w:t>
      </w:r>
      <w:r>
        <w:rPr>
          <w:rFonts w:hint="eastAsia" w:ascii="宋体" w:hAnsi="宋体" w:cs="宋体"/>
          <w:snapToGrid w:val="0"/>
          <w:color w:val="auto"/>
          <w:kern w:val="0"/>
          <w:highlight w:val="none"/>
          <w:u w:val="single"/>
        </w:rPr>
        <w:t>版）》；《浙江省园林绿化及仿古建筑工程预算定额（</w:t>
      </w:r>
      <w:r>
        <w:rPr>
          <w:rFonts w:hint="eastAsia" w:ascii="宋体" w:hAnsi="宋体" w:cs="宋体"/>
          <w:color w:val="auto"/>
          <w:kern w:val="0"/>
          <w:highlight w:val="none"/>
          <w:u w:val="single"/>
        </w:rPr>
        <w:t>2018</w:t>
      </w:r>
      <w:r>
        <w:rPr>
          <w:rFonts w:hint="eastAsia" w:ascii="宋体" w:hAnsi="宋体" w:cs="宋体"/>
          <w:snapToGrid w:val="0"/>
          <w:color w:val="auto"/>
          <w:kern w:val="0"/>
          <w:highlight w:val="none"/>
          <w:u w:val="single"/>
        </w:rPr>
        <w:t>版）》、《浙江省市政工程预算定额（</w:t>
      </w:r>
      <w:r>
        <w:rPr>
          <w:rFonts w:hint="eastAsia" w:ascii="宋体" w:hAnsi="宋体" w:cs="宋体"/>
          <w:color w:val="auto"/>
          <w:kern w:val="0"/>
          <w:highlight w:val="none"/>
          <w:u w:val="single"/>
        </w:rPr>
        <w:t>2018</w:t>
      </w:r>
      <w:r>
        <w:rPr>
          <w:rFonts w:hint="eastAsia" w:ascii="宋体" w:hAnsi="宋体" w:cs="宋体"/>
          <w:snapToGrid w:val="0"/>
          <w:color w:val="auto"/>
          <w:kern w:val="0"/>
          <w:highlight w:val="none"/>
          <w:u w:val="single"/>
        </w:rPr>
        <w:t>版）》等。</w:t>
      </w:r>
    </w:p>
    <w:p>
      <w:pPr>
        <w:pStyle w:val="967"/>
        <w:widowControl/>
        <w:shd w:val="clear"/>
        <w:spacing w:line="360" w:lineRule="auto"/>
        <w:ind w:firstLine="420" w:firstLineChars="200"/>
        <w:rPr>
          <w:rFonts w:hint="eastAsia" w:ascii="宋体" w:hAnsi="宋体" w:cs="宋体"/>
          <w:color w:val="auto"/>
          <w:kern w:val="0"/>
          <w:highlight w:val="none"/>
          <w:u w:val="single"/>
        </w:rPr>
      </w:pPr>
      <w:r>
        <w:rPr>
          <w:rFonts w:hint="eastAsia" w:ascii="宋体" w:hAnsi="宋体" w:cs="宋体"/>
          <w:snapToGrid w:val="0"/>
          <w:color w:val="auto"/>
          <w:kern w:val="0"/>
          <w:highlight w:val="none"/>
          <w:u w:val="single"/>
        </w:rPr>
        <w:t>③“建设工程工程量清单计价规范”</w:t>
      </w:r>
      <w:r>
        <w:rPr>
          <w:rFonts w:hint="eastAsia" w:ascii="宋体" w:hAnsi="宋体" w:cs="宋体"/>
          <w:color w:val="auto"/>
          <w:kern w:val="0"/>
          <w:highlight w:val="none"/>
          <w:u w:val="single"/>
        </w:rPr>
        <w:t>(GB50500-2013)</w:t>
      </w:r>
      <w:r>
        <w:rPr>
          <w:rFonts w:hint="eastAsia" w:ascii="宋体" w:hAnsi="宋体" w:cs="宋体"/>
          <w:snapToGrid w:val="0"/>
          <w:color w:val="auto"/>
          <w:kern w:val="0"/>
          <w:highlight w:val="none"/>
          <w:u w:val="single"/>
        </w:rPr>
        <w:t>、《杭州市建设工程工程量清单计价实施细则（</w:t>
      </w:r>
      <w:r>
        <w:rPr>
          <w:rFonts w:hint="eastAsia" w:ascii="宋体" w:hAnsi="宋体" w:cs="宋体"/>
          <w:color w:val="auto"/>
          <w:kern w:val="0"/>
          <w:highlight w:val="none"/>
          <w:u w:val="single"/>
        </w:rPr>
        <w:t>2018</w:t>
      </w:r>
      <w:r>
        <w:rPr>
          <w:rFonts w:hint="eastAsia" w:ascii="宋体" w:hAnsi="宋体" w:cs="宋体"/>
          <w:snapToGrid w:val="0"/>
          <w:color w:val="auto"/>
          <w:kern w:val="0"/>
          <w:highlight w:val="none"/>
          <w:u w:val="single"/>
        </w:rPr>
        <w:t>年修订）》；</w:t>
      </w:r>
    </w:p>
    <w:p>
      <w:pPr>
        <w:pStyle w:val="967"/>
        <w:widowControl/>
        <w:shd w:val="clear"/>
        <w:spacing w:line="360" w:lineRule="auto"/>
        <w:ind w:firstLine="420" w:firstLineChars="200"/>
        <w:rPr>
          <w:rFonts w:hint="eastAsia" w:ascii="宋体" w:hAnsi="宋体" w:cs="宋体"/>
          <w:color w:val="auto"/>
          <w:kern w:val="0"/>
          <w:highlight w:val="none"/>
          <w:u w:val="single"/>
        </w:rPr>
      </w:pPr>
      <w:r>
        <w:rPr>
          <w:rFonts w:hint="eastAsia" w:ascii="宋体" w:hAnsi="宋体" w:cs="宋体"/>
          <w:snapToGrid w:val="0"/>
          <w:color w:val="auto"/>
          <w:kern w:val="0"/>
          <w:highlight w:val="none"/>
          <w:u w:val="single"/>
        </w:rPr>
        <w:t>④政府相关文件，企业管理费、利润、规费的取费按照各专业工程费率的中值计取；</w:t>
      </w:r>
    </w:p>
    <w:p>
      <w:pPr>
        <w:pStyle w:val="967"/>
        <w:widowControl/>
        <w:shd w:val="clear"/>
        <w:spacing w:line="360" w:lineRule="auto"/>
        <w:ind w:firstLine="420" w:firstLineChars="200"/>
        <w:rPr>
          <w:rFonts w:hint="eastAsia" w:ascii="宋体" w:hAnsi="宋体" w:cs="宋体"/>
          <w:color w:val="auto"/>
          <w:kern w:val="0"/>
          <w:highlight w:val="none"/>
          <w:u w:val="single"/>
        </w:rPr>
      </w:pPr>
      <w:r>
        <w:rPr>
          <w:rFonts w:hint="eastAsia" w:ascii="宋体" w:hAnsi="宋体" w:cs="宋体"/>
          <w:snapToGrid w:val="0"/>
          <w:color w:val="auto"/>
          <w:kern w:val="0"/>
          <w:highlight w:val="none"/>
          <w:u w:val="single"/>
        </w:rPr>
        <w:t>⑤材料价格套用：套用顺序《杭州造价信息》、《浙江造价信息》，以上信息价均为投标编制期【投标截止日前</w:t>
      </w:r>
      <w:r>
        <w:rPr>
          <w:rFonts w:hint="eastAsia" w:ascii="宋体" w:hAnsi="宋体" w:cs="宋体"/>
          <w:color w:val="auto"/>
          <w:kern w:val="0"/>
          <w:highlight w:val="none"/>
          <w:u w:val="single"/>
        </w:rPr>
        <w:t>28</w:t>
      </w:r>
      <w:r>
        <w:rPr>
          <w:rFonts w:hint="eastAsia" w:ascii="宋体" w:hAnsi="宋体" w:cs="宋体"/>
          <w:snapToGrid w:val="0"/>
          <w:color w:val="auto"/>
          <w:kern w:val="0"/>
          <w:highlight w:val="none"/>
          <w:u w:val="single"/>
        </w:rPr>
        <w:t>天对应月份，下同】造价信息价格；</w:t>
      </w:r>
    </w:p>
    <w:p>
      <w:pPr>
        <w:pStyle w:val="967"/>
        <w:widowControl/>
        <w:shd w:val="clear"/>
        <w:spacing w:line="360" w:lineRule="auto"/>
        <w:ind w:firstLine="420" w:firstLineChars="200"/>
        <w:rPr>
          <w:rFonts w:hint="eastAsia" w:ascii="宋体" w:hAnsi="宋体" w:cs="宋体"/>
          <w:color w:val="auto"/>
          <w:kern w:val="0"/>
          <w:highlight w:val="none"/>
          <w:u w:val="single"/>
        </w:rPr>
      </w:pPr>
      <w:r>
        <w:rPr>
          <w:rFonts w:hint="eastAsia" w:ascii="宋体" w:hAnsi="宋体" w:cs="宋体"/>
          <w:snapToGrid w:val="0"/>
          <w:color w:val="auto"/>
          <w:kern w:val="0"/>
          <w:highlight w:val="none"/>
          <w:u w:val="single"/>
        </w:rPr>
        <w:t>⑥综合单价按上述规定①</w:t>
      </w:r>
      <w:r>
        <w:rPr>
          <w:rFonts w:hint="eastAsia" w:ascii="宋体" w:hAnsi="宋体" w:cs="宋体"/>
          <w:color w:val="auto"/>
          <w:kern w:val="0"/>
          <w:highlight w:val="none"/>
          <w:u w:val="single"/>
        </w:rPr>
        <w:t>-</w:t>
      </w:r>
      <w:r>
        <w:rPr>
          <w:rFonts w:hint="eastAsia" w:ascii="宋体" w:hAnsi="宋体" w:cs="宋体"/>
          <w:snapToGrid w:val="0"/>
          <w:color w:val="auto"/>
          <w:kern w:val="0"/>
          <w:highlight w:val="none"/>
          <w:u w:val="single"/>
        </w:rPr>
        <w:t>⑤条计算后，按投标人投标报价综合优惠率同口径优惠【综合优惠率</w:t>
      </w:r>
      <w:r>
        <w:rPr>
          <w:rFonts w:hint="eastAsia" w:ascii="宋体" w:hAnsi="宋体" w:cs="宋体"/>
          <w:color w:val="auto"/>
          <w:kern w:val="0"/>
          <w:highlight w:val="none"/>
          <w:u w:val="single"/>
        </w:rPr>
        <w:t>=1-</w:t>
      </w:r>
      <w:r>
        <w:rPr>
          <w:rFonts w:hint="eastAsia" w:ascii="宋体" w:hAnsi="宋体" w:cs="宋体"/>
          <w:snapToGrid w:val="0"/>
          <w:color w:val="auto"/>
          <w:kern w:val="0"/>
          <w:highlight w:val="none"/>
          <w:u w:val="single"/>
        </w:rPr>
        <w:t>投标人投标价</w:t>
      </w:r>
      <w:r>
        <w:rPr>
          <w:rFonts w:hint="eastAsia" w:ascii="宋体" w:hAnsi="宋体" w:cs="宋体"/>
          <w:color w:val="auto"/>
          <w:kern w:val="0"/>
          <w:highlight w:val="none"/>
          <w:u w:val="single"/>
        </w:rPr>
        <w:t>/</w:t>
      </w:r>
      <w:r>
        <w:rPr>
          <w:rFonts w:hint="eastAsia" w:ascii="宋体" w:hAnsi="宋体" w:cs="宋体"/>
          <w:snapToGrid w:val="0"/>
          <w:color w:val="auto"/>
          <w:kern w:val="0"/>
          <w:highlight w:val="none"/>
          <w:u w:val="single"/>
        </w:rPr>
        <w:t>招标人最高限价】；</w:t>
      </w:r>
    </w:p>
    <w:p>
      <w:pPr>
        <w:pStyle w:val="967"/>
        <w:widowControl/>
        <w:shd w:val="clear"/>
        <w:spacing w:line="360" w:lineRule="auto"/>
        <w:ind w:firstLine="420" w:firstLineChars="200"/>
        <w:rPr>
          <w:rFonts w:hint="eastAsia" w:ascii="宋体" w:hAnsi="宋体" w:cs="宋体"/>
          <w:color w:val="auto"/>
          <w:kern w:val="0"/>
          <w:highlight w:val="none"/>
          <w:u w:val="single"/>
        </w:rPr>
      </w:pPr>
      <w:r>
        <w:rPr>
          <w:rFonts w:hint="eastAsia" w:ascii="宋体" w:hAnsi="宋体" w:cs="宋体"/>
          <w:snapToGrid w:val="0"/>
          <w:color w:val="auto"/>
          <w:kern w:val="0"/>
          <w:highlight w:val="none"/>
          <w:u w:val="single"/>
        </w:rPr>
        <w:t>⑦在《杭州造价信息》、《浙江造价信息》均没有相关材料的价格，该材料价格由监理人、承包人、审计单位、发包人四方签证审计确定；（签证价不进行下浮）</w:t>
      </w:r>
    </w:p>
    <w:p>
      <w:pPr>
        <w:pStyle w:val="967"/>
        <w:widowControl/>
        <w:shd w:val="clear"/>
        <w:spacing w:line="360" w:lineRule="auto"/>
        <w:ind w:firstLine="420" w:firstLineChars="200"/>
        <w:rPr>
          <w:rFonts w:hint="eastAsia" w:ascii="宋体" w:hAnsi="宋体" w:cs="宋体"/>
          <w:color w:val="auto"/>
          <w:kern w:val="0"/>
          <w:highlight w:val="none"/>
          <w:u w:val="single"/>
        </w:rPr>
      </w:pPr>
      <w:r>
        <w:rPr>
          <w:rFonts w:hint="eastAsia" w:ascii="宋体" w:hAnsi="宋体" w:cs="宋体"/>
          <w:snapToGrid w:val="0"/>
          <w:color w:val="auto"/>
          <w:kern w:val="0"/>
          <w:highlight w:val="none"/>
          <w:u w:val="single"/>
        </w:rPr>
        <w:t>⑧无适用定额的，由承包人申报，经监理人、承包人、审计单位、发包人四方签证审计确定；（签证价不进行下浮）</w:t>
      </w:r>
    </w:p>
    <w:p>
      <w:pPr>
        <w:pStyle w:val="966"/>
        <w:shd w:val="clear"/>
        <w:snapToGrid w:val="0"/>
        <w:spacing w:line="360" w:lineRule="auto"/>
        <w:ind w:firstLine="310" w:firstLineChars="148"/>
        <w:rPr>
          <w:rFonts w:hint="eastAsia" w:ascii="宋体" w:hAnsi="宋体" w:cs="宋体"/>
          <w:snapToGrid w:val="0"/>
          <w:color w:val="auto"/>
          <w:highlight w:val="none"/>
          <w:u w:val="single"/>
        </w:rPr>
      </w:pPr>
      <w:r>
        <w:rPr>
          <w:rFonts w:hint="eastAsia" w:ascii="宋体" w:hAnsi="宋体" w:cs="宋体"/>
          <w:snapToGrid w:val="0"/>
          <w:color w:val="auto"/>
          <w:kern w:val="0"/>
          <w:szCs w:val="24"/>
          <w:highlight w:val="none"/>
          <w:u w:val="single"/>
          <w:lang w:bidi="ar"/>
        </w:rPr>
        <w:t>（4）工程量清单错误和（或）设计变更导致实际完成的工程量与已标价工程量清单或预算书中列明的该项目工程量的变化幅度超过以下情况的，其单价允许调整：凡合价金额占合同总价2%及以上的分部分项清单项目，其工程量增加或减少超过本项目工程数量15%及以上时，或者合价金额占合同总价不到2%的分部分项清单项目，但其工程量增加或减少超过本项目工程数量25%以上时。工程量偏差超过上述变化幅度之外变动部分的相应单价调整方法按以下方式约定：按照上述第（3）款执行。</w:t>
      </w:r>
    </w:p>
    <w:p>
      <w:pPr>
        <w:pStyle w:val="966"/>
        <w:shd w:val="clear"/>
        <w:snapToGrid w:val="0"/>
        <w:spacing w:line="360" w:lineRule="auto"/>
        <w:ind w:firstLine="310" w:firstLineChars="148"/>
        <w:rPr>
          <w:rFonts w:hint="eastAsia" w:ascii="宋体" w:hAnsi="宋体" w:cs="宋体"/>
          <w:bCs/>
          <w:color w:val="auto"/>
          <w:highlight w:val="none"/>
          <w:u w:val="single"/>
          <w:lang w:bidi="ar"/>
        </w:rPr>
      </w:pPr>
      <w:r>
        <w:rPr>
          <w:rFonts w:hint="eastAsia" w:ascii="宋体" w:hAnsi="宋体" w:cs="宋体"/>
          <w:color w:val="auto"/>
          <w:szCs w:val="24"/>
          <w:highlight w:val="none"/>
          <w:lang w:bidi="ar"/>
        </w:rPr>
        <w:t>（5）</w:t>
      </w:r>
      <w:r>
        <w:rPr>
          <w:rFonts w:hint="eastAsia" w:ascii="宋体" w:hAnsi="宋体" w:cs="宋体"/>
          <w:color w:val="auto"/>
          <w:szCs w:val="24"/>
          <w:highlight w:val="none"/>
          <w:u w:val="single"/>
          <w:lang w:bidi="ar"/>
        </w:rPr>
        <w:t>其他：</w:t>
      </w:r>
      <w:r>
        <w:rPr>
          <w:rFonts w:hint="eastAsia" w:ascii="宋体" w:hAnsi="宋体" w:cs="宋体"/>
          <w:bCs/>
          <w:color w:val="auto"/>
          <w:szCs w:val="24"/>
          <w:highlight w:val="none"/>
          <w:u w:val="single"/>
          <w:lang w:bidi="ar"/>
        </w:rPr>
        <w:t>①工程量根据施工图及联系单，按照《建设工程工程量清单计价规范》（GB50500-2013）计算，结算工程量应首先报监理及发包人初审。工程量必须以承包人完成合同工程应予计量的工程量确定。</w:t>
      </w:r>
    </w:p>
    <w:p>
      <w:pPr>
        <w:pStyle w:val="966"/>
        <w:shd w:val="clear"/>
        <w:snapToGrid w:val="0"/>
        <w:spacing w:line="360" w:lineRule="auto"/>
        <w:ind w:firstLine="310" w:firstLineChars="148"/>
        <w:rPr>
          <w:rFonts w:hint="eastAsia" w:ascii="宋体" w:hAnsi="宋体" w:cs="宋体"/>
          <w:bCs/>
          <w:color w:val="auto"/>
          <w:highlight w:val="none"/>
          <w:u w:val="single"/>
          <w:lang w:bidi="ar"/>
        </w:rPr>
      </w:pPr>
      <w:r>
        <w:rPr>
          <w:rFonts w:hint="eastAsia" w:ascii="宋体" w:hAnsi="宋体" w:cs="宋体"/>
          <w:bCs/>
          <w:color w:val="auto"/>
          <w:szCs w:val="24"/>
          <w:highlight w:val="none"/>
          <w:u w:val="single"/>
          <w:lang w:bidi="ar"/>
        </w:rPr>
        <w:t>②施工组织措施费原则上包干，不另增加。但若有甩项或实际施工时安全文明施工措施费未按投标承诺的内容投入，结算时须按实扣减。施工技术措施费在招标范围未发生变化情况下，以项为单位的按合同总价包干后期不做调整，其余项目按实结算。在招标范围发生重大变化或重大设计变更引起施工技术措施项目费增加或减少时，根据相关工程变更的实际情况进行相应调整，原措施费项目清单中已有的措施项目，按原有措施费的组价方法或单价调整；原措施费项目清单中没有的措施项目，组价方法按前述“2、合同中没有适用或类似工程项目单价的”约定条款执行。</w:t>
      </w:r>
    </w:p>
    <w:p>
      <w:pPr>
        <w:pStyle w:val="966"/>
        <w:shd w:val="clear"/>
        <w:snapToGrid w:val="0"/>
        <w:spacing w:line="360" w:lineRule="auto"/>
        <w:ind w:firstLine="310" w:firstLineChars="148"/>
        <w:rPr>
          <w:rFonts w:hint="eastAsia" w:ascii="宋体" w:hAnsi="宋体" w:cs="宋体"/>
          <w:bCs/>
          <w:color w:val="auto"/>
          <w:highlight w:val="none"/>
          <w:u w:val="single"/>
          <w:lang w:bidi="ar"/>
        </w:rPr>
      </w:pPr>
      <w:r>
        <w:rPr>
          <w:rFonts w:hint="eastAsia" w:ascii="宋体" w:hAnsi="宋体" w:cs="宋体"/>
          <w:bCs/>
          <w:color w:val="auto"/>
          <w:szCs w:val="24"/>
          <w:highlight w:val="none"/>
          <w:u w:val="single"/>
          <w:lang w:bidi="ar"/>
        </w:rPr>
        <w:t>③工程量清单项目特征描述的分项工程内容均应计入综合单价报价，若承包人提供的分部分项工程量综合单价计算表及综合单价工料机分析表没有详尽分析的，发包人将对实际未实施的分项工程予以扣除，扣除部分的价格参考前述“2、合同中没有适用或类似工程项目单价的”约定条款，结合投标报价水平确定。</w:t>
      </w:r>
    </w:p>
    <w:p>
      <w:pPr>
        <w:pStyle w:val="966"/>
        <w:shd w:val="clear"/>
        <w:snapToGrid w:val="0"/>
        <w:spacing w:line="360" w:lineRule="auto"/>
        <w:ind w:firstLine="310" w:firstLineChars="148"/>
        <w:rPr>
          <w:rFonts w:hint="eastAsia" w:ascii="宋体" w:hAnsi="宋体" w:cs="宋体"/>
          <w:bCs/>
          <w:color w:val="auto"/>
          <w:highlight w:val="none"/>
          <w:u w:val="single"/>
          <w:lang w:bidi="ar"/>
        </w:rPr>
      </w:pPr>
      <w:r>
        <w:rPr>
          <w:rFonts w:hint="eastAsia" w:ascii="宋体" w:hAnsi="宋体" w:cs="宋体"/>
          <w:bCs/>
          <w:color w:val="auto"/>
          <w:szCs w:val="24"/>
          <w:highlight w:val="none"/>
          <w:u w:val="single"/>
          <w:lang w:bidi="ar"/>
        </w:rPr>
        <w:t>④施工中如承包人遇材料因实际情况需要变更的，以不降低工程品质为前提，经发包人、监理人同意，材料变更应在招标文件选定的品牌、规格范围内，价格不予调整。</w:t>
      </w:r>
    </w:p>
    <w:p>
      <w:pPr>
        <w:pStyle w:val="966"/>
        <w:shd w:val="clear"/>
        <w:snapToGrid w:val="0"/>
        <w:spacing w:line="360" w:lineRule="auto"/>
        <w:ind w:firstLine="310" w:firstLineChars="148"/>
        <w:rPr>
          <w:rFonts w:hint="eastAsia" w:ascii="宋体" w:hAnsi="宋体" w:cs="宋体"/>
          <w:bCs/>
          <w:color w:val="auto"/>
          <w:highlight w:val="none"/>
          <w:u w:val="single"/>
          <w:lang w:bidi="ar"/>
        </w:rPr>
      </w:pPr>
      <w:r>
        <w:rPr>
          <w:rFonts w:hint="eastAsia" w:ascii="宋体" w:hAnsi="宋体" w:cs="宋体"/>
          <w:bCs/>
          <w:color w:val="auto"/>
          <w:szCs w:val="24"/>
          <w:highlight w:val="none"/>
          <w:u w:val="single"/>
          <w:lang w:bidi="ar"/>
        </w:rPr>
        <w:t>⑤如工程量清单中相同工作内容及项目特征的子目出现多个不同报价的，变更时参照相同或相似项目中最有利于发包人的综合单价；如同一人工、材料、机械在投标时有多个不同报价的，变更时参照最有利于发包人的报价确定相应价格；若无投标材料价格的，则由发包人、承包人、监理单位共同进行市场调查询价后签证建议单价，最终以发包人结算审计为准。</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2、总价合同。</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总价包含的风险范围：</w:t>
      </w:r>
      <w:r>
        <w:rPr>
          <w:rFonts w:hint="eastAsia" w:hAnsi="宋体"/>
          <w:color w:val="auto"/>
          <w:sz w:val="21"/>
          <w:szCs w:val="21"/>
          <w:highlight w:val="none"/>
          <w:u w:val="single"/>
        </w:rPr>
        <w:t xml:space="preserve">     /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风险费用的计算方法：</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风险范围以外合同价格的调整</w:t>
      </w:r>
      <w:r>
        <w:rPr>
          <w:rFonts w:hint="eastAsia" w:hAnsi="宋体"/>
          <w:color w:val="auto"/>
          <w:sz w:val="21"/>
          <w:szCs w:val="21"/>
          <w:highlight w:val="none"/>
        </w:rPr>
        <w:t>方法：</w:t>
      </w:r>
      <w:r>
        <w:rPr>
          <w:rFonts w:hint="eastAsia" w:hAnsi="宋体"/>
          <w:color w:val="auto"/>
          <w:sz w:val="21"/>
          <w:szCs w:val="21"/>
          <w:highlight w:val="none"/>
          <w:u w:val="single"/>
        </w:rPr>
        <w:t xml:space="preserve">  /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3、其他价格方式：</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bookmarkStart w:id="1249" w:name="_Toc297216213"/>
      <w:bookmarkStart w:id="1250" w:name="_Toc303539161"/>
      <w:bookmarkStart w:id="1251" w:name="_Toc312678042"/>
      <w:bookmarkStart w:id="1252" w:name="_Toc297123554"/>
      <w:bookmarkStart w:id="1253" w:name="_Toc304295581"/>
      <w:bookmarkStart w:id="1254" w:name="_Toc300935004"/>
      <w:bookmarkStart w:id="1255" w:name="_Toc296891035"/>
      <w:bookmarkStart w:id="1256" w:name="_Toc297048393"/>
      <w:bookmarkStart w:id="1257" w:name="_Toc292559412"/>
      <w:bookmarkStart w:id="1258" w:name="_Toc296503207"/>
      <w:bookmarkStart w:id="1259" w:name="_Toc296944546"/>
      <w:bookmarkStart w:id="1260" w:name="_Toc296347206"/>
      <w:bookmarkStart w:id="1261" w:name="_Toc292559917"/>
      <w:bookmarkStart w:id="1262" w:name="_Toc296346708"/>
      <w:bookmarkStart w:id="1263" w:name="_Toc296891247"/>
      <w:bookmarkStart w:id="1264" w:name="_Toc297120507"/>
      <w:r>
        <w:rPr>
          <w:rFonts w:hAnsi="宋体"/>
          <w:color w:val="auto"/>
          <w:sz w:val="21"/>
          <w:szCs w:val="21"/>
          <w:highlight w:val="none"/>
        </w:rPr>
        <w:t>12.2 预付款</w:t>
      </w:r>
    </w:p>
    <w:bookmarkEnd w:id="1249"/>
    <w:bookmarkEnd w:id="1250"/>
    <w:bookmarkEnd w:id="1251"/>
    <w:bookmarkEnd w:id="1252"/>
    <w:bookmarkEnd w:id="1253"/>
    <w:bookmarkEnd w:id="1254"/>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12.2.1 预付款的支付</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预付款支付比例或金额：</w:t>
      </w:r>
      <w:r>
        <w:rPr>
          <w:rFonts w:hAnsi="宋体"/>
          <w:color w:val="auto"/>
          <w:sz w:val="21"/>
          <w:szCs w:val="21"/>
          <w:highlight w:val="none"/>
          <w:u w:val="single"/>
        </w:rPr>
        <w:t xml:space="preserve">   </w:t>
      </w:r>
      <w:r>
        <w:rPr>
          <w:rFonts w:hint="eastAsia" w:hAnsi="宋体"/>
          <w:color w:val="auto"/>
          <w:sz w:val="21"/>
          <w:szCs w:val="21"/>
          <w:highlight w:val="none"/>
          <w:u w:val="single"/>
        </w:rPr>
        <w:t>合同总价的1</w:t>
      </w:r>
      <w:r>
        <w:rPr>
          <w:rFonts w:hAnsi="宋体"/>
          <w:color w:val="auto"/>
          <w:sz w:val="21"/>
          <w:szCs w:val="21"/>
          <w:highlight w:val="none"/>
          <w:u w:val="single"/>
        </w:rPr>
        <w:t>0</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预付款支付期限：</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预付款扣回的方式：</w:t>
      </w:r>
      <w:r>
        <w:rPr>
          <w:rFonts w:hAnsi="宋体"/>
          <w:color w:val="auto"/>
          <w:sz w:val="21"/>
          <w:szCs w:val="21"/>
          <w:highlight w:val="none"/>
          <w:u w:val="single"/>
        </w:rPr>
        <w:t xml:space="preserve"> </w:t>
      </w:r>
      <w:r>
        <w:rPr>
          <w:rFonts w:hint="eastAsia" w:hAnsi="宋体"/>
          <w:color w:val="auto"/>
          <w:sz w:val="21"/>
          <w:szCs w:val="21"/>
          <w:highlight w:val="none"/>
          <w:u w:val="single"/>
        </w:rPr>
        <w:t>预付款抵工程款</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12.2.2 预付款担保</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承包人提交预付款担保的期限：</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预付款担保的形式为：</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bookmarkEnd w:id="1255"/>
    <w:bookmarkEnd w:id="1256"/>
    <w:bookmarkEnd w:id="1257"/>
    <w:bookmarkEnd w:id="1258"/>
    <w:bookmarkEnd w:id="1259"/>
    <w:bookmarkEnd w:id="1260"/>
    <w:bookmarkEnd w:id="1261"/>
    <w:bookmarkEnd w:id="1262"/>
    <w:bookmarkEnd w:id="1263"/>
    <w:bookmarkEnd w:id="1264"/>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12.3 计量</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12.3.1 计量原则</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工程量计算规则：</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rPr>
        <w:t>（1）</w:t>
      </w:r>
      <w:r>
        <w:rPr>
          <w:rFonts w:hint="eastAsia" w:hAnsi="宋体"/>
          <w:color w:val="auto"/>
          <w:sz w:val="21"/>
          <w:szCs w:val="21"/>
          <w:highlight w:val="none"/>
          <w:u w:val="single"/>
        </w:rPr>
        <w:t>实行工程量清单计价的工程项目，其工程量的计算规则应按国家标准工程量计算规范及省级行业主管部门颁布的补充规定执行</w:t>
      </w:r>
      <w:r>
        <w:rPr>
          <w:rFonts w:hint="eastAsia" w:hAnsi="宋体"/>
          <w:color w:val="auto"/>
          <w:sz w:val="21"/>
          <w:szCs w:val="21"/>
          <w:highlight w:val="none"/>
          <w:u w:val="none"/>
        </w:rPr>
        <w:t>。</w:t>
      </w:r>
    </w:p>
    <w:p>
      <w:pPr>
        <w:shd w:val="clear"/>
        <w:adjustRightInd w:val="0"/>
        <w:snapToGrid w:val="0"/>
        <w:spacing w:line="360" w:lineRule="exact"/>
        <w:ind w:firstLine="420" w:firstLineChars="200"/>
        <w:rPr>
          <w:rFonts w:hint="eastAsia" w:hAnsi="宋体"/>
          <w:color w:val="auto"/>
          <w:sz w:val="21"/>
          <w:szCs w:val="21"/>
          <w:highlight w:val="none"/>
          <w:u w:val="single"/>
        </w:rPr>
      </w:pPr>
      <w:r>
        <w:rPr>
          <w:rFonts w:hint="eastAsia" w:hAnsi="宋体"/>
          <w:color w:val="auto"/>
          <w:sz w:val="21"/>
          <w:szCs w:val="21"/>
          <w:highlight w:val="none"/>
        </w:rPr>
        <w:t>（2）</w:t>
      </w:r>
      <w:r>
        <w:rPr>
          <w:rFonts w:hint="eastAsia" w:hAnsi="宋体"/>
          <w:color w:val="auto"/>
          <w:sz w:val="21"/>
          <w:szCs w:val="21"/>
          <w:highlight w:val="none"/>
          <w:u w:val="single"/>
        </w:rPr>
        <w:t>不实行工程量清单计价的工程项目，工程量的计算规则应按省、市行业主管部门颁布的各专业工程定额的工程量计算规则执行</w:t>
      </w:r>
      <w:r>
        <w:rPr>
          <w:rFonts w:hint="eastAsia" w:hAnsi="宋体"/>
          <w:color w:val="auto"/>
          <w:sz w:val="21"/>
          <w:szCs w:val="21"/>
          <w:highlight w:val="none"/>
          <w:u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12.3.2 计量周期</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关于计量周期的约定：</w:t>
      </w:r>
      <w:r>
        <w:rPr>
          <w:rFonts w:hint="eastAsia" w:hAnsi="宋体" w:cs="仿宋"/>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12.3.3 单价合同的计量</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关于单价合同计量的约定：</w:t>
      </w:r>
      <w:r>
        <w:rPr>
          <w:rFonts w:hint="eastAsia" w:hAnsi="宋体" w:cs="仿宋"/>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12.3.4 总价合同的计量</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关于总价合同计量的约定：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12.3.5总价合同采用支付分解表计量支付的，是否适用第</w:t>
      </w:r>
      <w:r>
        <w:rPr>
          <w:rFonts w:hAnsi="宋体"/>
          <w:color w:val="auto"/>
          <w:kern w:val="0"/>
          <w:sz w:val="21"/>
          <w:szCs w:val="21"/>
          <w:highlight w:val="none"/>
        </w:rPr>
        <w:t xml:space="preserve">12.3.4 </w:t>
      </w:r>
      <w:r>
        <w:rPr>
          <w:rFonts w:hAnsi="宋体"/>
          <w:color w:val="auto"/>
          <w:sz w:val="21"/>
          <w:szCs w:val="21"/>
          <w:highlight w:val="none"/>
        </w:rPr>
        <w:t>项</w:t>
      </w:r>
      <w:r>
        <w:rPr>
          <w:rFonts w:hint="eastAsia" w:hAnsi="宋体"/>
          <w:color w:val="auto"/>
          <w:kern w:val="0"/>
          <w:sz w:val="21"/>
          <w:szCs w:val="21"/>
          <w:highlight w:val="none"/>
        </w:rPr>
        <w:t>〔</w:t>
      </w:r>
      <w:r>
        <w:rPr>
          <w:rFonts w:hAnsi="宋体"/>
          <w:color w:val="auto"/>
          <w:kern w:val="0"/>
          <w:sz w:val="21"/>
          <w:szCs w:val="21"/>
          <w:highlight w:val="none"/>
        </w:rPr>
        <w:t>总价合同的计量</w:t>
      </w:r>
      <w:r>
        <w:rPr>
          <w:rFonts w:hint="eastAsia" w:hAnsi="宋体"/>
          <w:color w:val="auto"/>
          <w:kern w:val="0"/>
          <w:sz w:val="21"/>
          <w:szCs w:val="21"/>
          <w:highlight w:val="none"/>
        </w:rPr>
        <w:t>〕</w:t>
      </w:r>
      <w:r>
        <w:rPr>
          <w:rFonts w:hAnsi="宋体"/>
          <w:color w:val="auto"/>
          <w:sz w:val="21"/>
          <w:szCs w:val="21"/>
          <w:highlight w:val="none"/>
        </w:rPr>
        <w:t>约定</w:t>
      </w:r>
      <w:r>
        <w:rPr>
          <w:rFonts w:hint="eastAsia" w:hAnsi="宋体"/>
          <w:color w:val="auto"/>
          <w:sz w:val="21"/>
          <w:szCs w:val="21"/>
          <w:highlight w:val="none"/>
        </w:rPr>
        <w:t>进行计量：</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12.3.6 其他价格形式合同的计量</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其他价格形式的计量方式和程序：</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2" w:firstLineChars="200"/>
        <w:rPr>
          <w:rFonts w:hAnsi="宋体"/>
          <w:b/>
          <w:bCs/>
          <w:color w:val="auto"/>
          <w:sz w:val="21"/>
          <w:szCs w:val="21"/>
          <w:highlight w:val="none"/>
        </w:rPr>
      </w:pPr>
      <w:r>
        <w:rPr>
          <w:rFonts w:hAnsi="宋体"/>
          <w:b/>
          <w:bCs/>
          <w:color w:val="auto"/>
          <w:sz w:val="21"/>
          <w:szCs w:val="21"/>
          <w:highlight w:val="none"/>
        </w:rPr>
        <w:t>12.4 工程进度款支付</w:t>
      </w:r>
    </w:p>
    <w:p>
      <w:pPr>
        <w:shd w:val="clear"/>
        <w:adjustRightInd w:val="0"/>
        <w:snapToGrid w:val="0"/>
        <w:spacing w:line="360" w:lineRule="exact"/>
        <w:ind w:firstLine="422" w:firstLineChars="200"/>
        <w:rPr>
          <w:rFonts w:hAnsi="宋体"/>
          <w:b/>
          <w:bCs/>
          <w:color w:val="auto"/>
          <w:sz w:val="21"/>
          <w:szCs w:val="21"/>
          <w:highlight w:val="none"/>
        </w:rPr>
      </w:pPr>
      <w:bookmarkStart w:id="1265" w:name="_Toc292559416"/>
      <w:bookmarkStart w:id="1266" w:name="_Toc292559921"/>
      <w:bookmarkStart w:id="1267" w:name="_Toc297048397"/>
      <w:bookmarkStart w:id="1268" w:name="_Toc297120511"/>
      <w:bookmarkStart w:id="1269" w:name="_Toc296503211"/>
      <w:bookmarkStart w:id="1270" w:name="_Toc297123556"/>
      <w:bookmarkStart w:id="1271" w:name="_Toc303539163"/>
      <w:bookmarkStart w:id="1272" w:name="_Toc296944550"/>
      <w:bookmarkStart w:id="1273" w:name="_Toc300935006"/>
      <w:bookmarkStart w:id="1274" w:name="_Toc296347210"/>
      <w:bookmarkStart w:id="1275" w:name="_Toc296891251"/>
      <w:bookmarkStart w:id="1276" w:name="_Toc296891039"/>
      <w:bookmarkStart w:id="1277" w:name="_Toc297216215"/>
      <w:bookmarkStart w:id="1278" w:name="_Toc296346712"/>
      <w:r>
        <w:rPr>
          <w:rFonts w:hAnsi="宋体"/>
          <w:b/>
          <w:bCs/>
          <w:color w:val="auto"/>
          <w:sz w:val="21"/>
          <w:szCs w:val="21"/>
          <w:highlight w:val="none"/>
        </w:rPr>
        <w:t>12.4.1 付款周期</w:t>
      </w:r>
    </w:p>
    <w:p>
      <w:pPr>
        <w:pStyle w:val="34"/>
        <w:shd w:val="clear"/>
        <w:adjustRightInd w:val="0"/>
        <w:snapToGrid w:val="0"/>
        <w:spacing w:line="360" w:lineRule="exact"/>
        <w:ind w:firstLine="422" w:firstLineChars="200"/>
        <w:rPr>
          <w:rFonts w:hint="eastAsia" w:hAnsi="宋体"/>
          <w:b/>
          <w:bCs/>
          <w:color w:val="auto"/>
          <w:highlight w:val="none"/>
        </w:rPr>
      </w:pPr>
      <w:r>
        <w:rPr>
          <w:rFonts w:hAnsi="宋体"/>
          <w:b/>
          <w:bCs/>
          <w:color w:val="auto"/>
          <w:highlight w:val="none"/>
        </w:rPr>
        <w:t>关于付款周期的约定：</w:t>
      </w:r>
    </w:p>
    <w:p>
      <w:pPr>
        <w:shd w:val="clear"/>
        <w:spacing w:line="400" w:lineRule="exact"/>
        <w:ind w:firstLine="453" w:firstLineChars="216"/>
        <w:rPr>
          <w:rFonts w:hint="eastAsia" w:ascii="宋体" w:hAnsi="宋体" w:eastAsia="宋体" w:cs="宋体"/>
          <w:b w:val="0"/>
          <w:bCs w:val="0"/>
          <w:color w:val="auto"/>
          <w:sz w:val="21"/>
          <w:szCs w:val="21"/>
          <w:highlight w:val="none"/>
          <w:u w:val="single"/>
          <w:lang w:val="en-US" w:eastAsia="zh-CN"/>
        </w:rPr>
      </w:pPr>
      <w:r>
        <w:rPr>
          <w:rFonts w:hint="eastAsia" w:ascii="宋体" w:hAnsi="宋体" w:eastAsia="宋体" w:cs="宋体"/>
          <w:b w:val="0"/>
          <w:bCs w:val="0"/>
          <w:color w:val="auto"/>
          <w:sz w:val="21"/>
          <w:szCs w:val="21"/>
          <w:highlight w:val="none"/>
          <w:u w:val="single"/>
        </w:rPr>
        <w:t>（1）合同生效后7个工作日内支付工程合同总价的40%作为预付款；</w:t>
      </w:r>
    </w:p>
    <w:p>
      <w:pPr>
        <w:shd w:val="clear"/>
        <w:spacing w:line="400" w:lineRule="exact"/>
        <w:ind w:firstLine="453" w:firstLineChars="216"/>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rPr>
        <w:t>（</w:t>
      </w:r>
      <w:r>
        <w:rPr>
          <w:rFonts w:hint="eastAsia" w:ascii="宋体" w:hAnsi="宋体" w:eastAsia="宋体" w:cs="宋体"/>
          <w:b w:val="0"/>
          <w:bCs w:val="0"/>
          <w:color w:val="auto"/>
          <w:sz w:val="21"/>
          <w:szCs w:val="21"/>
          <w:highlight w:val="none"/>
          <w:u w:val="single"/>
          <w:lang w:val="en-US" w:eastAsia="zh-CN"/>
        </w:rPr>
        <w:t>2</w:t>
      </w:r>
      <w:r>
        <w:rPr>
          <w:rFonts w:hint="eastAsia" w:ascii="宋体" w:hAnsi="宋体" w:eastAsia="宋体" w:cs="宋体"/>
          <w:b w:val="0"/>
          <w:bCs w:val="0"/>
          <w:color w:val="auto"/>
          <w:sz w:val="21"/>
          <w:szCs w:val="21"/>
          <w:highlight w:val="none"/>
          <w:u w:val="single"/>
        </w:rPr>
        <w:t>）工程竣工验收合格、承包人向发包人移交全部工程及全部施工资料后支付至合同总价的8</w:t>
      </w:r>
      <w:r>
        <w:rPr>
          <w:rFonts w:hint="eastAsia" w:ascii="宋体" w:hAnsi="宋体" w:eastAsia="宋体" w:cs="宋体"/>
          <w:b w:val="0"/>
          <w:bCs w:val="0"/>
          <w:color w:val="auto"/>
          <w:sz w:val="21"/>
          <w:szCs w:val="21"/>
          <w:highlight w:val="none"/>
          <w:u w:val="single"/>
          <w:lang w:val="en-US" w:eastAsia="zh-CN"/>
        </w:rPr>
        <w:t>5</w:t>
      </w:r>
      <w:r>
        <w:rPr>
          <w:rFonts w:hint="eastAsia" w:ascii="宋体" w:hAnsi="宋体" w:eastAsia="宋体" w:cs="宋体"/>
          <w:b w:val="0"/>
          <w:bCs w:val="0"/>
          <w:color w:val="auto"/>
          <w:sz w:val="21"/>
          <w:szCs w:val="21"/>
          <w:highlight w:val="none"/>
          <w:u w:val="single"/>
        </w:rPr>
        <w:t>%（扣除甩项费用，不含新增费用）；</w:t>
      </w:r>
    </w:p>
    <w:p>
      <w:pPr>
        <w:shd w:val="clear"/>
        <w:spacing w:line="400" w:lineRule="exact"/>
        <w:ind w:firstLine="453" w:firstLineChars="216"/>
        <w:rPr>
          <w:rFonts w:hint="eastAsia" w:ascii="宋体" w:hAnsi="宋体" w:eastAsia="宋体" w:cs="宋体"/>
          <w:b w:val="0"/>
          <w:bCs w:val="0"/>
          <w:color w:val="auto"/>
          <w:sz w:val="21"/>
          <w:szCs w:val="21"/>
          <w:highlight w:val="none"/>
          <w:u w:val="single"/>
        </w:rPr>
      </w:pPr>
      <w:r>
        <w:rPr>
          <w:rFonts w:hint="eastAsia" w:ascii="宋体" w:hAnsi="宋体" w:eastAsia="宋体" w:cs="宋体"/>
          <w:b w:val="0"/>
          <w:bCs w:val="0"/>
          <w:color w:val="auto"/>
          <w:sz w:val="21"/>
          <w:szCs w:val="21"/>
          <w:highlight w:val="none"/>
          <w:u w:val="single"/>
        </w:rPr>
        <w:t>（</w:t>
      </w:r>
      <w:r>
        <w:rPr>
          <w:rFonts w:hint="eastAsia" w:ascii="宋体" w:hAnsi="宋体" w:eastAsia="宋体" w:cs="宋体"/>
          <w:b w:val="0"/>
          <w:bCs w:val="0"/>
          <w:color w:val="auto"/>
          <w:sz w:val="21"/>
          <w:szCs w:val="21"/>
          <w:highlight w:val="none"/>
          <w:u w:val="single"/>
          <w:lang w:val="en-US" w:eastAsia="zh-CN"/>
        </w:rPr>
        <w:t>3</w:t>
      </w:r>
      <w:r>
        <w:rPr>
          <w:rFonts w:hint="eastAsia" w:ascii="宋体" w:hAnsi="宋体" w:eastAsia="宋体" w:cs="宋体"/>
          <w:b w:val="0"/>
          <w:bCs w:val="0"/>
          <w:color w:val="auto"/>
          <w:sz w:val="21"/>
          <w:szCs w:val="21"/>
          <w:highlight w:val="none"/>
          <w:u w:val="single"/>
        </w:rPr>
        <w:t>）工程结算经审计通过后7个工作日内付至审定价的98.5%，审定价的1.5%作为质量保证金，同时退还履约保证金；</w:t>
      </w:r>
    </w:p>
    <w:p>
      <w:pPr>
        <w:shd w:val="clear"/>
        <w:spacing w:line="400" w:lineRule="exact"/>
        <w:ind w:firstLine="453" w:firstLineChars="216"/>
        <w:rPr>
          <w:rFonts w:hint="eastAsia" w:hAnsi="Courier New" w:cs="Courier New"/>
          <w:b/>
          <w:bCs/>
          <w:color w:val="auto"/>
          <w:sz w:val="21"/>
          <w:szCs w:val="21"/>
          <w:highlight w:val="none"/>
          <w:u w:val="none"/>
        </w:rPr>
      </w:pPr>
      <w:r>
        <w:rPr>
          <w:rFonts w:hint="eastAsia" w:ascii="宋体" w:hAnsi="宋体" w:eastAsia="宋体" w:cs="宋体"/>
          <w:b w:val="0"/>
          <w:bCs w:val="0"/>
          <w:color w:val="auto"/>
          <w:sz w:val="21"/>
          <w:szCs w:val="21"/>
          <w:highlight w:val="none"/>
          <w:u w:val="single"/>
        </w:rPr>
        <w:t>（</w:t>
      </w:r>
      <w:r>
        <w:rPr>
          <w:rFonts w:hint="eastAsia" w:ascii="宋体" w:hAnsi="宋体" w:eastAsia="宋体" w:cs="宋体"/>
          <w:b w:val="0"/>
          <w:bCs w:val="0"/>
          <w:color w:val="auto"/>
          <w:sz w:val="21"/>
          <w:szCs w:val="21"/>
          <w:highlight w:val="none"/>
          <w:u w:val="single"/>
          <w:lang w:val="en-US" w:eastAsia="zh-CN"/>
        </w:rPr>
        <w:t>4</w:t>
      </w:r>
      <w:r>
        <w:rPr>
          <w:rFonts w:hint="eastAsia" w:ascii="宋体" w:hAnsi="宋体" w:eastAsia="宋体" w:cs="宋体"/>
          <w:b w:val="0"/>
          <w:bCs w:val="0"/>
          <w:color w:val="auto"/>
          <w:sz w:val="21"/>
          <w:szCs w:val="21"/>
          <w:highlight w:val="none"/>
          <w:u w:val="single"/>
        </w:rPr>
        <w:t>）质量保证金在1年保修期满后一次性结清（无息）</w:t>
      </w:r>
      <w:r>
        <w:rPr>
          <w:rFonts w:hint="eastAsia" w:hAnsi="Courier New" w:cs="Courier New"/>
          <w:b w:val="0"/>
          <w:bCs w:val="0"/>
          <w:color w:val="auto"/>
          <w:sz w:val="21"/>
          <w:szCs w:val="21"/>
          <w:highlight w:val="none"/>
          <w:u w:val="none"/>
        </w:rPr>
        <w:t>。</w:t>
      </w:r>
    </w:p>
    <w:p>
      <w:pPr>
        <w:shd w:val="clear"/>
        <w:adjustRightInd w:val="0"/>
        <w:snapToGrid w:val="0"/>
        <w:spacing w:line="360" w:lineRule="exact"/>
        <w:ind w:firstLine="420" w:firstLineChars="200"/>
        <w:rPr>
          <w:color w:val="auto"/>
          <w:sz w:val="21"/>
          <w:highlight w:val="none"/>
          <w:shd w:val="clear" w:color="auto" w:fill="FFFFFF"/>
        </w:rPr>
      </w:pPr>
      <w:r>
        <w:rPr>
          <w:rFonts w:hint="eastAsia"/>
          <w:color w:val="auto"/>
          <w:sz w:val="21"/>
          <w:highlight w:val="none"/>
          <w:shd w:val="clear" w:color="auto" w:fill="FFFFFF"/>
        </w:rPr>
        <w:t>（</w:t>
      </w:r>
      <w:r>
        <w:rPr>
          <w:rFonts w:hint="eastAsia"/>
          <w:color w:val="auto"/>
          <w:sz w:val="21"/>
          <w:highlight w:val="none"/>
          <w:shd w:val="clear" w:color="auto" w:fill="FFFFFF"/>
          <w:lang w:val="en-US" w:eastAsia="zh-CN"/>
        </w:rPr>
        <w:t>5</w:t>
      </w:r>
      <w:r>
        <w:rPr>
          <w:rFonts w:hint="eastAsia"/>
          <w:color w:val="auto"/>
          <w:sz w:val="21"/>
          <w:highlight w:val="none"/>
          <w:shd w:val="clear" w:color="auto" w:fill="FFFFFF"/>
        </w:rPr>
        <w:t>）</w:t>
      </w:r>
      <w:r>
        <w:rPr>
          <w:color w:val="auto"/>
          <w:sz w:val="21"/>
          <w:highlight w:val="none"/>
          <w:shd w:val="clear" w:color="auto" w:fill="FFFFFF"/>
        </w:rPr>
        <w:t>承包人现场管理混乱，工程质量、进度、现场文明施工和安全生产达不到预定计划，发包人有权不支付或不全额支付工程款。</w:t>
      </w:r>
    </w:p>
    <w:p>
      <w:pPr>
        <w:pStyle w:val="968"/>
        <w:shd w:val="clear"/>
        <w:adjustRightInd w:val="0"/>
        <w:snapToGrid w:val="0"/>
        <w:rPr>
          <w:rFonts w:ascii="宋体" w:hAnsi="Times New Roman" w:cs="Times New Roman"/>
          <w:color w:val="auto"/>
          <w:highlight w:val="none"/>
          <w:shd w:val="clear" w:color="auto" w:fill="FFFFFF"/>
        </w:rPr>
      </w:pPr>
      <w:r>
        <w:rPr>
          <w:rFonts w:ascii="宋体" w:hAnsi="Times New Roman" w:cs="Times New Roman"/>
          <w:color w:val="auto"/>
          <w:highlight w:val="none"/>
          <w:shd w:val="clear" w:color="auto" w:fill="FFFFFF"/>
        </w:rPr>
        <w:t>上述各项费用的每笔款项支付前，承包人必须提供收款单位与本合同签订单位一致的正规、等额、合法、有效的建安发票，否则发包人有权拒绝付款并不承担逾期付款的违约责任。</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12.4.2 进度付款申请单的编制</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关于进度付款申请单编制的约定：</w:t>
      </w:r>
      <w:r>
        <w:rPr>
          <w:rFonts w:hint="eastAsia" w:hAnsi="宋体" w:cs="仿宋"/>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Pr>
          <w:rFonts w:hAnsi="宋体"/>
          <w:color w:val="auto"/>
          <w:sz w:val="21"/>
          <w:szCs w:val="21"/>
          <w:highlight w:val="none"/>
        </w:rPr>
        <w:t>2.4.3 进度付款申请单的提交</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（1）单价合同进度付款申请单提交的约定</w:t>
      </w:r>
      <w:r>
        <w:rPr>
          <w:rFonts w:hint="eastAsia" w:hAnsi="宋体"/>
          <w:color w:val="auto"/>
          <w:sz w:val="21"/>
          <w:szCs w:val="21"/>
          <w:highlight w:val="none"/>
        </w:rPr>
        <w:t>：</w:t>
      </w:r>
      <w:r>
        <w:rPr>
          <w:rFonts w:hint="eastAsia" w:hAnsi="宋体" w:cs="仿宋"/>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（2）总价合同进度付款申请单提交的约定</w:t>
      </w:r>
      <w:r>
        <w:rPr>
          <w:rFonts w:hint="eastAsia" w:hAnsi="宋体"/>
          <w:color w:val="auto"/>
          <w:sz w:val="21"/>
          <w:szCs w:val="21"/>
          <w:highlight w:val="none"/>
        </w:rPr>
        <w:t>：</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（3）其他价格形式合同进度付款申请单提交的约定：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12.4.4 进度款审核和支付</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（1）监理人审查并报送发包人的期限：</w:t>
      </w:r>
      <w:r>
        <w:rPr>
          <w:rFonts w:hint="eastAsia" w:hAnsi="宋体" w:cs="仿宋"/>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发包人完成审批并签发进度款支付证书的期限：</w:t>
      </w:r>
      <w:r>
        <w:rPr>
          <w:rFonts w:hint="eastAsia" w:hAnsi="宋体" w:cs="仿宋"/>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（2）发包人支付进度款的期限：</w:t>
      </w:r>
      <w:r>
        <w:rPr>
          <w:rFonts w:hint="eastAsia" w:hAnsi="宋体" w:cs="仿宋"/>
          <w:bCs/>
          <w:color w:val="auto"/>
          <w:sz w:val="21"/>
          <w:szCs w:val="21"/>
          <w:highlight w:val="none"/>
          <w:u w:val="single"/>
        </w:rPr>
        <w:t>在</w:t>
      </w:r>
      <w:r>
        <w:rPr>
          <w:rFonts w:hint="eastAsia" w:hAnsi="宋体" w:cs="仿宋"/>
          <w:bCs/>
          <w:color w:val="auto"/>
          <w:kern w:val="0"/>
          <w:sz w:val="21"/>
          <w:szCs w:val="21"/>
          <w:highlight w:val="none"/>
          <w:u w:val="single"/>
        </w:rPr>
        <w:t>进度款支付证书或临时进度款支付证书签发后30天内完成支付</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发包人逾期支付进度款的违约金的计算方式：</w:t>
      </w:r>
      <w:r>
        <w:rPr>
          <w:rFonts w:hint="eastAsia" w:hAnsi="宋体" w:cs="仿宋"/>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12.4.6 支付分解表的编制</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2、总价合同支付分解表的编制与审批：</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3、单价合同的总价项目支付分解表的编制与审批：</w:t>
      </w:r>
      <w:r>
        <w:rPr>
          <w:rFonts w:hint="eastAsia" w:hAnsi="宋体" w:cs="仿宋"/>
          <w:bCs/>
          <w:color w:val="auto"/>
          <w:sz w:val="21"/>
          <w:szCs w:val="21"/>
          <w:highlight w:val="none"/>
          <w:u w:val="single"/>
        </w:rPr>
        <w:t>按通用条款执行</w:t>
      </w:r>
      <w:r>
        <w:rPr>
          <w:rFonts w:hAnsi="宋体"/>
          <w:color w:val="auto"/>
          <w:sz w:val="21"/>
          <w:szCs w:val="21"/>
          <w:highlight w:val="none"/>
        </w:rPr>
        <w:t>。</w:t>
      </w:r>
    </w:p>
    <w:bookmarkEnd w:id="1108"/>
    <w:p>
      <w:pPr>
        <w:pStyle w:val="6"/>
        <w:shd w:val="clear"/>
        <w:adjustRightInd w:val="0"/>
        <w:snapToGrid w:val="0"/>
        <w:spacing w:before="0" w:after="0" w:line="360" w:lineRule="exact"/>
        <w:rPr>
          <w:rFonts w:ascii="宋体" w:hAnsi="宋体"/>
          <w:color w:val="auto"/>
          <w:sz w:val="21"/>
          <w:szCs w:val="21"/>
          <w:highlight w:val="none"/>
        </w:rPr>
      </w:pPr>
      <w:bookmarkStart w:id="1279" w:name="_Toc351203645"/>
      <w:bookmarkStart w:id="1280" w:name="_Toc296891259"/>
      <w:bookmarkStart w:id="1281" w:name="_Toc297216223"/>
      <w:bookmarkStart w:id="1282" w:name="_Toc296891047"/>
      <w:bookmarkStart w:id="1283" w:name="_Toc312678053"/>
      <w:bookmarkStart w:id="1284" w:name="_Toc297048405"/>
      <w:bookmarkStart w:id="1285" w:name="_Toc296346720"/>
      <w:bookmarkStart w:id="1286" w:name="_Toc296944558"/>
      <w:bookmarkStart w:id="1287" w:name="_Toc296503219"/>
      <w:bookmarkStart w:id="1288" w:name="_Toc304295593"/>
      <w:bookmarkStart w:id="1289" w:name="_Toc300935015"/>
      <w:bookmarkStart w:id="1290" w:name="_Toc292559929"/>
      <w:bookmarkStart w:id="1291" w:name="_Toc292559424"/>
      <w:bookmarkStart w:id="1292" w:name="_Toc297120519"/>
      <w:bookmarkStart w:id="1293" w:name="_Toc303539172"/>
      <w:bookmarkStart w:id="1294" w:name="_Toc296347218"/>
      <w:bookmarkStart w:id="1295" w:name="_Toc297123564"/>
      <w:r>
        <w:rPr>
          <w:rFonts w:ascii="宋体" w:hAnsi="宋体"/>
          <w:color w:val="auto"/>
          <w:sz w:val="21"/>
          <w:szCs w:val="21"/>
          <w:highlight w:val="none"/>
        </w:rPr>
        <w:t>13.</w:t>
      </w:r>
      <w:r>
        <w:rPr>
          <w:rFonts w:hint="eastAsia" w:ascii="宋体" w:hAnsi="宋体"/>
          <w:color w:val="auto"/>
          <w:sz w:val="21"/>
          <w:szCs w:val="21"/>
          <w:highlight w:val="none"/>
        </w:rPr>
        <w:t xml:space="preserve"> </w:t>
      </w:r>
      <w:r>
        <w:rPr>
          <w:rFonts w:ascii="宋体" w:hAnsi="宋体"/>
          <w:color w:val="auto"/>
          <w:sz w:val="21"/>
          <w:szCs w:val="21"/>
          <w:highlight w:val="none"/>
        </w:rPr>
        <w:t>验收和工程试车</w:t>
      </w:r>
      <w:bookmarkEnd w:id="1279"/>
    </w:p>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13.1 分部分项工程验收</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13.1.2监理人不能按时进行验收时，应提前</w:t>
      </w:r>
      <w:r>
        <w:rPr>
          <w:rFonts w:hAnsi="宋体"/>
          <w:color w:val="auto"/>
          <w:sz w:val="21"/>
          <w:szCs w:val="21"/>
          <w:highlight w:val="none"/>
          <w:u w:val="single"/>
        </w:rPr>
        <w:t xml:space="preserve"> </w:t>
      </w:r>
      <w:r>
        <w:rPr>
          <w:rFonts w:hint="eastAsia" w:hAnsi="宋体"/>
          <w:color w:val="auto"/>
          <w:sz w:val="21"/>
          <w:szCs w:val="21"/>
          <w:highlight w:val="none"/>
          <w:u w:val="single"/>
        </w:rPr>
        <w:t>24</w:t>
      </w:r>
      <w:r>
        <w:rPr>
          <w:rFonts w:hAnsi="宋体"/>
          <w:color w:val="auto"/>
          <w:sz w:val="21"/>
          <w:szCs w:val="21"/>
          <w:highlight w:val="none"/>
          <w:u w:val="single"/>
        </w:rPr>
        <w:t xml:space="preserve"> </w:t>
      </w:r>
      <w:r>
        <w:rPr>
          <w:rFonts w:hAnsi="宋体"/>
          <w:color w:val="auto"/>
          <w:sz w:val="21"/>
          <w:szCs w:val="21"/>
          <w:highlight w:val="none"/>
        </w:rPr>
        <w:t>小时提交书面延期要求。</w:t>
      </w:r>
    </w:p>
    <w:p>
      <w:pPr>
        <w:shd w:val="clear"/>
        <w:adjustRightInd w:val="0"/>
        <w:snapToGrid w:val="0"/>
        <w:spacing w:line="360" w:lineRule="exact"/>
        <w:ind w:firstLine="420" w:firstLineChars="200"/>
        <w:rPr>
          <w:rFonts w:hAnsi="宋体"/>
          <w:b/>
          <w:color w:val="auto"/>
          <w:sz w:val="21"/>
          <w:szCs w:val="21"/>
          <w:highlight w:val="none"/>
        </w:rPr>
      </w:pPr>
      <w:r>
        <w:rPr>
          <w:rFonts w:hAnsi="宋体"/>
          <w:color w:val="auto"/>
          <w:sz w:val="21"/>
          <w:szCs w:val="21"/>
          <w:highlight w:val="none"/>
        </w:rPr>
        <w:t>关于延期最长不得超过：</w:t>
      </w:r>
      <w:r>
        <w:rPr>
          <w:rFonts w:hAnsi="宋体"/>
          <w:color w:val="auto"/>
          <w:sz w:val="21"/>
          <w:szCs w:val="21"/>
          <w:highlight w:val="none"/>
          <w:u w:val="single"/>
        </w:rPr>
        <w:t xml:space="preserve"> </w:t>
      </w:r>
      <w:r>
        <w:rPr>
          <w:rFonts w:hint="eastAsia" w:hAnsi="宋体"/>
          <w:color w:val="auto"/>
          <w:sz w:val="21"/>
          <w:szCs w:val="21"/>
          <w:highlight w:val="none"/>
          <w:u w:val="single"/>
        </w:rPr>
        <w:t>48</w:t>
      </w:r>
      <w:r>
        <w:rPr>
          <w:rFonts w:hAnsi="宋体"/>
          <w:color w:val="auto"/>
          <w:sz w:val="21"/>
          <w:szCs w:val="21"/>
          <w:highlight w:val="none"/>
          <w:u w:val="single"/>
        </w:rPr>
        <w:t xml:space="preserve"> </w:t>
      </w:r>
      <w:r>
        <w:rPr>
          <w:rFonts w:hAnsi="宋体"/>
          <w:color w:val="auto"/>
          <w:sz w:val="21"/>
          <w:szCs w:val="21"/>
          <w:highlight w:val="none"/>
        </w:rPr>
        <w:t>小时。</w:t>
      </w:r>
    </w:p>
    <w:p>
      <w:pPr>
        <w:shd w:val="clear"/>
        <w:adjustRightInd w:val="0"/>
        <w:snapToGrid w:val="0"/>
        <w:spacing w:line="360" w:lineRule="exact"/>
        <w:ind w:firstLine="420" w:firstLineChars="200"/>
        <w:rPr>
          <w:rFonts w:hAnsi="宋体"/>
          <w:color w:val="auto"/>
          <w:sz w:val="21"/>
          <w:szCs w:val="21"/>
          <w:highlight w:val="none"/>
        </w:rPr>
      </w:pPr>
      <w:bookmarkStart w:id="1296" w:name="_Toc297048409"/>
      <w:bookmarkStart w:id="1297" w:name="_Toc292559428"/>
      <w:bookmarkStart w:id="1298" w:name="_Toc304295596"/>
      <w:bookmarkStart w:id="1299" w:name="_Toc296503223"/>
      <w:bookmarkStart w:id="1300" w:name="_Toc296346724"/>
      <w:bookmarkStart w:id="1301" w:name="_Toc296891263"/>
      <w:bookmarkStart w:id="1302" w:name="_Toc312678056"/>
      <w:bookmarkStart w:id="1303" w:name="_Toc296347222"/>
      <w:bookmarkStart w:id="1304" w:name="_Toc300935016"/>
      <w:bookmarkStart w:id="1305" w:name="_Toc297216224"/>
      <w:bookmarkStart w:id="1306" w:name="_Toc296944562"/>
      <w:bookmarkStart w:id="1307" w:name="_Toc303539173"/>
      <w:bookmarkStart w:id="1308" w:name="_Toc292559933"/>
      <w:bookmarkStart w:id="1309" w:name="_Toc297123565"/>
      <w:bookmarkStart w:id="1310" w:name="_Toc296891051"/>
      <w:bookmarkStart w:id="1311" w:name="_Toc297120523"/>
      <w:bookmarkStart w:id="1312" w:name="_Toc267251476"/>
      <w:bookmarkStart w:id="1313" w:name="_Toc267251470"/>
      <w:bookmarkStart w:id="1314" w:name="_Toc267251475"/>
      <w:bookmarkStart w:id="1315" w:name="_Toc267251471"/>
      <w:bookmarkStart w:id="1316" w:name="_Toc267251473"/>
      <w:bookmarkStart w:id="1317" w:name="_Toc267251474"/>
      <w:bookmarkStart w:id="1318" w:name="_Toc267251472"/>
      <w:r>
        <w:rPr>
          <w:rFonts w:hAnsi="宋体"/>
          <w:color w:val="auto"/>
          <w:sz w:val="21"/>
          <w:szCs w:val="21"/>
          <w:highlight w:val="none"/>
        </w:rPr>
        <w:t>13.2 竣工验收</w:t>
      </w:r>
    </w:p>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Pr>
        <w:shd w:val="clear"/>
        <w:adjustRightInd w:val="0"/>
        <w:snapToGrid w:val="0"/>
        <w:spacing w:line="360" w:lineRule="exact"/>
        <w:ind w:firstLine="420" w:firstLineChars="200"/>
        <w:rPr>
          <w:rFonts w:hAnsi="宋体"/>
          <w:color w:val="auto"/>
          <w:sz w:val="21"/>
          <w:szCs w:val="21"/>
          <w:highlight w:val="none"/>
        </w:rPr>
      </w:pPr>
      <w:bookmarkStart w:id="1319" w:name="_Toc280868704"/>
      <w:bookmarkStart w:id="1320" w:name="_Toc280868705"/>
      <w:bookmarkStart w:id="1321" w:name="_Toc280868706"/>
      <w:bookmarkStart w:id="1322" w:name="_Toc280868707"/>
      <w:bookmarkStart w:id="1323" w:name="_Toc280868708"/>
      <w:bookmarkStart w:id="1324" w:name="_Toc280868709"/>
      <w:r>
        <w:rPr>
          <w:rFonts w:hAnsi="宋体"/>
          <w:color w:val="auto"/>
          <w:sz w:val="21"/>
          <w:szCs w:val="21"/>
          <w:highlight w:val="none"/>
        </w:rPr>
        <w:t>13.2.2竣工验收程序</w:t>
      </w:r>
    </w:p>
    <w:bookmarkEnd w:id="1319"/>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关于竣工验收程序的约定：</w:t>
      </w:r>
      <w:r>
        <w:rPr>
          <w:rFonts w:hint="eastAsia" w:hAnsi="宋体" w:cs="仿宋"/>
          <w:bCs/>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发包人不按照本项约定组织竣工验收、颁发工程接收证书的违约金的计算方法：</w:t>
      </w:r>
      <w:r>
        <w:rPr>
          <w:rFonts w:hint="eastAsia" w:hAnsi="宋体" w:cs="仿宋"/>
          <w:bCs/>
          <w:color w:val="auto"/>
          <w:sz w:val="21"/>
          <w:szCs w:val="21"/>
          <w:highlight w:val="none"/>
          <w:u w:val="single"/>
        </w:rPr>
        <w:t>按通用条款执行</w:t>
      </w:r>
      <w:r>
        <w:rPr>
          <w:rFonts w:hAnsi="宋体"/>
          <w:color w:val="auto"/>
          <w:sz w:val="21"/>
          <w:szCs w:val="21"/>
          <w:highlight w:val="none"/>
        </w:rPr>
        <w:t>。</w:t>
      </w:r>
    </w:p>
    <w:bookmarkEnd w:id="1320"/>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13.2.5移交、接收全部与部分工程</w:t>
      </w:r>
    </w:p>
    <w:bookmarkEnd w:id="1321"/>
    <w:p>
      <w:pPr>
        <w:shd w:val="clear"/>
        <w:adjustRightInd w:val="0"/>
        <w:snapToGrid w:val="0"/>
        <w:spacing w:line="360" w:lineRule="exact"/>
        <w:ind w:firstLine="420" w:firstLineChars="200"/>
        <w:rPr>
          <w:rFonts w:hAnsi="宋体"/>
          <w:color w:val="auto"/>
          <w:kern w:val="0"/>
          <w:sz w:val="21"/>
          <w:szCs w:val="21"/>
          <w:highlight w:val="none"/>
        </w:rPr>
      </w:pPr>
      <w:r>
        <w:rPr>
          <w:rFonts w:hint="eastAsia" w:hAnsi="宋体"/>
          <w:color w:val="auto"/>
          <w:kern w:val="0"/>
          <w:sz w:val="21"/>
          <w:szCs w:val="21"/>
          <w:highlight w:val="none"/>
        </w:rPr>
        <w:t>承包人向发包人移交工程的期限：</w:t>
      </w:r>
      <w:r>
        <w:rPr>
          <w:rFonts w:hint="eastAsia" w:hAnsi="宋体" w:cs="仿宋"/>
          <w:bCs/>
          <w:color w:val="auto"/>
          <w:sz w:val="21"/>
          <w:szCs w:val="21"/>
          <w:highlight w:val="none"/>
          <w:u w:val="single"/>
        </w:rPr>
        <w:t>按通用条款执行</w:t>
      </w:r>
      <w:r>
        <w:rPr>
          <w:rFonts w:hint="eastAsia"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发包人未按本合同约定接收全部或部分工程的，违约金的计算方法为：</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bookmarkEnd w:id="1322"/>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承包人未按时移交工程的，违约金的计算方法为：</w:t>
      </w:r>
      <w:r>
        <w:rPr>
          <w:rFonts w:hAnsi="宋体"/>
          <w:color w:val="auto"/>
          <w:kern w:val="0"/>
          <w:sz w:val="21"/>
          <w:szCs w:val="21"/>
          <w:highlight w:val="none"/>
          <w:u w:val="single"/>
        </w:rPr>
        <w:t>工程竣工验收通过后 3日内，承包人须向发包人移交全部工程，逾期移交的，每逾期一日，按人民币</w:t>
      </w:r>
      <w:r>
        <w:rPr>
          <w:rFonts w:hint="eastAsia" w:hAnsi="宋体"/>
          <w:color w:val="auto"/>
          <w:kern w:val="0"/>
          <w:sz w:val="21"/>
          <w:szCs w:val="21"/>
          <w:highlight w:val="none"/>
          <w:u w:val="single"/>
        </w:rPr>
        <w:t>2000</w:t>
      </w:r>
      <w:r>
        <w:rPr>
          <w:rFonts w:hAnsi="宋体"/>
          <w:color w:val="auto"/>
          <w:kern w:val="0"/>
          <w:sz w:val="21"/>
          <w:szCs w:val="21"/>
          <w:highlight w:val="none"/>
          <w:u w:val="single"/>
        </w:rPr>
        <w:t>元</w:t>
      </w:r>
      <w:r>
        <w:rPr>
          <w:rFonts w:hint="eastAsia" w:hAnsi="宋体"/>
          <w:color w:val="auto"/>
          <w:kern w:val="0"/>
          <w:sz w:val="21"/>
          <w:szCs w:val="21"/>
          <w:highlight w:val="none"/>
          <w:u w:val="single"/>
        </w:rPr>
        <w:t>/天</w:t>
      </w:r>
      <w:r>
        <w:rPr>
          <w:rFonts w:hAnsi="宋体"/>
          <w:color w:val="auto"/>
          <w:kern w:val="0"/>
          <w:sz w:val="21"/>
          <w:szCs w:val="21"/>
          <w:highlight w:val="none"/>
          <w:u w:val="single"/>
        </w:rPr>
        <w:t>向发包人支付违约金，因逾期交付工程给发包人造成经济损失的，赔偿损失。同时，承包人移交所有工程之前，发包人有权拒绝结算、支付工程款</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13.3 工程试车</w:t>
      </w:r>
    </w:p>
    <w:bookmarkEnd w:id="1323"/>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13.3.1 试车程序</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工程试车内容：</w:t>
      </w:r>
      <w:r>
        <w:rPr>
          <w:rFonts w:hAnsi="宋体" w:cs="仿宋"/>
          <w:color w:val="auto"/>
          <w:sz w:val="21"/>
          <w:szCs w:val="21"/>
          <w:highlight w:val="none"/>
          <w:u w:val="single"/>
        </w:rPr>
        <w:t>试车内容应与承包人承包范围相一致，试车费用由承包人承担</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（1）单机无负荷试车费用由</w:t>
      </w:r>
      <w:r>
        <w:rPr>
          <w:rFonts w:hAnsi="宋体"/>
          <w:color w:val="auto"/>
          <w:sz w:val="21"/>
          <w:szCs w:val="21"/>
          <w:highlight w:val="none"/>
          <w:u w:val="single"/>
        </w:rPr>
        <w:t xml:space="preserve">   </w:t>
      </w:r>
      <w:r>
        <w:rPr>
          <w:rFonts w:hint="eastAsia" w:hAnsi="宋体" w:cs="仿宋"/>
          <w:color w:val="auto"/>
          <w:sz w:val="21"/>
          <w:szCs w:val="21"/>
          <w:highlight w:val="none"/>
          <w:u w:val="single"/>
        </w:rPr>
        <w:t>承包人</w:t>
      </w:r>
      <w:r>
        <w:rPr>
          <w:rFonts w:hAnsi="宋体"/>
          <w:color w:val="auto"/>
          <w:sz w:val="21"/>
          <w:szCs w:val="21"/>
          <w:highlight w:val="none"/>
          <w:u w:val="single"/>
        </w:rPr>
        <w:t xml:space="preserve">   </w:t>
      </w:r>
      <w:r>
        <w:rPr>
          <w:rFonts w:hAnsi="宋体"/>
          <w:color w:val="auto"/>
          <w:kern w:val="0"/>
          <w:sz w:val="21"/>
          <w:szCs w:val="21"/>
          <w:highlight w:val="none"/>
        </w:rPr>
        <w:t>承担；</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（2）无负荷联动试车费用由</w:t>
      </w:r>
      <w:r>
        <w:rPr>
          <w:rFonts w:hAnsi="宋体"/>
          <w:color w:val="auto"/>
          <w:sz w:val="21"/>
          <w:szCs w:val="21"/>
          <w:highlight w:val="none"/>
          <w:u w:val="single"/>
        </w:rPr>
        <w:t xml:space="preserve">  </w:t>
      </w:r>
      <w:r>
        <w:rPr>
          <w:rFonts w:hint="eastAsia" w:hAnsi="宋体" w:cs="仿宋"/>
          <w:color w:val="auto"/>
          <w:sz w:val="21"/>
          <w:szCs w:val="21"/>
          <w:highlight w:val="none"/>
          <w:u w:val="single"/>
        </w:rPr>
        <w:t xml:space="preserve">承包人 </w:t>
      </w:r>
      <w:r>
        <w:rPr>
          <w:rFonts w:hAnsi="宋体"/>
          <w:color w:val="auto"/>
          <w:sz w:val="21"/>
          <w:szCs w:val="21"/>
          <w:highlight w:val="none"/>
          <w:u w:val="single"/>
        </w:rPr>
        <w:t xml:space="preserve"> </w:t>
      </w:r>
      <w:r>
        <w:rPr>
          <w:rFonts w:hAnsi="宋体"/>
          <w:color w:val="auto"/>
          <w:kern w:val="0"/>
          <w:sz w:val="21"/>
          <w:szCs w:val="21"/>
          <w:highlight w:val="none"/>
        </w:rPr>
        <w:t>承担。</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13.3.3 投料试车</w:t>
      </w:r>
    </w:p>
    <w:p>
      <w:pPr>
        <w:shd w:val="clear"/>
        <w:adjustRightInd w:val="0"/>
        <w:snapToGrid w:val="0"/>
        <w:spacing w:line="360" w:lineRule="exact"/>
        <w:ind w:firstLine="420" w:firstLineChars="200"/>
        <w:rPr>
          <w:rFonts w:hAnsi="宋体"/>
          <w:color w:val="auto"/>
          <w:sz w:val="21"/>
          <w:szCs w:val="21"/>
          <w:highlight w:val="none"/>
          <w:u w:val="single"/>
        </w:rPr>
      </w:pPr>
      <w:r>
        <w:rPr>
          <w:rFonts w:hint="eastAsia" w:hAnsi="宋体"/>
          <w:color w:val="auto"/>
          <w:kern w:val="0"/>
          <w:sz w:val="21"/>
          <w:szCs w:val="21"/>
          <w:highlight w:val="none"/>
        </w:rPr>
        <w:t>关于投料试车相关事项的约定：</w:t>
      </w:r>
      <w:r>
        <w:rPr>
          <w:rFonts w:hint="eastAsia" w:hAnsi="宋体" w:cs="仿宋"/>
          <w:bCs/>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13.6 竣工退场</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13.6.1 竣工退场</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承包人完成竣工退场的期限：</w:t>
      </w:r>
      <w:r>
        <w:rPr>
          <w:rFonts w:hAnsi="宋体" w:cs="仿宋"/>
          <w:color w:val="auto"/>
          <w:sz w:val="21"/>
          <w:szCs w:val="21"/>
          <w:highlight w:val="none"/>
          <w:u w:val="single"/>
        </w:rPr>
        <w:t>颁发工程接收证书后</w:t>
      </w:r>
      <w:r>
        <w:rPr>
          <w:rFonts w:hint="eastAsia" w:hAnsi="宋体" w:cs="仿宋"/>
          <w:color w:val="auto"/>
          <w:sz w:val="21"/>
          <w:szCs w:val="21"/>
          <w:highlight w:val="none"/>
          <w:u w:val="single"/>
        </w:rPr>
        <w:t>14天</w:t>
      </w:r>
      <w:r>
        <w:rPr>
          <w:rFonts w:hAnsi="宋体"/>
          <w:color w:val="auto"/>
          <w:kern w:val="0"/>
          <w:sz w:val="21"/>
          <w:szCs w:val="21"/>
          <w:highlight w:val="none"/>
        </w:rPr>
        <w:t>。</w:t>
      </w:r>
    </w:p>
    <w:p>
      <w:pPr>
        <w:pStyle w:val="6"/>
        <w:shd w:val="clear"/>
        <w:adjustRightInd w:val="0"/>
        <w:snapToGrid w:val="0"/>
        <w:spacing w:before="0" w:after="0" w:line="360" w:lineRule="exact"/>
        <w:rPr>
          <w:rFonts w:ascii="宋体" w:hAnsi="宋体"/>
          <w:color w:val="auto"/>
          <w:sz w:val="21"/>
          <w:szCs w:val="21"/>
          <w:highlight w:val="none"/>
        </w:rPr>
      </w:pPr>
      <w:bookmarkStart w:id="1325" w:name="_Toc351203646"/>
      <w:r>
        <w:rPr>
          <w:rFonts w:ascii="宋体" w:hAnsi="宋体"/>
          <w:color w:val="auto"/>
          <w:sz w:val="21"/>
          <w:szCs w:val="21"/>
          <w:highlight w:val="none"/>
        </w:rPr>
        <w:t>14. 竣工结算</w:t>
      </w:r>
      <w:bookmarkEnd w:id="1325"/>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14.1 竣工付款申请</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承包人提交竣工付款申请单的期限：</w:t>
      </w:r>
      <w:r>
        <w:rPr>
          <w:rFonts w:hint="eastAsia" w:hAnsi="宋体" w:cs="仿宋"/>
          <w:bCs/>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竣工付款申请单应包括的内容：</w:t>
      </w:r>
      <w:r>
        <w:rPr>
          <w:rFonts w:hint="eastAsia" w:hAnsi="宋体" w:cs="仿宋"/>
          <w:bCs/>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14.2 竣工结算审核</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w:t>
      </w:r>
      <w:r>
        <w:rPr>
          <w:rFonts w:hint="eastAsia" w:hAnsi="宋体"/>
          <w:color w:val="auto"/>
          <w:sz w:val="21"/>
          <w:szCs w:val="21"/>
          <w:highlight w:val="none"/>
        </w:rPr>
        <w:t>审批</w:t>
      </w:r>
      <w:r>
        <w:rPr>
          <w:rFonts w:hAnsi="宋体"/>
          <w:color w:val="auto"/>
          <w:sz w:val="21"/>
          <w:szCs w:val="21"/>
          <w:highlight w:val="none"/>
        </w:rPr>
        <w:t>竣工付款申请单的期限：</w:t>
      </w:r>
      <w:r>
        <w:rPr>
          <w:rFonts w:hint="eastAsia" w:hAnsi="宋体" w:cs="仿宋"/>
          <w:bCs/>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发包人完成竣工付款的期限：</w:t>
      </w:r>
      <w:r>
        <w:rPr>
          <w:rFonts w:hint="eastAsia" w:hAnsi="宋体" w:cs="仿宋"/>
          <w:bCs/>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Ansi="宋体"/>
          <w:b/>
          <w:color w:val="auto"/>
          <w:sz w:val="21"/>
          <w:szCs w:val="21"/>
          <w:highlight w:val="none"/>
          <w:u w:val="single"/>
        </w:rPr>
      </w:pPr>
      <w:r>
        <w:rPr>
          <w:rFonts w:hint="eastAsia" w:hAnsi="宋体"/>
          <w:color w:val="auto"/>
          <w:sz w:val="21"/>
          <w:szCs w:val="21"/>
          <w:highlight w:val="none"/>
        </w:rPr>
        <w:t>关于竣工付款证书异议部分复核的方式和程序：</w:t>
      </w:r>
      <w:r>
        <w:rPr>
          <w:rFonts w:hint="eastAsia" w:hAnsi="宋体" w:cs="仿宋"/>
          <w:bCs/>
          <w:color w:val="auto"/>
          <w:sz w:val="21"/>
          <w:szCs w:val="21"/>
          <w:highlight w:val="none"/>
          <w:u w:val="single"/>
        </w:rPr>
        <w:t>按通用条款执行</w:t>
      </w:r>
      <w:r>
        <w:rPr>
          <w:rFonts w:hAnsi="宋体"/>
          <w:b/>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14.4 最终结清</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14.4.1 最终结清申请单</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承包人提交最终结清申请单的份数：</w:t>
      </w:r>
      <w:r>
        <w:rPr>
          <w:rFonts w:hAnsi="宋体"/>
          <w:color w:val="auto"/>
          <w:sz w:val="21"/>
          <w:szCs w:val="21"/>
          <w:highlight w:val="none"/>
          <w:u w:val="single"/>
        </w:rPr>
        <w:t xml:space="preserve"> </w:t>
      </w:r>
      <w:r>
        <w:rPr>
          <w:rFonts w:hint="eastAsia" w:hAnsi="宋体"/>
          <w:bCs/>
          <w:color w:val="auto"/>
          <w:kern w:val="0"/>
          <w:sz w:val="21"/>
          <w:szCs w:val="21"/>
          <w:highlight w:val="none"/>
          <w:u w:val="single"/>
        </w:rPr>
        <w:t>叁份</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kern w:val="0"/>
          <w:sz w:val="21"/>
          <w:szCs w:val="21"/>
          <w:highlight w:val="none"/>
        </w:rPr>
        <w:t>承包人提交最终结算申请单的期限：</w:t>
      </w:r>
      <w:r>
        <w:rPr>
          <w:rFonts w:hint="eastAsia" w:hAnsi="宋体" w:cs="仿宋"/>
          <w:bCs/>
          <w:color w:val="auto"/>
          <w:sz w:val="21"/>
          <w:szCs w:val="21"/>
          <w:highlight w:val="none"/>
          <w:u w:val="single"/>
        </w:rPr>
        <w:t>按通用条款执行</w:t>
      </w:r>
      <w:r>
        <w:rPr>
          <w:rFonts w:hAnsi="宋体"/>
          <w:color w:val="auto"/>
          <w:sz w:val="21"/>
          <w:szCs w:val="21"/>
          <w:highlight w:val="none"/>
        </w:rPr>
        <w:t xml:space="preserve">。 </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14.4.2 最终结清证书和支付</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（1）发包人完成最终结清申请单的</w:t>
      </w:r>
      <w:r>
        <w:rPr>
          <w:rFonts w:hint="eastAsia" w:hAnsi="宋体"/>
          <w:color w:val="auto"/>
          <w:sz w:val="21"/>
          <w:szCs w:val="21"/>
          <w:highlight w:val="none"/>
        </w:rPr>
        <w:t>审批</w:t>
      </w:r>
      <w:r>
        <w:rPr>
          <w:rFonts w:hAnsi="宋体"/>
          <w:color w:val="auto"/>
          <w:sz w:val="21"/>
          <w:szCs w:val="21"/>
          <w:highlight w:val="none"/>
        </w:rPr>
        <w:t>并颁发最终结清证书的期限：</w:t>
      </w:r>
      <w:r>
        <w:rPr>
          <w:rFonts w:hint="eastAsia" w:hAnsi="宋体" w:cs="仿宋"/>
          <w:bCs/>
          <w:color w:val="auto"/>
          <w:sz w:val="21"/>
          <w:szCs w:val="21"/>
          <w:highlight w:val="none"/>
          <w:u w:val="single"/>
        </w:rPr>
        <w:t>按通用条款执行</w:t>
      </w:r>
      <w:r>
        <w:rPr>
          <w:rFonts w:hAnsi="宋体"/>
          <w:color w:val="auto"/>
          <w:sz w:val="21"/>
          <w:szCs w:val="21"/>
          <w:highlight w:val="none"/>
        </w:rPr>
        <w:t>。</w:t>
      </w:r>
    </w:p>
    <w:p>
      <w:pPr>
        <w:shd w:val="clear"/>
        <w:adjustRightInd w:val="0"/>
        <w:snapToGrid w:val="0"/>
        <w:spacing w:line="360" w:lineRule="exact"/>
        <w:ind w:firstLine="420" w:firstLineChars="200"/>
        <w:rPr>
          <w:rFonts w:hint="eastAsia" w:hAnsi="宋体"/>
          <w:color w:val="auto"/>
          <w:sz w:val="21"/>
          <w:szCs w:val="21"/>
          <w:highlight w:val="none"/>
        </w:rPr>
      </w:pPr>
      <w:r>
        <w:rPr>
          <w:rFonts w:hAnsi="宋体"/>
          <w:color w:val="auto"/>
          <w:sz w:val="21"/>
          <w:szCs w:val="21"/>
          <w:highlight w:val="none"/>
        </w:rPr>
        <w:t>（2）发包人完成支付的期限：</w:t>
      </w:r>
      <w:r>
        <w:rPr>
          <w:rFonts w:hint="eastAsia" w:hAnsi="宋体" w:cs="仿宋"/>
          <w:bCs/>
          <w:color w:val="auto"/>
          <w:sz w:val="21"/>
          <w:szCs w:val="21"/>
          <w:highlight w:val="none"/>
          <w:u w:val="single"/>
        </w:rPr>
        <w:t>按通用条款执行</w:t>
      </w:r>
      <w:r>
        <w:rPr>
          <w:rFonts w:hAnsi="宋体"/>
          <w:color w:val="auto"/>
          <w:sz w:val="21"/>
          <w:szCs w:val="21"/>
          <w:highlight w:val="none"/>
        </w:rPr>
        <w:t>。</w:t>
      </w:r>
    </w:p>
    <w:bookmarkEnd w:id="1312"/>
    <w:bookmarkEnd w:id="1313"/>
    <w:bookmarkEnd w:id="1314"/>
    <w:bookmarkEnd w:id="1315"/>
    <w:bookmarkEnd w:id="1316"/>
    <w:bookmarkEnd w:id="1317"/>
    <w:bookmarkEnd w:id="1318"/>
    <w:bookmarkEnd w:id="1324"/>
    <w:p>
      <w:pPr>
        <w:pStyle w:val="6"/>
        <w:shd w:val="clear"/>
        <w:adjustRightInd w:val="0"/>
        <w:snapToGrid w:val="0"/>
        <w:spacing w:before="0" w:after="0" w:line="360" w:lineRule="exact"/>
        <w:rPr>
          <w:rFonts w:ascii="宋体" w:hAnsi="宋体"/>
          <w:color w:val="auto"/>
          <w:sz w:val="21"/>
          <w:szCs w:val="21"/>
          <w:highlight w:val="none"/>
        </w:rPr>
      </w:pPr>
      <w:bookmarkStart w:id="1326" w:name="_Toc351203647"/>
      <w:bookmarkStart w:id="1327" w:name="_Toc267251483"/>
      <w:bookmarkStart w:id="1328" w:name="_Toc267251482"/>
      <w:bookmarkStart w:id="1329" w:name="_Toc267251484"/>
      <w:bookmarkStart w:id="1330" w:name="_Toc267251485"/>
      <w:bookmarkStart w:id="1331" w:name="_Toc267251489"/>
      <w:bookmarkStart w:id="1332" w:name="_Toc267251490"/>
      <w:bookmarkStart w:id="1333" w:name="_Toc267251488"/>
      <w:bookmarkStart w:id="1334" w:name="_Toc267251486"/>
      <w:bookmarkStart w:id="1335" w:name="_Toc267251497"/>
      <w:bookmarkStart w:id="1336" w:name="_Toc267251493"/>
      <w:bookmarkStart w:id="1337" w:name="_Toc267251501"/>
      <w:bookmarkStart w:id="1338" w:name="_Toc267251495"/>
      <w:bookmarkStart w:id="1339" w:name="_Toc267251494"/>
      <w:bookmarkStart w:id="1340" w:name="_Toc267251498"/>
      <w:bookmarkStart w:id="1341" w:name="_Toc267251503"/>
      <w:bookmarkStart w:id="1342" w:name="_Toc267251502"/>
      <w:bookmarkStart w:id="1343" w:name="_Toc267251499"/>
      <w:bookmarkStart w:id="1344" w:name="_Toc267251492"/>
      <w:bookmarkStart w:id="1345" w:name="_Toc267251491"/>
      <w:bookmarkStart w:id="1346" w:name="_Toc267251496"/>
      <w:bookmarkStart w:id="1347" w:name="_Toc267251504"/>
      <w:bookmarkStart w:id="1348" w:name="_Toc267251506"/>
      <w:bookmarkStart w:id="1349" w:name="_Toc267251507"/>
      <w:bookmarkStart w:id="1350" w:name="_Toc267251508"/>
      <w:bookmarkStart w:id="1351" w:name="_Toc267251509"/>
      <w:bookmarkStart w:id="1352" w:name="_Toc267251510"/>
      <w:bookmarkStart w:id="1353" w:name="_Toc267251514"/>
      <w:bookmarkStart w:id="1354" w:name="_Toc267251511"/>
      <w:bookmarkStart w:id="1355" w:name="_Toc267251513"/>
      <w:bookmarkStart w:id="1356" w:name="_Toc267251515"/>
      <w:r>
        <w:rPr>
          <w:rFonts w:ascii="宋体" w:hAnsi="宋体"/>
          <w:color w:val="auto"/>
          <w:sz w:val="21"/>
          <w:szCs w:val="21"/>
          <w:highlight w:val="none"/>
        </w:rPr>
        <w:t>15. 缺陷责任期与保修</w:t>
      </w:r>
      <w:bookmarkEnd w:id="1326"/>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15.2缺陷责任期</w:t>
      </w:r>
      <w:bookmarkEnd w:id="1327"/>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缺陷责任期的具体期限：</w:t>
      </w:r>
      <w:r>
        <w:rPr>
          <w:rFonts w:hint="eastAsia" w:hAnsi="宋体" w:cs="仿宋"/>
          <w:bCs/>
          <w:color w:val="auto"/>
          <w:kern w:val="0"/>
          <w:sz w:val="21"/>
          <w:szCs w:val="21"/>
          <w:highlight w:val="none"/>
          <w:u w:val="single"/>
        </w:rPr>
        <w:t>24</w:t>
      </w:r>
      <w:r>
        <w:rPr>
          <w:rFonts w:hAnsi="宋体" w:cs="仿宋"/>
          <w:bCs/>
          <w:color w:val="auto"/>
          <w:kern w:val="0"/>
          <w:sz w:val="21"/>
          <w:szCs w:val="21"/>
          <w:highlight w:val="none"/>
          <w:u w:val="single"/>
        </w:rPr>
        <w:t>个月</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15.3 质量保证金</w:t>
      </w:r>
    </w:p>
    <w:p>
      <w:pPr>
        <w:shd w:val="clear"/>
        <w:adjustRightInd w:val="0"/>
        <w:snapToGrid w:val="0"/>
        <w:spacing w:line="360" w:lineRule="exact"/>
        <w:ind w:firstLine="420" w:firstLineChars="200"/>
        <w:rPr>
          <w:rFonts w:hAnsi="宋体"/>
          <w:color w:val="auto"/>
          <w:sz w:val="21"/>
          <w:szCs w:val="21"/>
          <w:highlight w:val="none"/>
        </w:rPr>
      </w:pPr>
      <w:r>
        <w:rPr>
          <w:rFonts w:hint="eastAsia" w:hAnsi="宋体"/>
          <w:color w:val="auto"/>
          <w:sz w:val="21"/>
          <w:szCs w:val="21"/>
          <w:highlight w:val="none"/>
        </w:rPr>
        <w:t>关于是否扣留质量保证金的约定：</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是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 xml:space="preserve">15.3.1 </w:t>
      </w:r>
      <w:r>
        <w:rPr>
          <w:rFonts w:hint="eastAsia" w:hAnsi="宋体"/>
          <w:color w:val="auto"/>
          <w:sz w:val="21"/>
          <w:szCs w:val="21"/>
          <w:highlight w:val="none"/>
        </w:rPr>
        <w:t>承包人提供</w:t>
      </w:r>
      <w:r>
        <w:rPr>
          <w:rFonts w:hAnsi="宋体"/>
          <w:color w:val="auto"/>
          <w:sz w:val="21"/>
          <w:szCs w:val="21"/>
          <w:highlight w:val="none"/>
        </w:rPr>
        <w:t>质量保证金的</w:t>
      </w:r>
      <w:r>
        <w:rPr>
          <w:rFonts w:hint="eastAsia" w:hAnsi="宋体"/>
          <w:color w:val="auto"/>
          <w:sz w:val="21"/>
          <w:szCs w:val="21"/>
          <w:highlight w:val="none"/>
        </w:rPr>
        <w:t>方</w:t>
      </w:r>
      <w:r>
        <w:rPr>
          <w:rFonts w:hAnsi="宋体"/>
          <w:color w:val="auto"/>
          <w:sz w:val="21"/>
          <w:szCs w:val="21"/>
          <w:highlight w:val="none"/>
        </w:rPr>
        <w:t>式</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质量保证金采用以下第</w:t>
      </w:r>
      <w:r>
        <w:rPr>
          <w:rFonts w:hAnsi="宋体"/>
          <w:color w:val="auto"/>
          <w:sz w:val="21"/>
          <w:szCs w:val="21"/>
          <w:highlight w:val="none"/>
          <w:u w:val="single"/>
        </w:rPr>
        <w:t xml:space="preserve"> </w:t>
      </w:r>
      <w:r>
        <w:rPr>
          <w:rFonts w:hint="eastAsia" w:hAnsi="宋体"/>
          <w:color w:val="auto"/>
          <w:sz w:val="21"/>
          <w:szCs w:val="21"/>
          <w:highlight w:val="none"/>
          <w:u w:val="single"/>
        </w:rPr>
        <w:t>2</w:t>
      </w:r>
      <w:r>
        <w:rPr>
          <w:rFonts w:hAnsi="宋体"/>
          <w:color w:val="auto"/>
          <w:sz w:val="21"/>
          <w:szCs w:val="21"/>
          <w:highlight w:val="none"/>
          <w:u w:val="single"/>
        </w:rPr>
        <w:t xml:space="preserve"> </w:t>
      </w:r>
      <w:r>
        <w:rPr>
          <w:rFonts w:hAnsi="宋体"/>
          <w:color w:val="auto"/>
          <w:sz w:val="21"/>
          <w:szCs w:val="21"/>
          <w:highlight w:val="none"/>
        </w:rPr>
        <w:t>种方式：</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（1）质量保证金保函，保证金额为：</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 xml:space="preserve">； </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（2）</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 xml:space="preserve">2 </w:t>
      </w:r>
      <w:r>
        <w:rPr>
          <w:rFonts w:hAnsi="宋体"/>
          <w:color w:val="auto"/>
          <w:kern w:val="0"/>
          <w:sz w:val="21"/>
          <w:szCs w:val="21"/>
          <w:highlight w:val="none"/>
        </w:rPr>
        <w:t>%的工程款（</w:t>
      </w:r>
      <w:r>
        <w:rPr>
          <w:rFonts w:hint="eastAsia" w:hAnsi="宋体"/>
          <w:color w:val="auto"/>
          <w:kern w:val="0"/>
          <w:sz w:val="21"/>
          <w:szCs w:val="21"/>
          <w:highlight w:val="none"/>
        </w:rPr>
        <w:t>审定价</w:t>
      </w:r>
      <w:r>
        <w:rPr>
          <w:rFonts w:hAnsi="宋体"/>
          <w:color w:val="auto"/>
          <w:kern w:val="0"/>
          <w:sz w:val="21"/>
          <w:szCs w:val="21"/>
          <w:highlight w:val="none"/>
        </w:rPr>
        <w:t>）；</w:t>
      </w:r>
    </w:p>
    <w:p>
      <w:pPr>
        <w:shd w:val="clear"/>
        <w:autoSpaceDE w:val="0"/>
        <w:autoSpaceDN w:val="0"/>
        <w:adjustRightInd w:val="0"/>
        <w:snapToGrid w:val="0"/>
        <w:spacing w:line="360" w:lineRule="exact"/>
        <w:ind w:firstLine="420" w:firstLineChars="200"/>
        <w:rPr>
          <w:rFonts w:hint="eastAsia" w:hAnsi="宋体" w:eastAsia="宋体"/>
          <w:color w:val="auto"/>
          <w:kern w:val="0"/>
          <w:sz w:val="21"/>
          <w:szCs w:val="21"/>
          <w:highlight w:val="none"/>
          <w:lang w:eastAsia="zh-CN"/>
        </w:rPr>
      </w:pPr>
      <w:r>
        <w:rPr>
          <w:rFonts w:hAnsi="宋体"/>
          <w:color w:val="auto"/>
          <w:kern w:val="0"/>
          <w:sz w:val="21"/>
          <w:szCs w:val="21"/>
          <w:highlight w:val="none"/>
        </w:rPr>
        <w:t>（3）其他</w:t>
      </w:r>
      <w:r>
        <w:rPr>
          <w:rFonts w:hint="eastAsia" w:hAnsi="宋体"/>
          <w:color w:val="auto"/>
          <w:kern w:val="0"/>
          <w:sz w:val="21"/>
          <w:szCs w:val="21"/>
          <w:highlight w:val="none"/>
        </w:rPr>
        <w:t>方</w:t>
      </w:r>
      <w:r>
        <w:rPr>
          <w:rFonts w:hAnsi="宋体"/>
          <w:color w:val="auto"/>
          <w:kern w:val="0"/>
          <w:sz w:val="21"/>
          <w:szCs w:val="21"/>
          <w:highlight w:val="none"/>
        </w:rPr>
        <w:t>式:</w:t>
      </w:r>
      <w:r>
        <w:rPr>
          <w:rFonts w:hint="eastAsia" w:hAnsi="宋体"/>
          <w:b w:val="0"/>
          <w:bCs/>
          <w:color w:val="auto"/>
          <w:kern w:val="0"/>
          <w:sz w:val="21"/>
          <w:szCs w:val="21"/>
          <w:highlight w:val="none"/>
          <w:u w:val="single"/>
        </w:rPr>
        <w:t xml:space="preserve"> </w:t>
      </w:r>
      <w:r>
        <w:rPr>
          <w:rFonts w:hint="eastAsia" w:hAnsi="宋体"/>
          <w:b w:val="0"/>
          <w:bCs/>
          <w:color w:val="auto"/>
          <w:sz w:val="21"/>
          <w:szCs w:val="21"/>
          <w:highlight w:val="none"/>
          <w:u w:val="single"/>
        </w:rPr>
        <w:t xml:space="preserve">  </w:t>
      </w:r>
      <w:r>
        <w:rPr>
          <w:rFonts w:hint="eastAsia" w:hAnsi="宋体"/>
          <w:b w:val="0"/>
          <w:bCs/>
          <w:color w:val="auto"/>
          <w:kern w:val="0"/>
          <w:sz w:val="21"/>
          <w:szCs w:val="21"/>
          <w:highlight w:val="none"/>
          <w:u w:val="single"/>
        </w:rPr>
        <w:t>/</w:t>
      </w:r>
      <w:r>
        <w:rPr>
          <w:rFonts w:hAnsi="宋体"/>
          <w:b w:val="0"/>
          <w:bCs/>
          <w:color w:val="auto"/>
          <w:kern w:val="0"/>
          <w:sz w:val="21"/>
          <w:szCs w:val="21"/>
          <w:highlight w:val="none"/>
          <w:u w:val="single"/>
        </w:rPr>
        <w:t xml:space="preserve"> </w:t>
      </w:r>
      <w:r>
        <w:rPr>
          <w:rFonts w:hint="eastAsia" w:hAnsi="宋体"/>
          <w:b w:val="0"/>
          <w:bCs/>
          <w:color w:val="auto"/>
          <w:sz w:val="21"/>
          <w:szCs w:val="21"/>
          <w:highlight w:val="none"/>
          <w:u w:val="single"/>
        </w:rPr>
        <w:t xml:space="preserve">  </w:t>
      </w:r>
      <w:r>
        <w:rPr>
          <w:rFonts w:hint="eastAsia" w:hAnsi="宋体"/>
          <w:b w:val="0"/>
          <w:bCs/>
          <w:color w:val="auto"/>
          <w:sz w:val="21"/>
          <w:szCs w:val="21"/>
          <w:highlight w:val="none"/>
          <w:u w:val="none"/>
          <w:lang w:eastAsia="zh-CN"/>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 xml:space="preserve">15.3.2 质量保证金的扣留 </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质量保证金的扣留采取以下第</w:t>
      </w:r>
      <w:r>
        <w:rPr>
          <w:rFonts w:hAnsi="宋体"/>
          <w:color w:val="auto"/>
          <w:sz w:val="21"/>
          <w:szCs w:val="21"/>
          <w:highlight w:val="none"/>
          <w:u w:val="single"/>
        </w:rPr>
        <w:t xml:space="preserve"> </w:t>
      </w:r>
      <w:r>
        <w:rPr>
          <w:rFonts w:hint="eastAsia" w:hAnsi="宋体"/>
          <w:color w:val="auto"/>
          <w:sz w:val="21"/>
          <w:szCs w:val="21"/>
          <w:highlight w:val="none"/>
          <w:u w:val="single"/>
        </w:rPr>
        <w:t>3</w:t>
      </w:r>
      <w:r>
        <w:rPr>
          <w:rFonts w:hAnsi="宋体"/>
          <w:color w:val="auto"/>
          <w:sz w:val="21"/>
          <w:szCs w:val="21"/>
          <w:highlight w:val="none"/>
          <w:u w:val="single"/>
        </w:rPr>
        <w:t xml:space="preserve"> </w:t>
      </w:r>
      <w:r>
        <w:rPr>
          <w:rFonts w:hAnsi="宋体"/>
          <w:color w:val="auto"/>
          <w:sz w:val="21"/>
          <w:szCs w:val="21"/>
          <w:highlight w:val="none"/>
        </w:rPr>
        <w:t>种方式：</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（1）在支付工程进度款时逐次扣留，在此情形下，质量保证金的计算基数不包括预付款的支付、扣回以及价格调整的金额；</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（2）工程竣工结算时一次性扣留质量保证金；</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（3）其他扣留方式:</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结算完成后，单独递交给招标人</w:t>
      </w:r>
      <w:r>
        <w:rPr>
          <w:rFonts w:hAnsi="宋体"/>
          <w:color w:val="auto"/>
          <w:kern w:val="0"/>
          <w:sz w:val="21"/>
          <w:szCs w:val="21"/>
          <w:highlight w:val="none"/>
        </w:rPr>
        <w:t>。</w:t>
      </w:r>
    </w:p>
    <w:p>
      <w:pPr>
        <w:shd w:val="clear"/>
        <w:adjustRightInd w:val="0"/>
        <w:snapToGrid w:val="0"/>
        <w:spacing w:line="360" w:lineRule="exact"/>
        <w:ind w:firstLine="420" w:firstLineChars="200"/>
        <w:rPr>
          <w:rFonts w:hint="eastAsia" w:hAnsi="宋体"/>
          <w:color w:val="auto"/>
          <w:kern w:val="0"/>
          <w:sz w:val="21"/>
          <w:szCs w:val="21"/>
          <w:highlight w:val="none"/>
        </w:rPr>
      </w:pPr>
      <w:r>
        <w:rPr>
          <w:rFonts w:hAnsi="宋体"/>
          <w:color w:val="auto"/>
          <w:sz w:val="21"/>
          <w:szCs w:val="21"/>
          <w:highlight w:val="none"/>
        </w:rPr>
        <w:t>关于质量保证金的补充约定：</w:t>
      </w:r>
      <w:r>
        <w:rPr>
          <w:rFonts w:hint="eastAsia" w:hAnsi="宋体"/>
          <w:color w:val="auto"/>
          <w:sz w:val="21"/>
          <w:szCs w:val="21"/>
          <w:highlight w:val="none"/>
        </w:rPr>
        <w:t>/</w:t>
      </w:r>
    </w:p>
    <w:bookmarkEnd w:id="1328"/>
    <w:bookmarkEnd w:id="1329"/>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15.4保修</w:t>
      </w:r>
    </w:p>
    <w:bookmarkEnd w:id="1330"/>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15.4.1 保修责任</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sz w:val="21"/>
          <w:szCs w:val="21"/>
          <w:highlight w:val="none"/>
        </w:rPr>
        <w:t>工程保修期为：</w:t>
      </w:r>
      <w:r>
        <w:rPr>
          <w:rFonts w:hint="eastAsia" w:hAnsi="宋体" w:cs="仿宋"/>
          <w:bCs/>
          <w:color w:val="auto"/>
          <w:sz w:val="21"/>
          <w:szCs w:val="21"/>
          <w:highlight w:val="none"/>
          <w:u w:val="single"/>
        </w:rPr>
        <w:t>按工程质量保修书规定执行</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15.4.3 修复通知</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kern w:val="0"/>
          <w:sz w:val="21"/>
          <w:szCs w:val="21"/>
          <w:highlight w:val="none"/>
        </w:rPr>
        <w:t>承包人收到保修通知并到达工程现场的合理时间：</w:t>
      </w:r>
      <w:r>
        <w:rPr>
          <w:rFonts w:hint="eastAsia" w:hAnsi="宋体"/>
          <w:color w:val="auto"/>
          <w:kern w:val="0"/>
          <w:sz w:val="21"/>
          <w:szCs w:val="21"/>
          <w:highlight w:val="none"/>
          <w:u w:val="single"/>
        </w:rPr>
        <w:t>24小时</w:t>
      </w:r>
      <w:r>
        <w:rPr>
          <w:rFonts w:hAnsi="宋体"/>
          <w:color w:val="auto"/>
          <w:kern w:val="0"/>
          <w:sz w:val="21"/>
          <w:szCs w:val="21"/>
          <w:highlight w:val="none"/>
        </w:rPr>
        <w:t>。</w:t>
      </w:r>
      <w:r>
        <w:rPr>
          <w:rFonts w:hint="eastAsia" w:hAnsi="宋体"/>
          <w:color w:val="auto"/>
          <w:kern w:val="0"/>
          <w:sz w:val="21"/>
          <w:szCs w:val="21"/>
          <w:highlight w:val="none"/>
        </w:rPr>
        <w:t>发包人的</w:t>
      </w:r>
      <w:r>
        <w:rPr>
          <w:rFonts w:hAnsi="宋体"/>
          <w:color w:val="auto"/>
          <w:kern w:val="0"/>
          <w:sz w:val="21"/>
          <w:szCs w:val="21"/>
          <w:highlight w:val="none"/>
        </w:rPr>
        <w:t>保修通知</w:t>
      </w:r>
      <w:r>
        <w:rPr>
          <w:rFonts w:hint="eastAsia" w:hAnsi="宋体"/>
          <w:color w:val="auto"/>
          <w:kern w:val="0"/>
          <w:sz w:val="21"/>
          <w:szCs w:val="21"/>
          <w:highlight w:val="none"/>
        </w:rPr>
        <w:t>采用口头通知、书面通知、书面留置通知等方式，</w:t>
      </w:r>
      <w:r>
        <w:rPr>
          <w:rFonts w:hAnsi="宋体"/>
          <w:color w:val="auto"/>
          <w:kern w:val="0"/>
          <w:sz w:val="21"/>
          <w:szCs w:val="21"/>
          <w:highlight w:val="none"/>
        </w:rPr>
        <w:t>承包人</w:t>
      </w:r>
      <w:r>
        <w:rPr>
          <w:rFonts w:hint="eastAsia" w:hAnsi="宋体"/>
          <w:color w:val="auto"/>
          <w:kern w:val="0"/>
          <w:sz w:val="21"/>
          <w:szCs w:val="21"/>
          <w:highlight w:val="none"/>
        </w:rPr>
        <w:t>应无条件承认。</w:t>
      </w:r>
    </w:p>
    <w:bookmarkEnd w:id="1331"/>
    <w:bookmarkEnd w:id="1332"/>
    <w:bookmarkEnd w:id="1333"/>
    <w:bookmarkEnd w:id="1334"/>
    <w:p>
      <w:pPr>
        <w:pStyle w:val="6"/>
        <w:shd w:val="clear"/>
        <w:adjustRightInd w:val="0"/>
        <w:snapToGrid w:val="0"/>
        <w:spacing w:before="0" w:after="0" w:line="360" w:lineRule="exact"/>
        <w:rPr>
          <w:rFonts w:ascii="宋体" w:hAnsi="宋体"/>
          <w:color w:val="auto"/>
          <w:sz w:val="21"/>
          <w:szCs w:val="21"/>
          <w:highlight w:val="none"/>
        </w:rPr>
      </w:pPr>
      <w:bookmarkStart w:id="1357" w:name="_Toc351203648"/>
      <w:bookmarkStart w:id="1358" w:name="_Toc280868717"/>
      <w:bookmarkStart w:id="1359" w:name="_Toc280868718"/>
      <w:r>
        <w:rPr>
          <w:rFonts w:ascii="宋体" w:hAnsi="宋体"/>
          <w:color w:val="auto"/>
          <w:sz w:val="21"/>
          <w:szCs w:val="21"/>
          <w:highlight w:val="none"/>
        </w:rPr>
        <w:t>16. 违约</w:t>
      </w:r>
      <w:bookmarkEnd w:id="1357"/>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16.1 发包人违约</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16.1.1发包人违约的情形</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kern w:val="0"/>
          <w:sz w:val="21"/>
          <w:szCs w:val="21"/>
          <w:highlight w:val="none"/>
        </w:rPr>
        <w:t>发包人违约的其他情形：</w:t>
      </w:r>
      <w:r>
        <w:rPr>
          <w:rFonts w:hint="eastAsia" w:hAnsi="宋体" w:cs="仿宋"/>
          <w:bCs/>
          <w:color w:val="auto"/>
          <w:sz w:val="21"/>
          <w:szCs w:val="21"/>
          <w:highlight w:val="none"/>
          <w:u w:val="single"/>
        </w:rPr>
        <w:t>按通用条款执行</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16.1.2 发包人违约的责任</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发包人违约责任的承担方式和计算方法：</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kern w:val="0"/>
          <w:sz w:val="21"/>
          <w:szCs w:val="21"/>
          <w:highlight w:val="none"/>
        </w:rPr>
        <w:t>（1）因发包人原因未能在计划开工日期前7天内下达开工通知的违约责任：</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 xml:space="preserve">/ </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（2）因发包人原因未能按合同约定支付合同价款的违约责任：</w:t>
      </w:r>
      <w:r>
        <w:rPr>
          <w:rFonts w:hAnsi="宋体"/>
          <w:color w:val="auto"/>
          <w:kern w:val="0"/>
          <w:sz w:val="21"/>
          <w:szCs w:val="21"/>
          <w:highlight w:val="none"/>
          <w:u w:val="single"/>
        </w:rPr>
        <w:t>发包人超过约定的支付时间不支付工程款（进度款），承包人可向发包人发出要求付款的通知，发包人收到承包人通知后60日内仍不能按要求付款，可与承包人协商签订延期付款协议，经承包人同意后可延期支付</w:t>
      </w:r>
      <w:r>
        <w:rPr>
          <w:rFonts w:hint="eastAsia" w:hAnsi="宋体"/>
          <w:color w:val="auto"/>
          <w:kern w:val="0"/>
          <w:sz w:val="21"/>
          <w:szCs w:val="21"/>
          <w:highlight w:val="none"/>
          <w:u w:val="single"/>
        </w:rPr>
        <w:t>，并</w:t>
      </w:r>
      <w:r>
        <w:rPr>
          <w:rFonts w:hAnsi="宋体"/>
          <w:color w:val="auto"/>
          <w:kern w:val="0"/>
          <w:sz w:val="21"/>
          <w:szCs w:val="21"/>
          <w:highlight w:val="none"/>
          <w:u w:val="single"/>
        </w:rPr>
        <w:t>支付应付金额同期银行贷款利率计算的利息</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（3）发包人违反第10.1款</w:t>
      </w:r>
      <w:r>
        <w:rPr>
          <w:rFonts w:hint="eastAsia" w:hAnsi="宋体"/>
          <w:color w:val="auto"/>
          <w:kern w:val="0"/>
          <w:sz w:val="21"/>
          <w:szCs w:val="21"/>
          <w:highlight w:val="none"/>
        </w:rPr>
        <w:t>〔</w:t>
      </w:r>
      <w:r>
        <w:rPr>
          <w:rFonts w:hAnsi="宋体"/>
          <w:color w:val="auto"/>
          <w:kern w:val="0"/>
          <w:sz w:val="21"/>
          <w:szCs w:val="21"/>
          <w:highlight w:val="none"/>
        </w:rPr>
        <w:t>变更的范围</w:t>
      </w:r>
      <w:r>
        <w:rPr>
          <w:rFonts w:hint="eastAsia" w:hAnsi="宋体"/>
          <w:color w:val="auto"/>
          <w:kern w:val="0"/>
          <w:sz w:val="21"/>
          <w:szCs w:val="21"/>
          <w:highlight w:val="none"/>
        </w:rPr>
        <w:t>〕</w:t>
      </w:r>
      <w:r>
        <w:rPr>
          <w:rFonts w:hAnsi="宋体"/>
          <w:color w:val="auto"/>
          <w:kern w:val="0"/>
          <w:sz w:val="21"/>
          <w:szCs w:val="21"/>
          <w:highlight w:val="none"/>
        </w:rPr>
        <w:t>第（2）项约定，自行实施被取消的工作或转由他人实施的违约责任：</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 xml:space="preserve">/  </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（4）发包人提供的材料、工程设备的规格、数量或质量不符合合同约定，或因发包人原因导致交货日期延误或交货地点变更等情况的违约责任：</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kern w:val="0"/>
          <w:sz w:val="21"/>
          <w:szCs w:val="21"/>
          <w:highlight w:val="none"/>
        </w:rPr>
        <w:t>（5）因发包人违反合同约定造成暂停施工的违约责任：</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（6）发包人无正当理由没有在约定期限内发出复工指示，导致承包人无法复工的违约责任：</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（7）</w:t>
      </w:r>
      <w:r>
        <w:rPr>
          <w:rFonts w:hint="eastAsia" w:hAnsi="宋体"/>
          <w:color w:val="auto"/>
          <w:kern w:val="0"/>
          <w:sz w:val="21"/>
          <w:szCs w:val="21"/>
          <w:highlight w:val="none"/>
        </w:rPr>
        <w:t>其他：</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16.1.3 因发包人违约解除合同</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承包人按16.1.1项</w:t>
      </w:r>
      <w:r>
        <w:rPr>
          <w:rFonts w:hint="eastAsia" w:hAnsi="宋体"/>
          <w:color w:val="auto"/>
          <w:kern w:val="0"/>
          <w:sz w:val="21"/>
          <w:szCs w:val="21"/>
          <w:highlight w:val="none"/>
        </w:rPr>
        <w:t>〔</w:t>
      </w:r>
      <w:r>
        <w:rPr>
          <w:rFonts w:hAnsi="宋体"/>
          <w:color w:val="auto"/>
          <w:kern w:val="0"/>
          <w:sz w:val="21"/>
          <w:szCs w:val="21"/>
          <w:highlight w:val="none"/>
        </w:rPr>
        <w:t>发包人违约的情形</w:t>
      </w:r>
      <w:r>
        <w:rPr>
          <w:rFonts w:hint="eastAsia" w:hAnsi="宋体"/>
          <w:color w:val="auto"/>
          <w:kern w:val="0"/>
          <w:sz w:val="21"/>
          <w:szCs w:val="21"/>
          <w:highlight w:val="none"/>
        </w:rPr>
        <w:t>〕</w:t>
      </w:r>
      <w:r>
        <w:rPr>
          <w:rFonts w:hAnsi="宋体"/>
          <w:color w:val="auto"/>
          <w:kern w:val="0"/>
          <w:sz w:val="21"/>
          <w:szCs w:val="21"/>
          <w:highlight w:val="none"/>
        </w:rPr>
        <w:t>约定暂停施工满</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天后发包人仍不纠正其违约行为并致使合同目的不能实现的，承包人有权解除合同。</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16.2 承包人违约</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16.2.1 承包人违约的情形</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kern w:val="0"/>
          <w:sz w:val="21"/>
          <w:szCs w:val="21"/>
          <w:highlight w:val="none"/>
        </w:rPr>
        <w:t>承包人违约的其他情形：</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16.2.2承包人违约的责任</w:t>
      </w:r>
    </w:p>
    <w:p>
      <w:pPr>
        <w:shd w:val="clear"/>
        <w:adjustRightInd w:val="0"/>
        <w:snapToGrid w:val="0"/>
        <w:spacing w:line="360" w:lineRule="exact"/>
        <w:ind w:firstLine="420" w:firstLineChars="200"/>
        <w:rPr>
          <w:rFonts w:hint="eastAsia" w:hAnsi="宋体"/>
          <w:color w:val="auto"/>
          <w:kern w:val="0"/>
          <w:sz w:val="21"/>
          <w:szCs w:val="21"/>
          <w:highlight w:val="none"/>
        </w:rPr>
      </w:pPr>
      <w:r>
        <w:rPr>
          <w:rFonts w:hAnsi="宋体"/>
          <w:color w:val="auto"/>
          <w:kern w:val="0"/>
          <w:sz w:val="21"/>
          <w:szCs w:val="21"/>
          <w:highlight w:val="none"/>
        </w:rPr>
        <w:t>承包人违约责任的承担方式和计算方法：</w:t>
      </w:r>
    </w:p>
    <w:p>
      <w:pPr>
        <w:pStyle w:val="34"/>
        <w:shd w:val="clear"/>
        <w:adjustRightInd w:val="0"/>
        <w:snapToGrid w:val="0"/>
        <w:spacing w:line="340" w:lineRule="exact"/>
        <w:ind w:firstLine="420" w:firstLineChars="200"/>
        <w:rPr>
          <w:rFonts w:hAnsi="宋体"/>
          <w:color w:val="auto"/>
          <w:kern w:val="0"/>
          <w:highlight w:val="none"/>
        </w:rPr>
      </w:pPr>
      <w:r>
        <w:rPr>
          <w:rFonts w:hAnsi="宋体"/>
          <w:color w:val="auto"/>
          <w:kern w:val="0"/>
          <w:highlight w:val="none"/>
        </w:rPr>
        <w:t>（1）承包人违反合同约定进行转包或违法分包的违约责任：</w:t>
      </w:r>
      <w:r>
        <w:rPr>
          <w:rFonts w:hAnsi="宋体" w:cs="仿宋"/>
          <w:bCs/>
          <w:color w:val="auto"/>
          <w:highlight w:val="none"/>
          <w:u w:val="single"/>
        </w:rPr>
        <w:t>发包人有权解除合同，没收履约保证金，如给发包人造成的损失超过保证金数额的还应当对超过部份予以赔偿，并依法承担相应的法律责任；</w:t>
      </w:r>
    </w:p>
    <w:p>
      <w:pPr>
        <w:pStyle w:val="34"/>
        <w:shd w:val="clear"/>
        <w:adjustRightInd w:val="0"/>
        <w:snapToGrid w:val="0"/>
        <w:spacing w:line="340" w:lineRule="exact"/>
        <w:ind w:firstLine="420" w:firstLineChars="200"/>
        <w:rPr>
          <w:rFonts w:hAnsi="宋体"/>
          <w:color w:val="auto"/>
          <w:kern w:val="0"/>
          <w:highlight w:val="none"/>
        </w:rPr>
      </w:pPr>
      <w:r>
        <w:rPr>
          <w:rFonts w:hAnsi="宋体"/>
          <w:color w:val="auto"/>
          <w:kern w:val="0"/>
          <w:highlight w:val="none"/>
        </w:rPr>
        <w:t>（2）承包人违反合同约定采购和使用不合格的材料和工程设备的违约责任：</w:t>
      </w:r>
      <w:r>
        <w:rPr>
          <w:rFonts w:hint="eastAsia" w:hAnsi="宋体" w:cs="仿宋"/>
          <w:bCs/>
          <w:color w:val="auto"/>
          <w:highlight w:val="none"/>
          <w:u w:val="single"/>
        </w:rPr>
        <w:t>发包人有权要求承包人重新采购合格的</w:t>
      </w:r>
      <w:r>
        <w:rPr>
          <w:rFonts w:hAnsi="宋体" w:cs="仿宋"/>
          <w:bCs/>
          <w:color w:val="auto"/>
          <w:highlight w:val="none"/>
          <w:u w:val="single"/>
        </w:rPr>
        <w:t>材料和工程设备</w:t>
      </w:r>
      <w:r>
        <w:rPr>
          <w:rFonts w:hint="eastAsia" w:hAnsi="宋体" w:cs="仿宋"/>
          <w:bCs/>
          <w:color w:val="auto"/>
          <w:highlight w:val="none"/>
          <w:u w:val="single"/>
        </w:rPr>
        <w:t>，承包人必须及时改正并承担相应损失</w:t>
      </w:r>
      <w:r>
        <w:rPr>
          <w:rFonts w:hAnsi="宋体"/>
          <w:color w:val="auto"/>
          <w:kern w:val="0"/>
          <w:highlight w:val="none"/>
        </w:rPr>
        <w:t>；</w:t>
      </w:r>
    </w:p>
    <w:p>
      <w:pPr>
        <w:shd w:val="clear"/>
        <w:adjustRightInd w:val="0"/>
        <w:snapToGrid w:val="0"/>
        <w:spacing w:line="340" w:lineRule="exact"/>
        <w:ind w:firstLine="420" w:firstLineChars="200"/>
        <w:rPr>
          <w:rFonts w:hAnsi="宋体" w:cs="仿宋"/>
          <w:bCs/>
          <w:color w:val="auto"/>
          <w:sz w:val="21"/>
          <w:szCs w:val="21"/>
          <w:highlight w:val="none"/>
          <w:u w:val="single"/>
        </w:rPr>
      </w:pPr>
      <w:r>
        <w:rPr>
          <w:rFonts w:hAnsi="宋体"/>
          <w:color w:val="auto"/>
          <w:kern w:val="0"/>
          <w:sz w:val="21"/>
          <w:szCs w:val="21"/>
          <w:highlight w:val="none"/>
        </w:rPr>
        <w:t>（3）因承包人原因导致工程质量不符合合同要求的违约责任：</w:t>
      </w:r>
      <w:r>
        <w:rPr>
          <w:rFonts w:hAnsi="宋体" w:cs="仿宋"/>
          <w:bCs/>
          <w:color w:val="auto"/>
          <w:sz w:val="21"/>
          <w:szCs w:val="21"/>
          <w:highlight w:val="none"/>
          <w:u w:val="single"/>
        </w:rPr>
        <w:t>承包人必须严格按照施工图及工程施工验收规范等精心组织施工，严格把好每道工序的质量关，确保工程竣工验收达到合格等级。经验收，如有不合格工程，承包人应无条件返工、整改、采取相应的补救、修复措施，直至工程竣工验收合格，如无法修复或严重降低工程整体质量，则发包人有权扣除其全额质量履约保证金，并处以工程结算总造价的3%的违约金。并承担由此造成发包人的经济损失；如因此造成工期延误的，还应承担工期延误的违约责任。</w:t>
      </w:r>
    </w:p>
    <w:p>
      <w:pPr>
        <w:shd w:val="clear"/>
        <w:adjustRightInd w:val="0"/>
        <w:snapToGrid w:val="0"/>
        <w:spacing w:line="340" w:lineRule="exact"/>
        <w:ind w:firstLine="420" w:firstLineChars="200"/>
        <w:rPr>
          <w:rFonts w:hint="eastAsia" w:hAnsi="宋体" w:cs="仿宋"/>
          <w:bCs/>
          <w:color w:val="auto"/>
          <w:sz w:val="21"/>
          <w:szCs w:val="21"/>
          <w:highlight w:val="none"/>
          <w:u w:val="single"/>
        </w:rPr>
      </w:pPr>
      <w:r>
        <w:rPr>
          <w:rFonts w:hAnsi="宋体" w:cs="Arial"/>
          <w:color w:val="auto"/>
          <w:sz w:val="21"/>
          <w:szCs w:val="21"/>
          <w:highlight w:val="none"/>
          <w:u w:val="single"/>
        </w:rPr>
        <w:t>经监理单位检查或发包人抽检，发现承包人不按设计要求或者工程质量验收规范标准施工，有偷工减料现象，每发现一次，发包人有权对承包人罚款人民币5000元/次，并要求承包人及时整改，承包人应承担全部整改费用，直到质量合格为止。如果承包人屡教不改，发包人有权没收履约保证金并将其清退出场并解除合同。</w:t>
      </w:r>
    </w:p>
    <w:p>
      <w:pPr>
        <w:pStyle w:val="34"/>
        <w:shd w:val="clear"/>
        <w:adjustRightInd w:val="0"/>
        <w:snapToGrid w:val="0"/>
        <w:spacing w:line="340" w:lineRule="exact"/>
        <w:ind w:firstLine="420" w:firstLineChars="200"/>
        <w:rPr>
          <w:rFonts w:hint="eastAsia" w:hAnsi="宋体"/>
          <w:color w:val="auto"/>
          <w:kern w:val="0"/>
          <w:highlight w:val="none"/>
        </w:rPr>
      </w:pPr>
      <w:r>
        <w:rPr>
          <w:rFonts w:hAnsi="宋体"/>
          <w:color w:val="auto"/>
          <w:kern w:val="0"/>
          <w:highlight w:val="none"/>
        </w:rPr>
        <w:t>（4）承包人违反第8.9款</w:t>
      </w:r>
      <w:r>
        <w:rPr>
          <w:rFonts w:hint="eastAsia" w:hAnsi="宋体"/>
          <w:color w:val="auto"/>
          <w:kern w:val="0"/>
          <w:highlight w:val="none"/>
        </w:rPr>
        <w:t>〔</w:t>
      </w:r>
      <w:r>
        <w:rPr>
          <w:rFonts w:hAnsi="宋体"/>
          <w:color w:val="auto"/>
          <w:kern w:val="0"/>
          <w:highlight w:val="none"/>
        </w:rPr>
        <w:t>材料与设备专用</w:t>
      </w:r>
      <w:r>
        <w:rPr>
          <w:rFonts w:hint="eastAsia" w:hAnsi="宋体"/>
          <w:color w:val="auto"/>
          <w:kern w:val="0"/>
          <w:highlight w:val="none"/>
        </w:rPr>
        <w:t>要求〕</w:t>
      </w:r>
      <w:r>
        <w:rPr>
          <w:rFonts w:hAnsi="宋体"/>
          <w:color w:val="auto"/>
          <w:kern w:val="0"/>
          <w:highlight w:val="none"/>
        </w:rPr>
        <w:t>的约定，未经批准，私自将已按照合同约定进入施工现场的材料或设备撤离施工现场的违约责任：</w:t>
      </w:r>
      <w:r>
        <w:rPr>
          <w:rFonts w:hint="eastAsia" w:hAnsi="宋体" w:cs="仿宋"/>
          <w:bCs/>
          <w:color w:val="auto"/>
          <w:highlight w:val="none"/>
          <w:u w:val="single"/>
        </w:rPr>
        <w:t>承包人应及时停止撤离，并承担相应损失</w:t>
      </w:r>
      <w:r>
        <w:rPr>
          <w:rFonts w:hAnsi="宋体"/>
          <w:color w:val="auto"/>
          <w:kern w:val="0"/>
          <w:highlight w:val="none"/>
        </w:rPr>
        <w:t>；</w:t>
      </w:r>
    </w:p>
    <w:p>
      <w:pPr>
        <w:pStyle w:val="34"/>
        <w:shd w:val="clear"/>
        <w:adjustRightInd w:val="0"/>
        <w:snapToGrid w:val="0"/>
        <w:spacing w:line="360" w:lineRule="exact"/>
        <w:ind w:firstLine="420" w:firstLineChars="200"/>
        <w:rPr>
          <w:rFonts w:hint="eastAsia" w:hAnsi="宋体" w:cs="Arial"/>
          <w:b/>
          <w:color w:val="auto"/>
          <w:highlight w:val="none"/>
          <w:u w:val="single"/>
        </w:rPr>
      </w:pPr>
      <w:r>
        <w:rPr>
          <w:rFonts w:hAnsi="宋体"/>
          <w:color w:val="auto"/>
          <w:kern w:val="0"/>
          <w:highlight w:val="none"/>
        </w:rPr>
        <w:t>（5）承包人未能按施工进度计划及时完成合同约定的工作，造成工期延误的违约责任：</w:t>
      </w:r>
      <w:r>
        <w:rPr>
          <w:rFonts w:hAnsi="宋体" w:cs="Arial"/>
          <w:color w:val="auto"/>
          <w:highlight w:val="none"/>
          <w:u w:val="single"/>
        </w:rPr>
        <w:t>每延误一天，按</w:t>
      </w:r>
      <w:r>
        <w:rPr>
          <w:rFonts w:hint="eastAsia" w:hAnsi="宋体" w:cs="Arial"/>
          <w:color w:val="auto"/>
          <w:highlight w:val="none"/>
          <w:u w:val="single"/>
        </w:rPr>
        <w:t>2000元/天</w:t>
      </w:r>
      <w:r>
        <w:rPr>
          <w:rFonts w:hAnsi="宋体" w:cs="Arial"/>
          <w:color w:val="auto"/>
          <w:highlight w:val="none"/>
          <w:u w:val="single"/>
        </w:rPr>
        <w:t>向发包人支付违约金，工期延误超过</w:t>
      </w:r>
      <w:r>
        <w:rPr>
          <w:rFonts w:hint="eastAsia" w:hAnsi="宋体" w:cs="Arial"/>
          <w:color w:val="auto"/>
          <w:highlight w:val="none"/>
          <w:u w:val="single"/>
        </w:rPr>
        <w:t>2</w:t>
      </w:r>
      <w:r>
        <w:rPr>
          <w:rFonts w:hAnsi="宋体" w:cs="Arial"/>
          <w:color w:val="auto"/>
          <w:highlight w:val="none"/>
          <w:u w:val="single"/>
        </w:rPr>
        <w:t>0天的，发包人同时有权解除合同。</w:t>
      </w:r>
    </w:p>
    <w:p>
      <w:pPr>
        <w:shd w:val="clear"/>
        <w:adjustRightInd w:val="0"/>
        <w:snapToGrid w:val="0"/>
        <w:spacing w:line="360" w:lineRule="exact"/>
        <w:ind w:firstLine="420" w:firstLineChars="200"/>
        <w:rPr>
          <w:rFonts w:hint="eastAsia" w:hAnsi="宋体" w:cs="Arial"/>
          <w:color w:val="auto"/>
          <w:kern w:val="0"/>
          <w:sz w:val="21"/>
          <w:szCs w:val="21"/>
          <w:highlight w:val="none"/>
          <w:u w:val="single"/>
        </w:rPr>
      </w:pPr>
      <w:r>
        <w:rPr>
          <w:rFonts w:hAnsi="宋体"/>
          <w:color w:val="auto"/>
          <w:kern w:val="0"/>
          <w:sz w:val="21"/>
          <w:szCs w:val="21"/>
          <w:highlight w:val="none"/>
        </w:rPr>
        <w:t>（6）承包人在缺陷责任期及保修期内，未能在合理期限对工程缺陷进行修复，或拒绝按发包人要求进行修复的违约责任：</w:t>
      </w:r>
      <w:r>
        <w:rPr>
          <w:rFonts w:hAnsi="宋体" w:cs="Arial"/>
          <w:color w:val="auto"/>
          <w:kern w:val="0"/>
          <w:sz w:val="21"/>
          <w:szCs w:val="21"/>
          <w:highlight w:val="none"/>
          <w:u w:val="single"/>
        </w:rPr>
        <w:t>工程移交后，如发包人发现存在质量问题的，有权要求承包人及时维修，并赔偿给发包人带来的各种直接、间接经济损失。承包人不及时维修的，发包人有权代为扣除该保修金用于维修以及支付发包人的维修管理费用（按维修费用的15%计算），并在事后要求承包人补足缺额。</w:t>
      </w:r>
    </w:p>
    <w:p>
      <w:pPr>
        <w:shd w:val="clear"/>
        <w:adjustRightInd w:val="0"/>
        <w:snapToGrid w:val="0"/>
        <w:spacing w:line="360" w:lineRule="exact"/>
        <w:ind w:firstLine="420" w:firstLineChars="200"/>
        <w:rPr>
          <w:rFonts w:hAnsi="宋体" w:cs="Arial"/>
          <w:color w:val="auto"/>
          <w:kern w:val="0"/>
          <w:sz w:val="21"/>
          <w:szCs w:val="21"/>
          <w:highlight w:val="none"/>
          <w:u w:val="single"/>
        </w:rPr>
      </w:pPr>
      <w:r>
        <w:rPr>
          <w:rFonts w:hAnsi="宋体" w:cs="Arial"/>
          <w:color w:val="auto"/>
          <w:kern w:val="0"/>
          <w:sz w:val="21"/>
          <w:szCs w:val="21"/>
          <w:highlight w:val="none"/>
          <w:u w:val="single"/>
        </w:rPr>
        <w:t>工程移交后，如发包人发现存在重大质量问题的，有权扣除承包人的全部保修金，要求承包人及时维修，并赔偿给发包人带来的各种直接、间接经济损失。</w:t>
      </w:r>
    </w:p>
    <w:p>
      <w:pPr>
        <w:pStyle w:val="34"/>
        <w:shd w:val="clear"/>
        <w:adjustRightInd w:val="0"/>
        <w:snapToGrid w:val="0"/>
        <w:spacing w:line="360" w:lineRule="exact"/>
        <w:ind w:firstLine="420" w:firstLineChars="200"/>
        <w:rPr>
          <w:rFonts w:hint="eastAsia" w:hAnsi="宋体" w:cs="Arial"/>
          <w:color w:val="auto"/>
          <w:highlight w:val="none"/>
          <w:u w:val="single"/>
        </w:rPr>
      </w:pPr>
      <w:r>
        <w:rPr>
          <w:rFonts w:hAnsi="宋体" w:cs="Arial"/>
          <w:color w:val="auto"/>
          <w:highlight w:val="none"/>
          <w:u w:val="single"/>
        </w:rPr>
        <w:t>在国家规定的保修期外，如本工程出现质量问题系由承包人偷工减料或使用不合格原材料、成品、半成品（不包括甲供材料）引起的，发包人有权无限期追索，承包人应承担由此造成的一切损失。</w:t>
      </w:r>
    </w:p>
    <w:p>
      <w:pPr>
        <w:pStyle w:val="34"/>
        <w:shd w:val="clear"/>
        <w:adjustRightInd w:val="0"/>
        <w:snapToGrid w:val="0"/>
        <w:spacing w:line="340" w:lineRule="exact"/>
        <w:ind w:firstLine="420" w:firstLineChars="200"/>
        <w:rPr>
          <w:rFonts w:hAnsi="宋体"/>
          <w:color w:val="auto"/>
          <w:kern w:val="0"/>
          <w:highlight w:val="none"/>
        </w:rPr>
      </w:pPr>
      <w:r>
        <w:rPr>
          <w:rFonts w:hAnsi="宋体"/>
          <w:color w:val="auto"/>
          <w:kern w:val="0"/>
          <w:highlight w:val="none"/>
        </w:rPr>
        <w:t>（7）承包人明确表示或者以其行为表明不履行合同主要义务的违约责任：</w:t>
      </w:r>
      <w:r>
        <w:rPr>
          <w:rFonts w:hint="eastAsia" w:hAnsi="宋体"/>
          <w:color w:val="auto"/>
          <w:kern w:val="0"/>
          <w:highlight w:val="none"/>
          <w:u w:val="single"/>
        </w:rPr>
        <w:t>发包人有权终止合同，承包人承担发包人的一切损失</w:t>
      </w:r>
      <w:r>
        <w:rPr>
          <w:rFonts w:hAnsi="宋体"/>
          <w:color w:val="auto"/>
          <w:kern w:val="0"/>
          <w:highlight w:val="none"/>
          <w:u w:val="single"/>
        </w:rPr>
        <w:t>；</w:t>
      </w:r>
    </w:p>
    <w:p>
      <w:pPr>
        <w:pStyle w:val="34"/>
        <w:shd w:val="clear"/>
        <w:adjustRightInd w:val="0"/>
        <w:snapToGrid w:val="0"/>
        <w:spacing w:line="340" w:lineRule="exact"/>
        <w:ind w:firstLine="420" w:firstLineChars="200"/>
        <w:rPr>
          <w:rFonts w:hint="eastAsia" w:hAnsi="宋体"/>
          <w:color w:val="auto"/>
          <w:kern w:val="0"/>
          <w:highlight w:val="none"/>
        </w:rPr>
      </w:pPr>
      <w:r>
        <w:rPr>
          <w:rFonts w:hAnsi="宋体"/>
          <w:color w:val="auto"/>
          <w:kern w:val="0"/>
          <w:highlight w:val="none"/>
        </w:rPr>
        <w:t>（8）承包人未能按照合同约定履行其他义务的违约责任：</w:t>
      </w:r>
    </w:p>
    <w:p>
      <w:pPr>
        <w:numPr>
          <w:ilvl w:val="0"/>
          <w:numId w:val="2"/>
        </w:numPr>
        <w:shd w:val="clear"/>
        <w:adjustRightInd w:val="0"/>
        <w:snapToGrid w:val="0"/>
        <w:spacing w:line="360" w:lineRule="exact"/>
        <w:ind w:left="0" w:firstLine="420" w:firstLineChars="200"/>
        <w:rPr>
          <w:rFonts w:hAnsi="宋体" w:cs="Arial"/>
          <w:color w:val="auto"/>
          <w:kern w:val="0"/>
          <w:sz w:val="21"/>
          <w:szCs w:val="21"/>
          <w:highlight w:val="none"/>
          <w:u w:val="single"/>
        </w:rPr>
      </w:pPr>
      <w:r>
        <w:rPr>
          <w:rFonts w:hAnsi="宋体" w:cs="Arial"/>
          <w:color w:val="auto"/>
          <w:kern w:val="0"/>
          <w:sz w:val="21"/>
          <w:szCs w:val="21"/>
          <w:highlight w:val="none"/>
          <w:u w:val="single"/>
        </w:rPr>
        <w:t>由发包人或监理召集的例会和其它重要会议，承包人必须按发包人指定人选准时参加，无故缺席或迟到的，发包人有权视情节严重程度处以1000元的罚款，因此导致对会议内容不了解的，其后果由承包人自负，该笔罚款由发包人在结算中直接扣除；因此导致对会议内容不了解的，其后果由承包人自负。</w:t>
      </w:r>
    </w:p>
    <w:p>
      <w:pPr>
        <w:numPr>
          <w:ilvl w:val="0"/>
          <w:numId w:val="2"/>
        </w:numPr>
        <w:shd w:val="clear"/>
        <w:adjustRightInd w:val="0"/>
        <w:snapToGrid w:val="0"/>
        <w:spacing w:line="360" w:lineRule="exact"/>
        <w:ind w:left="0" w:firstLine="420" w:firstLineChars="200"/>
        <w:rPr>
          <w:rFonts w:hAnsi="宋体" w:cs="Arial"/>
          <w:color w:val="auto"/>
          <w:kern w:val="0"/>
          <w:sz w:val="21"/>
          <w:szCs w:val="21"/>
          <w:highlight w:val="none"/>
          <w:u w:val="single"/>
        </w:rPr>
      </w:pPr>
      <w:r>
        <w:rPr>
          <w:rFonts w:hAnsi="宋体" w:cs="Arial"/>
          <w:color w:val="auto"/>
          <w:kern w:val="0"/>
          <w:sz w:val="21"/>
          <w:szCs w:val="21"/>
          <w:highlight w:val="none"/>
          <w:u w:val="single"/>
        </w:rPr>
        <w:t>承包人必须无条件服从发包人及监理单位合理的现场管理，若项目班子主要人员由于工作态度等原因，使发包人及监理不满意的，发包人有权要求更换；发包人有权对承包人在施工中出现的恶意违规及不服从管理等行为进行1000-5000元/次的处罚，该笔罚款由发包人在结算中直接扣除；</w:t>
      </w:r>
    </w:p>
    <w:p>
      <w:pPr>
        <w:numPr>
          <w:ilvl w:val="0"/>
          <w:numId w:val="2"/>
        </w:numPr>
        <w:shd w:val="clear"/>
        <w:adjustRightInd w:val="0"/>
        <w:snapToGrid w:val="0"/>
        <w:spacing w:line="360" w:lineRule="exact"/>
        <w:ind w:left="0" w:firstLine="420" w:firstLineChars="200"/>
        <w:rPr>
          <w:rFonts w:hAnsi="宋体" w:cs="Arial"/>
          <w:color w:val="auto"/>
          <w:kern w:val="0"/>
          <w:sz w:val="21"/>
          <w:szCs w:val="21"/>
          <w:highlight w:val="none"/>
          <w:u w:val="single"/>
        </w:rPr>
      </w:pPr>
      <w:r>
        <w:rPr>
          <w:rFonts w:hAnsi="宋体" w:cs="Arial"/>
          <w:color w:val="auto"/>
          <w:kern w:val="0"/>
          <w:sz w:val="21"/>
          <w:szCs w:val="21"/>
          <w:highlight w:val="none"/>
          <w:u w:val="single"/>
        </w:rPr>
        <w:t>承包人在施工过程中不论遇到何种困难（发包人原因及不可抗力除外），均不得以任何理由（例如发包人未签证费用）擅自停工或变相停工，否则由此造成的一切后果和经济损失均由承包人承担，同时发包人有权处于</w:t>
      </w:r>
      <w:r>
        <w:rPr>
          <w:rFonts w:hint="eastAsia" w:hAnsi="宋体" w:cs="Arial"/>
          <w:color w:val="auto"/>
          <w:kern w:val="0"/>
          <w:sz w:val="21"/>
          <w:szCs w:val="21"/>
          <w:highlight w:val="none"/>
          <w:u w:val="single"/>
        </w:rPr>
        <w:t>5</w:t>
      </w:r>
      <w:r>
        <w:rPr>
          <w:rFonts w:hAnsi="宋体" w:cs="Arial"/>
          <w:color w:val="auto"/>
          <w:kern w:val="0"/>
          <w:sz w:val="21"/>
          <w:szCs w:val="21"/>
          <w:highlight w:val="none"/>
          <w:u w:val="single"/>
        </w:rPr>
        <w:t>000元/天的处罚，该笔罚款由发包人在结算中直接扣除；</w:t>
      </w:r>
    </w:p>
    <w:p>
      <w:pPr>
        <w:numPr>
          <w:ilvl w:val="0"/>
          <w:numId w:val="2"/>
        </w:numPr>
        <w:shd w:val="clear"/>
        <w:adjustRightInd w:val="0"/>
        <w:snapToGrid w:val="0"/>
        <w:spacing w:line="360" w:lineRule="exact"/>
        <w:ind w:left="0" w:firstLine="420" w:firstLineChars="200"/>
        <w:rPr>
          <w:rFonts w:hAnsi="宋体" w:cs="Arial"/>
          <w:color w:val="auto"/>
          <w:kern w:val="0"/>
          <w:sz w:val="21"/>
          <w:szCs w:val="21"/>
          <w:highlight w:val="none"/>
          <w:u w:val="single"/>
        </w:rPr>
      </w:pPr>
      <w:r>
        <w:rPr>
          <w:rFonts w:hAnsi="宋体" w:cs="Arial"/>
          <w:color w:val="auto"/>
          <w:kern w:val="0"/>
          <w:sz w:val="21"/>
          <w:szCs w:val="21"/>
          <w:highlight w:val="none"/>
          <w:u w:val="single"/>
        </w:rPr>
        <w:t>合同及本协议履行期间，承包人保证不拖欠民工工资，因拖欠民工工资造成的一切后果均由承包人承担。若发包人因此为承包人垫款支付的，承包人应按发包人垫付款项金额的30%向发包人偿付违约金，该笔违约金由发包人在结算中直接扣除；</w:t>
      </w:r>
    </w:p>
    <w:p>
      <w:pPr>
        <w:numPr>
          <w:ilvl w:val="0"/>
          <w:numId w:val="2"/>
        </w:numPr>
        <w:shd w:val="clear"/>
        <w:adjustRightInd w:val="0"/>
        <w:snapToGrid w:val="0"/>
        <w:spacing w:line="360" w:lineRule="exact"/>
        <w:ind w:left="0" w:firstLine="420" w:firstLineChars="200"/>
        <w:rPr>
          <w:rFonts w:hAnsi="宋体" w:cs="Arial"/>
          <w:color w:val="auto"/>
          <w:kern w:val="0"/>
          <w:sz w:val="21"/>
          <w:szCs w:val="21"/>
          <w:highlight w:val="none"/>
          <w:u w:val="single"/>
        </w:rPr>
      </w:pPr>
      <w:r>
        <w:rPr>
          <w:rFonts w:hAnsi="宋体" w:cs="Arial"/>
          <w:color w:val="auto"/>
          <w:kern w:val="0"/>
          <w:sz w:val="21"/>
          <w:szCs w:val="21"/>
          <w:highlight w:val="none"/>
          <w:u w:val="single"/>
        </w:rPr>
        <w:t xml:space="preserve">在合同履行过程中，若承包人的施工队伍素质、力量、机械配备、现场施工投入和管理未能履行投标书及询标纪要等相关文件中的承诺，不履行总包职责或分包与总包管理不协调，造成现场管理混乱，工程质量、进度、现场文明施工和安全生产达不到预定计划，发包人有权要求其调整充实力量，加强管理，承包人必须接受。当上述措施仍无效或未采取时，以承包人违约论处，发包人可终止本合同，将承包人清退出场，没收全部履约保证金，由此引起的工期延误责任及损失由承包人负责承担； </w:t>
      </w:r>
    </w:p>
    <w:p>
      <w:pPr>
        <w:numPr>
          <w:ilvl w:val="0"/>
          <w:numId w:val="2"/>
        </w:numPr>
        <w:shd w:val="clear"/>
        <w:adjustRightInd w:val="0"/>
        <w:snapToGrid w:val="0"/>
        <w:spacing w:line="360" w:lineRule="exact"/>
        <w:ind w:left="0" w:firstLine="420" w:firstLineChars="200"/>
        <w:rPr>
          <w:rFonts w:hint="eastAsia" w:hAnsi="宋体" w:cs="Arial"/>
          <w:color w:val="auto"/>
          <w:kern w:val="0"/>
          <w:sz w:val="21"/>
          <w:szCs w:val="21"/>
          <w:highlight w:val="none"/>
          <w:u w:val="single"/>
        </w:rPr>
      </w:pPr>
      <w:r>
        <w:rPr>
          <w:rFonts w:hAnsi="宋体" w:cs="Arial"/>
          <w:color w:val="auto"/>
          <w:kern w:val="0"/>
          <w:sz w:val="21"/>
          <w:szCs w:val="21"/>
          <w:highlight w:val="none"/>
          <w:u w:val="single"/>
        </w:rPr>
        <w:t>施工期间，承包人应严格实行隐蔽工程验收制度，如有未经监理方验收自行隐蔽，监理和发包人有权要求复验，所有费用由承包人承担，发包人有权视情节轻重对承包人处以人民币</w:t>
      </w:r>
      <w:r>
        <w:rPr>
          <w:rFonts w:hint="eastAsia" w:hAnsi="宋体" w:cs="Arial"/>
          <w:color w:val="auto"/>
          <w:kern w:val="0"/>
          <w:sz w:val="21"/>
          <w:szCs w:val="21"/>
          <w:highlight w:val="none"/>
          <w:u w:val="single"/>
        </w:rPr>
        <w:t>壹</w:t>
      </w:r>
      <w:r>
        <w:rPr>
          <w:rFonts w:hAnsi="宋体" w:cs="Arial"/>
          <w:color w:val="auto"/>
          <w:kern w:val="0"/>
          <w:sz w:val="21"/>
          <w:szCs w:val="21"/>
          <w:highlight w:val="none"/>
          <w:u w:val="single"/>
        </w:rPr>
        <w:t>万元/次的违约金，该笔违约金由发包人在结算中直接扣除；</w:t>
      </w:r>
    </w:p>
    <w:p>
      <w:pPr>
        <w:numPr>
          <w:ilvl w:val="0"/>
          <w:numId w:val="2"/>
        </w:numPr>
        <w:shd w:val="clear"/>
        <w:adjustRightInd w:val="0"/>
        <w:snapToGrid w:val="0"/>
        <w:spacing w:line="360" w:lineRule="exact"/>
        <w:ind w:left="0" w:firstLine="420" w:firstLineChars="200"/>
        <w:rPr>
          <w:rFonts w:hint="eastAsia" w:hAnsi="宋体" w:cs="Arial"/>
          <w:color w:val="auto"/>
          <w:kern w:val="0"/>
          <w:sz w:val="21"/>
          <w:szCs w:val="21"/>
          <w:highlight w:val="none"/>
          <w:u w:val="single"/>
        </w:rPr>
      </w:pPr>
      <w:r>
        <w:rPr>
          <w:rFonts w:hAnsi="宋体" w:cs="Arial"/>
          <w:color w:val="auto"/>
          <w:kern w:val="0"/>
          <w:sz w:val="21"/>
          <w:szCs w:val="21"/>
          <w:highlight w:val="none"/>
          <w:u w:val="single"/>
        </w:rPr>
        <w:t>承包人应确保工程安全进行，如工程实施过程中出现一般安全责任事故，承包人须向发包人支付人民币</w:t>
      </w:r>
      <w:r>
        <w:rPr>
          <w:rFonts w:hint="eastAsia" w:hAnsi="宋体" w:cs="Arial"/>
          <w:color w:val="auto"/>
          <w:kern w:val="0"/>
          <w:sz w:val="21"/>
          <w:szCs w:val="21"/>
          <w:highlight w:val="none"/>
          <w:u w:val="single"/>
        </w:rPr>
        <w:t>3</w:t>
      </w:r>
      <w:r>
        <w:rPr>
          <w:rFonts w:hAnsi="宋体" w:cs="Arial"/>
          <w:color w:val="auto"/>
          <w:kern w:val="0"/>
          <w:sz w:val="21"/>
          <w:szCs w:val="21"/>
          <w:highlight w:val="none"/>
          <w:u w:val="single"/>
        </w:rPr>
        <w:t>万元/起的违约金；出现较大及以上安全责任事故，承包人须向发包人支付人民币</w:t>
      </w:r>
      <w:r>
        <w:rPr>
          <w:rFonts w:hint="eastAsia" w:hAnsi="宋体" w:cs="Arial"/>
          <w:color w:val="auto"/>
          <w:kern w:val="0"/>
          <w:sz w:val="21"/>
          <w:szCs w:val="21"/>
          <w:highlight w:val="none"/>
          <w:u w:val="single"/>
        </w:rPr>
        <w:t>5</w:t>
      </w:r>
      <w:r>
        <w:rPr>
          <w:rFonts w:hAnsi="宋体" w:cs="Arial"/>
          <w:color w:val="auto"/>
          <w:kern w:val="0"/>
          <w:sz w:val="21"/>
          <w:szCs w:val="21"/>
          <w:highlight w:val="none"/>
          <w:u w:val="single"/>
        </w:rPr>
        <w:t>万元/起的违约金；所有安全事故的全部责任均由承包人承担；</w:t>
      </w:r>
    </w:p>
    <w:p>
      <w:pPr>
        <w:numPr>
          <w:ilvl w:val="0"/>
          <w:numId w:val="2"/>
        </w:numPr>
        <w:shd w:val="clear"/>
        <w:adjustRightInd w:val="0"/>
        <w:snapToGrid w:val="0"/>
        <w:spacing w:line="360" w:lineRule="exact"/>
        <w:ind w:left="0" w:firstLine="420" w:firstLineChars="200"/>
        <w:rPr>
          <w:rFonts w:hAnsi="宋体" w:cs="Arial"/>
          <w:color w:val="auto"/>
          <w:kern w:val="0"/>
          <w:sz w:val="21"/>
          <w:szCs w:val="21"/>
          <w:highlight w:val="none"/>
          <w:u w:val="single"/>
        </w:rPr>
      </w:pPr>
      <w:r>
        <w:rPr>
          <w:rFonts w:hAnsi="宋体" w:cs="Arial"/>
          <w:color w:val="auto"/>
          <w:kern w:val="0"/>
          <w:sz w:val="21"/>
          <w:szCs w:val="21"/>
          <w:highlight w:val="none"/>
          <w:u w:val="single"/>
        </w:rPr>
        <w:t>本合同履行过程中，承包人被处以罚款的，以实际行为发生之日为罚款缴纳的时间；</w:t>
      </w:r>
    </w:p>
    <w:p>
      <w:pPr>
        <w:numPr>
          <w:ilvl w:val="0"/>
          <w:numId w:val="2"/>
        </w:numPr>
        <w:shd w:val="clear"/>
        <w:adjustRightInd w:val="0"/>
        <w:snapToGrid w:val="0"/>
        <w:spacing w:line="360" w:lineRule="exact"/>
        <w:ind w:left="0" w:firstLine="420" w:firstLineChars="200"/>
        <w:rPr>
          <w:rFonts w:hAnsi="宋体" w:cs="Arial"/>
          <w:color w:val="auto"/>
          <w:kern w:val="0"/>
          <w:sz w:val="21"/>
          <w:szCs w:val="21"/>
          <w:highlight w:val="none"/>
          <w:u w:val="single"/>
        </w:rPr>
      </w:pPr>
      <w:r>
        <w:rPr>
          <w:rFonts w:hAnsi="宋体" w:cs="Arial"/>
          <w:color w:val="auto"/>
          <w:kern w:val="0"/>
          <w:sz w:val="21"/>
          <w:szCs w:val="21"/>
          <w:highlight w:val="none"/>
          <w:u w:val="single"/>
        </w:rPr>
        <w:t>本合同中的罚款特指惩罚性违约金，本合同约定的违约金、罚款及损失赔偿款，发包人有权从履约保证金或工程款中直接扣减。</w:t>
      </w:r>
    </w:p>
    <w:p>
      <w:pPr>
        <w:numPr>
          <w:ilvl w:val="0"/>
          <w:numId w:val="2"/>
        </w:numPr>
        <w:shd w:val="clear"/>
        <w:adjustRightInd w:val="0"/>
        <w:snapToGrid w:val="0"/>
        <w:spacing w:line="360" w:lineRule="exact"/>
        <w:ind w:left="0" w:firstLine="420" w:firstLineChars="200"/>
        <w:rPr>
          <w:rFonts w:hint="eastAsia" w:hAnsi="宋体" w:cs="Arial"/>
          <w:color w:val="auto"/>
          <w:kern w:val="0"/>
          <w:sz w:val="21"/>
          <w:szCs w:val="21"/>
          <w:highlight w:val="none"/>
          <w:u w:val="single"/>
        </w:rPr>
      </w:pPr>
      <w:r>
        <w:rPr>
          <w:rFonts w:hAnsi="宋体" w:cs="Arial"/>
          <w:color w:val="auto"/>
          <w:kern w:val="0"/>
          <w:sz w:val="21"/>
          <w:szCs w:val="21"/>
          <w:highlight w:val="none"/>
          <w:u w:val="single"/>
        </w:rPr>
        <w:t>合同生效后，承包人无正当理由，单方终止合同的，应向发包人承担违约责任，违约金按照合同总价的10%计取，并赔偿发包人因此造成的损失。</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16.2.3 因承包人违约解除合同</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kern w:val="0"/>
          <w:sz w:val="21"/>
          <w:szCs w:val="21"/>
          <w:highlight w:val="none"/>
        </w:rPr>
        <w:t>关于承包人违约解除合同的特别约定：</w:t>
      </w:r>
      <w:r>
        <w:rPr>
          <w:rFonts w:hAnsi="宋体"/>
          <w:color w:val="auto"/>
          <w:kern w:val="0"/>
          <w:sz w:val="21"/>
          <w:szCs w:val="21"/>
          <w:highlight w:val="none"/>
          <w:u w:val="single"/>
        </w:rPr>
        <w:t xml:space="preserve">   </w:t>
      </w:r>
      <w:r>
        <w:rPr>
          <w:rFonts w:hint="eastAsia" w:hAnsi="宋体"/>
          <w:color w:val="auto"/>
          <w:kern w:val="0"/>
          <w:sz w:val="21"/>
          <w:szCs w:val="21"/>
          <w:highlight w:val="none"/>
          <w:u w:val="single"/>
        </w:rPr>
        <w:t>/</w:t>
      </w:r>
      <w:r>
        <w:rPr>
          <w:rFonts w:hAnsi="宋体"/>
          <w:color w:val="auto"/>
          <w:kern w:val="0"/>
          <w:sz w:val="21"/>
          <w:szCs w:val="21"/>
          <w:highlight w:val="none"/>
          <w:u w:val="single"/>
        </w:rPr>
        <w:t xml:space="preserve">  </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kern w:val="0"/>
          <w:sz w:val="21"/>
          <w:szCs w:val="21"/>
          <w:highlight w:val="none"/>
        </w:rPr>
        <w:t>发包人</w:t>
      </w:r>
      <w:r>
        <w:rPr>
          <w:rFonts w:hint="eastAsia" w:hAnsi="宋体"/>
          <w:color w:val="auto"/>
          <w:kern w:val="0"/>
          <w:sz w:val="21"/>
          <w:szCs w:val="21"/>
          <w:highlight w:val="none"/>
        </w:rPr>
        <w:t>继续</w:t>
      </w:r>
      <w:r>
        <w:rPr>
          <w:rFonts w:hAnsi="宋体"/>
          <w:color w:val="auto"/>
          <w:kern w:val="0"/>
          <w:sz w:val="21"/>
          <w:szCs w:val="21"/>
          <w:highlight w:val="none"/>
        </w:rPr>
        <w:t>使用承包人在施工现场的材料、设备、临时工程、承包人文件和由承包人或以其名义编制的其他文件</w:t>
      </w:r>
      <w:r>
        <w:rPr>
          <w:rFonts w:hint="eastAsia" w:hAnsi="宋体"/>
          <w:color w:val="auto"/>
          <w:kern w:val="0"/>
          <w:sz w:val="21"/>
          <w:szCs w:val="21"/>
          <w:highlight w:val="none"/>
        </w:rPr>
        <w:t>的费用承担方式</w:t>
      </w:r>
      <w:r>
        <w:rPr>
          <w:rFonts w:hAnsi="宋体"/>
          <w:color w:val="auto"/>
          <w:kern w:val="0"/>
          <w:sz w:val="21"/>
          <w:szCs w:val="21"/>
          <w:highlight w:val="none"/>
        </w:rPr>
        <w:t>：</w:t>
      </w:r>
      <w:r>
        <w:rPr>
          <w:rFonts w:hint="eastAsia" w:hAnsi="宋体"/>
          <w:bCs/>
          <w:color w:val="auto"/>
          <w:kern w:val="0"/>
          <w:sz w:val="21"/>
          <w:szCs w:val="21"/>
          <w:highlight w:val="none"/>
          <w:u w:val="single"/>
        </w:rPr>
        <w:t>费用另行约定，由发包人承担</w:t>
      </w:r>
      <w:r>
        <w:rPr>
          <w:rFonts w:hint="eastAsia" w:hAnsi="宋体"/>
          <w:color w:val="auto"/>
          <w:kern w:val="0"/>
          <w:sz w:val="21"/>
          <w:szCs w:val="21"/>
          <w:highlight w:val="none"/>
        </w:rPr>
        <w:t>。</w:t>
      </w:r>
    </w:p>
    <w:p>
      <w:pPr>
        <w:pStyle w:val="6"/>
        <w:shd w:val="clear"/>
        <w:adjustRightInd w:val="0"/>
        <w:snapToGrid w:val="0"/>
        <w:spacing w:before="0" w:after="0" w:line="360" w:lineRule="exact"/>
        <w:rPr>
          <w:rFonts w:ascii="宋体" w:hAnsi="宋体"/>
          <w:color w:val="auto"/>
          <w:sz w:val="21"/>
          <w:szCs w:val="21"/>
          <w:highlight w:val="none"/>
        </w:rPr>
      </w:pPr>
      <w:bookmarkStart w:id="1360" w:name="_Toc351203649"/>
      <w:r>
        <w:rPr>
          <w:rFonts w:ascii="宋体" w:hAnsi="宋体"/>
          <w:color w:val="auto"/>
          <w:sz w:val="21"/>
          <w:szCs w:val="21"/>
          <w:highlight w:val="none"/>
        </w:rPr>
        <w:t>17. 不可抗力</w:t>
      </w:r>
      <w:bookmarkEnd w:id="1360"/>
      <w:r>
        <w:rPr>
          <w:rFonts w:ascii="宋体" w:hAnsi="宋体"/>
          <w:color w:val="auto"/>
          <w:sz w:val="21"/>
          <w:szCs w:val="21"/>
          <w:highlight w:val="none"/>
        </w:rPr>
        <w:t xml:space="preserve"> </w:t>
      </w:r>
      <w:bookmarkEnd w:id="1358"/>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17.1 不可抗力的确认</w:t>
      </w:r>
    </w:p>
    <w:p>
      <w:pPr>
        <w:shd w:val="clear"/>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sz w:val="21"/>
          <w:szCs w:val="21"/>
          <w:highlight w:val="none"/>
        </w:rPr>
        <w:t xml:space="preserve">除通用合同条款约定的不可抗力事件之外，视为不可抗力的其他情形： </w:t>
      </w:r>
      <w:r>
        <w:rPr>
          <w:rFonts w:hint="eastAsia" w:hAnsi="宋体"/>
          <w:color w:val="auto"/>
          <w:kern w:val="0"/>
          <w:sz w:val="21"/>
          <w:szCs w:val="21"/>
          <w:highlight w:val="none"/>
          <w:u w:val="single"/>
        </w:rPr>
        <w:t>按通用条款执行</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17.4 因不可抗力解除合同</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合同解除后，发包人应在商定或确定发包人应支付款项后</w:t>
      </w:r>
      <w:r>
        <w:rPr>
          <w:rFonts w:hAnsi="宋体"/>
          <w:color w:val="auto"/>
          <w:sz w:val="21"/>
          <w:szCs w:val="21"/>
          <w:highlight w:val="none"/>
          <w:u w:val="single"/>
        </w:rPr>
        <w:t xml:space="preserve">  </w:t>
      </w:r>
      <w:r>
        <w:rPr>
          <w:rFonts w:hint="eastAsia" w:hAnsi="宋体"/>
          <w:color w:val="auto"/>
          <w:sz w:val="21"/>
          <w:szCs w:val="21"/>
          <w:highlight w:val="none"/>
          <w:u w:val="single"/>
        </w:rPr>
        <w:t>28</w:t>
      </w:r>
      <w:r>
        <w:rPr>
          <w:rFonts w:hAnsi="宋体"/>
          <w:color w:val="auto"/>
          <w:sz w:val="21"/>
          <w:szCs w:val="21"/>
          <w:highlight w:val="none"/>
          <w:u w:val="single"/>
        </w:rPr>
        <w:t xml:space="preserve">  </w:t>
      </w:r>
      <w:r>
        <w:rPr>
          <w:rFonts w:hAnsi="宋体"/>
          <w:color w:val="auto"/>
          <w:sz w:val="21"/>
          <w:szCs w:val="21"/>
          <w:highlight w:val="none"/>
        </w:rPr>
        <w:t>天内完成款项的支付。</w:t>
      </w:r>
    </w:p>
    <w:p>
      <w:pPr>
        <w:pStyle w:val="6"/>
        <w:shd w:val="clear"/>
        <w:adjustRightInd w:val="0"/>
        <w:snapToGrid w:val="0"/>
        <w:spacing w:before="0" w:after="0" w:line="360" w:lineRule="exact"/>
        <w:rPr>
          <w:rFonts w:ascii="宋体" w:hAnsi="宋体"/>
          <w:color w:val="auto"/>
          <w:sz w:val="21"/>
          <w:szCs w:val="21"/>
          <w:highlight w:val="none"/>
        </w:rPr>
      </w:pPr>
      <w:bookmarkStart w:id="1361" w:name="_Toc351203650"/>
      <w:r>
        <w:rPr>
          <w:rFonts w:ascii="宋体" w:hAnsi="宋体"/>
          <w:color w:val="auto"/>
          <w:sz w:val="21"/>
          <w:szCs w:val="21"/>
          <w:highlight w:val="none"/>
        </w:rPr>
        <w:t>18. 保险</w:t>
      </w:r>
      <w:bookmarkEnd w:id="1361"/>
    </w:p>
    <w:bookmarkEnd w:id="1359"/>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18.1 工程保险</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关于工程保险的特别约定：</w:t>
      </w:r>
      <w:r>
        <w:rPr>
          <w:rFonts w:hint="eastAsia" w:hAnsi="宋体"/>
          <w:color w:val="auto"/>
          <w:kern w:val="0"/>
          <w:sz w:val="21"/>
          <w:szCs w:val="21"/>
          <w:highlight w:val="none"/>
          <w:u w:val="single"/>
        </w:rPr>
        <w:t>由承包人按规定办理农民工工伤保险、意外险、工程一切险等，保险费用由承包人承担</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18.3 其他保险</w:t>
      </w:r>
    </w:p>
    <w:p>
      <w:pPr>
        <w:shd w:val="clear"/>
        <w:adjustRightInd w:val="0"/>
        <w:snapToGrid w:val="0"/>
        <w:spacing w:line="360" w:lineRule="exact"/>
        <w:ind w:firstLine="420" w:firstLineChars="200"/>
        <w:rPr>
          <w:rFonts w:hAnsi="宋体"/>
          <w:color w:val="auto"/>
          <w:kern w:val="0"/>
          <w:sz w:val="21"/>
          <w:szCs w:val="21"/>
          <w:highlight w:val="none"/>
        </w:rPr>
      </w:pPr>
      <w:r>
        <w:rPr>
          <w:rFonts w:hAnsi="宋体"/>
          <w:color w:val="auto"/>
          <w:sz w:val="21"/>
          <w:szCs w:val="21"/>
          <w:highlight w:val="none"/>
        </w:rPr>
        <w:t>关于其他保险的约定：</w:t>
      </w:r>
      <w:r>
        <w:rPr>
          <w:rFonts w:hAnsi="宋体" w:cs="Arial"/>
          <w:color w:val="auto"/>
          <w:sz w:val="21"/>
          <w:szCs w:val="21"/>
          <w:highlight w:val="none"/>
          <w:u w:val="single"/>
        </w:rPr>
        <w:t>承包人为建设工程和施工场地内的自有人员设备及第三方生命财产办理保险并支付保险费用，费用已包含在总价内。施工期间所发生的一切与本工程有关的承包人的人员、财产等意外伤害、损失，由承包人承担全部责任和费用</w:t>
      </w:r>
      <w:r>
        <w:rPr>
          <w:rFonts w:hAnsi="宋体"/>
          <w:color w:val="auto"/>
          <w:kern w:val="0"/>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承包人是否应为其施工设备等办理财产保险：</w:t>
      </w:r>
      <w:r>
        <w:rPr>
          <w:rFonts w:hAnsi="宋体"/>
          <w:color w:val="auto"/>
          <w:sz w:val="21"/>
          <w:szCs w:val="21"/>
          <w:highlight w:val="none"/>
          <w:u w:val="single"/>
        </w:rPr>
        <w:t xml:space="preserve">  </w:t>
      </w:r>
      <w:r>
        <w:rPr>
          <w:rFonts w:hint="eastAsia" w:hAnsi="宋体"/>
          <w:color w:val="auto"/>
          <w:sz w:val="21"/>
          <w:szCs w:val="21"/>
          <w:highlight w:val="none"/>
          <w:u w:val="single"/>
        </w:rPr>
        <w:t>是</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18.7 通知义务</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kern w:val="0"/>
          <w:sz w:val="21"/>
          <w:szCs w:val="21"/>
          <w:highlight w:val="none"/>
        </w:rPr>
        <w:t>关于变更保险合同时的通知义务的约定：</w:t>
      </w:r>
      <w:r>
        <w:rPr>
          <w:rFonts w:hint="eastAsia" w:hAnsi="宋体" w:cs="仿宋"/>
          <w:bCs/>
          <w:color w:val="auto"/>
          <w:sz w:val="21"/>
          <w:szCs w:val="21"/>
          <w:highlight w:val="none"/>
          <w:u w:val="single"/>
        </w:rPr>
        <w:t>按通用条款执行</w:t>
      </w:r>
      <w:r>
        <w:rPr>
          <w:rFonts w:hAnsi="宋体"/>
          <w:color w:val="auto"/>
          <w:sz w:val="21"/>
          <w:szCs w:val="21"/>
          <w:highlight w:val="none"/>
        </w:rPr>
        <w:t>。</w:t>
      </w:r>
    </w:p>
    <w:bookmarkEnd w:id="1335"/>
    <w:bookmarkEnd w:id="1336"/>
    <w:bookmarkEnd w:id="1337"/>
    <w:bookmarkEnd w:id="1338"/>
    <w:bookmarkEnd w:id="1339"/>
    <w:bookmarkEnd w:id="1340"/>
    <w:bookmarkEnd w:id="1341"/>
    <w:bookmarkEnd w:id="1342"/>
    <w:bookmarkEnd w:id="1343"/>
    <w:bookmarkEnd w:id="1344"/>
    <w:bookmarkEnd w:id="1345"/>
    <w:bookmarkEnd w:id="1346"/>
    <w:p>
      <w:pPr>
        <w:pStyle w:val="6"/>
        <w:shd w:val="clear"/>
        <w:adjustRightInd w:val="0"/>
        <w:snapToGrid w:val="0"/>
        <w:spacing w:before="0" w:after="0" w:line="360" w:lineRule="exact"/>
        <w:rPr>
          <w:rFonts w:ascii="宋体" w:hAnsi="宋体"/>
          <w:color w:val="auto"/>
          <w:sz w:val="21"/>
          <w:szCs w:val="21"/>
          <w:highlight w:val="none"/>
        </w:rPr>
      </w:pPr>
      <w:bookmarkStart w:id="1362" w:name="_Toc351203651"/>
      <w:r>
        <w:rPr>
          <w:rFonts w:ascii="宋体" w:hAnsi="宋体"/>
          <w:color w:val="auto"/>
          <w:sz w:val="21"/>
          <w:szCs w:val="21"/>
          <w:highlight w:val="none"/>
        </w:rPr>
        <w:t>20. 争议解决</w:t>
      </w:r>
      <w:bookmarkEnd w:id="1362"/>
    </w:p>
    <w:bookmarkEnd w:id="1347"/>
    <w:bookmarkEnd w:id="1348"/>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20.3 争</w:t>
      </w:r>
      <w:bookmarkEnd w:id="1349"/>
      <w:r>
        <w:rPr>
          <w:rFonts w:hAnsi="宋体"/>
          <w:color w:val="auto"/>
          <w:sz w:val="21"/>
          <w:szCs w:val="21"/>
          <w:highlight w:val="none"/>
        </w:rPr>
        <w:t>议评审</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合同当事人是否同意将工程争议提交争议评审小组决</w:t>
      </w:r>
      <w:r>
        <w:rPr>
          <w:rFonts w:hint="eastAsia" w:hAnsi="宋体"/>
          <w:color w:val="auto"/>
          <w:sz w:val="21"/>
          <w:szCs w:val="21"/>
          <w:highlight w:val="none"/>
        </w:rPr>
        <w:t>定：</w:t>
      </w:r>
      <w:r>
        <w:rPr>
          <w:rFonts w:hint="eastAsia" w:hAnsi="宋体"/>
          <w:color w:val="auto"/>
          <w:sz w:val="21"/>
          <w:szCs w:val="21"/>
          <w:highlight w:val="none"/>
          <w:u w:val="single"/>
        </w:rPr>
        <w:t xml:space="preserve">  否  </w:t>
      </w:r>
      <w:r>
        <w:rPr>
          <w:rFonts w:hint="eastAsia" w:hAnsi="宋体"/>
          <w:color w:val="auto"/>
          <w:sz w:val="21"/>
          <w:szCs w:val="21"/>
          <w:highlight w:val="none"/>
        </w:rPr>
        <w:t xml:space="preserve">。  </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20.3.1 争议评审小组的确定</w:t>
      </w:r>
    </w:p>
    <w:p>
      <w:pPr>
        <w:shd w:val="clear"/>
        <w:adjustRightInd w:val="0"/>
        <w:snapToGrid w:val="0"/>
        <w:spacing w:line="360" w:lineRule="exact"/>
        <w:ind w:firstLine="420" w:firstLineChars="200"/>
        <w:rPr>
          <w:rFonts w:hAnsi="宋体"/>
          <w:color w:val="auto"/>
          <w:sz w:val="21"/>
          <w:szCs w:val="21"/>
          <w:highlight w:val="none"/>
          <w:u w:val="single"/>
        </w:rPr>
      </w:pPr>
      <w:r>
        <w:rPr>
          <w:rFonts w:hAnsi="宋体"/>
          <w:color w:val="auto"/>
          <w:sz w:val="21"/>
          <w:szCs w:val="21"/>
          <w:highlight w:val="none"/>
        </w:rPr>
        <w:t>争议评审小组成员的确定：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选定争议评审员的期限：</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争议评审小组成员的报酬承担方式：</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其他事项的约定：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utoSpaceDE w:val="0"/>
        <w:autoSpaceDN w:val="0"/>
        <w:adjustRightInd w:val="0"/>
        <w:snapToGrid w:val="0"/>
        <w:spacing w:line="360" w:lineRule="exact"/>
        <w:ind w:firstLine="420" w:firstLineChars="200"/>
        <w:rPr>
          <w:rFonts w:hAnsi="宋体"/>
          <w:color w:val="auto"/>
          <w:kern w:val="0"/>
          <w:sz w:val="21"/>
          <w:szCs w:val="21"/>
          <w:highlight w:val="none"/>
          <w:u w:val="single"/>
        </w:rPr>
      </w:pPr>
      <w:r>
        <w:rPr>
          <w:rFonts w:hAnsi="宋体"/>
          <w:color w:val="auto"/>
          <w:kern w:val="0"/>
          <w:sz w:val="21"/>
          <w:szCs w:val="21"/>
          <w:highlight w:val="none"/>
        </w:rPr>
        <w:t>20.3.2 争议评审小组的决定</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合同当事人关于本项的约定：</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20.4仲裁或诉讼</w:t>
      </w:r>
      <w:bookmarkEnd w:id="1350"/>
    </w:p>
    <w:p>
      <w:pPr>
        <w:shd w:val="clear"/>
        <w:adjustRightInd w:val="0"/>
        <w:snapToGrid w:val="0"/>
        <w:spacing w:line="360" w:lineRule="exact"/>
        <w:ind w:firstLine="420" w:firstLineChars="200"/>
        <w:rPr>
          <w:rFonts w:hAnsi="宋体"/>
          <w:color w:val="auto"/>
          <w:sz w:val="21"/>
          <w:szCs w:val="21"/>
          <w:highlight w:val="none"/>
        </w:rPr>
      </w:pPr>
      <w:r>
        <w:rPr>
          <w:rFonts w:hint="eastAsia" w:hAnsi="宋体"/>
          <w:color w:val="auto"/>
          <w:sz w:val="21"/>
          <w:szCs w:val="21"/>
          <w:highlight w:val="none"/>
        </w:rPr>
        <w:t>因合同及合同有关事项发生的争议，双方当事人一致同意提交杭州仲裁委员会申请仲裁；但双方当事人特别约定下列解决方式中第</w:t>
      </w:r>
      <w:r>
        <w:rPr>
          <w:rFonts w:hAnsi="宋体"/>
          <w:color w:val="auto"/>
          <w:sz w:val="21"/>
          <w:szCs w:val="21"/>
          <w:highlight w:val="none"/>
          <w:u w:val="single"/>
        </w:rPr>
        <w:t xml:space="preserve"> </w:t>
      </w:r>
      <w:r>
        <w:rPr>
          <w:rFonts w:hint="eastAsia" w:hAnsi="宋体"/>
          <w:color w:val="auto"/>
          <w:sz w:val="21"/>
          <w:szCs w:val="21"/>
          <w:highlight w:val="none"/>
          <w:u w:val="single"/>
        </w:rPr>
        <w:t>1</w:t>
      </w:r>
      <w:r>
        <w:rPr>
          <w:rFonts w:hAnsi="宋体"/>
          <w:color w:val="auto"/>
          <w:sz w:val="21"/>
          <w:szCs w:val="21"/>
          <w:highlight w:val="none"/>
          <w:u w:val="single"/>
        </w:rPr>
        <w:t xml:space="preserve">  </w:t>
      </w:r>
      <w:r>
        <w:rPr>
          <w:rFonts w:hAnsi="宋体"/>
          <w:color w:val="auto"/>
          <w:sz w:val="21"/>
          <w:szCs w:val="21"/>
          <w:highlight w:val="none"/>
        </w:rPr>
        <w:t>种方式</w:t>
      </w:r>
      <w:r>
        <w:rPr>
          <w:rFonts w:hint="eastAsia" w:hAnsi="宋体"/>
          <w:color w:val="auto"/>
          <w:sz w:val="21"/>
          <w:szCs w:val="21"/>
          <w:highlight w:val="none"/>
        </w:rPr>
        <w:t>解</w:t>
      </w:r>
      <w:r>
        <w:rPr>
          <w:rFonts w:hAnsi="宋体"/>
          <w:color w:val="auto"/>
          <w:sz w:val="21"/>
          <w:szCs w:val="21"/>
          <w:highlight w:val="none"/>
        </w:rPr>
        <w:t>决</w:t>
      </w:r>
      <w:r>
        <w:rPr>
          <w:rFonts w:hint="eastAsia" w:hAnsi="宋体"/>
          <w:color w:val="auto"/>
          <w:sz w:val="21"/>
          <w:szCs w:val="21"/>
          <w:highlight w:val="none"/>
        </w:rPr>
        <w:t>争议的除外</w:t>
      </w:r>
      <w:r>
        <w:rPr>
          <w:rFonts w:hAnsi="宋体"/>
          <w:color w:val="auto"/>
          <w:sz w:val="21"/>
          <w:szCs w:val="21"/>
          <w:highlight w:val="none"/>
        </w:rPr>
        <w:t>：</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（1）</w:t>
      </w:r>
      <w:r>
        <w:rPr>
          <w:rFonts w:hint="eastAsia" w:hAnsi="宋体"/>
          <w:color w:val="auto"/>
          <w:sz w:val="21"/>
          <w:szCs w:val="21"/>
          <w:highlight w:val="none"/>
        </w:rPr>
        <w:t>提交</w:t>
      </w:r>
      <w:r>
        <w:rPr>
          <w:rFonts w:hAnsi="宋体"/>
          <w:color w:val="auto"/>
          <w:sz w:val="21"/>
          <w:szCs w:val="21"/>
          <w:highlight w:val="none"/>
          <w:u w:val="single"/>
        </w:rPr>
        <w:t xml:space="preserve"> </w:t>
      </w:r>
      <w:r>
        <w:rPr>
          <w:rFonts w:hint="eastAsia" w:hAnsi="宋体"/>
          <w:color w:val="auto"/>
          <w:sz w:val="21"/>
          <w:szCs w:val="21"/>
          <w:highlight w:val="none"/>
          <w:u w:val="single"/>
        </w:rPr>
        <w:t xml:space="preserve"> 杭州</w:t>
      </w:r>
      <w:r>
        <w:rPr>
          <w:rFonts w:hAnsi="宋体"/>
          <w:color w:val="auto"/>
          <w:sz w:val="21"/>
          <w:szCs w:val="21"/>
          <w:highlight w:val="none"/>
          <w:u w:val="single"/>
        </w:rPr>
        <w:t xml:space="preserve">   </w:t>
      </w:r>
      <w:r>
        <w:rPr>
          <w:rFonts w:hAnsi="宋体"/>
          <w:color w:val="auto"/>
          <w:sz w:val="21"/>
          <w:szCs w:val="21"/>
          <w:highlight w:val="none"/>
        </w:rPr>
        <w:t>仲裁委员会</w:t>
      </w:r>
      <w:r>
        <w:rPr>
          <w:rFonts w:hint="eastAsia" w:hAnsi="宋体"/>
          <w:color w:val="auto"/>
          <w:sz w:val="21"/>
          <w:szCs w:val="21"/>
          <w:highlight w:val="none"/>
        </w:rPr>
        <w:t>申请</w:t>
      </w:r>
      <w:r>
        <w:rPr>
          <w:rFonts w:hAnsi="宋体"/>
          <w:color w:val="auto"/>
          <w:sz w:val="21"/>
          <w:szCs w:val="21"/>
          <w:highlight w:val="none"/>
        </w:rPr>
        <w:t>仲裁；</w:t>
      </w:r>
    </w:p>
    <w:p>
      <w:pPr>
        <w:shd w:val="clear"/>
        <w:adjustRightInd w:val="0"/>
        <w:snapToGrid w:val="0"/>
        <w:spacing w:line="360" w:lineRule="exact"/>
        <w:ind w:firstLine="420" w:firstLineChars="200"/>
        <w:rPr>
          <w:rFonts w:hAnsi="宋体"/>
          <w:color w:val="auto"/>
          <w:sz w:val="21"/>
          <w:szCs w:val="21"/>
          <w:highlight w:val="none"/>
        </w:rPr>
      </w:pPr>
      <w:r>
        <w:rPr>
          <w:rFonts w:hAnsi="宋体"/>
          <w:color w:val="auto"/>
          <w:sz w:val="21"/>
          <w:szCs w:val="21"/>
          <w:highlight w:val="none"/>
        </w:rPr>
        <w:t>（2）</w:t>
      </w:r>
      <w:r>
        <w:rPr>
          <w:rFonts w:hint="eastAsia" w:hAnsi="宋体"/>
          <w:color w:val="auto"/>
          <w:sz w:val="21"/>
          <w:szCs w:val="21"/>
          <w:highlight w:val="none"/>
        </w:rPr>
        <w:t>依法</w:t>
      </w:r>
      <w:r>
        <w:rPr>
          <w:rFonts w:hAnsi="宋体"/>
          <w:color w:val="auto"/>
          <w:sz w:val="21"/>
          <w:szCs w:val="21"/>
          <w:highlight w:val="none"/>
        </w:rPr>
        <w:t>向</w:t>
      </w:r>
      <w:r>
        <w:rPr>
          <w:rFonts w:hAnsi="宋体"/>
          <w:color w:val="auto"/>
          <w:sz w:val="21"/>
          <w:szCs w:val="21"/>
          <w:highlight w:val="none"/>
          <w:u w:val="single"/>
        </w:rPr>
        <w:t xml:space="preserve">   </w:t>
      </w:r>
      <w:r>
        <w:rPr>
          <w:rFonts w:hint="eastAsia" w:hAnsi="宋体"/>
          <w:color w:val="auto"/>
          <w:sz w:val="21"/>
          <w:szCs w:val="21"/>
          <w:highlight w:val="none"/>
          <w:u w:val="single"/>
        </w:rPr>
        <w:t>/</w:t>
      </w:r>
      <w:r>
        <w:rPr>
          <w:rFonts w:hAnsi="宋体"/>
          <w:color w:val="auto"/>
          <w:sz w:val="21"/>
          <w:szCs w:val="21"/>
          <w:highlight w:val="none"/>
          <w:u w:val="single"/>
        </w:rPr>
        <w:t xml:space="preserve">  </w:t>
      </w:r>
      <w:r>
        <w:rPr>
          <w:rFonts w:hAnsi="宋体"/>
          <w:color w:val="auto"/>
          <w:sz w:val="21"/>
          <w:szCs w:val="21"/>
          <w:highlight w:val="none"/>
        </w:rPr>
        <w:t>人民法院起诉。</w:t>
      </w:r>
      <w:bookmarkEnd w:id="1351"/>
      <w:bookmarkEnd w:id="1352"/>
      <w:bookmarkEnd w:id="1353"/>
      <w:bookmarkEnd w:id="1354"/>
      <w:bookmarkEnd w:id="1355"/>
      <w:bookmarkEnd w:id="1356"/>
    </w:p>
    <w:p>
      <w:pPr>
        <w:pStyle w:val="6"/>
        <w:shd w:val="clear"/>
        <w:adjustRightInd w:val="0"/>
        <w:snapToGrid w:val="0"/>
        <w:spacing w:before="0" w:after="0" w:line="360" w:lineRule="exact"/>
        <w:rPr>
          <w:rFonts w:hint="eastAsia" w:ascii="宋体" w:hAnsi="宋体"/>
          <w:color w:val="auto"/>
          <w:sz w:val="21"/>
          <w:szCs w:val="21"/>
          <w:highlight w:val="none"/>
        </w:rPr>
      </w:pPr>
      <w:r>
        <w:rPr>
          <w:rFonts w:hint="eastAsia" w:ascii="宋体" w:hAnsi="宋体"/>
          <w:color w:val="auto"/>
          <w:sz w:val="21"/>
          <w:szCs w:val="21"/>
          <w:highlight w:val="none"/>
        </w:rPr>
        <w:t>21．其他补充事项的约定</w:t>
      </w:r>
    </w:p>
    <w:p>
      <w:pPr>
        <w:pStyle w:val="34"/>
        <w:shd w:val="clear"/>
        <w:spacing w:line="360" w:lineRule="auto"/>
        <w:ind w:left="-59" w:leftChars="-28" w:firstLine="420" w:firstLineChars="200"/>
        <w:jc w:val="left"/>
        <w:rPr>
          <w:rFonts w:hint="eastAsia" w:hAnsi="宋体"/>
          <w:color w:val="auto"/>
          <w:highlight w:val="none"/>
          <w:u w:val="single"/>
        </w:rPr>
      </w:pPr>
      <w:r>
        <w:rPr>
          <w:rFonts w:hint="eastAsia" w:hAnsi="宋体"/>
          <w:color w:val="auto"/>
          <w:highlight w:val="none"/>
          <w:u w:val="single"/>
        </w:rPr>
        <w:t>（1）承包人违约，造成合同终止，将扣除全部履约保证金，并赔偿由此给发包人造成的直接经济损失。</w:t>
      </w:r>
    </w:p>
    <w:p>
      <w:pPr>
        <w:pStyle w:val="34"/>
        <w:shd w:val="clear"/>
        <w:spacing w:line="360" w:lineRule="auto"/>
        <w:ind w:left="-59" w:leftChars="-28" w:firstLine="420" w:firstLineChars="200"/>
        <w:jc w:val="left"/>
        <w:rPr>
          <w:rFonts w:hint="eastAsia" w:hAnsi="宋体"/>
          <w:color w:val="auto"/>
          <w:highlight w:val="none"/>
          <w:u w:val="single"/>
        </w:rPr>
      </w:pPr>
      <w:r>
        <w:rPr>
          <w:rFonts w:hint="eastAsia" w:hAnsi="宋体"/>
          <w:color w:val="auto"/>
          <w:highlight w:val="none"/>
          <w:u w:val="single"/>
        </w:rPr>
        <w:t>（2）承包人必须按期如实支付民工的劳动工资，发包人有权监督承包人对于民工工资的发放，并按相关规定处理，如发生因民工的劳动工资拖欠问题给发包人造成不良社会影响将追究一切责任。</w:t>
      </w:r>
    </w:p>
    <w:p>
      <w:pPr>
        <w:pStyle w:val="34"/>
        <w:shd w:val="clear"/>
        <w:spacing w:line="360" w:lineRule="auto"/>
        <w:ind w:left="-59" w:leftChars="-28" w:firstLine="420" w:firstLineChars="200"/>
        <w:jc w:val="left"/>
        <w:rPr>
          <w:rFonts w:hint="eastAsia" w:hAnsi="宋体"/>
          <w:color w:val="auto"/>
          <w:highlight w:val="none"/>
          <w:u w:val="single"/>
        </w:rPr>
      </w:pPr>
      <w:r>
        <w:rPr>
          <w:rFonts w:hint="eastAsia" w:hAnsi="宋体"/>
          <w:color w:val="auto"/>
          <w:highlight w:val="none"/>
          <w:u w:val="single"/>
        </w:rPr>
        <w:t>（3）承包人必须保证施工过程所提出的签证内容是合法的、真实的，并不由于发包人和监理工程师的确认而免除承包人的责任。</w:t>
      </w:r>
    </w:p>
    <w:p>
      <w:pPr>
        <w:pStyle w:val="34"/>
        <w:shd w:val="clear"/>
        <w:spacing w:line="360" w:lineRule="auto"/>
        <w:ind w:left="-59" w:leftChars="-28" w:firstLine="420" w:firstLineChars="200"/>
        <w:jc w:val="left"/>
        <w:rPr>
          <w:rFonts w:hint="eastAsia" w:hAnsi="宋体"/>
          <w:color w:val="auto"/>
          <w:highlight w:val="none"/>
          <w:u w:val="single"/>
        </w:rPr>
      </w:pPr>
      <w:r>
        <w:rPr>
          <w:rFonts w:hint="eastAsia" w:hAnsi="宋体"/>
          <w:color w:val="auto"/>
          <w:highlight w:val="none"/>
          <w:u w:val="single"/>
        </w:rPr>
        <w:t>（4）</w:t>
      </w:r>
      <w:r>
        <w:rPr>
          <w:rFonts w:hint="eastAsia" w:hAnsi="宋体"/>
          <w:b/>
          <w:color w:val="auto"/>
          <w:highlight w:val="none"/>
          <w:u w:val="single"/>
        </w:rPr>
        <w:t>承包人应按国家及省市相关文件规定做好疫情防控，费用包括在投标报价中。</w:t>
      </w:r>
    </w:p>
    <w:p>
      <w:pPr>
        <w:shd w:val="clear"/>
        <w:spacing w:line="400" w:lineRule="exact"/>
        <w:jc w:val="left"/>
        <w:rPr>
          <w:rFonts w:hint="eastAsia" w:hAnsi="宋体"/>
          <w:b/>
          <w:color w:val="auto"/>
          <w:sz w:val="21"/>
          <w:szCs w:val="21"/>
          <w:highlight w:val="none"/>
        </w:rPr>
      </w:pPr>
      <w:r>
        <w:rPr>
          <w:rFonts w:hint="eastAsia" w:hAnsi="宋体"/>
          <w:b/>
          <w:color w:val="auto"/>
          <w:sz w:val="21"/>
          <w:szCs w:val="21"/>
          <w:highlight w:val="none"/>
        </w:rPr>
        <w:t>附件</w:t>
      </w:r>
      <w:bookmarkEnd w:id="830"/>
    </w:p>
    <w:p>
      <w:pPr>
        <w:shd w:val="clear"/>
        <w:spacing w:line="400" w:lineRule="exact"/>
        <w:jc w:val="left"/>
        <w:rPr>
          <w:rFonts w:hint="eastAsia" w:hAnsi="宋体"/>
          <w:color w:val="auto"/>
          <w:sz w:val="21"/>
          <w:szCs w:val="21"/>
          <w:highlight w:val="none"/>
        </w:rPr>
      </w:pPr>
      <w:r>
        <w:rPr>
          <w:rFonts w:hint="eastAsia" w:hAnsi="宋体"/>
          <w:color w:val="auto"/>
          <w:sz w:val="21"/>
          <w:szCs w:val="21"/>
          <w:highlight w:val="none"/>
        </w:rPr>
        <w:t>专用合同条款附件：</w:t>
      </w:r>
    </w:p>
    <w:p>
      <w:pPr>
        <w:shd w:val="clear"/>
        <w:spacing w:line="400" w:lineRule="exact"/>
        <w:jc w:val="left"/>
        <w:rPr>
          <w:rFonts w:hint="eastAsia" w:hAnsi="宋体"/>
          <w:color w:val="auto"/>
          <w:sz w:val="21"/>
          <w:szCs w:val="21"/>
          <w:highlight w:val="none"/>
        </w:rPr>
      </w:pPr>
      <w:r>
        <w:rPr>
          <w:rFonts w:hint="eastAsia" w:hAnsi="宋体"/>
          <w:color w:val="auto"/>
          <w:sz w:val="21"/>
          <w:szCs w:val="21"/>
          <w:highlight w:val="none"/>
        </w:rPr>
        <w:t>附件1：工程质量保修书</w:t>
      </w:r>
    </w:p>
    <w:p>
      <w:pPr>
        <w:shd w:val="clear"/>
        <w:spacing w:line="400" w:lineRule="exact"/>
        <w:jc w:val="left"/>
        <w:rPr>
          <w:rFonts w:hint="eastAsia" w:hAnsi="宋体"/>
          <w:color w:val="auto"/>
          <w:sz w:val="21"/>
          <w:szCs w:val="21"/>
          <w:highlight w:val="none"/>
        </w:rPr>
      </w:pPr>
    </w:p>
    <w:p>
      <w:pPr>
        <w:widowControl/>
        <w:shd w:val="clear"/>
        <w:spacing w:line="400" w:lineRule="exact"/>
        <w:jc w:val="left"/>
        <w:rPr>
          <w:rFonts w:hAnsi="宋体"/>
          <w:color w:val="auto"/>
          <w:sz w:val="21"/>
          <w:szCs w:val="21"/>
          <w:highlight w:val="none"/>
          <w:u w:val="single" w:color="FFFFFF"/>
        </w:rPr>
        <w:sectPr>
          <w:pgSz w:w="11906" w:h="16838"/>
          <w:pgMar w:top="1418" w:right="1191" w:bottom="1418" w:left="1191" w:header="851" w:footer="992" w:gutter="0"/>
          <w:cols w:space="720" w:num="1"/>
          <w:docGrid w:type="lines" w:linePitch="312" w:charSpace="0"/>
        </w:sectPr>
      </w:pPr>
    </w:p>
    <w:p>
      <w:pPr>
        <w:shd w:val="clear"/>
        <w:spacing w:line="440" w:lineRule="exact"/>
        <w:rPr>
          <w:rFonts w:hint="eastAsia" w:hAnsi="宋体"/>
          <w:color w:val="auto"/>
          <w:sz w:val="24"/>
          <w:szCs w:val="24"/>
          <w:highlight w:val="none"/>
        </w:rPr>
      </w:pPr>
      <w:r>
        <w:rPr>
          <w:rFonts w:hint="eastAsia" w:hAnsi="宋体"/>
          <w:color w:val="auto"/>
          <w:sz w:val="24"/>
          <w:szCs w:val="24"/>
          <w:highlight w:val="none"/>
        </w:rPr>
        <w:t xml:space="preserve">附件1：    </w:t>
      </w:r>
    </w:p>
    <w:p>
      <w:pPr>
        <w:shd w:val="clear"/>
        <w:spacing w:before="120" w:beforeLines="50" w:after="120" w:afterLines="50" w:line="440" w:lineRule="exact"/>
        <w:jc w:val="center"/>
        <w:rPr>
          <w:rFonts w:hint="eastAsia" w:hAnsi="宋体"/>
          <w:color w:val="auto"/>
          <w:sz w:val="24"/>
          <w:szCs w:val="24"/>
          <w:highlight w:val="none"/>
        </w:rPr>
      </w:pPr>
      <w:r>
        <w:rPr>
          <w:rFonts w:hint="eastAsia" w:hAnsi="宋体"/>
          <w:color w:val="auto"/>
          <w:sz w:val="24"/>
          <w:szCs w:val="24"/>
          <w:highlight w:val="none"/>
        </w:rPr>
        <w:t>工程质量保修书</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发包人（全称）：</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承包人（全称）：</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w:t>
      </w:r>
    </w:p>
    <w:p>
      <w:pPr>
        <w:shd w:val="clear"/>
        <w:spacing w:line="400" w:lineRule="exact"/>
        <w:rPr>
          <w:rFonts w:hint="eastAsia" w:hAnsi="宋体"/>
          <w:color w:val="auto"/>
          <w:sz w:val="21"/>
          <w:szCs w:val="21"/>
          <w:highlight w:val="none"/>
        </w:rPr>
      </w:pP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发包人和承包人根据《中华人民共和国建筑法》和《建设工程质量管理条例》，经协商一致就</w:t>
      </w:r>
      <w:r>
        <w:rPr>
          <w:rFonts w:hint="eastAsia" w:hAnsi="宋体"/>
          <w:color w:val="auto"/>
          <w:sz w:val="21"/>
          <w:szCs w:val="21"/>
          <w:highlight w:val="none"/>
          <w:u w:val="single"/>
        </w:rPr>
        <w:t xml:space="preserve">                </w:t>
      </w:r>
      <w:r>
        <w:rPr>
          <w:rFonts w:hint="eastAsia" w:hAnsi="宋体"/>
          <w:color w:val="auto"/>
          <w:sz w:val="21"/>
          <w:szCs w:val="21"/>
          <w:highlight w:val="none"/>
        </w:rPr>
        <w:t>（工程全称）签订工程质量保修书。</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一、工程质量保修范围和内容</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承包人在质量保修期内，按照有关法律规定和合同约定，承担工程质量保修责任。</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hAnsi="宋体"/>
          <w:color w:val="auto"/>
          <w:sz w:val="21"/>
          <w:szCs w:val="21"/>
          <w:highlight w:val="none"/>
          <w:u w:val="single"/>
          <w:lang w:eastAsia="zh-CN"/>
        </w:rPr>
        <w:t>刀茅巷(凤起路-东园街)道路整治工程</w:t>
      </w:r>
      <w:r>
        <w:rPr>
          <w:rFonts w:hint="eastAsia" w:hAnsi="宋体"/>
          <w:color w:val="auto"/>
          <w:sz w:val="21"/>
          <w:szCs w:val="21"/>
          <w:highlight w:val="none"/>
          <w:u w:val="single"/>
        </w:rPr>
        <w:t xml:space="preserve">全部内容。 </w:t>
      </w:r>
    </w:p>
    <w:p>
      <w:pPr>
        <w:shd w:val="clear"/>
        <w:spacing w:line="400" w:lineRule="exact"/>
        <w:rPr>
          <w:rFonts w:hint="eastAsia" w:hAnsi="宋体"/>
          <w:color w:val="auto"/>
          <w:sz w:val="21"/>
          <w:szCs w:val="21"/>
          <w:highlight w:val="none"/>
        </w:rPr>
      </w:pPr>
      <w:r>
        <w:rPr>
          <w:rFonts w:hint="eastAsia" w:hAnsi="宋体"/>
          <w:b/>
          <w:color w:val="auto"/>
          <w:sz w:val="21"/>
          <w:szCs w:val="21"/>
          <w:highlight w:val="none"/>
        </w:rPr>
        <w:t>　　</w:t>
      </w:r>
      <w:r>
        <w:rPr>
          <w:rFonts w:hint="eastAsia" w:hAnsi="宋体"/>
          <w:color w:val="auto"/>
          <w:sz w:val="21"/>
          <w:szCs w:val="21"/>
          <w:highlight w:val="none"/>
        </w:rPr>
        <w:t>二、质量保修期</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根据《建设工程质量管理条例》及有关规定，工程的质量保修期如下：</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1．地基基础工程和主体结构工程为设计文件规定的工程合理使用年限；</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2．屋面防水工程、有防水要求的卫生间、房间和外墙面的防渗为</w:t>
      </w:r>
      <w:r>
        <w:rPr>
          <w:rFonts w:hint="eastAsia" w:hAnsi="宋体"/>
          <w:color w:val="auto"/>
          <w:sz w:val="21"/>
          <w:szCs w:val="21"/>
          <w:highlight w:val="none"/>
          <w:u w:val="single"/>
        </w:rPr>
        <w:t xml:space="preserve"> 5 </w:t>
      </w:r>
      <w:r>
        <w:rPr>
          <w:rFonts w:hint="eastAsia" w:hAnsi="宋体"/>
          <w:color w:val="auto"/>
          <w:sz w:val="21"/>
          <w:szCs w:val="21"/>
          <w:highlight w:val="none"/>
        </w:rPr>
        <w:t>年；</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3．装修工程为</w:t>
      </w:r>
      <w:r>
        <w:rPr>
          <w:rFonts w:hint="eastAsia" w:hAnsi="宋体"/>
          <w:color w:val="auto"/>
          <w:sz w:val="21"/>
          <w:szCs w:val="21"/>
          <w:highlight w:val="none"/>
          <w:u w:val="single"/>
        </w:rPr>
        <w:t xml:space="preserve">   2  </w:t>
      </w:r>
      <w:r>
        <w:rPr>
          <w:rFonts w:hint="eastAsia" w:hAnsi="宋体"/>
          <w:color w:val="auto"/>
          <w:sz w:val="21"/>
          <w:szCs w:val="21"/>
          <w:highlight w:val="none"/>
        </w:rPr>
        <w:t>年；</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4．电气管线、给排水管道、设备安装工程为</w:t>
      </w:r>
      <w:r>
        <w:rPr>
          <w:rFonts w:hint="eastAsia" w:hAnsi="宋体"/>
          <w:color w:val="auto"/>
          <w:sz w:val="21"/>
          <w:szCs w:val="21"/>
          <w:highlight w:val="none"/>
          <w:u w:val="single"/>
        </w:rPr>
        <w:t xml:space="preserve"> 2 </w:t>
      </w:r>
      <w:r>
        <w:rPr>
          <w:rFonts w:hint="eastAsia" w:hAnsi="宋体"/>
          <w:color w:val="auto"/>
          <w:sz w:val="21"/>
          <w:szCs w:val="21"/>
          <w:highlight w:val="none"/>
        </w:rPr>
        <w:t>年；</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5．供热与供冷系统为</w:t>
      </w:r>
      <w:r>
        <w:rPr>
          <w:rFonts w:hint="eastAsia" w:hAnsi="宋体"/>
          <w:color w:val="auto"/>
          <w:sz w:val="21"/>
          <w:szCs w:val="21"/>
          <w:highlight w:val="none"/>
          <w:u w:val="single"/>
        </w:rPr>
        <w:t xml:space="preserve">      /   </w:t>
      </w:r>
      <w:r>
        <w:rPr>
          <w:rFonts w:hint="eastAsia" w:hAnsi="宋体"/>
          <w:color w:val="auto"/>
          <w:sz w:val="21"/>
          <w:szCs w:val="21"/>
          <w:highlight w:val="none"/>
        </w:rPr>
        <w:t>个采暖期、供冷期；</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6．住宅小区内的给排水设施、道路等配套工程为</w:t>
      </w:r>
      <w:r>
        <w:rPr>
          <w:rFonts w:hint="eastAsia" w:hAnsi="宋体"/>
          <w:color w:val="auto"/>
          <w:sz w:val="21"/>
          <w:szCs w:val="21"/>
          <w:highlight w:val="none"/>
          <w:u w:val="single"/>
        </w:rPr>
        <w:t xml:space="preserve">   /    </w:t>
      </w:r>
      <w:r>
        <w:rPr>
          <w:rFonts w:hint="eastAsia" w:hAnsi="宋体"/>
          <w:color w:val="auto"/>
          <w:sz w:val="21"/>
          <w:szCs w:val="21"/>
          <w:highlight w:val="none"/>
        </w:rPr>
        <w:t>年；</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7．其他项目保修期限约定如下：</w:t>
      </w:r>
      <w:r>
        <w:rPr>
          <w:rFonts w:hint="eastAsia"/>
          <w:color w:val="auto"/>
          <w:sz w:val="21"/>
          <w:szCs w:val="21"/>
          <w:highlight w:val="none"/>
          <w:u w:val="single"/>
        </w:rPr>
        <w:t xml:space="preserve"> 2年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质量保修期自工程竣工验收合格之日起计算。</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三、缺陷责任期</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工程缺陷责任期为</w:t>
      </w:r>
      <w:r>
        <w:rPr>
          <w:rFonts w:hint="eastAsia" w:hAnsi="宋体"/>
          <w:color w:val="auto"/>
          <w:sz w:val="21"/>
          <w:szCs w:val="21"/>
          <w:highlight w:val="none"/>
          <w:u w:val="single"/>
        </w:rPr>
        <w:t xml:space="preserve">   24  </w:t>
      </w:r>
      <w:r>
        <w:rPr>
          <w:rFonts w:hint="eastAsia" w:hAnsi="宋体"/>
          <w:color w:val="auto"/>
          <w:sz w:val="21"/>
          <w:szCs w:val="21"/>
          <w:highlight w:val="none"/>
        </w:rPr>
        <w:t>个月，缺陷责任期自工程竣工验收合格之日起计算。单位工程先于全部工程进行验收，单位工程缺陷责任期自单位工程验收合格之日期起算。</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缺陷责任期终止后，发包人应退还剩余的质量保证金。</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xml:space="preserve">    四、质量保修责任</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1．属于保修范围、内容的项目，承包人应当在接到保修通知之日起7天内派人保修。承包人不在约定期限内派人保修的，发包人可以委托他人修理。</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2．发生紧急事故需抢修的，承包人在接到事故通知后，应当立即到达事故现场抢修。</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hd w:val="clear"/>
        <w:spacing w:line="400" w:lineRule="exact"/>
        <w:ind w:firstLine="420" w:firstLineChars="200"/>
        <w:rPr>
          <w:rFonts w:hint="eastAsia" w:hAnsi="宋体"/>
          <w:color w:val="auto"/>
          <w:sz w:val="21"/>
          <w:szCs w:val="21"/>
          <w:highlight w:val="none"/>
        </w:rPr>
      </w:pPr>
      <w:r>
        <w:rPr>
          <w:rFonts w:hint="eastAsia" w:hAnsi="宋体"/>
          <w:color w:val="auto"/>
          <w:sz w:val="21"/>
          <w:szCs w:val="21"/>
          <w:highlight w:val="none"/>
        </w:rPr>
        <w:t>4．质量保修完成后，由发包人组织验收。</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五、保修费用</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　　保修费用由造成质量缺陷的责任方承担。</w:t>
      </w:r>
    </w:p>
    <w:p>
      <w:pPr>
        <w:shd w:val="clear"/>
        <w:spacing w:line="400" w:lineRule="exact"/>
        <w:ind w:firstLine="422" w:firstLineChars="200"/>
        <w:rPr>
          <w:rFonts w:hint="eastAsia" w:hAnsi="宋体" w:cs="Courier New"/>
          <w:b/>
          <w:color w:val="auto"/>
          <w:sz w:val="21"/>
          <w:szCs w:val="21"/>
          <w:highlight w:val="none"/>
          <w:u w:val="single"/>
        </w:rPr>
      </w:pPr>
      <w:r>
        <w:rPr>
          <w:rFonts w:hint="eastAsia" w:hAnsi="宋体"/>
          <w:b/>
          <w:color w:val="auto"/>
          <w:sz w:val="21"/>
          <w:szCs w:val="21"/>
          <w:highlight w:val="none"/>
        </w:rPr>
        <w:t>六</w:t>
      </w:r>
      <w:r>
        <w:rPr>
          <w:rFonts w:hint="eastAsia" w:hAnsi="宋体"/>
          <w:color w:val="auto"/>
          <w:sz w:val="21"/>
          <w:szCs w:val="21"/>
          <w:highlight w:val="none"/>
        </w:rPr>
        <w:t>、双方约定的其他工程质量保修事项：</w:t>
      </w:r>
      <w:r>
        <w:rPr>
          <w:rFonts w:hint="eastAsia" w:hAnsi="宋体" w:cs="Courier New"/>
          <w:b/>
          <w:color w:val="auto"/>
          <w:sz w:val="21"/>
          <w:szCs w:val="21"/>
          <w:highlight w:val="none"/>
          <w:u w:val="single"/>
        </w:rPr>
        <w:t>工程质量保修金在工程竣工验收合格2年后扣除相应的扣款（由于乙方维修不及时而甲方自行维修的费用）后结清余款（无息）。</w:t>
      </w:r>
    </w:p>
    <w:p>
      <w:pPr>
        <w:shd w:val="clear"/>
        <w:spacing w:line="400" w:lineRule="exact"/>
        <w:ind w:firstLine="420" w:firstLineChars="200"/>
        <w:rPr>
          <w:rFonts w:hint="eastAsia" w:hAnsi="宋体"/>
          <w:b/>
          <w:color w:val="auto"/>
          <w:sz w:val="21"/>
          <w:szCs w:val="21"/>
          <w:highlight w:val="none"/>
        </w:rPr>
      </w:pPr>
      <w:r>
        <w:rPr>
          <w:rFonts w:hint="eastAsia" w:hAnsi="宋体"/>
          <w:color w:val="auto"/>
          <w:sz w:val="21"/>
          <w:szCs w:val="21"/>
          <w:highlight w:val="none"/>
        </w:rPr>
        <w:t>甲方</w:t>
      </w:r>
      <w:r>
        <w:rPr>
          <w:rFonts w:hint="eastAsia" w:hAnsi="宋体" w:cs="Courier New"/>
          <w:b/>
          <w:color w:val="auto"/>
          <w:sz w:val="21"/>
          <w:szCs w:val="21"/>
          <w:highlight w:val="none"/>
          <w:u w:val="single"/>
        </w:rPr>
        <w:t>在保修期内发现质量问题并通知乙方，乙方应及时派专业人员进行维修，如乙方未及时派专业人员进行维修，甲方有权请其它人进行维修，由此产生的费用将从乙方的质量保修金中予以扣除，同时乙方将承担因维修延误给甲方造成的一切损失。</w:t>
      </w:r>
    </w:p>
    <w:p>
      <w:pPr>
        <w:shd w:val="clear"/>
        <w:spacing w:line="400" w:lineRule="exact"/>
        <w:ind w:firstLine="399" w:firstLineChars="190"/>
        <w:rPr>
          <w:rFonts w:hint="eastAsia" w:hAnsi="宋体"/>
          <w:color w:val="auto"/>
          <w:sz w:val="21"/>
          <w:szCs w:val="21"/>
          <w:highlight w:val="none"/>
        </w:rPr>
      </w:pPr>
      <w:r>
        <w:rPr>
          <w:rFonts w:hint="eastAsia" w:hAnsi="宋体"/>
          <w:color w:val="auto"/>
          <w:sz w:val="21"/>
          <w:szCs w:val="21"/>
          <w:highlight w:val="none"/>
        </w:rPr>
        <w:t>工程质量保修书由发包人、承包人在工程竣工验收前共同签署，作为施工合同附件，其有效期限至保修期满。</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发包人(公章)：</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rPr>
        <w:t xml:space="preserve">               承包人(公章)：</w:t>
      </w:r>
      <w:r>
        <w:rPr>
          <w:rFonts w:hint="eastAsia"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地  址：</w:t>
      </w:r>
      <w:r>
        <w:rPr>
          <w:rFonts w:hint="eastAsia" w:hAnsi="宋体"/>
          <w:color w:val="auto"/>
          <w:sz w:val="21"/>
          <w:szCs w:val="21"/>
          <w:highlight w:val="none"/>
          <w:u w:val="single"/>
        </w:rPr>
        <w:t xml:space="preserve"> </w:t>
      </w:r>
      <w:r>
        <w:rPr>
          <w:rFonts w:hint="eastAsia" w:hAnsi="宋体" w:cs="MingLiU_HKSCS"/>
          <w:color w:val="auto"/>
          <w:sz w:val="21"/>
          <w:szCs w:val="21"/>
          <w:highlight w:val="none"/>
          <w:u w:val="single"/>
        </w:rPr>
        <w:t xml:space="preserve">           </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rPr>
        <w:t xml:space="preserve">               地  址：</w:t>
      </w:r>
      <w:r>
        <w:rPr>
          <w:rFonts w:hint="eastAsia"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法定代表人(签字)：</w:t>
      </w:r>
      <w:r>
        <w:rPr>
          <w:rFonts w:hint="eastAsia" w:hAnsi="宋体"/>
          <w:color w:val="auto"/>
          <w:sz w:val="21"/>
          <w:szCs w:val="21"/>
          <w:highlight w:val="none"/>
          <w:u w:val="single"/>
        </w:rPr>
        <w:t xml:space="preserve">      </w:t>
      </w:r>
      <w:r>
        <w:rPr>
          <w:rFonts w:hint="eastAsia" w:hAnsi="宋体"/>
          <w:color w:val="auto"/>
          <w:sz w:val="21"/>
          <w:szCs w:val="21"/>
          <w:highlight w:val="none"/>
        </w:rPr>
        <w:t xml:space="preserve">               法定代表人(签字)：</w:t>
      </w:r>
      <w:r>
        <w:rPr>
          <w:rFonts w:hint="eastAsia"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委托代理人(签字)：</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rPr>
        <w:t xml:space="preserve">               委托代理人(签字)：</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电  话：</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rPr>
        <w:t xml:space="preserve">              电  话：</w:t>
      </w:r>
      <w:r>
        <w:rPr>
          <w:rFonts w:hint="eastAsia" w:hAnsi="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传  真：</w:t>
      </w:r>
      <w:r>
        <w:rPr>
          <w:rFonts w:hint="eastAsia" w:hAnsi="宋体" w:cs="宋体"/>
          <w:color w:val="auto"/>
          <w:sz w:val="21"/>
          <w:szCs w:val="21"/>
          <w:highlight w:val="none"/>
          <w:u w:val="single"/>
        </w:rPr>
        <w:t xml:space="preserve">                </w:t>
      </w:r>
      <w:r>
        <w:rPr>
          <w:rFonts w:hint="eastAsia" w:hAnsi="宋体"/>
          <w:color w:val="auto"/>
          <w:sz w:val="21"/>
          <w:szCs w:val="21"/>
          <w:highlight w:val="none"/>
        </w:rPr>
        <w:t xml:space="preserve">              传  真：</w:t>
      </w:r>
      <w:r>
        <w:rPr>
          <w:rFonts w:hint="eastAsia" w:hAnsi="宋体" w:cs="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开户银行：</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rPr>
        <w:t xml:space="preserve">              开户银行：</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p>
    <w:p>
      <w:pPr>
        <w:shd w:val="clear"/>
        <w:spacing w:line="400" w:lineRule="exact"/>
        <w:rPr>
          <w:rFonts w:hint="eastAsia" w:hAnsi="宋体"/>
          <w:color w:val="auto"/>
          <w:sz w:val="21"/>
          <w:szCs w:val="21"/>
          <w:highlight w:val="none"/>
        </w:rPr>
      </w:pPr>
      <w:r>
        <w:rPr>
          <w:rFonts w:hint="eastAsia" w:hAnsi="宋体"/>
          <w:color w:val="auto"/>
          <w:sz w:val="21"/>
          <w:szCs w:val="21"/>
          <w:highlight w:val="none"/>
        </w:rPr>
        <w:t>账  号</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rPr>
        <w:t xml:space="preserve">                        账  号：</w:t>
      </w:r>
      <w:r>
        <w:rPr>
          <w:rFonts w:hint="eastAsia" w:hAnsi="宋体"/>
          <w:color w:val="auto"/>
          <w:sz w:val="21"/>
          <w:szCs w:val="21"/>
          <w:highlight w:val="none"/>
          <w:u w:val="single"/>
        </w:rPr>
        <w:t xml:space="preserve">     </w:t>
      </w:r>
    </w:p>
    <w:p>
      <w:pPr>
        <w:shd w:val="clear"/>
        <w:spacing w:line="400" w:lineRule="exact"/>
        <w:rPr>
          <w:rFonts w:hint="eastAsia" w:hAnsi="宋体" w:cs="宋体"/>
          <w:color w:val="auto"/>
          <w:sz w:val="21"/>
          <w:szCs w:val="21"/>
          <w:highlight w:val="none"/>
          <w:u w:val="single"/>
        </w:rPr>
      </w:pPr>
      <w:r>
        <w:rPr>
          <w:rFonts w:hint="eastAsia" w:hAnsi="宋体"/>
          <w:color w:val="auto"/>
          <w:sz w:val="21"/>
          <w:szCs w:val="21"/>
          <w:highlight w:val="none"/>
        </w:rPr>
        <w:t>邮政编码：</w:t>
      </w:r>
      <w:r>
        <w:rPr>
          <w:rFonts w:hint="eastAsia" w:hAnsi="宋体"/>
          <w:color w:val="auto"/>
          <w:sz w:val="21"/>
          <w:szCs w:val="21"/>
          <w:highlight w:val="none"/>
          <w:u w:val="single"/>
        </w:rPr>
        <w:t xml:space="preserve">    </w:t>
      </w:r>
      <w:r>
        <w:rPr>
          <w:rFonts w:hint="eastAsia" w:hAnsi="宋体" w:cs="宋体"/>
          <w:color w:val="auto"/>
          <w:sz w:val="21"/>
          <w:szCs w:val="21"/>
          <w:highlight w:val="none"/>
          <w:u w:val="single"/>
        </w:rPr>
        <w:t xml:space="preserve"> </w:t>
      </w:r>
      <w:r>
        <w:rPr>
          <w:rFonts w:hint="eastAsia" w:hAnsi="宋体"/>
          <w:color w:val="auto"/>
          <w:sz w:val="21"/>
          <w:szCs w:val="21"/>
          <w:highlight w:val="none"/>
        </w:rPr>
        <w:t xml:space="preserve">                      邮政编码：</w:t>
      </w:r>
      <w:r>
        <w:rPr>
          <w:rFonts w:hint="eastAsia" w:hAnsi="宋体" w:cs="宋体"/>
          <w:color w:val="auto"/>
          <w:sz w:val="21"/>
          <w:szCs w:val="21"/>
          <w:highlight w:val="none"/>
          <w:u w:val="single"/>
        </w:rPr>
        <w:t xml:space="preserve">          </w:t>
      </w:r>
    </w:p>
    <w:p>
      <w:pPr>
        <w:shd w:val="clear"/>
        <w:spacing w:line="400" w:lineRule="exact"/>
        <w:rPr>
          <w:rFonts w:hint="eastAsia" w:hAnsi="宋体" w:cs="宋体"/>
          <w:color w:val="auto"/>
          <w:sz w:val="21"/>
          <w:szCs w:val="21"/>
          <w:highlight w:val="none"/>
          <w:u w:val="single"/>
        </w:rPr>
      </w:pPr>
    </w:p>
    <w:p>
      <w:pPr>
        <w:shd w:val="clear"/>
        <w:bidi w:val="0"/>
        <w:rPr>
          <w:rFonts w:hint="eastAsia"/>
          <w:color w:val="auto"/>
          <w:highlight w:val="none"/>
          <w:lang w:val="en-US"/>
        </w:rPr>
      </w:pPr>
    </w:p>
    <w:p>
      <w:pPr>
        <w:shd w:val="clear"/>
        <w:rPr>
          <w:color w:val="auto"/>
          <w:highlight w:val="none"/>
        </w:rPr>
      </w:pPr>
    </w:p>
    <w:p>
      <w:pPr>
        <w:shd w:val="clear"/>
        <w:adjustRightInd/>
        <w:ind w:firstLine="371" w:firstLineChars="177"/>
        <w:jc w:val="left"/>
        <w:rPr>
          <w:rFonts w:ascii="宋体" w:hAnsi="宋体"/>
          <w:snapToGrid w:val="0"/>
          <w:color w:val="auto"/>
          <w:kern w:val="0"/>
          <w:szCs w:val="21"/>
          <w:highlight w:val="none"/>
        </w:rPr>
      </w:pPr>
    </w:p>
    <w:p>
      <w:pPr>
        <w:shd w:val="clear"/>
        <w:bidi w:val="0"/>
        <w:rPr>
          <w:color w:val="auto"/>
          <w:highlight w:val="none"/>
        </w:rPr>
      </w:pPr>
    </w:p>
    <w:p>
      <w:pPr>
        <w:shd w:val="clear"/>
        <w:spacing w:line="360" w:lineRule="auto"/>
        <w:ind w:left="-420" w:leftChars="-200" w:right="-420" w:rightChars="-200" w:firstLine="480" w:firstLineChars="200"/>
        <w:jc w:val="center"/>
        <w:outlineLvl w:val="0"/>
        <w:rPr>
          <w:rFonts w:ascii="宋体" w:hAnsi="宋体" w:cs="宋体"/>
          <w:color w:val="auto"/>
          <w:sz w:val="24"/>
          <w:highlight w:val="none"/>
        </w:rPr>
        <w:sectPr>
          <w:headerReference r:id="rId11" w:type="first"/>
          <w:footerReference r:id="rId13" w:type="first"/>
          <w:headerReference r:id="rId10" w:type="default"/>
          <w:footerReference r:id="rId12" w:type="default"/>
          <w:pgSz w:w="11906" w:h="16838"/>
          <w:pgMar w:top="1440" w:right="1080" w:bottom="1440" w:left="1080" w:header="851" w:footer="992" w:gutter="0"/>
          <w:cols w:space="720" w:num="1"/>
          <w:titlePg/>
          <w:docGrid w:linePitch="312" w:charSpace="0"/>
        </w:sectPr>
      </w:pPr>
    </w:p>
    <w:p>
      <w:pPr>
        <w:shd w:val="clear"/>
        <w:snapToGrid w:val="0"/>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9"/>
      <w:r>
        <w:rPr>
          <w:rFonts w:hint="eastAsia" w:ascii="宋体" w:hAnsi="宋体" w:cs="宋体"/>
          <w:b/>
          <w:color w:val="auto"/>
          <w:sz w:val="36"/>
          <w:szCs w:val="20"/>
          <w:highlight w:val="none"/>
        </w:rPr>
        <w:t xml:space="preserve"> </w:t>
      </w:r>
      <w:bookmarkEnd w:id="400"/>
      <w:r>
        <w:rPr>
          <w:rFonts w:hint="eastAsia" w:ascii="宋体" w:hAnsi="宋体" w:cs="宋体"/>
          <w:b/>
          <w:color w:val="auto"/>
          <w:sz w:val="36"/>
          <w:szCs w:val="20"/>
          <w:highlight w:val="none"/>
        </w:rPr>
        <w:t>应提交的有关格式范例</w:t>
      </w:r>
    </w:p>
    <w:p>
      <w:pPr>
        <w:shd w:val="clear"/>
        <w:bidi w:val="0"/>
        <w:rPr>
          <w:color w:val="auto"/>
          <w:highlight w:val="none"/>
        </w:rPr>
      </w:pPr>
    </w:p>
    <w:p>
      <w:pPr>
        <w:pStyle w:val="3"/>
        <w:shd w:val="clear"/>
        <w:bidi w:val="0"/>
        <w:rPr>
          <w:color w:val="auto"/>
          <w:highlight w:val="none"/>
        </w:rPr>
      </w:pPr>
      <w:r>
        <w:rPr>
          <w:rFonts w:hint="eastAsia"/>
          <w:color w:val="auto"/>
          <w:sz w:val="36"/>
          <w:szCs w:val="36"/>
          <w:highlight w:val="none"/>
        </w:rPr>
        <w:t>资格文件部分</w:t>
      </w:r>
    </w:p>
    <w:p>
      <w:pPr>
        <w:keepNext w:val="0"/>
        <w:keepLines w:val="0"/>
        <w:pageBreakBefore w:val="0"/>
        <w:widowControl w:val="0"/>
        <w:shd w:val="clear"/>
        <w:kinsoku/>
        <w:wordWrap/>
        <w:overflowPunct/>
        <w:topLinePunct w:val="0"/>
        <w:autoSpaceDE/>
        <w:autoSpaceDN/>
        <w:bidi w:val="0"/>
        <w:adjustRightInd w:val="0"/>
        <w:snapToGrid w:val="0"/>
        <w:spacing w:line="360" w:lineRule="auto"/>
        <w:jc w:val="center"/>
        <w:textAlignment w:val="auto"/>
        <w:rPr>
          <w:color w:val="auto"/>
          <w:sz w:val="30"/>
          <w:szCs w:val="30"/>
          <w:highlight w:val="none"/>
        </w:rPr>
      </w:pPr>
      <w:r>
        <w:rPr>
          <w:rFonts w:hint="eastAsia"/>
          <w:color w:val="auto"/>
          <w:sz w:val="30"/>
          <w:szCs w:val="30"/>
          <w:highlight w:val="none"/>
        </w:rPr>
        <w:t>目录</w:t>
      </w:r>
    </w:p>
    <w:p>
      <w:pPr>
        <w:shd w:val="clear"/>
        <w:bidi w:val="0"/>
        <w:rPr>
          <w:color w:val="auto"/>
          <w:highlight w:val="none"/>
        </w:rPr>
      </w:pP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hd w:val="clea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hd w:val="clear"/>
        <w:snapToGrid w:val="0"/>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pStyle w:val="4"/>
        <w:keepNext/>
        <w:keepLines/>
        <w:pageBreakBefore w:val="0"/>
        <w:widowControl w:val="0"/>
        <w:shd w:val="clear"/>
        <w:kinsoku/>
        <w:wordWrap/>
        <w:overflowPunct/>
        <w:topLinePunct w:val="0"/>
        <w:autoSpaceDE/>
        <w:autoSpaceDN/>
        <w:bidi w:val="0"/>
        <w:adjustRightInd w:val="0"/>
        <w:snapToGrid w:val="0"/>
        <w:jc w:val="center"/>
        <w:textAlignment w:val="auto"/>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eastAsia="宋体" w:cs="宋体"/>
          <w:b/>
          <w:color w:val="auto"/>
          <w:kern w:val="0"/>
          <w:sz w:val="32"/>
          <w:szCs w:val="32"/>
          <w:highlight w:val="none"/>
        </w:rPr>
        <w:t>一、符合参加政府采购活动应当具备的一般条件的承诺函</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u w:val="single"/>
          <w:lang w:val="en-US" w:eastAsia="zh-CN"/>
        </w:rPr>
        <w:t xml:space="preserve">     （项目名称）    </w:t>
      </w:r>
      <w:r>
        <w:rPr>
          <w:rFonts w:hint="eastAsia" w:ascii="宋体" w:hAnsi="宋体" w:cs="宋体"/>
          <w:color w:val="auto"/>
          <w:sz w:val="24"/>
          <w:highlight w:val="none"/>
        </w:rPr>
        <w:t>【项目编号：</w:t>
      </w:r>
      <w:r>
        <w:rPr>
          <w:rFonts w:hint="eastAsia" w:ascii="宋体" w:hAnsi="宋体" w:cs="宋体"/>
          <w:color w:val="auto"/>
          <w:sz w:val="24"/>
          <w:highlight w:val="none"/>
          <w:u w:val="single"/>
          <w:lang w:val="en-US" w:eastAsia="zh-CN"/>
        </w:rPr>
        <w:t xml:space="preserve">  （采购编号）   </w:t>
      </w:r>
      <w:r>
        <w:rPr>
          <w:rFonts w:hint="eastAsia" w:ascii="宋体" w:hAnsi="宋体" w:cs="宋体"/>
          <w:color w:val="auto"/>
          <w:sz w:val="24"/>
          <w:highlight w:val="none"/>
        </w:rPr>
        <w:t>】政府采购活动，郑重承诺：</w:t>
      </w:r>
    </w:p>
    <w:p>
      <w:pPr>
        <w:shd w:val="clea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（二）未被信用中国（www.creditchina.gov.cn)、中国政府采购网（www.ccgp.gov.cn）列入失信被执行人、税收违法黑名单、政府采购严重违法失信行为记录名单。</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hd w:val="clea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hd w:val="clear"/>
        <w:snapToGrid w:val="0"/>
        <w:spacing w:line="360" w:lineRule="auto"/>
        <w:ind w:firstLine="480" w:firstLineChars="200"/>
        <w:rPr>
          <w:rFonts w:hint="eastAsia" w:ascii="宋体" w:hAnsi="宋体" w:cs="宋体"/>
          <w:color w:val="auto"/>
          <w:sz w:val="24"/>
          <w:highlight w:val="none"/>
        </w:rPr>
      </w:pPr>
    </w:p>
    <w:p>
      <w:pPr>
        <w:shd w:val="clea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hd w:val="clea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hd w:val="clea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w:t>
      </w:r>
      <w:r>
        <w:rPr>
          <w:rFonts w:hint="eastAsia" w:ascii="宋体" w:hAnsi="宋体" w:eastAsia="宋体" w:cs="宋体"/>
          <w:b/>
          <w:color w:val="auto"/>
          <w:kern w:val="0"/>
          <w:sz w:val="32"/>
          <w:szCs w:val="32"/>
          <w:highlight w:val="none"/>
        </w:rPr>
        <w:t>联合</w:t>
      </w:r>
      <w:r>
        <w:rPr>
          <w:rFonts w:hint="eastAsia" w:ascii="宋体" w:hAnsi="宋体" w:cs="宋体"/>
          <w:b/>
          <w:color w:val="auto"/>
          <w:kern w:val="0"/>
          <w:sz w:val="32"/>
          <w:szCs w:val="32"/>
          <w:highlight w:val="none"/>
        </w:rPr>
        <w:t>协议（如果有）</w:t>
      </w:r>
    </w:p>
    <w:p>
      <w:pPr>
        <w:widowControl/>
        <w:shd w:val="clear"/>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[以联合体形式参与的，提供联合协议（附件5）；本项目不接受联合体或者供应商不以联合体形式投参与的，则不需要提供]</w:t>
      </w:r>
    </w:p>
    <w:p>
      <w:pPr>
        <w:shd w:val="clea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w:t>
      </w:r>
      <w:r>
        <w:rPr>
          <w:rFonts w:hint="eastAsia" w:ascii="宋体" w:hAnsi="宋体" w:eastAsia="宋体" w:cs="宋体"/>
          <w:b/>
          <w:color w:val="auto"/>
          <w:kern w:val="0"/>
          <w:sz w:val="32"/>
          <w:szCs w:val="32"/>
          <w:highlight w:val="none"/>
        </w:rPr>
        <w:t>政府</w:t>
      </w:r>
      <w:r>
        <w:rPr>
          <w:rFonts w:hint="eastAsia" w:ascii="宋体" w:hAnsi="宋体" w:cs="宋体"/>
          <w:b/>
          <w:color w:val="auto"/>
          <w:kern w:val="0"/>
          <w:sz w:val="32"/>
          <w:szCs w:val="32"/>
          <w:highlight w:val="none"/>
        </w:rPr>
        <w:t>采购政策需满足的资格要求</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（根据竞争性磋商公告落实政府采购政策需满足的资格要求选择提供相应的材料；未要求的，无需提供）</w:t>
      </w:r>
    </w:p>
    <w:p>
      <w:pPr>
        <w:shd w:val="clea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.专门面向中小企业，工程全部由符合政策要求的中小企业（或小微企业）承建的，提供相应的中小企业声明函（附件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hd w:val="clear"/>
        <w:spacing w:line="360" w:lineRule="auto"/>
        <w:ind w:firstLine="480"/>
        <w:jc w:val="left"/>
        <w:rPr>
          <w:rFonts w:ascii="宋体" w:hAnsi="宋体" w:cs="宋体"/>
          <w:color w:val="auto"/>
          <w:sz w:val="24"/>
          <w:highlight w:val="none"/>
        </w:rPr>
      </w:pPr>
    </w:p>
    <w:p>
      <w:pPr>
        <w:widowControl/>
        <w:shd w:val="clear"/>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），联合协议中中小企业合同金额应当达到竞争性磋商公告载明的比例；如果供应商本身提供所有标的均由中小企业承建的，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hd w:val="clea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hd w:val="clea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），分包意向协议中中小企业合同金额应当达到竞争性磋商公告载明的比例；如果供应商本身提供所有标的均由中小企业承建，</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hd w:val="clear"/>
        <w:spacing w:line="360" w:lineRule="auto"/>
        <w:ind w:left="150"/>
        <w:jc w:val="center"/>
        <w:rPr>
          <w:rFonts w:ascii="宋体" w:hAnsi="宋体" w:cs="宋体"/>
          <w:b/>
          <w:color w:val="auto"/>
          <w:kern w:val="0"/>
          <w:sz w:val="32"/>
          <w:szCs w:val="32"/>
          <w:highlight w:val="none"/>
        </w:r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（根据竞争性磋商公告本项目的特定资格要求提供相应的材料；未要求的，无需提供）</w:t>
      </w:r>
    </w:p>
    <w:p>
      <w:pPr>
        <w:shd w:val="clear"/>
        <w:rPr>
          <w:rFonts w:ascii="宋体" w:hAnsi="宋体" w:cs="宋体"/>
          <w:color w:val="auto"/>
          <w:highlight w:val="none"/>
        </w:rPr>
      </w:pPr>
    </w:p>
    <w:p>
      <w:pPr>
        <w:shd w:val="clear"/>
        <w:snapToGrid w:val="0"/>
        <w:spacing w:line="360" w:lineRule="auto"/>
        <w:ind w:right="480"/>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shd w:val="clear"/>
        <w:bidi w:val="0"/>
        <w:rPr>
          <w:color w:val="auto"/>
          <w:highlight w:val="none"/>
        </w:rPr>
      </w:pPr>
    </w:p>
    <w:p>
      <w:pPr>
        <w:pStyle w:val="3"/>
        <w:shd w:val="clear"/>
        <w:bidi w:val="0"/>
        <w:ind w:left="0" w:firstLine="0"/>
        <w:rPr>
          <w:rFonts w:hint="eastAsia" w:eastAsia="宋体"/>
          <w:color w:val="auto"/>
          <w:sz w:val="36"/>
          <w:szCs w:val="36"/>
          <w:highlight w:val="none"/>
        </w:rPr>
      </w:pPr>
      <w:r>
        <w:rPr>
          <w:rFonts w:hint="eastAsia" w:eastAsia="宋体"/>
          <w:color w:val="auto"/>
          <w:sz w:val="36"/>
          <w:szCs w:val="36"/>
          <w:highlight w:val="none"/>
        </w:rPr>
        <w:t>商务技术文件部分</w:t>
      </w:r>
    </w:p>
    <w:p>
      <w:pPr>
        <w:keepNext w:val="0"/>
        <w:keepLines w:val="0"/>
        <w:pageBreakBefore w:val="0"/>
        <w:widowControl w:val="0"/>
        <w:shd w:val="clear"/>
        <w:kinsoku/>
        <w:wordWrap/>
        <w:overflowPunct/>
        <w:topLinePunct w:val="0"/>
        <w:autoSpaceDE/>
        <w:autoSpaceDN/>
        <w:bidi w:val="0"/>
        <w:adjustRightInd w:val="0"/>
        <w:snapToGrid w:val="0"/>
        <w:spacing w:line="360" w:lineRule="auto"/>
        <w:jc w:val="center"/>
        <w:textAlignment w:val="auto"/>
        <w:rPr>
          <w:rFonts w:hint="eastAsia" w:eastAsia="宋体"/>
          <w:color w:val="auto"/>
          <w:sz w:val="30"/>
          <w:szCs w:val="30"/>
          <w:highlight w:val="none"/>
        </w:rPr>
      </w:pPr>
      <w:r>
        <w:rPr>
          <w:rFonts w:hint="eastAsia" w:eastAsia="宋体"/>
          <w:color w:val="auto"/>
          <w:sz w:val="30"/>
          <w:szCs w:val="30"/>
          <w:highlight w:val="none"/>
        </w:rPr>
        <w:t>目录</w:t>
      </w:r>
    </w:p>
    <w:p>
      <w:pPr>
        <w:numPr>
          <w:ilvl w:val="255"/>
          <w:numId w:val="0"/>
        </w:num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响应函………………………………………………………………………………（页码）</w:t>
      </w:r>
    </w:p>
    <w:p>
      <w:pPr>
        <w:numPr>
          <w:ilvl w:val="255"/>
          <w:numId w:val="0"/>
        </w:num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2）授权委托书或法定代表人（单位负责人、自然人本人）身份证明</w:t>
      </w:r>
      <w:r>
        <w:rPr>
          <w:rFonts w:hint="eastAsia" w:ascii="宋体" w:hAnsi="宋体" w:cs="宋体"/>
          <w:color w:val="auto"/>
          <w:sz w:val="24"/>
          <w:highlight w:val="none"/>
        </w:rPr>
        <w:t>……………（页码）</w:t>
      </w:r>
    </w:p>
    <w:p>
      <w:pPr>
        <w:shd w:val="clea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）分包意向协议………………………………………………………………………（页码）</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）符合性审查资料……………………………………………………………………（页码）</w:t>
      </w:r>
    </w:p>
    <w:p>
      <w:pPr>
        <w:shd w:val="clea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）评审标准相应的商务技术资料……………………………………………………（页码）（</w:t>
      </w:r>
      <w:r>
        <w:rPr>
          <w:rFonts w:ascii="宋体" w:hAnsi="宋体" w:cs="宋体"/>
          <w:color w:val="auto"/>
          <w:sz w:val="24"/>
          <w:highlight w:val="none"/>
        </w:rPr>
        <w:t>6</w:t>
      </w:r>
      <w:r>
        <w:rPr>
          <w:rFonts w:hint="eastAsia" w:ascii="宋体" w:hAnsi="宋体" w:cs="宋体"/>
          <w:color w:val="auto"/>
          <w:sz w:val="24"/>
          <w:highlight w:val="none"/>
        </w:rPr>
        <w:t>）商务技术偏离表……………………………………………………………………（页码）</w:t>
      </w:r>
    </w:p>
    <w:p>
      <w:pPr>
        <w:shd w:val="clear"/>
        <w:snapToGrid w:val="0"/>
        <w:spacing w:line="360" w:lineRule="auto"/>
        <w:ind w:left="479" w:leftChars="228"/>
        <w:rPr>
          <w:rFonts w:ascii="宋体" w:hAnsi="宋体" w:cs="宋体"/>
          <w:color w:val="auto"/>
          <w:sz w:val="24"/>
          <w:highlight w:val="none"/>
        </w:rPr>
      </w:pPr>
      <w:r>
        <w:rPr>
          <w:rFonts w:hint="eastAsia" w:ascii="宋体" w:hAnsi="宋体" w:cs="宋体"/>
          <w:color w:val="auto"/>
          <w:sz w:val="24"/>
          <w:highlight w:val="none"/>
          <w:lang w:val="zh-CN"/>
        </w:rPr>
        <w:t>（</w:t>
      </w:r>
      <w:r>
        <w:rPr>
          <w:rFonts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r>
        <w:rPr>
          <w:rFonts w:hint="eastAsia" w:ascii="宋体" w:hAnsi="宋体" w:cs="宋体"/>
          <w:color w:val="auto"/>
          <w:sz w:val="24"/>
          <w:highlight w:val="none"/>
        </w:rPr>
        <w:t>…………………………………………………（页码）</w:t>
      </w:r>
    </w:p>
    <w:p>
      <w:pPr>
        <w:shd w:val="clear"/>
        <w:snapToGrid w:val="0"/>
        <w:spacing w:line="360" w:lineRule="auto"/>
        <w:jc w:val="center"/>
        <w:rPr>
          <w:rFonts w:ascii="宋体" w:hAnsi="宋体" w:cs="宋体"/>
          <w:b/>
          <w:color w:val="auto"/>
          <w:kern w:val="0"/>
          <w:sz w:val="24"/>
          <w:szCs w:val="32"/>
          <w:highlight w:val="none"/>
          <w:lang w:val="zh-CN"/>
        </w:rPr>
        <w:sectPr>
          <w:pgSz w:w="11906" w:h="16838"/>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一、</w:t>
      </w:r>
      <w:r>
        <w:rPr>
          <w:rFonts w:hint="eastAsia" w:ascii="宋体" w:hAnsi="宋体" w:eastAsia="宋体" w:cs="宋体"/>
          <w:b/>
          <w:color w:val="auto"/>
          <w:kern w:val="0"/>
          <w:sz w:val="32"/>
          <w:szCs w:val="32"/>
          <w:highlight w:val="none"/>
          <w:lang w:val="zh-CN"/>
        </w:rPr>
        <w:t>响应</w:t>
      </w:r>
      <w:r>
        <w:rPr>
          <w:rFonts w:hint="eastAsia" w:ascii="宋体" w:hAnsi="宋体" w:cs="宋体"/>
          <w:b/>
          <w:bCs/>
          <w:color w:val="auto"/>
          <w:sz w:val="32"/>
          <w:szCs w:val="32"/>
          <w:highlight w:val="none"/>
          <w:lang w:val="zh-CN"/>
        </w:rPr>
        <w:t>函</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采购代理机构</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u w:val="single"/>
          <w:lang w:val="en-US" w:eastAsia="zh-CN"/>
        </w:rPr>
        <w:t xml:space="preserve">  （项目名称  ）</w:t>
      </w:r>
      <w:r>
        <w:rPr>
          <w:rFonts w:hint="eastAsia" w:ascii="宋体" w:hAnsi="宋体" w:cs="宋体"/>
          <w:color w:val="auto"/>
          <w:sz w:val="24"/>
          <w:highlight w:val="none"/>
        </w:rPr>
        <w:t>【项目编号：</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采购编号</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】采购的有关活动，并对此项目提交响应文件及报价。为此：</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1、我方承诺响应文件有效期从提交响应文件的截止之日起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本响应文件在响应文件有效期满之前均具有约束力。</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2、我方的响应文件包括以下内容：</w:t>
      </w:r>
    </w:p>
    <w:p>
      <w:pPr>
        <w:shd w:val="clea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联合协议（如果有)；</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hd w:val="clea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2.2.1响应函；</w:t>
      </w:r>
      <w:r>
        <w:rPr>
          <w:rFonts w:hint="eastAsia" w:ascii="宋体" w:hAnsi="宋体" w:cs="宋体"/>
          <w:color w:val="auto"/>
          <w:sz w:val="24"/>
          <w:highlight w:val="none"/>
          <w:lang w:val="zh-CN"/>
        </w:rPr>
        <w:t xml:space="preserve"> </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评审标准相应的商务技术资料；</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2.2.6商务技术偏离表；</w:t>
      </w:r>
    </w:p>
    <w:p>
      <w:pPr>
        <w:shd w:val="clea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7</w:t>
      </w:r>
      <w:r>
        <w:rPr>
          <w:rFonts w:hint="eastAsia" w:ascii="宋体" w:hAnsi="宋体" w:cs="宋体"/>
          <w:color w:val="auto"/>
          <w:sz w:val="24"/>
          <w:highlight w:val="none"/>
          <w:lang w:val="zh-CN"/>
        </w:rPr>
        <w:t>政府采购供应商廉洁自律承诺书；</w:t>
      </w:r>
    </w:p>
    <w:p>
      <w:pPr>
        <w:shd w:val="clea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2.3.1报价单；</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2.3.2已标价工程量清单；</w:t>
      </w:r>
    </w:p>
    <w:p>
      <w:pPr>
        <w:shd w:val="clea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2.3.3中小企业声明函（如果有）。</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3、我方承诺除商务技术偏离表列出的偏离外，我方响应采购文件的全部要求。</w:t>
      </w:r>
    </w:p>
    <w:p>
      <w:pPr>
        <w:shd w:val="clea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4、如我方成交，我方承诺：</w:t>
      </w:r>
    </w:p>
    <w:p>
      <w:pPr>
        <w:shd w:val="clea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4.1在收到成交通知书后，在成交通知书规定的期限内与你方签订合同； </w:t>
      </w:r>
    </w:p>
    <w:p>
      <w:pPr>
        <w:shd w:val="clea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hd w:val="clea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4.3按照采购文件要求提交履约保证金； </w:t>
      </w:r>
    </w:p>
    <w:p>
      <w:pPr>
        <w:shd w:val="clea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hd w:val="clea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hd w:val="clea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供应商名称（电子签名）：                          </w:t>
      </w:r>
    </w:p>
    <w:p>
      <w:pPr>
        <w:shd w:val="clea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hd w:val="clear"/>
        <w:snapToGrid w:val="0"/>
        <w:spacing w:line="360" w:lineRule="auto"/>
        <w:ind w:left="420" w:leftChars="200" w:firstLine="4200" w:firstLineChars="1750"/>
        <w:rPr>
          <w:rFonts w:ascii="宋体" w:hAnsi="宋体" w:cs="宋体"/>
          <w:color w:val="auto"/>
          <w:kern w:val="0"/>
          <w:sz w:val="24"/>
          <w:highlight w:val="none"/>
          <w:u w:val="single"/>
        </w:rPr>
      </w:pPr>
    </w:p>
    <w:p>
      <w:pPr>
        <w:shd w:val="clea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hd w:val="clear"/>
        <w:snapToGrid w:val="0"/>
        <w:spacing w:line="360" w:lineRule="auto"/>
        <w:jc w:val="center"/>
        <w:rPr>
          <w:rFonts w:ascii="宋体" w:hAnsi="宋体" w:cs="宋体"/>
          <w:b/>
          <w:color w:val="auto"/>
          <w:kern w:val="0"/>
          <w:sz w:val="32"/>
          <w:szCs w:val="32"/>
          <w:highlight w:val="none"/>
        </w:rPr>
      </w:pPr>
    </w:p>
    <w:p>
      <w:pPr>
        <w:shd w:val="clear"/>
        <w:snapToGrid w:val="0"/>
        <w:spacing w:line="360" w:lineRule="auto"/>
        <w:rPr>
          <w:rFonts w:ascii="宋体" w:hAnsi="宋体" w:cs="宋体"/>
          <w:color w:val="auto"/>
          <w:sz w:val="24"/>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 xml:space="preserve">二、授权委托书或法定代表人（单位负责人、自然人本人）身份证明       </w:t>
      </w:r>
    </w:p>
    <w:p>
      <w:pPr>
        <w:shd w:val="clear"/>
        <w:bidi w:val="0"/>
        <w:rPr>
          <w:rFonts w:hint="eastAsia"/>
          <w:color w:val="auto"/>
          <w:highlight w:val="none"/>
          <w:lang w:val="zh-CN"/>
        </w:rPr>
      </w:pPr>
    </w:p>
    <w:p>
      <w:pPr>
        <w:shd w:val="clear"/>
        <w:snapToGrid w:val="0"/>
        <w:jc w:val="center"/>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授权委托书（适用于非联合体响应）</w:t>
      </w:r>
    </w:p>
    <w:p>
      <w:pPr>
        <w:shd w:val="clear"/>
        <w:snapToGrid w:val="0"/>
        <w:spacing w:line="360" w:lineRule="auto"/>
        <w:rPr>
          <w:rFonts w:hint="eastAsia" w:ascii="宋体" w:hAnsi="宋体" w:cs="宋体"/>
          <w:color w:val="auto"/>
          <w:sz w:val="24"/>
          <w:highlight w:val="none"/>
          <w:lang w:eastAsia="zh-CN"/>
        </w:rPr>
      </w:pPr>
    </w:p>
    <w:p>
      <w:pPr>
        <w:shd w:val="clea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采购代理机构</w:t>
      </w:r>
      <w:r>
        <w:rPr>
          <w:rFonts w:hint="eastAsia" w:ascii="宋体" w:hAnsi="宋体" w:cs="宋体"/>
          <w:color w:val="auto"/>
          <w:sz w:val="24"/>
          <w:highlight w:val="none"/>
          <w:lang w:eastAsia="zh-CN"/>
        </w:rPr>
        <w:t>）</w:t>
      </w:r>
      <w:r>
        <w:rPr>
          <w:rFonts w:hint="eastAsia" w:ascii="宋体" w:hAnsi="宋体" w:cs="宋体"/>
          <w:color w:val="auto"/>
          <w:kern w:val="0"/>
          <w:sz w:val="24"/>
          <w:highlight w:val="none"/>
          <w:lang w:val="zh-CN"/>
        </w:rPr>
        <w:t>：</w:t>
      </w:r>
    </w:p>
    <w:p>
      <w:pPr>
        <w:shd w:val="clea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u w:val="single"/>
          <w:lang w:val="en-US" w:eastAsia="zh-CN"/>
        </w:rPr>
        <w:t xml:space="preserve">   （项目名称）   </w:t>
      </w:r>
      <w:r>
        <w:rPr>
          <w:rFonts w:hint="eastAsia" w:ascii="宋体" w:hAnsi="宋体" w:cs="宋体"/>
          <w:color w:val="auto"/>
          <w:sz w:val="24"/>
          <w:highlight w:val="none"/>
        </w:rPr>
        <w:t>【项目编号：</w:t>
      </w:r>
      <w:r>
        <w:rPr>
          <w:rFonts w:hint="eastAsia" w:ascii="宋体" w:hAnsi="宋体" w:cs="宋体"/>
          <w:color w:val="auto"/>
          <w:sz w:val="24"/>
          <w:highlight w:val="none"/>
          <w:u w:val="single"/>
          <w:lang w:val="en-US" w:eastAsia="zh-CN"/>
        </w:rPr>
        <w:t xml:space="preserve">  （采购编号）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的一切事项，其法律后果由我方承担。</w:t>
      </w:r>
    </w:p>
    <w:p>
      <w:pPr>
        <w:shd w:val="clea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hd w:val="clea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hd w:val="clea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供应商名称(电子签名)：</w:t>
      </w:r>
    </w:p>
    <w:p>
      <w:pPr>
        <w:shd w:val="clea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hd w:val="clear"/>
        <w:snapToGrid w:val="0"/>
        <w:spacing w:line="360" w:lineRule="auto"/>
        <w:rPr>
          <w:rFonts w:ascii="宋体" w:hAnsi="宋体" w:cs="宋体"/>
          <w:color w:val="auto"/>
          <w:sz w:val="24"/>
          <w:highlight w:val="none"/>
        </w:rPr>
      </w:pPr>
    </w:p>
    <w:p>
      <w:pPr>
        <w:shd w:val="clear"/>
        <w:snapToGrid w:val="0"/>
        <w:spacing w:line="360" w:lineRule="auto"/>
        <w:rPr>
          <w:rFonts w:ascii="宋体" w:hAnsi="宋体" w:cs="宋体"/>
          <w:color w:val="auto"/>
          <w:sz w:val="24"/>
          <w:highlight w:val="none"/>
        </w:rPr>
      </w:pPr>
    </w:p>
    <w:p>
      <w:pPr>
        <w:shd w:val="clear"/>
        <w:snapToGrid w:val="0"/>
        <w:spacing w:line="360" w:lineRule="auto"/>
        <w:rPr>
          <w:rFonts w:ascii="宋体" w:hAnsi="宋体" w:cs="宋体"/>
          <w:color w:val="auto"/>
          <w:sz w:val="24"/>
          <w:highlight w:val="none"/>
        </w:rPr>
      </w:pPr>
    </w:p>
    <w:p>
      <w:pPr>
        <w:shd w:val="clear"/>
        <w:snapToGrid w:val="0"/>
        <w:jc w:val="center"/>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授权委托书（适用于联合体</w:t>
      </w:r>
      <w:r>
        <w:rPr>
          <w:rFonts w:hint="eastAsia" w:ascii="宋体" w:hAnsi="宋体" w:cs="宋体"/>
          <w:b/>
          <w:bCs/>
          <w:color w:val="auto"/>
          <w:sz w:val="32"/>
          <w:szCs w:val="32"/>
          <w:highlight w:val="none"/>
        </w:rPr>
        <w:t>响应</w:t>
      </w:r>
      <w:r>
        <w:rPr>
          <w:rFonts w:hint="eastAsia" w:ascii="宋体" w:hAnsi="宋体" w:cs="宋体"/>
          <w:b/>
          <w:bCs/>
          <w:color w:val="auto"/>
          <w:sz w:val="32"/>
          <w:szCs w:val="32"/>
          <w:highlight w:val="none"/>
          <w:lang w:val="zh-CN"/>
        </w:rPr>
        <w:t>）</w:t>
      </w:r>
    </w:p>
    <w:p>
      <w:pPr>
        <w:shd w:val="clear"/>
        <w:snapToGrid w:val="0"/>
        <w:spacing w:line="360" w:lineRule="auto"/>
        <w:rPr>
          <w:rFonts w:hint="eastAsia" w:ascii="宋体" w:hAnsi="宋体" w:cs="宋体"/>
          <w:color w:val="auto"/>
          <w:sz w:val="24"/>
          <w:highlight w:val="none"/>
          <w:lang w:eastAsia="zh-CN"/>
        </w:rPr>
      </w:pPr>
    </w:p>
    <w:p>
      <w:pPr>
        <w:shd w:val="clea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采购代理机构</w:t>
      </w:r>
      <w:r>
        <w:rPr>
          <w:rFonts w:hint="eastAsia" w:ascii="宋体" w:hAnsi="宋体" w:cs="宋体"/>
          <w:color w:val="auto"/>
          <w:sz w:val="24"/>
          <w:highlight w:val="none"/>
          <w:lang w:eastAsia="zh-CN"/>
        </w:rPr>
        <w:t>）</w:t>
      </w:r>
      <w:r>
        <w:rPr>
          <w:rFonts w:hint="eastAsia" w:ascii="宋体" w:hAnsi="宋体" w:cs="宋体"/>
          <w:color w:val="auto"/>
          <w:kern w:val="0"/>
          <w:sz w:val="24"/>
          <w:highlight w:val="none"/>
          <w:lang w:val="zh-CN"/>
        </w:rPr>
        <w:t>：</w:t>
      </w:r>
    </w:p>
    <w:p>
      <w:pPr>
        <w:shd w:val="clea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u w:val="single"/>
          <w:lang w:val="en-US" w:eastAsia="zh-CN"/>
        </w:rPr>
        <w:t xml:space="preserve">   （项目名称）   </w:t>
      </w:r>
      <w:r>
        <w:rPr>
          <w:rFonts w:hint="eastAsia" w:ascii="宋体" w:hAnsi="宋体" w:cs="宋体"/>
          <w:color w:val="auto"/>
          <w:sz w:val="24"/>
          <w:highlight w:val="none"/>
        </w:rPr>
        <w:t>【项目编号：</w:t>
      </w:r>
      <w:r>
        <w:rPr>
          <w:rFonts w:hint="eastAsia" w:ascii="宋体" w:hAnsi="宋体" w:cs="宋体"/>
          <w:color w:val="auto"/>
          <w:sz w:val="24"/>
          <w:highlight w:val="none"/>
          <w:u w:val="single"/>
          <w:lang w:val="en-US" w:eastAsia="zh-CN"/>
        </w:rPr>
        <w:t xml:space="preserve">  （采购编号）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的一切事项，其法律后果由我方承担。</w:t>
      </w:r>
    </w:p>
    <w:p>
      <w:pPr>
        <w:shd w:val="clea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hd w:val="clea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rPr>
          <w:rFonts w:ascii="宋体" w:hAnsi="宋体" w:cs="宋体"/>
          <w:color w:val="auto"/>
          <w:highlight w:val="none"/>
        </w:rPr>
      </w:pPr>
    </w:p>
    <w:p>
      <w:pPr>
        <w:shd w:val="clea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hd w:val="clea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hd w:val="clea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hd w:val="clear"/>
        <w:snapToGrid w:val="0"/>
        <w:spacing w:line="360" w:lineRule="auto"/>
        <w:rPr>
          <w:color w:val="auto"/>
          <w:highlight w:val="none"/>
          <w:lang w:val="zh-CN"/>
        </w:rPr>
      </w:pPr>
      <w:r>
        <w:rPr>
          <w:rFonts w:hint="eastAsia" w:ascii="宋体" w:hAnsi="宋体" w:cs="宋体"/>
          <w:color w:val="auto"/>
          <w:kern w:val="0"/>
          <w:sz w:val="24"/>
          <w:highlight w:val="none"/>
          <w:lang w:val="zh-CN"/>
        </w:rPr>
        <w:t xml:space="preserve">                                               日期：  年  月   日</w:t>
      </w:r>
    </w:p>
    <w:p>
      <w:pPr>
        <w:shd w:val="clear"/>
        <w:snapToGrid w:val="0"/>
        <w:jc w:val="center"/>
        <w:rPr>
          <w:rFonts w:ascii="宋体" w:hAnsi="宋体" w:cs="宋体"/>
          <w:b/>
          <w:bCs/>
          <w:color w:val="auto"/>
          <w:sz w:val="32"/>
          <w:szCs w:val="32"/>
          <w:highlight w:val="none"/>
        </w:rPr>
      </w:pPr>
      <w:r>
        <w:rPr>
          <w:rFonts w:hint="eastAsia" w:ascii="宋体" w:hAnsi="宋体" w:cs="宋体"/>
          <w:b/>
          <w:bCs/>
          <w:color w:val="auto"/>
          <w:sz w:val="32"/>
          <w:szCs w:val="32"/>
          <w:highlight w:val="none"/>
          <w:lang w:val="zh-CN"/>
        </w:rPr>
        <w:t>法定代表人、单位负责人或自然人本人</w:t>
      </w:r>
      <w:r>
        <w:rPr>
          <w:rFonts w:hint="eastAsia" w:ascii="宋体" w:hAnsi="宋体" w:cs="宋体"/>
          <w:b/>
          <w:bCs/>
          <w:color w:val="auto"/>
          <w:sz w:val="32"/>
          <w:szCs w:val="32"/>
          <w:highlight w:val="none"/>
        </w:rPr>
        <w:t>的身份证明（适用于法定代表人、单位负责人或者自然人本人代表供应商参加响应）</w:t>
      </w:r>
    </w:p>
    <w:p>
      <w:pPr>
        <w:pStyle w:val="148"/>
        <w:shd w:val="clear"/>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shd w:val="clear"/>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shd w:val="clear"/>
              <w:adjustRightInd w:val="0"/>
              <w:spacing w:line="360" w:lineRule="auto"/>
              <w:rPr>
                <w:rFonts w:hAnsi="宋体" w:cs="宋体"/>
                <w:bCs/>
                <w:color w:val="auto"/>
                <w:sz w:val="24"/>
                <w:highlight w:val="none"/>
              </w:rPr>
            </w:pPr>
          </w:p>
        </w:tc>
      </w:tr>
    </w:tbl>
    <w:p>
      <w:pPr>
        <w:shd w:val="clea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hd w:val="clea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                              </w:t>
      </w:r>
    </w:p>
    <w:p>
      <w:pPr>
        <w:shd w:val="clea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snapToGrid w:val="0"/>
        <w:spacing w:line="360" w:lineRule="auto"/>
        <w:ind w:right="480"/>
        <w:rPr>
          <w:rFonts w:ascii="宋体" w:hAnsi="宋体" w:cs="宋体"/>
          <w:b/>
          <w:color w:val="auto"/>
          <w:kern w:val="0"/>
          <w:sz w:val="32"/>
          <w:szCs w:val="32"/>
          <w:highlight w:val="none"/>
        </w:rPr>
        <w:sectPr>
          <w:pgSz w:w="11906" w:h="16838"/>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三、分包意向协议</w:t>
      </w:r>
    </w:p>
    <w:p>
      <w:pPr>
        <w:widowControl/>
        <w:shd w:val="clear"/>
        <w:spacing w:line="360" w:lineRule="auto"/>
        <w:ind w:firstLine="120" w:firstLineChars="50"/>
        <w:jc w:val="left"/>
        <w:rPr>
          <w:rFonts w:ascii="宋体" w:hAnsi="宋体" w:cs="宋体"/>
          <w:color w:val="auto"/>
          <w:sz w:val="24"/>
          <w:highlight w:val="none"/>
        </w:rPr>
      </w:pPr>
      <w:bookmarkStart w:id="1363" w:name="_Hlk101169080"/>
      <w:r>
        <w:rPr>
          <w:rFonts w:hint="eastAsia" w:ascii="宋体" w:hAnsi="宋体" w:cs="宋体"/>
          <w:color w:val="auto"/>
          <w:sz w:val="24"/>
          <w:highlight w:val="none"/>
        </w:rPr>
        <w:t>[</w:t>
      </w:r>
      <w:r>
        <w:rPr>
          <w:rFonts w:hint="eastAsia" w:ascii="宋体" w:hAnsi="宋体" w:cs="宋体"/>
          <w:b/>
          <w:color w:val="auto"/>
          <w:sz w:val="24"/>
          <w:highlight w:val="none"/>
        </w:rPr>
        <w:t>成交后以分包方式履行合同的，提供分包意向协议(附件6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；采购人不同意分包或者供应商成交后不以分包方式履行合同的，则不需要提供。</w:t>
      </w:r>
      <w:r>
        <w:rPr>
          <w:rFonts w:hint="eastAsia" w:ascii="宋体" w:hAnsi="宋体" w:cs="宋体"/>
          <w:color w:val="auto"/>
          <w:sz w:val="24"/>
          <w:highlight w:val="none"/>
        </w:rPr>
        <w:t>]</w:t>
      </w:r>
    </w:p>
    <w:bookmarkEnd w:id="1363"/>
    <w:p>
      <w:pPr>
        <w:shd w:val="clear"/>
        <w:snapToGrid w:val="0"/>
        <w:spacing w:line="360" w:lineRule="auto"/>
        <w:rPr>
          <w:rFonts w:ascii="宋体" w:hAnsi="宋体" w:cs="宋体"/>
          <w:color w:val="auto"/>
          <w:kern w:val="0"/>
          <w:sz w:val="24"/>
          <w:highlight w:val="none"/>
        </w:r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四、符合性审查资料</w:t>
      </w:r>
    </w:p>
    <w:p>
      <w:pPr>
        <w:shd w:val="clear"/>
        <w:jc w:val="center"/>
        <w:rPr>
          <w:rFonts w:ascii="宋体" w:hAnsi="宋体" w:cs="宋体"/>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hd w:val="clea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hd w:val="clea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hd w:val="clea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hd w:val="clea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响应文件中的</w:t>
            </w:r>
          </w:p>
          <w:p>
            <w:pPr>
              <w:shd w:val="clea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响应文件按照采购文件要求签署、盖章。</w:t>
            </w:r>
          </w:p>
        </w:tc>
        <w:tc>
          <w:tcPr>
            <w:tcW w:w="2551"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需要使用电子签名或者签字盖章的响应文件的组成部分</w:t>
            </w:r>
          </w:p>
        </w:tc>
        <w:tc>
          <w:tcPr>
            <w:tcW w:w="1418"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见响应文件</w:t>
            </w:r>
          </w:p>
          <w:p>
            <w:pPr>
              <w:shd w:val="clea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采购人拟采购的产品属于政府强制采购的节能产品品目清单范围的，供应商按采购文件要求提供国家确定的认证机构出具的、处于有效期之内的节能产品认证证书。</w:t>
            </w:r>
          </w:p>
        </w:tc>
        <w:tc>
          <w:tcPr>
            <w:tcW w:w="2551"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c>
          <w:tcPr>
            <w:tcW w:w="1418"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见响应文件</w:t>
            </w:r>
          </w:p>
          <w:p>
            <w:pPr>
              <w:pStyle w:val="3"/>
              <w:shd w:val="clear"/>
              <w:jc w:val="both"/>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lang w:val="en-US"/>
              </w:rPr>
              <w:t>第</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响应文件中承诺的响应文件有效期不少于采购文件中载明的响应文件有效期。</w:t>
            </w:r>
          </w:p>
        </w:tc>
        <w:tc>
          <w:tcPr>
            <w:tcW w:w="2551"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响应函</w:t>
            </w:r>
          </w:p>
        </w:tc>
        <w:tc>
          <w:tcPr>
            <w:tcW w:w="1418" w:type="dxa"/>
            <w:vAlign w:val="center"/>
          </w:tcPr>
          <w:p>
            <w:pPr>
              <w:shd w:val="clea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hd w:val="clear"/>
              <w:rPr>
                <w:rFonts w:ascii="宋体" w:hAnsi="宋体" w:cs="宋体"/>
                <w:color w:val="auto"/>
                <w:sz w:val="24"/>
                <w:highlight w:val="none"/>
              </w:rPr>
            </w:pPr>
            <w:r>
              <w:rPr>
                <w:rFonts w:hint="eastAsia" w:ascii="宋体" w:hAnsi="宋体" w:cs="宋体"/>
                <w:color w:val="auto"/>
                <w:sz w:val="24"/>
                <w:highlight w:val="none"/>
              </w:rPr>
              <w:t>4</w:t>
            </w:r>
          </w:p>
        </w:tc>
        <w:tc>
          <w:tcPr>
            <w:tcW w:w="4991" w:type="dxa"/>
            <w:vAlign w:val="center"/>
          </w:tcPr>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响应文件满足采购文件的其它实质性要求。</w:t>
            </w:r>
          </w:p>
        </w:tc>
        <w:tc>
          <w:tcPr>
            <w:tcW w:w="2551" w:type="dxa"/>
            <w:vAlign w:val="center"/>
          </w:tcPr>
          <w:p>
            <w:pPr>
              <w:shd w:val="clear"/>
              <w:rPr>
                <w:rFonts w:ascii="宋体" w:hAnsi="宋体" w:cs="宋体"/>
                <w:color w:val="auto"/>
                <w:sz w:val="24"/>
                <w:highlight w:val="none"/>
              </w:rPr>
            </w:pPr>
            <w:r>
              <w:rPr>
                <w:rFonts w:hint="eastAsia" w:ascii="宋体" w:hAnsi="宋体" w:cs="宋体"/>
                <w:color w:val="auto"/>
                <w:kern w:val="0"/>
                <w:sz w:val="24"/>
                <w:highlight w:val="none"/>
              </w:rPr>
              <w:t>采购文件其它实质性要求相应的材料（“▲” 系指实质性要求条款，采购文件无其它实质性要求的，无需提供）</w:t>
            </w:r>
          </w:p>
        </w:tc>
        <w:tc>
          <w:tcPr>
            <w:tcW w:w="1418" w:type="dxa"/>
            <w:vAlign w:val="center"/>
          </w:tcPr>
          <w:p>
            <w:pPr>
              <w:shd w:val="clear"/>
              <w:rPr>
                <w:rFonts w:ascii="宋体" w:hAnsi="宋体" w:cs="宋体"/>
                <w:color w:val="auto"/>
                <w:highlight w:val="none"/>
              </w:rPr>
            </w:pPr>
            <w:r>
              <w:rPr>
                <w:rFonts w:hint="eastAsia" w:ascii="宋体" w:hAnsi="宋体" w:cs="宋体"/>
                <w:color w:val="auto"/>
                <w:sz w:val="24"/>
                <w:highlight w:val="none"/>
              </w:rPr>
              <w:t>见响应文件第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hd w:val="clea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ascii="宋体" w:hAnsi="宋体" w:cs="宋体"/>
          <w:b/>
          <w:bCs/>
          <w:color w:val="auto"/>
          <w:sz w:val="32"/>
          <w:szCs w:val="32"/>
          <w:highlight w:val="none"/>
        </w:rPr>
      </w:pPr>
      <w:r>
        <w:rPr>
          <w:rFonts w:hint="eastAsia" w:ascii="宋体" w:hAnsi="宋体" w:eastAsia="宋体" w:cs="宋体"/>
          <w:b/>
          <w:color w:val="auto"/>
          <w:kern w:val="0"/>
          <w:sz w:val="32"/>
          <w:szCs w:val="32"/>
          <w:highlight w:val="none"/>
          <w:lang w:val="zh-CN"/>
        </w:rPr>
        <w:t>五、评审标准相应的商务技术资料</w:t>
      </w:r>
    </w:p>
    <w:p>
      <w:pPr>
        <w:shd w:val="clea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（按采购文件第四部分评审办法前附表中“响应文件中评审标准相应的商务技术资料目录”提供资料。）</w:t>
      </w: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shd w:val="clear"/>
        <w:jc w:val="center"/>
        <w:rPr>
          <w:rFonts w:ascii="宋体" w:hAnsi="宋体" w:cs="宋体"/>
          <w:b/>
          <w:color w:val="auto"/>
          <w:kern w:val="0"/>
          <w:sz w:val="32"/>
          <w:szCs w:val="32"/>
          <w:highlight w:val="none"/>
        </w:r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六、商务技术偏离表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采购文件章节及具体内容</w:t>
            </w:r>
          </w:p>
        </w:tc>
        <w:tc>
          <w:tcPr>
            <w:tcW w:w="3546" w:type="dxa"/>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响应文件章节及具体内容</w:t>
            </w:r>
          </w:p>
        </w:tc>
        <w:tc>
          <w:tcPr>
            <w:tcW w:w="1276" w:type="dxa"/>
          </w:tcPr>
          <w:p>
            <w:pPr>
              <w:shd w:val="clea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shd w:val="clear"/>
              <w:jc w:val="center"/>
              <w:rPr>
                <w:rFonts w:ascii="宋体" w:hAnsi="宋体" w:cs="宋体"/>
                <w:b/>
                <w:color w:val="auto"/>
                <w:kern w:val="0"/>
                <w:sz w:val="32"/>
                <w:szCs w:val="32"/>
                <w:highlight w:val="none"/>
              </w:rPr>
            </w:pPr>
          </w:p>
        </w:tc>
        <w:tc>
          <w:tcPr>
            <w:tcW w:w="3546" w:type="dxa"/>
          </w:tcPr>
          <w:p>
            <w:pPr>
              <w:shd w:val="clear"/>
              <w:jc w:val="center"/>
              <w:rPr>
                <w:rFonts w:ascii="宋体" w:hAnsi="宋体" w:cs="宋体"/>
                <w:b/>
                <w:color w:val="auto"/>
                <w:kern w:val="0"/>
                <w:sz w:val="32"/>
                <w:szCs w:val="32"/>
                <w:highlight w:val="none"/>
              </w:rPr>
            </w:pPr>
          </w:p>
        </w:tc>
        <w:tc>
          <w:tcPr>
            <w:tcW w:w="1276" w:type="dxa"/>
          </w:tcPr>
          <w:p>
            <w:pPr>
              <w:shd w:val="clea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shd w:val="clear"/>
              <w:jc w:val="center"/>
              <w:rPr>
                <w:rFonts w:ascii="宋体" w:hAnsi="宋体" w:cs="宋体"/>
                <w:b/>
                <w:color w:val="auto"/>
                <w:kern w:val="0"/>
                <w:sz w:val="32"/>
                <w:szCs w:val="32"/>
                <w:highlight w:val="none"/>
              </w:rPr>
            </w:pPr>
          </w:p>
        </w:tc>
        <w:tc>
          <w:tcPr>
            <w:tcW w:w="3546" w:type="dxa"/>
          </w:tcPr>
          <w:p>
            <w:pPr>
              <w:shd w:val="clear"/>
              <w:jc w:val="center"/>
              <w:rPr>
                <w:rFonts w:ascii="宋体" w:hAnsi="宋体" w:cs="宋体"/>
                <w:b/>
                <w:color w:val="auto"/>
                <w:kern w:val="0"/>
                <w:sz w:val="32"/>
                <w:szCs w:val="32"/>
                <w:highlight w:val="none"/>
              </w:rPr>
            </w:pPr>
          </w:p>
        </w:tc>
        <w:tc>
          <w:tcPr>
            <w:tcW w:w="1276" w:type="dxa"/>
          </w:tcPr>
          <w:p>
            <w:pPr>
              <w:shd w:val="clea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hd w:val="clea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shd w:val="clear"/>
              <w:jc w:val="center"/>
              <w:rPr>
                <w:rFonts w:ascii="宋体" w:hAnsi="宋体" w:cs="宋体"/>
                <w:b/>
                <w:color w:val="auto"/>
                <w:kern w:val="0"/>
                <w:sz w:val="32"/>
                <w:szCs w:val="32"/>
                <w:highlight w:val="none"/>
              </w:rPr>
            </w:pPr>
          </w:p>
        </w:tc>
        <w:tc>
          <w:tcPr>
            <w:tcW w:w="3546" w:type="dxa"/>
          </w:tcPr>
          <w:p>
            <w:pPr>
              <w:shd w:val="clear"/>
              <w:jc w:val="center"/>
              <w:rPr>
                <w:rFonts w:ascii="宋体" w:hAnsi="宋体" w:cs="宋体"/>
                <w:b/>
                <w:color w:val="auto"/>
                <w:kern w:val="0"/>
                <w:sz w:val="32"/>
                <w:szCs w:val="32"/>
                <w:highlight w:val="none"/>
              </w:rPr>
            </w:pPr>
          </w:p>
        </w:tc>
        <w:tc>
          <w:tcPr>
            <w:tcW w:w="1276" w:type="dxa"/>
          </w:tcPr>
          <w:p>
            <w:pPr>
              <w:shd w:val="clear"/>
              <w:jc w:val="center"/>
              <w:rPr>
                <w:rFonts w:ascii="宋体" w:hAnsi="宋体" w:cs="宋体"/>
                <w:b/>
                <w:color w:val="auto"/>
                <w:kern w:val="0"/>
                <w:sz w:val="32"/>
                <w:szCs w:val="32"/>
                <w:highlight w:val="none"/>
              </w:rPr>
            </w:pPr>
          </w:p>
        </w:tc>
      </w:tr>
    </w:tbl>
    <w:p>
      <w:pPr>
        <w:shd w:val="clear"/>
        <w:jc w:val="left"/>
        <w:rPr>
          <w:rFonts w:ascii="宋体" w:hAnsi="宋体" w:cs="宋体"/>
          <w:color w:val="auto"/>
          <w:kern w:val="0"/>
          <w:sz w:val="24"/>
          <w:highlight w:val="none"/>
        </w:rPr>
      </w:pPr>
      <w:r>
        <w:rPr>
          <w:rFonts w:hint="eastAsia" w:ascii="宋体" w:hAnsi="宋体" w:cs="宋体"/>
          <w:color w:val="auto"/>
          <w:kern w:val="0"/>
          <w:sz w:val="24"/>
          <w:highlight w:val="none"/>
        </w:rPr>
        <w:t>供应商保证：除商务技术偏离表列出的偏离外，供应商响应采购文件的全部要求</w:t>
      </w:r>
    </w:p>
    <w:p>
      <w:pPr>
        <w:shd w:val="clear"/>
        <w:jc w:val="center"/>
        <w:rPr>
          <w:rFonts w:ascii="宋体" w:hAnsi="宋体" w:cs="宋体"/>
          <w:b/>
          <w:color w:val="auto"/>
          <w:kern w:val="0"/>
          <w:sz w:val="32"/>
          <w:szCs w:val="32"/>
          <w:highlight w:val="none"/>
        </w:rPr>
      </w:pPr>
    </w:p>
    <w:p>
      <w:pPr>
        <w:shd w:val="clea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hd w:val="clear"/>
        <w:ind w:firstLine="1911" w:firstLineChars="595"/>
        <w:rPr>
          <w:rFonts w:ascii="宋体" w:hAnsi="宋体" w:cs="宋体"/>
          <w:b/>
          <w:bCs/>
          <w:color w:val="auto"/>
          <w:sz w:val="32"/>
          <w:szCs w:val="32"/>
          <w:highlight w:val="none"/>
        </w:rPr>
        <w:sectPr>
          <w:footerReference r:id="rId15" w:type="first"/>
          <w:footerReference r:id="rId14" w:type="default"/>
          <w:pgSz w:w="11906" w:h="16838"/>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ascii="宋体" w:hAnsi="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七、政府采购供应商廉洁自律承诺书</w:t>
      </w:r>
    </w:p>
    <w:p>
      <w:pPr>
        <w:shd w:val="clear"/>
        <w:snapToGrid w:val="0"/>
        <w:spacing w:line="360" w:lineRule="auto"/>
        <w:rPr>
          <w:rFonts w:ascii="宋体" w:hAnsi="宋体" w:cs="宋体"/>
          <w:color w:val="auto"/>
          <w:sz w:val="24"/>
          <w:highlight w:val="none"/>
        </w:rPr>
      </w:pPr>
    </w:p>
    <w:p>
      <w:pPr>
        <w:shd w:val="clea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采购代理机构</w:t>
      </w:r>
      <w:r>
        <w:rPr>
          <w:rFonts w:hint="eastAsia" w:ascii="宋体" w:hAnsi="宋体" w:cs="宋体"/>
          <w:color w:val="auto"/>
          <w:sz w:val="24"/>
          <w:highlight w:val="none"/>
          <w:lang w:eastAsia="zh-CN"/>
        </w:rPr>
        <w:t>）</w:t>
      </w:r>
      <w:r>
        <w:rPr>
          <w:rFonts w:hint="eastAsia" w:ascii="宋体" w:hAnsi="宋体" w:cs="宋体"/>
          <w:color w:val="auto"/>
          <w:kern w:val="0"/>
          <w:sz w:val="24"/>
          <w:highlight w:val="none"/>
          <w:lang w:val="zh-CN"/>
        </w:rPr>
        <w:t>：</w:t>
      </w:r>
    </w:p>
    <w:p>
      <w:pPr>
        <w:shd w:val="clea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shd w:val="clea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shd w:val="clea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shd w:val="clea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shd w:val="clea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shd w:val="clea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五、不为项目有关人员个人装修住房、婚丧嫁娶、配偶子女工作安排等提供好处；</w:t>
      </w:r>
    </w:p>
    <w:p>
      <w:pPr>
        <w:shd w:val="clea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shd w:val="clea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如违反上述承诺，你单位有权立即取消我单位投标、中标或在建项目的建设资格，有权拒绝我单位在一定时期内进入你单位进行项目建设或其他经营活动，并通报市财政局。由此引起的相应损失均由我单位承担。</w:t>
      </w:r>
    </w:p>
    <w:p>
      <w:pPr>
        <w:shd w:val="clear"/>
        <w:autoSpaceDE w:val="0"/>
        <w:autoSpaceDN w:val="0"/>
        <w:spacing w:line="360" w:lineRule="auto"/>
        <w:ind w:left="2"/>
        <w:jc w:val="left"/>
        <w:rPr>
          <w:rFonts w:ascii="宋体" w:hAnsi="宋体" w:cs="宋体"/>
          <w:color w:val="auto"/>
          <w:kern w:val="0"/>
          <w:sz w:val="24"/>
          <w:highlight w:val="none"/>
          <w:lang w:val="zh-CN"/>
        </w:rPr>
      </w:pPr>
    </w:p>
    <w:p>
      <w:pPr>
        <w:shd w:val="clear"/>
        <w:autoSpaceDE w:val="0"/>
        <w:autoSpaceDN w:val="0"/>
        <w:spacing w:line="360" w:lineRule="auto"/>
        <w:ind w:left="2"/>
        <w:jc w:val="left"/>
        <w:rPr>
          <w:rFonts w:ascii="宋体" w:hAnsi="宋体" w:cs="宋体"/>
          <w:color w:val="auto"/>
          <w:kern w:val="0"/>
          <w:sz w:val="24"/>
          <w:highlight w:val="none"/>
          <w:lang w:val="zh-CN"/>
        </w:rPr>
      </w:pPr>
    </w:p>
    <w:p>
      <w:pPr>
        <w:shd w:val="clear"/>
        <w:autoSpaceDE w:val="0"/>
        <w:autoSpaceDN w:val="0"/>
        <w:spacing w:line="360" w:lineRule="auto"/>
        <w:ind w:left="2"/>
        <w:jc w:val="left"/>
        <w:rPr>
          <w:rFonts w:ascii="宋体" w:hAnsi="宋体" w:cs="宋体"/>
          <w:color w:val="auto"/>
          <w:kern w:val="0"/>
          <w:sz w:val="24"/>
          <w:highlight w:val="none"/>
          <w:lang w:val="zh-CN"/>
        </w:rPr>
      </w:pPr>
    </w:p>
    <w:p>
      <w:pPr>
        <w:shd w:val="clea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hd w:val="clea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hd w:val="clear"/>
        <w:spacing w:line="360" w:lineRule="auto"/>
        <w:jc w:val="center"/>
        <w:rPr>
          <w:rFonts w:ascii="宋体" w:hAnsi="宋体" w:cs="宋体"/>
          <w:b/>
          <w:bCs/>
          <w:color w:val="auto"/>
          <w:sz w:val="24"/>
          <w:highlight w:val="none"/>
        </w:rPr>
      </w:pPr>
    </w:p>
    <w:p>
      <w:pPr>
        <w:shd w:val="clea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hd w:val="clear"/>
        <w:spacing w:line="360" w:lineRule="auto"/>
        <w:jc w:val="center"/>
        <w:rPr>
          <w:rFonts w:ascii="宋体" w:hAnsi="宋体" w:cs="宋体"/>
          <w:b/>
          <w:bCs/>
          <w:color w:val="auto"/>
          <w:sz w:val="24"/>
          <w:highlight w:val="none"/>
        </w:rPr>
        <w:sectPr>
          <w:pgSz w:w="11906" w:h="16838"/>
          <w:pgMar w:top="1440" w:right="1080" w:bottom="1440" w:left="1080" w:header="851" w:footer="992" w:gutter="0"/>
          <w:cols w:space="720" w:num="1"/>
          <w:titlePg/>
          <w:docGrid w:linePitch="312" w:charSpace="0"/>
        </w:sectPr>
      </w:pPr>
    </w:p>
    <w:p>
      <w:pPr>
        <w:pStyle w:val="3"/>
        <w:shd w:val="clear"/>
        <w:bidi w:val="0"/>
        <w:ind w:left="0" w:firstLine="0"/>
        <w:rPr>
          <w:rFonts w:ascii="宋体" w:hAnsi="宋体" w:cs="宋体"/>
          <w:b/>
          <w:color w:val="auto"/>
          <w:kern w:val="0"/>
          <w:sz w:val="36"/>
          <w:szCs w:val="36"/>
          <w:highlight w:val="none"/>
        </w:rPr>
      </w:pPr>
      <w:r>
        <w:rPr>
          <w:rFonts w:hint="eastAsia" w:eastAsia="宋体"/>
          <w:color w:val="auto"/>
          <w:sz w:val="36"/>
          <w:szCs w:val="36"/>
          <w:highlight w:val="none"/>
        </w:rPr>
        <w:t>报价文件部分</w:t>
      </w:r>
    </w:p>
    <w:p>
      <w:pPr>
        <w:keepNext w:val="0"/>
        <w:keepLines w:val="0"/>
        <w:pageBreakBefore w:val="0"/>
        <w:widowControl w:val="0"/>
        <w:shd w:val="clear"/>
        <w:kinsoku/>
        <w:wordWrap/>
        <w:overflowPunct/>
        <w:topLinePunct w:val="0"/>
        <w:autoSpaceDE/>
        <w:autoSpaceDN/>
        <w:bidi w:val="0"/>
        <w:adjustRightInd w:val="0"/>
        <w:snapToGrid w:val="0"/>
        <w:spacing w:line="360" w:lineRule="auto"/>
        <w:jc w:val="center"/>
        <w:textAlignment w:val="auto"/>
        <w:rPr>
          <w:rFonts w:hint="eastAsia" w:eastAsia="宋体"/>
          <w:color w:val="auto"/>
          <w:sz w:val="30"/>
          <w:szCs w:val="30"/>
          <w:highlight w:val="none"/>
        </w:rPr>
      </w:pPr>
      <w:r>
        <w:rPr>
          <w:rFonts w:hint="eastAsia" w:eastAsia="宋体"/>
          <w:color w:val="auto"/>
          <w:sz w:val="30"/>
          <w:szCs w:val="30"/>
          <w:highlight w:val="none"/>
        </w:rPr>
        <w:t>目录</w:t>
      </w:r>
    </w:p>
    <w:p>
      <w:pPr>
        <w:shd w:val="clear"/>
        <w:bidi w:val="0"/>
        <w:rPr>
          <w:color w:val="auto"/>
          <w:highlight w:val="none"/>
        </w:rPr>
      </w:pP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（1）报价单…………………………………………………………………………（页码）</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（2）已标价工程量清单……………………………………………………………（页码）</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（3）中小企业声明函………………………………………………………………（页码）</w:t>
      </w: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shd w:val="clear"/>
        <w:snapToGrid w:val="0"/>
        <w:spacing w:line="360" w:lineRule="auto"/>
        <w:ind w:right="480"/>
        <w:jc w:val="center"/>
        <w:rPr>
          <w:rFonts w:ascii="宋体" w:hAnsi="宋体" w:cs="宋体"/>
          <w:b/>
          <w:color w:val="auto"/>
          <w:kern w:val="0"/>
          <w:sz w:val="32"/>
          <w:szCs w:val="32"/>
          <w:highlight w:val="none"/>
        </w:rPr>
      </w:pPr>
    </w:p>
    <w:p>
      <w:pPr>
        <w:pStyle w:val="691"/>
        <w:keepNext w:val="0"/>
        <w:pageBreakBefore w:val="0"/>
        <w:shd w:val="clear"/>
        <w:tabs>
          <w:tab w:val="clear" w:pos="720"/>
        </w:tabs>
        <w:snapToGrid w:val="0"/>
        <w:spacing w:before="120" w:after="120"/>
        <w:ind w:firstLine="643"/>
        <w:outlineLvl w:val="9"/>
        <w:rPr>
          <w:rFonts w:ascii="宋体" w:hAnsi="宋体" w:eastAsia="宋体" w:cs="宋体"/>
          <w:color w:val="auto"/>
          <w:kern w:val="2"/>
          <w:sz w:val="32"/>
          <w:szCs w:val="32"/>
          <w:highlight w:val="none"/>
        </w:rPr>
        <w:sectPr>
          <w:footerReference r:id="rId18" w:type="first"/>
          <w:headerReference r:id="rId16" w:type="default"/>
          <w:footerReference r:id="rId17" w:type="default"/>
          <w:pgSz w:w="11906" w:h="16838"/>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一、报价单</w:t>
      </w:r>
    </w:p>
    <w:p>
      <w:pPr>
        <w:shd w:val="clea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采购人</w:t>
      </w:r>
      <w:r>
        <w:rPr>
          <w:rFonts w:hint="eastAsia" w:ascii="宋体" w:hAnsi="宋体" w:cs="宋体"/>
          <w:color w:val="auto"/>
          <w:sz w:val="24"/>
          <w:highlight w:val="none"/>
          <w:lang w:eastAsia="zh-CN"/>
        </w:rPr>
        <w:t>）</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采购代理机构</w:t>
      </w:r>
      <w:r>
        <w:rPr>
          <w:rFonts w:hint="eastAsia" w:ascii="宋体" w:hAnsi="宋体" w:cs="宋体"/>
          <w:color w:val="auto"/>
          <w:sz w:val="24"/>
          <w:highlight w:val="none"/>
          <w:lang w:eastAsia="zh-CN"/>
        </w:rPr>
        <w:t>）</w:t>
      </w:r>
      <w:r>
        <w:rPr>
          <w:rFonts w:hint="eastAsia" w:ascii="宋体" w:hAnsi="宋体" w:cs="宋体"/>
          <w:color w:val="auto"/>
          <w:kern w:val="0"/>
          <w:sz w:val="24"/>
          <w:highlight w:val="none"/>
          <w:lang w:val="zh-CN"/>
        </w:rPr>
        <w:t>：</w:t>
      </w:r>
    </w:p>
    <w:p>
      <w:pPr>
        <w:shd w:val="clea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按你方采购文件要求，我们，本响应文件签字方，谨此向你方发出要约如下：如你方接受本投标，我方承诺按照如下报价单的价格完成</w:t>
      </w:r>
      <w:r>
        <w:rPr>
          <w:rFonts w:hint="eastAsia" w:ascii="宋体" w:hAnsi="宋体" w:cs="宋体"/>
          <w:color w:val="auto"/>
          <w:sz w:val="24"/>
          <w:highlight w:val="none"/>
          <w:u w:val="single"/>
          <w:lang w:val="en-US" w:eastAsia="zh-CN"/>
        </w:rPr>
        <w:t xml:space="preserve"> （项目名称）     </w:t>
      </w:r>
      <w:r>
        <w:rPr>
          <w:rFonts w:hint="eastAsia" w:ascii="宋体" w:hAnsi="宋体" w:cs="宋体"/>
          <w:color w:val="auto"/>
          <w:kern w:val="0"/>
          <w:sz w:val="24"/>
          <w:highlight w:val="none"/>
          <w:lang w:val="zh-CN"/>
        </w:rPr>
        <w:t>【项目编号：</w:t>
      </w:r>
      <w:r>
        <w:rPr>
          <w:rFonts w:hint="eastAsia" w:ascii="宋体" w:hAnsi="宋体" w:cs="宋体"/>
          <w:color w:val="auto"/>
          <w:sz w:val="24"/>
          <w:highlight w:val="none"/>
          <w:u w:val="single"/>
          <w:lang w:val="en-US" w:eastAsia="zh-CN"/>
        </w:rPr>
        <w:t xml:space="preserve">  （采购编号） </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hd w:val="clea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报价单(单位均为人民币元)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843"/>
        <w:gridCol w:w="3118"/>
        <w:gridCol w:w="2552"/>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951" w:type="dxa"/>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项目名称</w:t>
            </w:r>
          </w:p>
        </w:tc>
        <w:tc>
          <w:tcPr>
            <w:tcW w:w="1843" w:type="dxa"/>
          </w:tcPr>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施工范围</w:t>
            </w:r>
          </w:p>
        </w:tc>
        <w:tc>
          <w:tcPr>
            <w:tcW w:w="3118" w:type="dxa"/>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施工工期</w:t>
            </w:r>
          </w:p>
        </w:tc>
        <w:tc>
          <w:tcPr>
            <w:tcW w:w="2552" w:type="dxa"/>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项目经理</w:t>
            </w:r>
          </w:p>
        </w:tc>
        <w:tc>
          <w:tcPr>
            <w:tcW w:w="1984" w:type="dxa"/>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执业证书信息</w:t>
            </w:r>
          </w:p>
        </w:tc>
        <w:tc>
          <w:tcPr>
            <w:tcW w:w="3119" w:type="dxa"/>
            <w:vAlign w:val="center"/>
          </w:tcPr>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hd w:val="clea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951" w:type="dxa"/>
            <w:vAlign w:val="center"/>
          </w:tcPr>
          <w:p>
            <w:pPr>
              <w:shd w:val="clear"/>
              <w:snapToGrid w:val="0"/>
              <w:spacing w:line="360" w:lineRule="auto"/>
              <w:jc w:val="center"/>
              <w:rPr>
                <w:rFonts w:ascii="宋体" w:hAnsi="宋体" w:cs="宋体"/>
                <w:color w:val="auto"/>
                <w:sz w:val="24"/>
                <w:highlight w:val="none"/>
              </w:rPr>
            </w:pPr>
          </w:p>
        </w:tc>
        <w:tc>
          <w:tcPr>
            <w:tcW w:w="1843" w:type="dxa"/>
            <w:vAlign w:val="center"/>
          </w:tcPr>
          <w:p>
            <w:pPr>
              <w:shd w:val="clear"/>
              <w:snapToGrid w:val="0"/>
              <w:spacing w:line="360" w:lineRule="auto"/>
              <w:jc w:val="center"/>
              <w:rPr>
                <w:rFonts w:ascii="宋体" w:hAnsi="宋体" w:cs="宋体"/>
                <w:color w:val="auto"/>
                <w:sz w:val="24"/>
                <w:highlight w:val="none"/>
              </w:rPr>
            </w:pPr>
          </w:p>
        </w:tc>
        <w:tc>
          <w:tcPr>
            <w:tcW w:w="3118" w:type="dxa"/>
            <w:vAlign w:val="center"/>
          </w:tcPr>
          <w:p>
            <w:pPr>
              <w:shd w:val="clear"/>
              <w:snapToGrid w:val="0"/>
              <w:spacing w:line="360" w:lineRule="auto"/>
              <w:jc w:val="center"/>
              <w:rPr>
                <w:rFonts w:ascii="宋体" w:hAnsi="宋体" w:cs="宋体"/>
                <w:color w:val="auto"/>
                <w:sz w:val="24"/>
                <w:highlight w:val="none"/>
              </w:rPr>
            </w:pPr>
          </w:p>
        </w:tc>
        <w:tc>
          <w:tcPr>
            <w:tcW w:w="2552" w:type="dxa"/>
            <w:vAlign w:val="center"/>
          </w:tcPr>
          <w:p>
            <w:pPr>
              <w:shd w:val="clear"/>
              <w:spacing w:line="360" w:lineRule="auto"/>
              <w:jc w:val="center"/>
              <w:rPr>
                <w:rFonts w:ascii="宋体" w:hAnsi="宋体" w:cs="宋体"/>
                <w:color w:val="auto"/>
                <w:sz w:val="24"/>
                <w:highlight w:val="none"/>
              </w:rPr>
            </w:pPr>
          </w:p>
        </w:tc>
        <w:tc>
          <w:tcPr>
            <w:tcW w:w="1984" w:type="dxa"/>
            <w:vAlign w:val="center"/>
          </w:tcPr>
          <w:p>
            <w:pPr>
              <w:shd w:val="clear"/>
              <w:spacing w:line="360" w:lineRule="auto"/>
              <w:jc w:val="center"/>
              <w:rPr>
                <w:rFonts w:ascii="宋体" w:hAnsi="宋体" w:cs="宋体"/>
                <w:color w:val="auto"/>
                <w:sz w:val="24"/>
                <w:highlight w:val="none"/>
              </w:rPr>
            </w:pPr>
          </w:p>
        </w:tc>
        <w:tc>
          <w:tcPr>
            <w:tcW w:w="3119" w:type="dxa"/>
            <w:vAlign w:val="center"/>
          </w:tcPr>
          <w:p>
            <w:pPr>
              <w:shd w:val="clea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3"/>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磋商报价（小写）</w:t>
            </w:r>
          </w:p>
        </w:tc>
        <w:tc>
          <w:tcPr>
            <w:tcW w:w="7655" w:type="dxa"/>
            <w:gridSpan w:val="3"/>
            <w:vAlign w:val="center"/>
          </w:tcPr>
          <w:p>
            <w:pPr>
              <w:shd w:val="clea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3"/>
            <w:vAlign w:val="center"/>
          </w:tcPr>
          <w:p>
            <w:pPr>
              <w:shd w:val="clea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磋商报价（大写）</w:t>
            </w:r>
          </w:p>
        </w:tc>
        <w:tc>
          <w:tcPr>
            <w:tcW w:w="7655" w:type="dxa"/>
            <w:gridSpan w:val="3"/>
            <w:vAlign w:val="center"/>
          </w:tcPr>
          <w:p>
            <w:pPr>
              <w:shd w:val="clear"/>
              <w:spacing w:line="360" w:lineRule="auto"/>
              <w:jc w:val="center"/>
              <w:rPr>
                <w:rFonts w:ascii="宋体" w:hAnsi="宋体" w:cs="宋体"/>
                <w:color w:val="auto"/>
                <w:sz w:val="24"/>
                <w:highlight w:val="none"/>
              </w:rPr>
            </w:pPr>
          </w:p>
        </w:tc>
      </w:tr>
    </w:tbl>
    <w:p>
      <w:pPr>
        <w:shd w:val="clea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hd w:val="clea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1、供应商需按本表格式填写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响应文件含有采购人不能接受的附加条件，响应文件无效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响应文件含有采购人不能接受的附加条件，响应文件无效</w:t>
      </w:r>
      <w:r>
        <w:rPr>
          <w:rFonts w:hint="eastAsia" w:ascii="宋体" w:hAnsi="宋体" w:cs="宋体"/>
          <w:b/>
          <w:color w:val="auto"/>
          <w:kern w:val="0"/>
          <w:sz w:val="24"/>
          <w:highlight w:val="none"/>
          <w:lang w:val="zh-CN"/>
        </w:rPr>
        <w:t>；采购内容未包含在《报价单》名称栏中，供应商不能作出合理解释的，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响应文件含有采购人不能接受的附加条件的，响应文件无效。</w:t>
      </w:r>
    </w:p>
    <w:p>
      <w:pPr>
        <w:shd w:val="clea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3、特别提示：采购机构将对项目名称和项目编号，成交供应商名称、地址和成交金额、施工范围、施工工期、项目经理、执业证书信息、品牌（如果有）、规格型号、数量、单价等予以公示。</w:t>
      </w:r>
    </w:p>
    <w:p>
      <w:pPr>
        <w:shd w:val="clea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hd w:val="clear"/>
        <w:spacing w:line="360" w:lineRule="auto"/>
        <w:ind w:firstLine="482" w:firstLineChars="200"/>
        <w:rPr>
          <w:rFonts w:ascii="宋体" w:hAnsi="宋体" w:cs="宋体"/>
          <w:b/>
          <w:color w:val="auto"/>
          <w:kern w:val="0"/>
          <w:sz w:val="24"/>
          <w:highlight w:val="none"/>
        </w:rPr>
      </w:pPr>
    </w:p>
    <w:p>
      <w:pPr>
        <w:pStyle w:val="691"/>
        <w:keepNext w:val="0"/>
        <w:pageBreakBefore w:val="0"/>
        <w:shd w:val="clear"/>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1"/>
        <w:keepNext w:val="0"/>
        <w:pageBreakBefore w:val="0"/>
        <w:shd w:val="clear"/>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二、已标价工程量清单</w:t>
      </w:r>
    </w:p>
    <w:p>
      <w:pPr>
        <w:shd w:val="clear"/>
        <w:ind w:right="420"/>
        <w:rPr>
          <w:rFonts w:ascii="宋体" w:hAnsi="宋体" w:cs="宋体"/>
          <w:color w:val="auto"/>
          <w:sz w:val="24"/>
          <w:highlight w:val="none"/>
        </w:rPr>
      </w:pPr>
      <w:r>
        <w:rPr>
          <w:rFonts w:hint="eastAsia" w:ascii="宋体" w:hAnsi="宋体" w:cs="宋体"/>
          <w:color w:val="auto"/>
          <w:sz w:val="24"/>
          <w:highlight w:val="none"/>
        </w:rPr>
        <w:t xml:space="preserve">注：按采购文件工程量清单编制 </w:t>
      </w:r>
    </w:p>
    <w:p>
      <w:pPr>
        <w:pStyle w:val="62"/>
        <w:shd w:val="clear"/>
        <w:ind w:firstLine="480"/>
        <w:rPr>
          <w:rFonts w:cs="宋体"/>
          <w:color w:val="auto"/>
          <w:sz w:val="24"/>
          <w:highlight w:val="none"/>
        </w:rPr>
      </w:pPr>
    </w:p>
    <w:p>
      <w:pPr>
        <w:pStyle w:val="62"/>
        <w:shd w:val="clear"/>
        <w:ind w:firstLine="480"/>
        <w:rPr>
          <w:rFonts w:cs="宋体"/>
          <w:color w:val="auto"/>
          <w:sz w:val="24"/>
          <w:highlight w:val="none"/>
        </w:rPr>
        <w:sectPr>
          <w:footerReference r:id="rId22" w:type="first"/>
          <w:headerReference r:id="rId19" w:type="default"/>
          <w:footerReference r:id="rId20" w:type="default"/>
          <w:footerReference r:id="rId21" w:type="even"/>
          <w:pgSz w:w="11906" w:h="16838"/>
          <w:pgMar w:top="1440" w:right="1080" w:bottom="1440" w:left="1080" w:header="851" w:footer="992" w:gutter="0"/>
          <w:cols w:space="720" w:num="1"/>
          <w:titlePg/>
          <w:docGrid w:linePitch="312" w:charSpace="0"/>
        </w:sectPr>
      </w:pPr>
    </w:p>
    <w:p>
      <w:pPr>
        <w:pStyle w:val="4"/>
        <w:keepNext/>
        <w:keepLines/>
        <w:pageBreakBefore w:val="0"/>
        <w:widowControl w:val="0"/>
        <w:shd w:val="clear"/>
        <w:kinsoku/>
        <w:wordWrap/>
        <w:overflowPunct/>
        <w:topLinePunct w:val="0"/>
        <w:autoSpaceDE/>
        <w:autoSpaceDN/>
        <w:bidi w:val="0"/>
        <w:adjustRightInd w:val="0"/>
        <w:snapToGrid w:val="0"/>
        <w:ind w:left="0" w:firstLine="0"/>
        <w:jc w:val="center"/>
        <w:textAlignment w:val="auto"/>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三、中小企业声明函</w:t>
      </w:r>
      <w:bookmarkStart w:id="1364" w:name="_Hlk101259491"/>
      <w:r>
        <w:rPr>
          <w:rFonts w:hint="eastAsia" w:ascii="宋体" w:hAnsi="宋体" w:eastAsia="宋体" w:cs="宋体"/>
          <w:b/>
          <w:color w:val="auto"/>
          <w:kern w:val="0"/>
          <w:sz w:val="32"/>
          <w:szCs w:val="32"/>
          <w:highlight w:val="none"/>
          <w:lang w:val="zh-CN"/>
        </w:rPr>
        <w:t>（如果有）</w:t>
      </w:r>
      <w:bookmarkEnd w:id="1364"/>
    </w:p>
    <w:p>
      <w:pPr>
        <w:widowControl/>
        <w:shd w:val="clear"/>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竞争性磋商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pStyle w:val="2"/>
        <w:keepNext w:val="0"/>
        <w:keepLines w:val="0"/>
        <w:pageBreakBefore/>
        <w:widowControl/>
        <w:shd w:val="clear"/>
        <w:spacing w:before="100" w:beforeAutospacing="1" w:after="100" w:afterAutospacing="1" w:line="360" w:lineRule="auto"/>
        <w:ind w:left="1290" w:firstLine="3092" w:firstLineChars="700"/>
        <w:jc w:val="both"/>
        <w:rPr>
          <w:rFonts w:ascii="宋体" w:hAnsi="宋体" w:cs="宋体"/>
          <w:color w:val="auto"/>
          <w:highlight w:val="none"/>
        </w:rPr>
      </w:pPr>
      <w:bookmarkStart w:id="1365" w:name="_Toc465665161"/>
      <w:r>
        <w:rPr>
          <w:rFonts w:hint="eastAsia" w:ascii="宋体" w:hAnsi="宋体" w:cs="宋体"/>
          <w:color w:val="auto"/>
          <w:highlight w:val="none"/>
        </w:rPr>
        <w:t>附件</w:t>
      </w:r>
      <w:bookmarkEnd w:id="1365"/>
    </w:p>
    <w:p>
      <w:pPr>
        <w:pStyle w:val="3"/>
        <w:shd w:val="clear"/>
        <w:bidi w:val="0"/>
        <w:jc w:val="left"/>
        <w:rPr>
          <w:rFonts w:hint="default" w:eastAsia="宋体"/>
          <w:color w:val="auto"/>
          <w:highlight w:val="none"/>
          <w:lang w:val="en-US" w:eastAsia="zh-CN"/>
        </w:rPr>
      </w:pPr>
      <w:r>
        <w:rPr>
          <w:rFonts w:hint="eastAsia"/>
          <w:color w:val="auto"/>
          <w:highlight w:val="none"/>
        </w:rPr>
        <w:t>附件1：</w:t>
      </w:r>
      <w:r>
        <w:rPr>
          <w:rFonts w:hint="eastAsia"/>
          <w:color w:val="auto"/>
          <w:highlight w:val="none"/>
          <w:lang w:val="en-US" w:eastAsia="zh-CN"/>
        </w:rPr>
        <w:t>残疾人福利性单位声明函</w:t>
      </w:r>
    </w:p>
    <w:p>
      <w:pPr>
        <w:shd w:val="clear"/>
        <w:spacing w:line="360" w:lineRule="auto"/>
        <w:jc w:val="center"/>
        <w:rPr>
          <w:rFonts w:ascii="宋体" w:hAnsi="宋体" w:cs="宋体"/>
          <w:b/>
          <w:color w:val="auto"/>
          <w:spacing w:val="6"/>
          <w:sz w:val="32"/>
          <w:szCs w:val="32"/>
          <w:highlight w:val="none"/>
        </w:rPr>
      </w:pPr>
      <w:bookmarkStart w:id="1366" w:name="OLE_LINK14"/>
      <w:bookmarkStart w:id="1367" w:name="OLE_LINK13"/>
      <w:r>
        <w:rPr>
          <w:rFonts w:hint="eastAsia" w:ascii="宋体" w:hAnsi="宋体" w:cs="宋体"/>
          <w:b/>
          <w:color w:val="auto"/>
          <w:spacing w:val="6"/>
          <w:sz w:val="32"/>
          <w:szCs w:val="32"/>
          <w:highlight w:val="none"/>
        </w:rPr>
        <w:t>残疾人福利性单位声明函</w:t>
      </w:r>
    </w:p>
    <w:bookmarkEnd w:id="1366"/>
    <w:bookmarkEnd w:id="1367"/>
    <w:p>
      <w:pPr>
        <w:shd w:val="clear"/>
        <w:spacing w:line="360" w:lineRule="auto"/>
        <w:rPr>
          <w:rFonts w:ascii="宋体" w:hAnsi="宋体" w:cs="宋体"/>
          <w:b/>
          <w:color w:val="auto"/>
          <w:spacing w:val="6"/>
          <w:sz w:val="30"/>
          <w:szCs w:val="30"/>
          <w:highlight w:val="none"/>
        </w:rPr>
      </w:pP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单位的</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80" w:firstLineChars="200"/>
        <w:rPr>
          <w:rFonts w:ascii="宋体" w:hAnsi="宋体" w:cs="宋体"/>
          <w:color w:val="auto"/>
          <w:sz w:val="24"/>
          <w:highlight w:val="none"/>
        </w:rPr>
      </w:pPr>
    </w:p>
    <w:p>
      <w:pPr>
        <w:shd w:val="clea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供应商名称（电子签名）</w:t>
      </w:r>
      <w:r>
        <w:rPr>
          <w:rFonts w:hint="eastAsia" w:ascii="宋体" w:hAnsi="宋体" w:cs="宋体"/>
          <w:color w:val="auto"/>
          <w:sz w:val="24"/>
          <w:highlight w:val="none"/>
        </w:rPr>
        <w:t>：</w:t>
      </w:r>
    </w:p>
    <w:p>
      <w:pPr>
        <w:shd w:val="clea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hd w:val="clear"/>
        <w:spacing w:line="360" w:lineRule="auto"/>
        <w:ind w:firstLine="480" w:firstLineChars="200"/>
        <w:rPr>
          <w:rFonts w:ascii="宋体" w:hAnsi="宋体" w:cs="宋体"/>
          <w:color w:val="auto"/>
          <w:sz w:val="24"/>
          <w:highlight w:val="none"/>
        </w:rPr>
      </w:pPr>
    </w:p>
    <w:p>
      <w:pPr>
        <w:shd w:val="clear"/>
        <w:spacing w:line="360" w:lineRule="auto"/>
        <w:ind w:firstLine="420" w:firstLineChars="200"/>
        <w:rPr>
          <w:rFonts w:ascii="宋体" w:hAnsi="宋体" w:cs="宋体"/>
          <w:color w:val="auto"/>
          <w:highlight w:val="none"/>
        </w:rPr>
      </w:pPr>
    </w:p>
    <w:p>
      <w:pPr>
        <w:shd w:val="clear"/>
        <w:spacing w:line="360" w:lineRule="auto"/>
        <w:ind w:firstLine="420" w:firstLineChars="200"/>
        <w:rPr>
          <w:rFonts w:ascii="宋体" w:hAnsi="宋体" w:cs="宋体"/>
          <w:color w:val="auto"/>
          <w:highlight w:val="none"/>
        </w:rPr>
      </w:pPr>
    </w:p>
    <w:p>
      <w:pPr>
        <w:shd w:val="clear"/>
        <w:spacing w:line="360" w:lineRule="auto"/>
        <w:ind w:firstLine="420" w:firstLineChars="200"/>
        <w:rPr>
          <w:rFonts w:ascii="宋体" w:hAnsi="宋体" w:cs="宋体"/>
          <w:color w:val="auto"/>
          <w:highlight w:val="none"/>
        </w:rPr>
      </w:pPr>
    </w:p>
    <w:p>
      <w:pPr>
        <w:shd w:val="clear"/>
        <w:spacing w:line="360" w:lineRule="auto"/>
        <w:ind w:firstLine="420" w:firstLineChars="200"/>
        <w:rPr>
          <w:rFonts w:ascii="宋体" w:hAnsi="宋体" w:cs="宋体"/>
          <w:color w:val="auto"/>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pStyle w:val="3"/>
        <w:shd w:val="clear"/>
        <w:bidi w:val="0"/>
        <w:ind w:left="0" w:firstLine="0"/>
        <w:jc w:val="left"/>
        <w:rPr>
          <w:rFonts w:ascii="宋体" w:hAnsi="宋体" w:cs="宋体"/>
          <w:b/>
          <w:color w:val="auto"/>
          <w:spacing w:val="6"/>
          <w:sz w:val="32"/>
          <w:szCs w:val="32"/>
          <w:highlight w:val="none"/>
        </w:rPr>
      </w:pPr>
      <w:r>
        <w:rPr>
          <w:rFonts w:hint="eastAsia" w:eastAsia="宋体"/>
          <w:color w:val="auto"/>
          <w:highlight w:val="none"/>
        </w:rPr>
        <w:t>附件</w:t>
      </w:r>
      <w:r>
        <w:rPr>
          <w:rFonts w:hint="eastAsia" w:ascii="宋体" w:hAnsi="宋体" w:cs="宋体"/>
          <w:b/>
          <w:color w:val="auto"/>
          <w:spacing w:val="6"/>
          <w:sz w:val="32"/>
          <w:szCs w:val="32"/>
          <w:highlight w:val="none"/>
        </w:rPr>
        <w:t>2：质疑函范本及制作说明</w:t>
      </w:r>
    </w:p>
    <w:p>
      <w:pPr>
        <w:shd w:val="clea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hd w:val="clea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hd w:val="clea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hd w:val="clea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hd w:val="clea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hd w:val="clear"/>
        <w:spacing w:line="360" w:lineRule="auto"/>
        <w:jc w:val="center"/>
        <w:rPr>
          <w:rFonts w:ascii="宋体" w:hAnsi="宋体" w:cs="宋体"/>
          <w:b/>
          <w:bCs/>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hd w:val="clear"/>
        <w:spacing w:line="360" w:lineRule="auto"/>
        <w:ind w:firstLine="600" w:firstLineChars="200"/>
        <w:jc w:val="left"/>
        <w:rPr>
          <w:rFonts w:ascii="宋体" w:hAnsi="宋体" w:cs="宋体"/>
          <w:color w:val="auto"/>
          <w:sz w:val="30"/>
          <w:szCs w:val="30"/>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center"/>
        <w:rPr>
          <w:rFonts w:ascii="宋体" w:hAnsi="宋体" w:cs="宋体"/>
          <w:b/>
          <w:color w:val="auto"/>
          <w:spacing w:val="6"/>
          <w:sz w:val="32"/>
          <w:szCs w:val="32"/>
          <w:highlight w:val="none"/>
        </w:rPr>
      </w:pPr>
    </w:p>
    <w:p>
      <w:pPr>
        <w:shd w:val="clear"/>
        <w:spacing w:line="360" w:lineRule="auto"/>
        <w:jc w:val="left"/>
        <w:rPr>
          <w:rFonts w:ascii="宋体" w:hAnsi="宋体" w:cs="宋体"/>
          <w:b/>
          <w:color w:val="auto"/>
          <w:spacing w:val="6"/>
          <w:sz w:val="32"/>
          <w:szCs w:val="32"/>
          <w:highlight w:val="none"/>
        </w:rPr>
      </w:pPr>
    </w:p>
    <w:p>
      <w:pPr>
        <w:shd w:val="clear"/>
        <w:spacing w:line="360" w:lineRule="auto"/>
        <w:jc w:val="left"/>
        <w:rPr>
          <w:rFonts w:ascii="宋体" w:hAnsi="宋体" w:cs="宋体"/>
          <w:b/>
          <w:color w:val="auto"/>
          <w:spacing w:val="6"/>
          <w:sz w:val="32"/>
          <w:szCs w:val="32"/>
          <w:highlight w:val="none"/>
        </w:rPr>
      </w:pPr>
    </w:p>
    <w:p>
      <w:pPr>
        <w:pStyle w:val="3"/>
        <w:shd w:val="clear"/>
        <w:bidi w:val="0"/>
        <w:ind w:left="0" w:firstLine="0"/>
        <w:jc w:val="left"/>
        <w:rPr>
          <w:rFonts w:ascii="宋体" w:hAnsi="宋体" w:cs="宋体"/>
          <w:b/>
          <w:color w:val="auto"/>
          <w:spacing w:val="6"/>
          <w:sz w:val="32"/>
          <w:szCs w:val="32"/>
          <w:highlight w:val="none"/>
        </w:rPr>
      </w:pPr>
      <w:r>
        <w:rPr>
          <w:rFonts w:hint="eastAsia" w:eastAsia="宋体"/>
          <w:color w:val="auto"/>
          <w:highlight w:val="none"/>
        </w:rPr>
        <w:t>附件</w:t>
      </w:r>
      <w:r>
        <w:rPr>
          <w:rFonts w:hint="eastAsia" w:ascii="宋体" w:hAnsi="宋体" w:cs="宋体"/>
          <w:b/>
          <w:color w:val="auto"/>
          <w:spacing w:val="6"/>
          <w:sz w:val="32"/>
          <w:szCs w:val="32"/>
          <w:highlight w:val="none"/>
        </w:rPr>
        <w:t>3：投诉书范本及制作说明</w:t>
      </w:r>
    </w:p>
    <w:p>
      <w:pPr>
        <w:shd w:val="clear"/>
        <w:spacing w:line="360" w:lineRule="auto"/>
        <w:jc w:val="center"/>
        <w:rPr>
          <w:rFonts w:ascii="宋体" w:hAnsi="宋体" w:cs="宋体"/>
          <w:b/>
          <w:color w:val="auto"/>
          <w:sz w:val="24"/>
          <w:highlight w:val="none"/>
        </w:rPr>
      </w:pPr>
    </w:p>
    <w:p>
      <w:pPr>
        <w:shd w:val="clea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hd w:val="clea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hd w:val="clea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hd w:val="clea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hd w:val="clea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hd w:val="clea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hd w:val="clea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hd w:val="clea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p>
    <w:p>
      <w:pPr>
        <w:shd w:val="clea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hd w:val="clear"/>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hd w:val="clea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hd w:val="clea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hd w:val="clear"/>
        <w:spacing w:line="360" w:lineRule="auto"/>
        <w:rPr>
          <w:rFonts w:ascii="宋体" w:hAnsi="宋体" w:cs="宋体"/>
          <w:b/>
          <w:color w:val="auto"/>
          <w:sz w:val="24"/>
          <w:highlight w:val="none"/>
        </w:rPr>
      </w:pPr>
    </w:p>
    <w:p>
      <w:pPr>
        <w:pStyle w:val="26"/>
        <w:shd w:val="clear"/>
        <w:rPr>
          <w:color w:val="auto"/>
          <w:highlight w:val="none"/>
        </w:rPr>
      </w:pPr>
    </w:p>
    <w:p>
      <w:pPr>
        <w:shd w:val="clear"/>
        <w:autoSpaceDE w:val="0"/>
        <w:autoSpaceDN w:val="0"/>
        <w:jc w:val="center"/>
        <w:rPr>
          <w:rFonts w:ascii="宋体" w:hAnsi="宋体" w:cs="宋体"/>
          <w:b/>
          <w:color w:val="auto"/>
          <w:spacing w:val="6"/>
          <w:sz w:val="32"/>
          <w:szCs w:val="32"/>
          <w:highlight w:val="none"/>
        </w:rPr>
      </w:pPr>
    </w:p>
    <w:p>
      <w:pPr>
        <w:pStyle w:val="3"/>
        <w:shd w:val="clear"/>
        <w:bidi w:val="0"/>
        <w:ind w:left="0" w:firstLine="0"/>
        <w:jc w:val="left"/>
        <w:rPr>
          <w:rFonts w:ascii="宋体" w:hAnsi="宋体" w:cs="宋体"/>
          <w:b/>
          <w:bCs/>
          <w:color w:val="auto"/>
          <w:sz w:val="32"/>
          <w:szCs w:val="32"/>
          <w:highlight w:val="none"/>
        </w:rPr>
      </w:pPr>
      <w:r>
        <w:rPr>
          <w:rFonts w:hint="eastAsia" w:eastAsia="宋体"/>
          <w:color w:val="auto"/>
          <w:highlight w:val="none"/>
        </w:rPr>
        <w:t>附件</w:t>
      </w:r>
      <w:r>
        <w:rPr>
          <w:rFonts w:hint="eastAsia" w:ascii="宋体" w:hAnsi="宋体" w:cs="宋体"/>
          <w:b/>
          <w:color w:val="auto"/>
          <w:spacing w:val="6"/>
          <w:sz w:val="32"/>
          <w:szCs w:val="32"/>
          <w:highlight w:val="none"/>
        </w:rPr>
        <w:t>4：</w:t>
      </w:r>
      <w:r>
        <w:rPr>
          <w:rFonts w:hint="eastAsia" w:ascii="宋体" w:hAnsi="宋体" w:cs="宋体"/>
          <w:b/>
          <w:bCs/>
          <w:color w:val="auto"/>
          <w:sz w:val="32"/>
          <w:szCs w:val="32"/>
          <w:highlight w:val="none"/>
        </w:rPr>
        <w:t>业务专用章使用说明</w:t>
      </w:r>
    </w:p>
    <w:p>
      <w:pPr>
        <w:shd w:val="clear"/>
        <w:spacing w:line="360" w:lineRule="auto"/>
        <w:jc w:val="center"/>
        <w:rPr>
          <w:rFonts w:hint="default" w:ascii="宋体" w:hAnsi="宋体" w:eastAsia="宋体" w:cs="宋体"/>
          <w:b/>
          <w:color w:val="auto"/>
          <w:spacing w:val="6"/>
          <w:sz w:val="32"/>
          <w:szCs w:val="32"/>
          <w:highlight w:val="none"/>
          <w:lang w:val="en-US" w:eastAsia="zh-CN"/>
        </w:rPr>
      </w:pPr>
      <w:r>
        <w:rPr>
          <w:rFonts w:hint="eastAsia" w:ascii="宋体" w:hAnsi="宋体" w:eastAsia="宋体" w:cs="宋体"/>
          <w:b/>
          <w:color w:val="auto"/>
          <w:spacing w:val="6"/>
          <w:sz w:val="32"/>
          <w:szCs w:val="32"/>
          <w:highlight w:val="none"/>
          <w:lang w:val="en-US" w:eastAsia="zh-CN"/>
        </w:rPr>
        <w:t>业务专用章使用说明函</w:t>
      </w:r>
    </w:p>
    <w:p>
      <w:pPr>
        <w:shd w:val="clea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采购人</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采购代理机构</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none"/>
          <w:lang w:eastAsia="zh-CN"/>
        </w:rPr>
        <w:t>：</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(供应商全称)是中华人民共和国依法登记注册的合法企业，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u w:val="single"/>
          <w:lang w:val="en-US" w:eastAsia="zh-CN"/>
        </w:rPr>
        <w:t xml:space="preserve">   （项目名称）  </w:t>
      </w:r>
      <w:r>
        <w:rPr>
          <w:rFonts w:hint="eastAsia" w:ascii="宋体" w:hAnsi="宋体" w:cs="宋体"/>
          <w:color w:val="auto"/>
          <w:sz w:val="24"/>
          <w:highlight w:val="none"/>
        </w:rPr>
        <w:t>【项目编号：</w:t>
      </w:r>
      <w:r>
        <w:rPr>
          <w:rFonts w:hint="eastAsia" w:ascii="宋体" w:hAnsi="宋体" w:cs="宋体"/>
          <w:color w:val="auto"/>
          <w:sz w:val="24"/>
          <w:highlight w:val="none"/>
          <w:u w:val="single"/>
          <w:lang w:val="en-US" w:eastAsia="zh-CN"/>
        </w:rPr>
        <w:t xml:space="preserve">  （采购编号）   </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hd w:val="clea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hd w:val="clear"/>
        <w:spacing w:line="360" w:lineRule="auto"/>
        <w:ind w:firstLine="494"/>
        <w:rPr>
          <w:rFonts w:ascii="宋体" w:hAnsi="宋体" w:cs="宋体"/>
          <w:color w:val="auto"/>
          <w:sz w:val="24"/>
          <w:highlight w:val="none"/>
        </w:rPr>
      </w:pPr>
    </w:p>
    <w:p>
      <w:pPr>
        <w:shd w:val="clear"/>
        <w:spacing w:line="360" w:lineRule="auto"/>
        <w:ind w:firstLine="494"/>
        <w:rPr>
          <w:rFonts w:ascii="宋体" w:hAnsi="宋体" w:cs="宋体"/>
          <w:color w:val="auto"/>
          <w:sz w:val="24"/>
          <w:highlight w:val="none"/>
        </w:rPr>
      </w:pPr>
    </w:p>
    <w:p>
      <w:pPr>
        <w:shd w:val="clear"/>
        <w:spacing w:line="360" w:lineRule="auto"/>
        <w:ind w:firstLine="494"/>
        <w:rPr>
          <w:rFonts w:ascii="宋体" w:hAnsi="宋体" w:cs="宋体"/>
          <w:color w:val="auto"/>
          <w:sz w:val="24"/>
          <w:highlight w:val="none"/>
        </w:rPr>
      </w:pPr>
    </w:p>
    <w:p>
      <w:pPr>
        <w:shd w:val="clear"/>
        <w:spacing w:line="360" w:lineRule="auto"/>
        <w:ind w:firstLine="494"/>
        <w:rPr>
          <w:rFonts w:ascii="宋体" w:hAnsi="宋体" w:cs="宋体"/>
          <w:color w:val="auto"/>
          <w:sz w:val="24"/>
          <w:highlight w:val="none"/>
        </w:rPr>
      </w:pPr>
    </w:p>
    <w:p>
      <w:pPr>
        <w:shd w:val="clea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供应商（法定名称章）：</w:t>
      </w:r>
    </w:p>
    <w:p>
      <w:pPr>
        <w:shd w:val="clea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hd w:val="clear"/>
        <w:rPr>
          <w:rFonts w:ascii="宋体" w:hAnsi="宋体" w:cs="宋体"/>
          <w:color w:val="auto"/>
          <w:sz w:val="24"/>
          <w:highlight w:val="none"/>
        </w:rPr>
      </w:pPr>
      <w:r>
        <w:rPr>
          <w:rFonts w:hint="eastAsia" w:ascii="宋体" w:hAnsi="宋体" w:cs="宋体"/>
          <w:b/>
          <w:bCs/>
          <w:color w:val="auto"/>
          <w:sz w:val="24"/>
          <w:highlight w:val="none"/>
        </w:rPr>
        <w:t>附：</w:t>
      </w:r>
    </w:p>
    <w:p>
      <w:pPr>
        <w:shd w:val="clear"/>
        <w:spacing w:line="360" w:lineRule="auto"/>
        <w:rPr>
          <w:rFonts w:ascii="宋体" w:hAnsi="宋体" w:cs="宋体"/>
          <w:bCs/>
          <w:color w:val="auto"/>
          <w:sz w:val="24"/>
          <w:highlight w:val="none"/>
        </w:rPr>
      </w:pPr>
      <w:r>
        <w:rPr>
          <w:rFonts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w:t>供应商</w:t>
      </w:r>
      <w:r>
        <w:rPr>
          <w:rFonts w:hint="eastAsia" w:ascii="宋体" w:hAnsi="宋体" w:cs="宋体"/>
          <w:color w:val="auto"/>
          <w:sz w:val="24"/>
          <w:highlight w:val="none"/>
        </w:rPr>
        <w:t>法定名称章（印模）                供应商“XX专用章”（印模）</w:t>
      </w: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both"/>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pPr>
    </w:p>
    <w:p>
      <w:pPr>
        <w:pStyle w:val="3"/>
        <w:shd w:val="clear"/>
        <w:bidi w:val="0"/>
        <w:ind w:left="0" w:firstLine="0"/>
        <w:jc w:val="left"/>
        <w:rPr>
          <w:rFonts w:ascii="宋体" w:hAnsi="宋体" w:cs="宋体"/>
          <w:b/>
          <w:color w:val="auto"/>
          <w:kern w:val="0"/>
          <w:sz w:val="32"/>
          <w:szCs w:val="32"/>
          <w:highlight w:val="none"/>
          <w:lang w:val="zh-CN"/>
        </w:rPr>
      </w:pPr>
      <w:r>
        <w:rPr>
          <w:rFonts w:hint="eastAsia" w:eastAsia="宋体"/>
          <w:color w:val="auto"/>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shd w:val="clear"/>
        <w:spacing w:line="360" w:lineRule="auto"/>
        <w:jc w:val="center"/>
        <w:rPr>
          <w:rFonts w:hint="default" w:ascii="宋体" w:hAnsi="宋体" w:eastAsia="宋体" w:cs="宋体"/>
          <w:b/>
          <w:color w:val="auto"/>
          <w:spacing w:val="6"/>
          <w:sz w:val="32"/>
          <w:szCs w:val="32"/>
          <w:highlight w:val="none"/>
          <w:lang w:val="en-US" w:eastAsia="zh-CN"/>
        </w:rPr>
      </w:pPr>
      <w:r>
        <w:rPr>
          <w:rFonts w:hint="eastAsia" w:ascii="宋体" w:hAnsi="宋体" w:eastAsia="宋体" w:cs="宋体"/>
          <w:b/>
          <w:color w:val="auto"/>
          <w:spacing w:val="6"/>
          <w:sz w:val="32"/>
          <w:szCs w:val="32"/>
          <w:highlight w:val="none"/>
          <w:lang w:val="en-US" w:eastAsia="zh-CN"/>
        </w:rPr>
        <w:t>联合体协议书</w:t>
      </w:r>
    </w:p>
    <w:p>
      <w:pPr>
        <w:widowControl/>
        <w:shd w:val="clear"/>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（以联合体形式参与的，提供联合协议；本项目不接受联合体或者供应商不以联合体形式参与的，则不需要提供）</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组成一个联合体，以一个供应商的身份</w:t>
      </w:r>
      <w:r>
        <w:rPr>
          <w:rFonts w:hint="eastAsia" w:ascii="宋体" w:hAnsi="宋体" w:cs="宋体"/>
          <w:color w:val="auto"/>
          <w:kern w:val="0"/>
          <w:sz w:val="24"/>
          <w:highlight w:val="none"/>
        </w:rPr>
        <w:t>参加</w:t>
      </w:r>
      <w:r>
        <w:rPr>
          <w:rFonts w:hint="eastAsia" w:ascii="宋体" w:hAnsi="宋体" w:cs="宋体"/>
          <w:color w:val="auto"/>
          <w:sz w:val="24"/>
          <w:highlight w:val="none"/>
          <w:u w:val="single"/>
          <w:lang w:val="en-US" w:eastAsia="zh-CN"/>
        </w:rPr>
        <w:t xml:space="preserve">        （项目名称）   </w:t>
      </w:r>
      <w:r>
        <w:rPr>
          <w:rFonts w:hint="eastAsia" w:ascii="宋体" w:hAnsi="宋体" w:cs="宋体"/>
          <w:color w:val="auto"/>
          <w:sz w:val="24"/>
          <w:highlight w:val="none"/>
        </w:rPr>
        <w:t>【项目编号：</w:t>
      </w:r>
      <w:r>
        <w:rPr>
          <w:rFonts w:hint="eastAsia" w:ascii="宋体" w:hAnsi="宋体" w:cs="宋体"/>
          <w:color w:val="auto"/>
          <w:sz w:val="24"/>
          <w:highlight w:val="none"/>
          <w:u w:val="single"/>
          <w:lang w:val="en-US" w:eastAsia="zh-CN"/>
        </w:rPr>
        <w:t xml:space="preserve">  （采购编号）  </w:t>
      </w:r>
      <w:r>
        <w:rPr>
          <w:rFonts w:hint="eastAsia" w:ascii="宋体" w:hAnsi="宋体" w:cs="宋体"/>
          <w:color w:val="auto"/>
          <w:sz w:val="24"/>
          <w:highlight w:val="none"/>
        </w:rPr>
        <w:t>】</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 xml:space="preserve">。 </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授权代表根据采购文件规定及</w:t>
      </w:r>
      <w:r>
        <w:rPr>
          <w:rFonts w:hint="eastAsia" w:ascii="宋体" w:hAnsi="宋体" w:cs="宋体"/>
          <w:color w:val="auto"/>
          <w:kern w:val="0"/>
          <w:sz w:val="24"/>
          <w:highlight w:val="none"/>
        </w:rPr>
        <w:t>响应内容</w:t>
      </w:r>
      <w:r>
        <w:rPr>
          <w:rFonts w:hint="eastAsia" w:ascii="宋体" w:hAnsi="宋体" w:cs="宋体"/>
          <w:color w:val="auto"/>
          <w:kern w:val="0"/>
          <w:sz w:val="24"/>
          <w:highlight w:val="none"/>
          <w:lang w:val="zh-CN"/>
        </w:rPr>
        <w:t>而对采购人、采购机构所作的任何合法承诺，包括书面澄清及相应等均对联合投标各方产生约束力。</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中，分工如下：</w:t>
      </w:r>
    </w:p>
    <w:p>
      <w:pPr>
        <w:shd w:val="clear"/>
        <w:snapToGrid w:val="0"/>
        <w:spacing w:line="360" w:lineRule="auto"/>
        <w:ind w:firstLine="576"/>
        <w:rPr>
          <w:rFonts w:ascii="宋体" w:hAnsi="宋体" w:cs="宋体"/>
          <w:color w:val="auto"/>
          <w:kern w:val="0"/>
          <w:sz w:val="24"/>
          <w:highlight w:val="none"/>
          <w:lang w:val="zh-CN"/>
        </w:rPr>
      </w:pPr>
      <w:bookmarkStart w:id="1368"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1368"/>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hd w:val="clea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提供的全部工程由小微企业承建，其合同份额占到合同总金额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（未预留份额专门面向中小企业采购的的采购项目，以及预留份额中的非预留部分采购包，接受联合体</w:t>
      </w:r>
      <w:r>
        <w:rPr>
          <w:rFonts w:hint="eastAsia" w:ascii="宋体" w:hAnsi="宋体" w:cs="宋体"/>
          <w:b/>
          <w:color w:val="auto"/>
          <w:kern w:val="0"/>
          <w:sz w:val="24"/>
          <w:highlight w:val="none"/>
        </w:rPr>
        <w:t>磋商</w:t>
      </w:r>
      <w:r>
        <w:rPr>
          <w:rFonts w:hint="eastAsia" w:ascii="宋体" w:hAnsi="宋体" w:cs="宋体"/>
          <w:b/>
          <w:color w:val="auto"/>
          <w:kern w:val="0"/>
          <w:sz w:val="24"/>
          <w:highlight w:val="none"/>
          <w:lang w:val="zh-CN"/>
        </w:rPr>
        <w:t>的，联合协议约定小微企业的合同份额占到合同总金额30%以上的，对联合体报价给予</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要求以联合体形式参加的项目或采购包，供应商按采购文件第一部分竞争性磋商公告申请人的资格要求中规定的联合协议中中小企业、小微企业合同金额应当达到的比例要求填写。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五、如果成交，</w:t>
      </w:r>
      <w:r>
        <w:rPr>
          <w:rFonts w:hint="eastAsia" w:ascii="宋体" w:hAnsi="宋体" w:cs="宋体"/>
          <w:color w:val="auto"/>
          <w:sz w:val="24"/>
          <w:highlight w:val="none"/>
        </w:rPr>
        <w:t>联合体各成员方共同与采购人签订合同，并就采购合同约定的事项对采购人承担连带责任。</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w:t>
      </w:r>
      <w:r>
        <w:rPr>
          <w:rFonts w:hint="eastAsia" w:ascii="宋体" w:hAnsi="宋体" w:cs="宋体"/>
          <w:color w:val="auto"/>
          <w:kern w:val="0"/>
          <w:sz w:val="24"/>
          <w:highlight w:val="none"/>
        </w:rPr>
        <w:t>响应</w:t>
      </w:r>
      <w:r>
        <w:rPr>
          <w:rFonts w:hint="eastAsia" w:ascii="宋体" w:hAnsi="宋体" w:cs="宋体"/>
          <w:color w:val="auto"/>
          <w:kern w:val="0"/>
          <w:sz w:val="24"/>
          <w:highlight w:val="none"/>
          <w:lang w:val="zh-CN"/>
        </w:rPr>
        <w:t>的其他事宜：</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hd w:val="clea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hd w:val="clea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hd w:val="clea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hd w:val="clear"/>
        <w:autoSpaceDE w:val="0"/>
        <w:autoSpaceDN w:val="0"/>
        <w:jc w:val="center"/>
        <w:rPr>
          <w:rFonts w:ascii="宋体" w:hAnsi="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pStyle w:val="3"/>
        <w:shd w:val="clear"/>
        <w:bidi w:val="0"/>
        <w:ind w:left="0" w:firstLine="0"/>
        <w:jc w:val="left"/>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eastAsia="宋体"/>
          <w:color w:val="auto"/>
          <w:highlight w:val="none"/>
        </w:rPr>
        <w:t>分包</w:t>
      </w:r>
      <w:r>
        <w:rPr>
          <w:rFonts w:hint="eastAsia" w:ascii="宋体" w:hAnsi="宋体" w:cs="宋体"/>
          <w:b/>
          <w:color w:val="auto"/>
          <w:kern w:val="0"/>
          <w:sz w:val="32"/>
          <w:szCs w:val="32"/>
          <w:highlight w:val="none"/>
        </w:rPr>
        <w:t>意向协议</w:t>
      </w:r>
    </w:p>
    <w:p>
      <w:pPr>
        <w:shd w:val="clear"/>
        <w:spacing w:line="360" w:lineRule="auto"/>
        <w:jc w:val="center"/>
        <w:rPr>
          <w:rFonts w:hint="default" w:ascii="宋体" w:hAnsi="宋体" w:eastAsia="宋体" w:cs="宋体"/>
          <w:b/>
          <w:color w:val="auto"/>
          <w:spacing w:val="6"/>
          <w:sz w:val="32"/>
          <w:szCs w:val="32"/>
          <w:highlight w:val="none"/>
          <w:lang w:val="en-US" w:eastAsia="zh-CN"/>
        </w:rPr>
      </w:pPr>
      <w:r>
        <w:rPr>
          <w:rFonts w:hint="eastAsia" w:ascii="宋体" w:hAnsi="宋体" w:eastAsia="宋体" w:cs="宋体"/>
          <w:b/>
          <w:color w:val="auto"/>
          <w:spacing w:val="6"/>
          <w:sz w:val="32"/>
          <w:szCs w:val="32"/>
          <w:highlight w:val="none"/>
          <w:lang w:val="en-US" w:eastAsia="zh-CN"/>
        </w:rPr>
        <w:t>分包意向协议书</w:t>
      </w:r>
    </w:p>
    <w:p>
      <w:pPr>
        <w:widowControl/>
        <w:shd w:val="clear"/>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成交后以分包方式履行合同的，提供分包意向协议；采购人不同意分包或者供应商成交后不以分包方式履行合同的，则不需要提供。</w:t>
      </w:r>
      <w:r>
        <w:rPr>
          <w:rFonts w:hint="eastAsia" w:ascii="宋体" w:hAnsi="宋体" w:cs="宋体"/>
          <w:color w:val="auto"/>
          <w:sz w:val="24"/>
          <w:highlight w:val="none"/>
        </w:rPr>
        <w:t>）</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u w:val="single"/>
          <w:lang w:val="en-US" w:eastAsia="zh-CN"/>
        </w:rPr>
        <w:t xml:space="preserve">    （项目名称）</w:t>
      </w:r>
      <w:r>
        <w:rPr>
          <w:rFonts w:hint="eastAsia" w:ascii="宋体" w:hAnsi="宋体" w:cs="宋体"/>
          <w:color w:val="auto"/>
          <w:sz w:val="24"/>
          <w:highlight w:val="none"/>
        </w:rPr>
        <w:t>【项目编号：</w:t>
      </w:r>
      <w:r>
        <w:rPr>
          <w:rFonts w:hint="eastAsia" w:ascii="宋体" w:hAnsi="宋体" w:cs="宋体"/>
          <w:color w:val="auto"/>
          <w:sz w:val="24"/>
          <w:highlight w:val="none"/>
          <w:u w:val="single"/>
          <w:lang w:val="en-US" w:eastAsia="zh-CN"/>
        </w:rPr>
        <w:t xml:space="preserve">   （采购编号）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的成交供应商，将依法采取分包方式履行合同。</w:t>
      </w: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（供应商名称）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shd w:val="clear"/>
        <w:bidi w:val="0"/>
        <w:ind w:firstLine="630" w:firstLineChars="300"/>
        <w:rPr>
          <w:color w:val="auto"/>
          <w:highlight w:val="none"/>
        </w:rPr>
      </w:pPr>
      <w:r>
        <w:rPr>
          <w:rFonts w:hint="eastAsia"/>
          <w:color w:val="auto"/>
          <w:highlight w:val="none"/>
        </w:rPr>
        <w:t>……</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hd w:val="clea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……）提供的工程全部由小微企业承建，</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（未预留份额专门面向中小企业采购的的采购项目，以及预留份额中的非预留部分采购包，允许分包的，分包意向协议约定小微企业的合同份额占到合同总金额30%以上的，对大中型企业的报价给予</w:t>
      </w:r>
      <w:r>
        <w:rPr>
          <w:rFonts w:hint="eastAsia" w:ascii="宋体" w:hAnsi="宋体" w:cs="宋体"/>
          <w:b/>
          <w:color w:val="auto"/>
          <w:kern w:val="0"/>
          <w:sz w:val="24"/>
          <w:highlight w:val="none"/>
        </w:rPr>
        <w:t>2</w:t>
      </w:r>
      <w:r>
        <w:rPr>
          <w:rFonts w:hint="eastAsia" w:ascii="宋体" w:hAnsi="宋体" w:cs="宋体"/>
          <w:b/>
          <w:color w:val="auto"/>
          <w:kern w:val="0"/>
          <w:sz w:val="24"/>
          <w:highlight w:val="none"/>
          <w:lang w:val="zh-CN"/>
        </w:rPr>
        <w:t>%的扣除。供应商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hd w:val="clea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1369"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要求合同分包形式参加的项目或采购包，供应商按采购文件第一部分竞争性磋商公告申请人的资格要求中规定的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1369"/>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hd w:val="clea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hd w:val="clea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hd w:val="clea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hd w:val="clea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hd w:val="clea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供应商名称(电子签名)：</w:t>
      </w:r>
    </w:p>
    <w:p>
      <w:pPr>
        <w:shd w:val="clear"/>
        <w:snapToGrid w:val="0"/>
        <w:spacing w:line="360" w:lineRule="auto"/>
        <w:ind w:firstLine="5640" w:firstLineChars="235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shd w:val="clea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hd w:val="clea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hd w:val="clear"/>
        <w:autoSpaceDE w:val="0"/>
        <w:autoSpaceDN w:val="0"/>
        <w:jc w:val="center"/>
        <w:rPr>
          <w:rFonts w:ascii="宋体" w:hAnsi="宋体" w:cs="宋体"/>
          <w:b/>
          <w:color w:val="auto"/>
          <w:spacing w:val="6"/>
          <w:sz w:val="32"/>
          <w:szCs w:val="32"/>
          <w:highlight w:val="none"/>
        </w:rPr>
      </w:pPr>
    </w:p>
    <w:p>
      <w:pPr>
        <w:shd w:val="clear"/>
        <w:autoSpaceDE w:val="0"/>
        <w:autoSpaceDN w:val="0"/>
        <w:jc w:val="center"/>
        <w:rPr>
          <w:rFonts w:ascii="宋体" w:hAnsi="宋体" w:cs="宋体"/>
          <w:b/>
          <w:color w:val="auto"/>
          <w:spacing w:val="6"/>
          <w:sz w:val="32"/>
          <w:szCs w:val="32"/>
          <w:highlight w:val="none"/>
        </w:rPr>
        <w:sectPr>
          <w:pgSz w:w="11906" w:h="16838"/>
          <w:pgMar w:top="1440" w:right="1080" w:bottom="1440" w:left="1080" w:header="851" w:footer="992" w:gutter="0"/>
          <w:cols w:space="720" w:num="1"/>
          <w:titlePg/>
          <w:docGrid w:linePitch="312" w:charSpace="0"/>
        </w:sectPr>
      </w:pPr>
    </w:p>
    <w:p>
      <w:pPr>
        <w:pStyle w:val="3"/>
        <w:shd w:val="clear"/>
        <w:bidi w:val="0"/>
        <w:ind w:left="0" w:firstLine="0"/>
        <w:jc w:val="left"/>
        <w:rPr>
          <w:rFonts w:ascii="宋体" w:hAnsi="宋体" w:cs="宋体"/>
          <w:b/>
          <w:bCs/>
          <w:color w:val="auto"/>
          <w:sz w:val="32"/>
          <w:szCs w:val="32"/>
          <w:highlight w:val="none"/>
        </w:rPr>
      </w:pPr>
      <w:r>
        <w:rPr>
          <w:rFonts w:hint="eastAsia" w:eastAsia="宋体"/>
          <w:color w:val="auto"/>
          <w:highlight w:val="none"/>
        </w:rPr>
        <w:t>附件</w:t>
      </w:r>
      <w:r>
        <w:rPr>
          <w:rFonts w:ascii="宋体" w:hAnsi="宋体" w:cs="宋体"/>
          <w:b/>
          <w:color w:val="auto"/>
          <w:spacing w:val="6"/>
          <w:sz w:val="32"/>
          <w:szCs w:val="32"/>
          <w:highlight w:val="none"/>
        </w:rPr>
        <w:t>7</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shd w:val="clear"/>
        <w:spacing w:line="360" w:lineRule="auto"/>
        <w:jc w:val="center"/>
        <w:rPr>
          <w:rFonts w:ascii="宋体" w:hAnsi="宋体" w:cs="宋体"/>
          <w:color w:val="auto"/>
          <w:sz w:val="24"/>
          <w:highlight w:val="none"/>
          <w:u w:val="single"/>
        </w:rPr>
      </w:pPr>
    </w:p>
    <w:p>
      <w:pPr>
        <w:shd w:val="clea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中小企业声明函（工程）</w:t>
      </w:r>
    </w:p>
    <w:p>
      <w:pPr>
        <w:shd w:val="clea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本公司（联合体）郑重声明，根据《政府采购促进中小企业发展管理办法》（财库﹝2020﹞46号）的规定，本公司（联合体）参加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采购人</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（项目名称）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highlight w:val="none"/>
        </w:rPr>
        <w:t xml:space="preserve"> ；承建（承接）企业为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hd w:val="clea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hd w:val="clear"/>
        <w:spacing w:line="360" w:lineRule="auto"/>
        <w:ind w:firstLine="480" w:firstLineChars="200"/>
        <w:rPr>
          <w:rFonts w:ascii="宋体" w:hAnsi="宋体" w:cs="宋体"/>
          <w:color w:val="auto"/>
          <w:sz w:val="24"/>
          <w:highlight w:val="none"/>
        </w:rPr>
      </w:pPr>
    </w:p>
    <w:p>
      <w:pPr>
        <w:shd w:val="clear"/>
        <w:snapToGrid w:val="0"/>
        <w:spacing w:line="360" w:lineRule="auto"/>
        <w:ind w:firstLine="5160" w:firstLineChars="2150"/>
        <w:rPr>
          <w:rFonts w:ascii="宋体" w:hAnsi="宋体" w:cs="宋体"/>
          <w:color w:val="auto"/>
          <w:kern w:val="0"/>
          <w:sz w:val="24"/>
          <w:highlight w:val="none"/>
        </w:rPr>
      </w:pPr>
      <w:r>
        <w:rPr>
          <w:rFonts w:hint="eastAsia" w:ascii="宋体" w:hAnsi="宋体" w:cs="宋体"/>
          <w:color w:val="auto"/>
          <w:kern w:val="0"/>
          <w:sz w:val="24"/>
          <w:highlight w:val="none"/>
          <w:lang w:val="zh-CN"/>
        </w:rPr>
        <w:t>供应商名称(电子签名)：</w:t>
      </w:r>
    </w:p>
    <w:p>
      <w:pPr>
        <w:shd w:val="clea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hd w:val="clear"/>
        <w:spacing w:line="360" w:lineRule="auto"/>
        <w:jc w:val="left"/>
        <w:rPr>
          <w:rFonts w:ascii="宋体" w:hAnsi="宋体" w:cs="宋体"/>
          <w:color w:val="auto"/>
          <w:sz w:val="18"/>
          <w:szCs w:val="18"/>
          <w:highlight w:val="none"/>
        </w:rPr>
      </w:pPr>
      <w:r>
        <w:rPr>
          <w:rFonts w:hint="eastAsia" w:ascii="宋体" w:hAnsi="宋体" w:cs="宋体"/>
          <w:color w:val="auto"/>
          <w:sz w:val="18"/>
          <w:szCs w:val="18"/>
          <w:highlight w:val="none"/>
        </w:rPr>
        <w:t>从业人员、营业收入、资产总额填报上一年度数据，无上一年度数据的新成立企业可不填报。</w:t>
      </w:r>
    </w:p>
    <w:p>
      <w:pPr>
        <w:shd w:val="clea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注：</w:t>
      </w:r>
    </w:p>
    <w:p>
      <w:pPr>
        <w:shd w:val="clea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hd w:val="clea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jc w:val="center"/>
        <w:rPr>
          <w:rFonts w:ascii="宋体" w:hAnsi="宋体" w:cs="宋体"/>
          <w:b/>
          <w:color w:val="auto"/>
          <w:sz w:val="32"/>
          <w:szCs w:val="32"/>
          <w:highlight w:val="none"/>
        </w:rPr>
      </w:pPr>
    </w:p>
    <w:p>
      <w:pPr>
        <w:shd w:val="clear"/>
        <w:spacing w:line="360" w:lineRule="auto"/>
        <w:rPr>
          <w:rFonts w:ascii="宋体" w:hAnsi="宋体" w:cs="宋体"/>
          <w:bCs/>
          <w:color w:val="auto"/>
          <w:sz w:val="24"/>
          <w:highlight w:val="none"/>
        </w:rPr>
        <w:sectPr>
          <w:pgSz w:w="11906" w:h="16838"/>
          <w:pgMar w:top="1440" w:right="1080" w:bottom="1440" w:left="1080" w:header="851" w:footer="992" w:gutter="0"/>
          <w:cols w:space="720" w:num="1"/>
          <w:titlePg/>
          <w:docGrid w:linePitch="312" w:charSpace="0"/>
        </w:sectPr>
      </w:pPr>
    </w:p>
    <w:p>
      <w:pPr>
        <w:pStyle w:val="3"/>
        <w:shd w:val="clear"/>
        <w:bidi w:val="0"/>
        <w:ind w:left="0" w:firstLine="0"/>
        <w:jc w:val="left"/>
        <w:rPr>
          <w:rFonts w:ascii="宋体" w:hAnsi="宋体" w:cs="宋体"/>
          <w:b/>
          <w:color w:val="auto"/>
          <w:spacing w:val="6"/>
          <w:sz w:val="32"/>
          <w:szCs w:val="32"/>
          <w:highlight w:val="none"/>
        </w:rPr>
      </w:pPr>
      <w:r>
        <w:rPr>
          <w:rFonts w:hint="eastAsia" w:eastAsia="宋体"/>
          <w:color w:val="auto"/>
          <w:highlight w:val="none"/>
        </w:rPr>
        <w:t>附件</w:t>
      </w:r>
      <w:r>
        <w:rPr>
          <w:rFonts w:hint="eastAsia" w:ascii="宋体" w:hAnsi="宋体" w:cs="宋体"/>
          <w:b/>
          <w:color w:val="auto"/>
          <w:spacing w:val="6"/>
          <w:sz w:val="32"/>
          <w:szCs w:val="32"/>
          <w:highlight w:val="none"/>
        </w:rPr>
        <w:t>8：工程量清单（另附）</w:t>
      </w:r>
    </w:p>
    <w:p>
      <w:pPr>
        <w:shd w:val="clear"/>
        <w:spacing w:line="360" w:lineRule="auto"/>
        <w:rPr>
          <w:rFonts w:ascii="宋体" w:hAnsi="宋体" w:cs="宋体"/>
          <w:b/>
          <w:color w:val="auto"/>
          <w:spacing w:val="6"/>
          <w:sz w:val="32"/>
          <w:szCs w:val="32"/>
          <w:highlight w:val="none"/>
        </w:rPr>
      </w:pPr>
    </w:p>
    <w:p>
      <w:pPr>
        <w:pStyle w:val="3"/>
        <w:shd w:val="clear"/>
        <w:bidi w:val="0"/>
        <w:ind w:left="0" w:firstLine="0"/>
        <w:jc w:val="left"/>
        <w:rPr>
          <w:rFonts w:ascii="宋体" w:hAnsi="宋体" w:cs="宋体"/>
          <w:b/>
          <w:color w:val="auto"/>
          <w:spacing w:val="6"/>
          <w:sz w:val="32"/>
          <w:szCs w:val="32"/>
          <w:highlight w:val="none"/>
        </w:rPr>
      </w:pPr>
      <w:r>
        <w:rPr>
          <w:rFonts w:hint="eastAsia" w:eastAsia="宋体"/>
          <w:color w:val="auto"/>
          <w:highlight w:val="none"/>
        </w:rPr>
        <w:t>附件</w:t>
      </w:r>
      <w:r>
        <w:rPr>
          <w:rFonts w:hint="eastAsia" w:ascii="宋体" w:hAnsi="宋体" w:cs="宋体"/>
          <w:b/>
          <w:color w:val="auto"/>
          <w:spacing w:val="6"/>
          <w:sz w:val="32"/>
          <w:szCs w:val="32"/>
          <w:highlight w:val="none"/>
        </w:rPr>
        <w:t>9：图纸（另附）</w:t>
      </w:r>
    </w:p>
    <w:p>
      <w:pPr>
        <w:pStyle w:val="26"/>
        <w:shd w:val="clear"/>
        <w:rPr>
          <w:color w:val="auto"/>
          <w:highlight w:val="none"/>
        </w:rPr>
      </w:pPr>
    </w:p>
    <w:sectPr>
      <w:pgSz w:w="11906" w:h="16838"/>
      <w:pgMar w:top="1440" w:right="1080" w:bottom="1440" w:left="108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panose1 w:val="02000400000000000000"/>
    <w:charset w:val="01"/>
    <w:family w:val="roman"/>
    <w:pitch w:val="default"/>
    <w:sig w:usb0="001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ingLiU_HKSCS">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82</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bookmarkStart w:id="1370" w:name="_Toc164085800"/>
    <w:bookmarkStart w:id="1371" w:name="_Toc131845147"/>
    <w:bookmarkStart w:id="1372" w:name="_Toc36110187"/>
    <w:bookmarkStart w:id="1373" w:name="_Toc91899912"/>
    <w:r>
      <w:rPr>
        <w:rFonts w:hint="eastAsia" w:ascii="仿宋_GB2312" w:eastAsia="仿宋_GB2312"/>
        <w:kern w:val="0"/>
        <w:szCs w:val="21"/>
      </w:rPr>
      <w:t xml:space="preserve"> 页</w:t>
    </w:r>
    <w:bookmarkEnd w:id="1370"/>
    <w:bookmarkEnd w:id="1371"/>
    <w:bookmarkEnd w:id="1372"/>
    <w:bookmarkEnd w:id="137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73"/>
      </w:rPr>
    </w:pPr>
    <w:r>
      <w:fldChar w:fldCharType="begin"/>
    </w:r>
    <w:r>
      <w:rPr>
        <w:rStyle w:val="73"/>
      </w:rPr>
      <w:instrText xml:space="preserve">PAGE  </w:instrText>
    </w:r>
    <w:r>
      <w:fldChar w:fldCharType="separate"/>
    </w:r>
    <w:r>
      <w:rPr>
        <w:rStyle w:val="73"/>
      </w:rPr>
      <w:t>49</w:t>
    </w:r>
    <w:r>
      <w:fldChar w:fldCharType="end"/>
    </w:r>
  </w:p>
  <w:p>
    <w:pPr>
      <w:pStyle w:val="40"/>
      <w:pBdr>
        <w:top w:val="none" w:color="auto" w:sz="0" w:space="2"/>
        <w:left w:val="none" w:color="auto" w:sz="0" w:space="0"/>
        <w:bottom w:val="none" w:color="auto" w:sz="0" w:space="0"/>
        <w:right w:val="none" w:color="auto" w:sz="0" w:space="0"/>
        <w:between w:val="none" w:color="auto" w:sz="0" w:space="0"/>
      </w:pBdr>
      <w:shd w:val="clear"/>
      <w:ind w:right="360"/>
      <w:rPr>
        <w:rFonts w:hint="default" w:eastAsia="宋体"/>
        <w:lang w:val="en-US"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jc w:val="right"/>
      <w:rPr>
        <w:rFonts w:ascii="仿宋_GB2312" w:eastAsia="仿宋_GB2312"/>
        <w:i/>
        <w:u w:val="single"/>
      </w:rPr>
    </w:pPr>
    <w:r>
      <w:rPr>
        <w:lang w:val="zh-CN"/>
      </w:rPr>
      <w:t>杭州市政府采购</w:t>
    </w:r>
    <w:r>
      <w:rPr>
        <w:rFonts w:hint="eastAsia"/>
        <w:lang w:val="zh-CN"/>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jc w:val="right"/>
      <w:rPr>
        <w:rFonts w:hint="eastAsia"/>
      </w:rPr>
    </w:pPr>
    <w:r>
      <w:rPr>
        <w:lang w:val="zh-CN"/>
      </w:rPr>
      <w:t>杭州市政府采购</w:t>
    </w:r>
    <w:r>
      <w:rPr>
        <w:rFonts w:hint="eastAsia"/>
        <w:lang w:val="zh-CN"/>
      </w:rPr>
      <w:t>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杭州市政府采购</w:t>
    </w:r>
    <w:r>
      <w:rPr>
        <w:rFonts w:hint="eastAsia"/>
        <w:lang w:val="zh-CN"/>
      </w:rPr>
      <w:t>竞争性磋商文件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rPr>
        <w:rFonts w:ascii="仿宋_GB2312" w:eastAsia="仿宋_GB2312"/>
        <w:b/>
        <w:i/>
        <w:u w:val="single"/>
      </w:rPr>
    </w:pPr>
    <w:r>
      <w:rPr>
        <w:lang w:val="zh-CN"/>
      </w:rPr>
      <w:t>杭州市政府采购</w:t>
    </w:r>
    <w:r>
      <w:rPr>
        <w:rFonts w:hint="eastAsia"/>
        <w:lang w:val="zh-CN"/>
      </w:rPr>
      <w:t>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rPr>
        <w:rFonts w:ascii="仿宋_GB2312"/>
        <w:b/>
        <w:i/>
        <w:iCs/>
        <w:u w:val="single"/>
      </w:rPr>
    </w:pPr>
    <w:r>
      <w:rPr>
        <w:lang w:val="zh-CN"/>
      </w:rPr>
      <w:t>杭州市政府采购</w:t>
    </w:r>
    <w:r>
      <w:rPr>
        <w:rFonts w:hint="eastAsia"/>
        <w:lang w:val="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54F20"/>
    <w:multiLevelType w:val="multilevel"/>
    <w:tmpl w:val="14954F20"/>
    <w:lvl w:ilvl="0" w:tentative="0">
      <w:start w:val="1"/>
      <w:numFmt w:val="decimalEnclosedCircl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76102880"/>
    <w:multiLevelType w:val="multilevel"/>
    <w:tmpl w:val="76102880"/>
    <w:lvl w:ilvl="0" w:tentative="0">
      <w:start w:val="1"/>
      <w:numFmt w:val="decimalEnclosedCircle"/>
      <w:lvlText w:val="%1"/>
      <w:lvlJc w:val="left"/>
      <w:pPr>
        <w:ind w:left="842" w:hanging="420"/>
      </w:pPr>
      <w:rPr>
        <w:rFonts w:hint="eastAsia"/>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hideSpellingErrors/>
  <w:documentProtection w:enforcement="0"/>
  <w:defaultTabStop w:val="419"/>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2NDdiNTY1NWEzOTg4MTAzODMzNDkxMWRmM2U1YTk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53E"/>
    <w:rsid w:val="000336D4"/>
    <w:rsid w:val="00034FA7"/>
    <w:rsid w:val="0003533D"/>
    <w:rsid w:val="000357E4"/>
    <w:rsid w:val="00035ACA"/>
    <w:rsid w:val="00036C29"/>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471"/>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43"/>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689A"/>
    <w:rsid w:val="00157432"/>
    <w:rsid w:val="00161185"/>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0CFA"/>
    <w:rsid w:val="001A128B"/>
    <w:rsid w:val="001A1475"/>
    <w:rsid w:val="001A1F0E"/>
    <w:rsid w:val="001A3335"/>
    <w:rsid w:val="001A473A"/>
    <w:rsid w:val="001A4977"/>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59D"/>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A25"/>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8DC"/>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1F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088"/>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CEE"/>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4D5"/>
    <w:rsid w:val="00487FE1"/>
    <w:rsid w:val="00490707"/>
    <w:rsid w:val="00490815"/>
    <w:rsid w:val="0049117E"/>
    <w:rsid w:val="0049217D"/>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B7A1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17FE0"/>
    <w:rsid w:val="005207D8"/>
    <w:rsid w:val="0052091D"/>
    <w:rsid w:val="005212F4"/>
    <w:rsid w:val="00521908"/>
    <w:rsid w:val="005224BC"/>
    <w:rsid w:val="00522928"/>
    <w:rsid w:val="00522FF1"/>
    <w:rsid w:val="00523946"/>
    <w:rsid w:val="0052397A"/>
    <w:rsid w:val="005256D6"/>
    <w:rsid w:val="00525AD8"/>
    <w:rsid w:val="00525D6B"/>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250"/>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1E6"/>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8BB"/>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1E4"/>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9A3"/>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317"/>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03"/>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D71"/>
    <w:rsid w:val="008052CE"/>
    <w:rsid w:val="0080548A"/>
    <w:rsid w:val="008058D0"/>
    <w:rsid w:val="00806A4C"/>
    <w:rsid w:val="0080705B"/>
    <w:rsid w:val="0080723C"/>
    <w:rsid w:val="00807F71"/>
    <w:rsid w:val="0081000F"/>
    <w:rsid w:val="0081137A"/>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C35"/>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7C2"/>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357"/>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8B8"/>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4DD"/>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423"/>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0E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E7368"/>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4EE"/>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595"/>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ABD"/>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34B"/>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5C5"/>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38E"/>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C31"/>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3E71"/>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6EC6"/>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1EE"/>
    <w:rsid w:val="00E912FD"/>
    <w:rsid w:val="00E91B26"/>
    <w:rsid w:val="00E92C6E"/>
    <w:rsid w:val="00E92D0B"/>
    <w:rsid w:val="00E92FFF"/>
    <w:rsid w:val="00E93195"/>
    <w:rsid w:val="00E9391C"/>
    <w:rsid w:val="00E93D05"/>
    <w:rsid w:val="00E950D4"/>
    <w:rsid w:val="00E951D8"/>
    <w:rsid w:val="00E95C2A"/>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C65DA5"/>
    <w:rsid w:val="01D55165"/>
    <w:rsid w:val="01DF6BF8"/>
    <w:rsid w:val="01EC2C57"/>
    <w:rsid w:val="025F0711"/>
    <w:rsid w:val="02614CD3"/>
    <w:rsid w:val="026B2E25"/>
    <w:rsid w:val="027F4D04"/>
    <w:rsid w:val="02824D4D"/>
    <w:rsid w:val="02861977"/>
    <w:rsid w:val="029339AC"/>
    <w:rsid w:val="02DC4B10"/>
    <w:rsid w:val="02DD76CE"/>
    <w:rsid w:val="02F36323"/>
    <w:rsid w:val="02F5619C"/>
    <w:rsid w:val="0326446A"/>
    <w:rsid w:val="032D5555"/>
    <w:rsid w:val="036634D2"/>
    <w:rsid w:val="03DD35E4"/>
    <w:rsid w:val="03F040A4"/>
    <w:rsid w:val="04074FB1"/>
    <w:rsid w:val="04076900"/>
    <w:rsid w:val="041A5A3B"/>
    <w:rsid w:val="042311BA"/>
    <w:rsid w:val="042B157A"/>
    <w:rsid w:val="048F763B"/>
    <w:rsid w:val="049F330E"/>
    <w:rsid w:val="04A1404D"/>
    <w:rsid w:val="04AA775C"/>
    <w:rsid w:val="04AF1889"/>
    <w:rsid w:val="04B65804"/>
    <w:rsid w:val="04C64E6C"/>
    <w:rsid w:val="04F66F48"/>
    <w:rsid w:val="05071DB4"/>
    <w:rsid w:val="05251E14"/>
    <w:rsid w:val="053A372E"/>
    <w:rsid w:val="05A16594"/>
    <w:rsid w:val="05A7762D"/>
    <w:rsid w:val="060E5941"/>
    <w:rsid w:val="06110FAF"/>
    <w:rsid w:val="061E21DC"/>
    <w:rsid w:val="06493CA7"/>
    <w:rsid w:val="065A6178"/>
    <w:rsid w:val="066F1CF3"/>
    <w:rsid w:val="06930BB8"/>
    <w:rsid w:val="06D64860"/>
    <w:rsid w:val="06E8731C"/>
    <w:rsid w:val="07245D42"/>
    <w:rsid w:val="07264C62"/>
    <w:rsid w:val="07337A91"/>
    <w:rsid w:val="076B0D7F"/>
    <w:rsid w:val="0779354C"/>
    <w:rsid w:val="07A46B95"/>
    <w:rsid w:val="07BC5DA1"/>
    <w:rsid w:val="07CF228A"/>
    <w:rsid w:val="08061376"/>
    <w:rsid w:val="08452D77"/>
    <w:rsid w:val="086401F8"/>
    <w:rsid w:val="08751CAA"/>
    <w:rsid w:val="087E4C40"/>
    <w:rsid w:val="08923AEE"/>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9F75AC8"/>
    <w:rsid w:val="0A1C0718"/>
    <w:rsid w:val="0A344AFC"/>
    <w:rsid w:val="0A3D172D"/>
    <w:rsid w:val="0A3D797F"/>
    <w:rsid w:val="0A3E7710"/>
    <w:rsid w:val="0A5B7E63"/>
    <w:rsid w:val="0A703465"/>
    <w:rsid w:val="0AA374A5"/>
    <w:rsid w:val="0AAB7649"/>
    <w:rsid w:val="0ABC5606"/>
    <w:rsid w:val="0ABD05CE"/>
    <w:rsid w:val="0AE840B8"/>
    <w:rsid w:val="0B30404E"/>
    <w:rsid w:val="0B4C6C14"/>
    <w:rsid w:val="0B547599"/>
    <w:rsid w:val="0B631A88"/>
    <w:rsid w:val="0B683D45"/>
    <w:rsid w:val="0B7F3F11"/>
    <w:rsid w:val="0B884417"/>
    <w:rsid w:val="0B892913"/>
    <w:rsid w:val="0B9E527A"/>
    <w:rsid w:val="0BAF3250"/>
    <w:rsid w:val="0BDB6AA8"/>
    <w:rsid w:val="0BF6188C"/>
    <w:rsid w:val="0BF73C91"/>
    <w:rsid w:val="0C0A5DFC"/>
    <w:rsid w:val="0C170175"/>
    <w:rsid w:val="0C4B4C0A"/>
    <w:rsid w:val="0C571A41"/>
    <w:rsid w:val="0C5C1171"/>
    <w:rsid w:val="0C5E1CBC"/>
    <w:rsid w:val="0C615B50"/>
    <w:rsid w:val="0C8445DA"/>
    <w:rsid w:val="0C87121B"/>
    <w:rsid w:val="0C9E2834"/>
    <w:rsid w:val="0CB057A5"/>
    <w:rsid w:val="0CC007F7"/>
    <w:rsid w:val="0CC617AC"/>
    <w:rsid w:val="0CE618DF"/>
    <w:rsid w:val="0CFE707A"/>
    <w:rsid w:val="0D063BDA"/>
    <w:rsid w:val="0D08375F"/>
    <w:rsid w:val="0D184CFB"/>
    <w:rsid w:val="0D4A7419"/>
    <w:rsid w:val="0D827401"/>
    <w:rsid w:val="0D84094E"/>
    <w:rsid w:val="0D8A00E9"/>
    <w:rsid w:val="0D8D589E"/>
    <w:rsid w:val="0DA01C73"/>
    <w:rsid w:val="0DD63300"/>
    <w:rsid w:val="0DEB2700"/>
    <w:rsid w:val="0DF50604"/>
    <w:rsid w:val="0DF702FE"/>
    <w:rsid w:val="0E060E51"/>
    <w:rsid w:val="0E5604B2"/>
    <w:rsid w:val="0E6D5D79"/>
    <w:rsid w:val="0E9D0089"/>
    <w:rsid w:val="0EB803EE"/>
    <w:rsid w:val="0EF8796E"/>
    <w:rsid w:val="0EF94D4B"/>
    <w:rsid w:val="0F4544D6"/>
    <w:rsid w:val="0F4958DC"/>
    <w:rsid w:val="0F515DF7"/>
    <w:rsid w:val="0F596BA8"/>
    <w:rsid w:val="0F6248D2"/>
    <w:rsid w:val="0F633A4D"/>
    <w:rsid w:val="0F693536"/>
    <w:rsid w:val="0F7B0511"/>
    <w:rsid w:val="0F7B76D9"/>
    <w:rsid w:val="0F816ACD"/>
    <w:rsid w:val="0F871628"/>
    <w:rsid w:val="0F9832DB"/>
    <w:rsid w:val="0FBF3FD2"/>
    <w:rsid w:val="0FBF7FF3"/>
    <w:rsid w:val="100C6301"/>
    <w:rsid w:val="10646583"/>
    <w:rsid w:val="107D4B15"/>
    <w:rsid w:val="108A3C80"/>
    <w:rsid w:val="10C26171"/>
    <w:rsid w:val="10F33360"/>
    <w:rsid w:val="10FC16EA"/>
    <w:rsid w:val="110F1D40"/>
    <w:rsid w:val="11266F33"/>
    <w:rsid w:val="118963A1"/>
    <w:rsid w:val="119E5EC0"/>
    <w:rsid w:val="11C6522A"/>
    <w:rsid w:val="11CC076B"/>
    <w:rsid w:val="11E104CC"/>
    <w:rsid w:val="11E20309"/>
    <w:rsid w:val="12103BCB"/>
    <w:rsid w:val="12255233"/>
    <w:rsid w:val="12530213"/>
    <w:rsid w:val="127723A9"/>
    <w:rsid w:val="12862074"/>
    <w:rsid w:val="12883966"/>
    <w:rsid w:val="129E45B4"/>
    <w:rsid w:val="12AA1929"/>
    <w:rsid w:val="12D81596"/>
    <w:rsid w:val="13072A44"/>
    <w:rsid w:val="13102AC0"/>
    <w:rsid w:val="131F55BA"/>
    <w:rsid w:val="133D34C9"/>
    <w:rsid w:val="134D4B46"/>
    <w:rsid w:val="135F4BE2"/>
    <w:rsid w:val="13896F89"/>
    <w:rsid w:val="139B1A0A"/>
    <w:rsid w:val="139D25C7"/>
    <w:rsid w:val="13B924F4"/>
    <w:rsid w:val="13BF3CE4"/>
    <w:rsid w:val="13EB044B"/>
    <w:rsid w:val="141008D8"/>
    <w:rsid w:val="14125FE6"/>
    <w:rsid w:val="146D271E"/>
    <w:rsid w:val="14982588"/>
    <w:rsid w:val="149A5AD9"/>
    <w:rsid w:val="14A7619D"/>
    <w:rsid w:val="150536C3"/>
    <w:rsid w:val="1505553D"/>
    <w:rsid w:val="150C1963"/>
    <w:rsid w:val="151447A0"/>
    <w:rsid w:val="152B4878"/>
    <w:rsid w:val="154A6454"/>
    <w:rsid w:val="15762120"/>
    <w:rsid w:val="15833B9B"/>
    <w:rsid w:val="167D4733"/>
    <w:rsid w:val="16A8729C"/>
    <w:rsid w:val="16B33777"/>
    <w:rsid w:val="16BC70A7"/>
    <w:rsid w:val="16C6339E"/>
    <w:rsid w:val="17006F19"/>
    <w:rsid w:val="172F2D79"/>
    <w:rsid w:val="17557BEF"/>
    <w:rsid w:val="17D349C1"/>
    <w:rsid w:val="17E17246"/>
    <w:rsid w:val="17E65F0C"/>
    <w:rsid w:val="17F173BC"/>
    <w:rsid w:val="17F42B99"/>
    <w:rsid w:val="18090362"/>
    <w:rsid w:val="1830729E"/>
    <w:rsid w:val="1870062C"/>
    <w:rsid w:val="18817102"/>
    <w:rsid w:val="18830A15"/>
    <w:rsid w:val="18852B28"/>
    <w:rsid w:val="188B5321"/>
    <w:rsid w:val="19932372"/>
    <w:rsid w:val="199416E1"/>
    <w:rsid w:val="19A20DD5"/>
    <w:rsid w:val="19AE03F1"/>
    <w:rsid w:val="1A071A03"/>
    <w:rsid w:val="1A181E5D"/>
    <w:rsid w:val="1A1F16AE"/>
    <w:rsid w:val="1A3A0DB2"/>
    <w:rsid w:val="1A3B5C77"/>
    <w:rsid w:val="1A5016DE"/>
    <w:rsid w:val="1A984BAD"/>
    <w:rsid w:val="1AA54C29"/>
    <w:rsid w:val="1AAB1AE2"/>
    <w:rsid w:val="1AB147BD"/>
    <w:rsid w:val="1AB8220E"/>
    <w:rsid w:val="1AE4166C"/>
    <w:rsid w:val="1AF06CFB"/>
    <w:rsid w:val="1AF11B8D"/>
    <w:rsid w:val="1B11359C"/>
    <w:rsid w:val="1B2A271F"/>
    <w:rsid w:val="1B530544"/>
    <w:rsid w:val="1B713184"/>
    <w:rsid w:val="1BA209CF"/>
    <w:rsid w:val="1BB4777D"/>
    <w:rsid w:val="1BD75AB8"/>
    <w:rsid w:val="1C0459C2"/>
    <w:rsid w:val="1C1B3B4A"/>
    <w:rsid w:val="1C4D5167"/>
    <w:rsid w:val="1C5401E6"/>
    <w:rsid w:val="1C7725CD"/>
    <w:rsid w:val="1C88086E"/>
    <w:rsid w:val="1CA511ED"/>
    <w:rsid w:val="1D011E4B"/>
    <w:rsid w:val="1D266CE1"/>
    <w:rsid w:val="1D3963AF"/>
    <w:rsid w:val="1D3D0FE5"/>
    <w:rsid w:val="1D6A673C"/>
    <w:rsid w:val="1D8334A3"/>
    <w:rsid w:val="1D9247AE"/>
    <w:rsid w:val="1DB567EC"/>
    <w:rsid w:val="1DF51A98"/>
    <w:rsid w:val="1E3D060F"/>
    <w:rsid w:val="1E3F7D2E"/>
    <w:rsid w:val="1E4134E4"/>
    <w:rsid w:val="1E5062B3"/>
    <w:rsid w:val="1E523514"/>
    <w:rsid w:val="1E560137"/>
    <w:rsid w:val="1E642E65"/>
    <w:rsid w:val="1E714A66"/>
    <w:rsid w:val="1E802593"/>
    <w:rsid w:val="1E874F8A"/>
    <w:rsid w:val="1E8B6156"/>
    <w:rsid w:val="1E974450"/>
    <w:rsid w:val="1EA703CC"/>
    <w:rsid w:val="1EB7330C"/>
    <w:rsid w:val="1F0A0FF3"/>
    <w:rsid w:val="1F0C4903"/>
    <w:rsid w:val="1F5771FF"/>
    <w:rsid w:val="1F904124"/>
    <w:rsid w:val="1FE868A9"/>
    <w:rsid w:val="20034907"/>
    <w:rsid w:val="20173E4B"/>
    <w:rsid w:val="204E48BC"/>
    <w:rsid w:val="206A26F8"/>
    <w:rsid w:val="208921B3"/>
    <w:rsid w:val="20894DAC"/>
    <w:rsid w:val="20973DEB"/>
    <w:rsid w:val="20B26522"/>
    <w:rsid w:val="20B44310"/>
    <w:rsid w:val="211116EB"/>
    <w:rsid w:val="212A5BF7"/>
    <w:rsid w:val="214F2CC0"/>
    <w:rsid w:val="21577826"/>
    <w:rsid w:val="216133FC"/>
    <w:rsid w:val="219511E6"/>
    <w:rsid w:val="219B05E9"/>
    <w:rsid w:val="21D56769"/>
    <w:rsid w:val="21E52EF3"/>
    <w:rsid w:val="21FB5D7B"/>
    <w:rsid w:val="22015E94"/>
    <w:rsid w:val="220B1C3D"/>
    <w:rsid w:val="221D1D20"/>
    <w:rsid w:val="22334A87"/>
    <w:rsid w:val="22BE6801"/>
    <w:rsid w:val="22D20926"/>
    <w:rsid w:val="23163CD0"/>
    <w:rsid w:val="233500BF"/>
    <w:rsid w:val="23377FF7"/>
    <w:rsid w:val="236B425F"/>
    <w:rsid w:val="2379108B"/>
    <w:rsid w:val="23836192"/>
    <w:rsid w:val="23901F29"/>
    <w:rsid w:val="239C0061"/>
    <w:rsid w:val="23B908A4"/>
    <w:rsid w:val="23B95E70"/>
    <w:rsid w:val="23D662A3"/>
    <w:rsid w:val="23E95BEF"/>
    <w:rsid w:val="23FD0064"/>
    <w:rsid w:val="245375B0"/>
    <w:rsid w:val="24642C0A"/>
    <w:rsid w:val="24997A50"/>
    <w:rsid w:val="24B22173"/>
    <w:rsid w:val="24B95AD9"/>
    <w:rsid w:val="24BE24DA"/>
    <w:rsid w:val="24CF5825"/>
    <w:rsid w:val="24D663E6"/>
    <w:rsid w:val="24D77F2B"/>
    <w:rsid w:val="24D85F80"/>
    <w:rsid w:val="25037D3A"/>
    <w:rsid w:val="257D111F"/>
    <w:rsid w:val="257D2030"/>
    <w:rsid w:val="258B00E2"/>
    <w:rsid w:val="25A917A6"/>
    <w:rsid w:val="25BE27CC"/>
    <w:rsid w:val="25F74A5C"/>
    <w:rsid w:val="2628662C"/>
    <w:rsid w:val="262D45DE"/>
    <w:rsid w:val="264B11BC"/>
    <w:rsid w:val="26525D1C"/>
    <w:rsid w:val="26871DC8"/>
    <w:rsid w:val="26A53EF9"/>
    <w:rsid w:val="26A61C92"/>
    <w:rsid w:val="26A94201"/>
    <w:rsid w:val="26AC274F"/>
    <w:rsid w:val="27044A29"/>
    <w:rsid w:val="271D34C8"/>
    <w:rsid w:val="276142BF"/>
    <w:rsid w:val="27783712"/>
    <w:rsid w:val="27907362"/>
    <w:rsid w:val="27B96E2D"/>
    <w:rsid w:val="27D3139C"/>
    <w:rsid w:val="28286705"/>
    <w:rsid w:val="28333E1D"/>
    <w:rsid w:val="28454BD6"/>
    <w:rsid w:val="28455253"/>
    <w:rsid w:val="28551971"/>
    <w:rsid w:val="285B1C53"/>
    <w:rsid w:val="289F7086"/>
    <w:rsid w:val="28C32028"/>
    <w:rsid w:val="28CC490F"/>
    <w:rsid w:val="28DE40AA"/>
    <w:rsid w:val="28DE6F1A"/>
    <w:rsid w:val="29345E77"/>
    <w:rsid w:val="294C65AD"/>
    <w:rsid w:val="29806583"/>
    <w:rsid w:val="298B3C4C"/>
    <w:rsid w:val="29F26D24"/>
    <w:rsid w:val="2A15033F"/>
    <w:rsid w:val="2A1662C1"/>
    <w:rsid w:val="2A1C7367"/>
    <w:rsid w:val="2A2815FA"/>
    <w:rsid w:val="2A6D6092"/>
    <w:rsid w:val="2A7D76B4"/>
    <w:rsid w:val="2A833417"/>
    <w:rsid w:val="2AB6675E"/>
    <w:rsid w:val="2B112B4A"/>
    <w:rsid w:val="2B437463"/>
    <w:rsid w:val="2B7807EE"/>
    <w:rsid w:val="2BA25A5D"/>
    <w:rsid w:val="2BA50BF7"/>
    <w:rsid w:val="2BBF00EC"/>
    <w:rsid w:val="2BC37CFD"/>
    <w:rsid w:val="2BD5237F"/>
    <w:rsid w:val="2BE536CE"/>
    <w:rsid w:val="2BE758D9"/>
    <w:rsid w:val="2C09049E"/>
    <w:rsid w:val="2C0A653C"/>
    <w:rsid w:val="2C191F85"/>
    <w:rsid w:val="2CE82D6F"/>
    <w:rsid w:val="2D285E15"/>
    <w:rsid w:val="2D313CB8"/>
    <w:rsid w:val="2D343236"/>
    <w:rsid w:val="2D6C5D01"/>
    <w:rsid w:val="2DD15014"/>
    <w:rsid w:val="2DEB6C5C"/>
    <w:rsid w:val="2DF72DE4"/>
    <w:rsid w:val="2E0220AF"/>
    <w:rsid w:val="2E1B3283"/>
    <w:rsid w:val="2E2509C1"/>
    <w:rsid w:val="2E4B082A"/>
    <w:rsid w:val="2E551074"/>
    <w:rsid w:val="2E5D4E86"/>
    <w:rsid w:val="2E5D790B"/>
    <w:rsid w:val="2E6939FB"/>
    <w:rsid w:val="2E8A52C5"/>
    <w:rsid w:val="2E9A3C18"/>
    <w:rsid w:val="2EBB0FEE"/>
    <w:rsid w:val="2EC63002"/>
    <w:rsid w:val="2F0A6B38"/>
    <w:rsid w:val="2F1D10CF"/>
    <w:rsid w:val="2F325102"/>
    <w:rsid w:val="2F762E67"/>
    <w:rsid w:val="2F946CCB"/>
    <w:rsid w:val="2FA41A41"/>
    <w:rsid w:val="2FD25781"/>
    <w:rsid w:val="2FDC745C"/>
    <w:rsid w:val="2FFD2364"/>
    <w:rsid w:val="2FFD7934"/>
    <w:rsid w:val="30045A3B"/>
    <w:rsid w:val="303E23F8"/>
    <w:rsid w:val="30733ACD"/>
    <w:rsid w:val="308C3862"/>
    <w:rsid w:val="309379D8"/>
    <w:rsid w:val="30A270F7"/>
    <w:rsid w:val="30DF1478"/>
    <w:rsid w:val="30EC586F"/>
    <w:rsid w:val="30FF0C3A"/>
    <w:rsid w:val="319C6071"/>
    <w:rsid w:val="31AC537E"/>
    <w:rsid w:val="31E3679B"/>
    <w:rsid w:val="31E732FD"/>
    <w:rsid w:val="32517576"/>
    <w:rsid w:val="3277304B"/>
    <w:rsid w:val="32BE5C2C"/>
    <w:rsid w:val="32D63C1D"/>
    <w:rsid w:val="32E8035D"/>
    <w:rsid w:val="32FB6478"/>
    <w:rsid w:val="332410BB"/>
    <w:rsid w:val="33263B3F"/>
    <w:rsid w:val="336963EB"/>
    <w:rsid w:val="33816EEB"/>
    <w:rsid w:val="33D12E3D"/>
    <w:rsid w:val="33EB55CD"/>
    <w:rsid w:val="33EC4C02"/>
    <w:rsid w:val="340D2360"/>
    <w:rsid w:val="3410665D"/>
    <w:rsid w:val="341379BE"/>
    <w:rsid w:val="34211214"/>
    <w:rsid w:val="342D5AB9"/>
    <w:rsid w:val="342E63AB"/>
    <w:rsid w:val="34950E68"/>
    <w:rsid w:val="34986E94"/>
    <w:rsid w:val="34A63CAA"/>
    <w:rsid w:val="34AF62C9"/>
    <w:rsid w:val="34CB4388"/>
    <w:rsid w:val="34FA6E12"/>
    <w:rsid w:val="354D7158"/>
    <w:rsid w:val="358D5588"/>
    <w:rsid w:val="361F28FE"/>
    <w:rsid w:val="363A3B40"/>
    <w:rsid w:val="36497CF9"/>
    <w:rsid w:val="365302AE"/>
    <w:rsid w:val="36607A0A"/>
    <w:rsid w:val="366E227C"/>
    <w:rsid w:val="366F2E0D"/>
    <w:rsid w:val="367B6A5C"/>
    <w:rsid w:val="36A506BA"/>
    <w:rsid w:val="36A74ADA"/>
    <w:rsid w:val="36AD60D5"/>
    <w:rsid w:val="36B224F9"/>
    <w:rsid w:val="36BC6CD6"/>
    <w:rsid w:val="36EC0CC9"/>
    <w:rsid w:val="37073551"/>
    <w:rsid w:val="371C4AF9"/>
    <w:rsid w:val="373F410B"/>
    <w:rsid w:val="379C71E3"/>
    <w:rsid w:val="37C27EC3"/>
    <w:rsid w:val="37EE7094"/>
    <w:rsid w:val="38153353"/>
    <w:rsid w:val="38296C89"/>
    <w:rsid w:val="383002EB"/>
    <w:rsid w:val="384352A2"/>
    <w:rsid w:val="38586797"/>
    <w:rsid w:val="38BC0149"/>
    <w:rsid w:val="38BC48FF"/>
    <w:rsid w:val="38D87D1C"/>
    <w:rsid w:val="39636459"/>
    <w:rsid w:val="396B7F6C"/>
    <w:rsid w:val="39B417A9"/>
    <w:rsid w:val="39FC5695"/>
    <w:rsid w:val="3A006D8E"/>
    <w:rsid w:val="3A1A4D37"/>
    <w:rsid w:val="3A204F94"/>
    <w:rsid w:val="3A3651E5"/>
    <w:rsid w:val="3A686471"/>
    <w:rsid w:val="3A744481"/>
    <w:rsid w:val="3A8C7BEF"/>
    <w:rsid w:val="3A906246"/>
    <w:rsid w:val="3B2349B7"/>
    <w:rsid w:val="3B616CFF"/>
    <w:rsid w:val="3B6259F6"/>
    <w:rsid w:val="3B7F4A85"/>
    <w:rsid w:val="3B976654"/>
    <w:rsid w:val="3BC01EFC"/>
    <w:rsid w:val="3BCA786A"/>
    <w:rsid w:val="3BD31E2F"/>
    <w:rsid w:val="3BF15831"/>
    <w:rsid w:val="3C105946"/>
    <w:rsid w:val="3C471448"/>
    <w:rsid w:val="3C5F759A"/>
    <w:rsid w:val="3C6C525A"/>
    <w:rsid w:val="3C9C35B9"/>
    <w:rsid w:val="3C9F0325"/>
    <w:rsid w:val="3CCC15BB"/>
    <w:rsid w:val="3CCE23CB"/>
    <w:rsid w:val="3CD17D17"/>
    <w:rsid w:val="3CE15A07"/>
    <w:rsid w:val="3D3C7F39"/>
    <w:rsid w:val="3D440F09"/>
    <w:rsid w:val="3D4504A0"/>
    <w:rsid w:val="3D4A74ED"/>
    <w:rsid w:val="3D8734BB"/>
    <w:rsid w:val="3D9A11D4"/>
    <w:rsid w:val="3DA16D89"/>
    <w:rsid w:val="3DA364BE"/>
    <w:rsid w:val="3DDA3ECC"/>
    <w:rsid w:val="3DE041CB"/>
    <w:rsid w:val="3E09134A"/>
    <w:rsid w:val="3E0D48F6"/>
    <w:rsid w:val="3E1868B4"/>
    <w:rsid w:val="3E377251"/>
    <w:rsid w:val="3E42664B"/>
    <w:rsid w:val="3E5A7334"/>
    <w:rsid w:val="3E7B5D6B"/>
    <w:rsid w:val="3E843E66"/>
    <w:rsid w:val="3E8F51FE"/>
    <w:rsid w:val="3E926F87"/>
    <w:rsid w:val="3E9A59DE"/>
    <w:rsid w:val="3EAF4836"/>
    <w:rsid w:val="3EC33DFA"/>
    <w:rsid w:val="3ED64855"/>
    <w:rsid w:val="3EDD4C2F"/>
    <w:rsid w:val="3F060E16"/>
    <w:rsid w:val="3F1D1096"/>
    <w:rsid w:val="3F2F0234"/>
    <w:rsid w:val="3F4A4065"/>
    <w:rsid w:val="3F6363FE"/>
    <w:rsid w:val="3F756B8F"/>
    <w:rsid w:val="3F95482B"/>
    <w:rsid w:val="4019356B"/>
    <w:rsid w:val="404D66AC"/>
    <w:rsid w:val="40592157"/>
    <w:rsid w:val="406E1CAE"/>
    <w:rsid w:val="40A0133A"/>
    <w:rsid w:val="40C31A53"/>
    <w:rsid w:val="40F8153C"/>
    <w:rsid w:val="40FF545D"/>
    <w:rsid w:val="410067C8"/>
    <w:rsid w:val="416176D3"/>
    <w:rsid w:val="418F0D2A"/>
    <w:rsid w:val="419D5334"/>
    <w:rsid w:val="41C60F5C"/>
    <w:rsid w:val="41D01505"/>
    <w:rsid w:val="41F216BC"/>
    <w:rsid w:val="42086760"/>
    <w:rsid w:val="421A6F54"/>
    <w:rsid w:val="42474939"/>
    <w:rsid w:val="424C3C57"/>
    <w:rsid w:val="425D7425"/>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1C37AA"/>
    <w:rsid w:val="449101DD"/>
    <w:rsid w:val="44953F47"/>
    <w:rsid w:val="44CD1324"/>
    <w:rsid w:val="44DE1391"/>
    <w:rsid w:val="45143C68"/>
    <w:rsid w:val="451B225C"/>
    <w:rsid w:val="452410C9"/>
    <w:rsid w:val="452F3950"/>
    <w:rsid w:val="45317DFB"/>
    <w:rsid w:val="456D3CE4"/>
    <w:rsid w:val="4579042C"/>
    <w:rsid w:val="457F0571"/>
    <w:rsid w:val="45851176"/>
    <w:rsid w:val="45895D3C"/>
    <w:rsid w:val="45C55BC2"/>
    <w:rsid w:val="45C63B94"/>
    <w:rsid w:val="45F94FB9"/>
    <w:rsid w:val="460E7DA5"/>
    <w:rsid w:val="46422483"/>
    <w:rsid w:val="46433098"/>
    <w:rsid w:val="4659254A"/>
    <w:rsid w:val="465A2DAC"/>
    <w:rsid w:val="465B0637"/>
    <w:rsid w:val="465E3F0D"/>
    <w:rsid w:val="466A16E6"/>
    <w:rsid w:val="46893F2B"/>
    <w:rsid w:val="46C444E6"/>
    <w:rsid w:val="46C4686E"/>
    <w:rsid w:val="472C2E7D"/>
    <w:rsid w:val="47653A95"/>
    <w:rsid w:val="477B5067"/>
    <w:rsid w:val="477B778F"/>
    <w:rsid w:val="478203EC"/>
    <w:rsid w:val="47B025FA"/>
    <w:rsid w:val="47B510B6"/>
    <w:rsid w:val="47D1233A"/>
    <w:rsid w:val="4809698F"/>
    <w:rsid w:val="4811697D"/>
    <w:rsid w:val="48261527"/>
    <w:rsid w:val="48766F11"/>
    <w:rsid w:val="487A3E25"/>
    <w:rsid w:val="488253E8"/>
    <w:rsid w:val="488B5503"/>
    <w:rsid w:val="48937E21"/>
    <w:rsid w:val="489A0361"/>
    <w:rsid w:val="48B94FF3"/>
    <w:rsid w:val="48E37AAB"/>
    <w:rsid w:val="48FD4B4C"/>
    <w:rsid w:val="490A68E0"/>
    <w:rsid w:val="491055FE"/>
    <w:rsid w:val="495F5B3E"/>
    <w:rsid w:val="496F77D7"/>
    <w:rsid w:val="497654FD"/>
    <w:rsid w:val="49B64211"/>
    <w:rsid w:val="49D41AAC"/>
    <w:rsid w:val="49F6167F"/>
    <w:rsid w:val="4A064FA0"/>
    <w:rsid w:val="4A16615C"/>
    <w:rsid w:val="4A257748"/>
    <w:rsid w:val="4A4424D7"/>
    <w:rsid w:val="4A740DF8"/>
    <w:rsid w:val="4AAB0053"/>
    <w:rsid w:val="4AB82D0F"/>
    <w:rsid w:val="4AEB7664"/>
    <w:rsid w:val="4AFD7C19"/>
    <w:rsid w:val="4B0567D1"/>
    <w:rsid w:val="4B236AAE"/>
    <w:rsid w:val="4B2F799D"/>
    <w:rsid w:val="4B3E5154"/>
    <w:rsid w:val="4B707271"/>
    <w:rsid w:val="4B9739F7"/>
    <w:rsid w:val="4BA30D9D"/>
    <w:rsid w:val="4BEE2503"/>
    <w:rsid w:val="4BF727EA"/>
    <w:rsid w:val="4C245A30"/>
    <w:rsid w:val="4CB6685F"/>
    <w:rsid w:val="4CC3171C"/>
    <w:rsid w:val="4CC367FE"/>
    <w:rsid w:val="4D077F3C"/>
    <w:rsid w:val="4D081741"/>
    <w:rsid w:val="4D0A1CD7"/>
    <w:rsid w:val="4D123355"/>
    <w:rsid w:val="4D2A3B31"/>
    <w:rsid w:val="4D312C52"/>
    <w:rsid w:val="4D905305"/>
    <w:rsid w:val="4D964A72"/>
    <w:rsid w:val="4D9C1254"/>
    <w:rsid w:val="4D9E5B15"/>
    <w:rsid w:val="4DA8622E"/>
    <w:rsid w:val="4E39282C"/>
    <w:rsid w:val="4E793892"/>
    <w:rsid w:val="4E800872"/>
    <w:rsid w:val="4E8D742E"/>
    <w:rsid w:val="4EC569ED"/>
    <w:rsid w:val="4ED50EA1"/>
    <w:rsid w:val="4EEC050C"/>
    <w:rsid w:val="4F104EC3"/>
    <w:rsid w:val="4F3C2FF7"/>
    <w:rsid w:val="4F47354A"/>
    <w:rsid w:val="4F8E75F4"/>
    <w:rsid w:val="4F911C54"/>
    <w:rsid w:val="4FB02C47"/>
    <w:rsid w:val="4FE625E0"/>
    <w:rsid w:val="4FEA17D0"/>
    <w:rsid w:val="5021480F"/>
    <w:rsid w:val="505C301C"/>
    <w:rsid w:val="50737224"/>
    <w:rsid w:val="508B462C"/>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137C5E"/>
    <w:rsid w:val="522E4CC3"/>
    <w:rsid w:val="5244713B"/>
    <w:rsid w:val="52615633"/>
    <w:rsid w:val="526F4DE4"/>
    <w:rsid w:val="52977FD4"/>
    <w:rsid w:val="52A25790"/>
    <w:rsid w:val="52A96B6F"/>
    <w:rsid w:val="52B45975"/>
    <w:rsid w:val="52D94AA4"/>
    <w:rsid w:val="52DD4C6F"/>
    <w:rsid w:val="52EA3A62"/>
    <w:rsid w:val="52F50BB8"/>
    <w:rsid w:val="53097272"/>
    <w:rsid w:val="53152A84"/>
    <w:rsid w:val="534C1537"/>
    <w:rsid w:val="53544462"/>
    <w:rsid w:val="53807561"/>
    <w:rsid w:val="5397158E"/>
    <w:rsid w:val="53B544FB"/>
    <w:rsid w:val="53E325D5"/>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11EF9"/>
    <w:rsid w:val="55923347"/>
    <w:rsid w:val="55925180"/>
    <w:rsid w:val="55983B1B"/>
    <w:rsid w:val="55A8376B"/>
    <w:rsid w:val="55CA5ACD"/>
    <w:rsid w:val="55D83A2C"/>
    <w:rsid w:val="55DC29B6"/>
    <w:rsid w:val="55DD4241"/>
    <w:rsid w:val="55F7332C"/>
    <w:rsid w:val="56113242"/>
    <w:rsid w:val="566B6D1E"/>
    <w:rsid w:val="56DD22BC"/>
    <w:rsid w:val="57032A2C"/>
    <w:rsid w:val="570F5219"/>
    <w:rsid w:val="572275D4"/>
    <w:rsid w:val="572E78E5"/>
    <w:rsid w:val="57554022"/>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25B04"/>
    <w:rsid w:val="58917D2F"/>
    <w:rsid w:val="5894085C"/>
    <w:rsid w:val="58AE4F0C"/>
    <w:rsid w:val="58B85899"/>
    <w:rsid w:val="58E363A9"/>
    <w:rsid w:val="59251EE2"/>
    <w:rsid w:val="595E1678"/>
    <w:rsid w:val="596D5BD4"/>
    <w:rsid w:val="597E3DD8"/>
    <w:rsid w:val="59A6194C"/>
    <w:rsid w:val="59A85A64"/>
    <w:rsid w:val="59F80043"/>
    <w:rsid w:val="5A09252F"/>
    <w:rsid w:val="5A0B2778"/>
    <w:rsid w:val="5A2A7C7B"/>
    <w:rsid w:val="5A3E2560"/>
    <w:rsid w:val="5A5D3B6E"/>
    <w:rsid w:val="5A637A76"/>
    <w:rsid w:val="5A6D33BA"/>
    <w:rsid w:val="5A792B1F"/>
    <w:rsid w:val="5A8718A4"/>
    <w:rsid w:val="5A874767"/>
    <w:rsid w:val="5AA85BE2"/>
    <w:rsid w:val="5AAD6F28"/>
    <w:rsid w:val="5ABE2749"/>
    <w:rsid w:val="5AD63A24"/>
    <w:rsid w:val="5AE51A4D"/>
    <w:rsid w:val="5B2E1A1D"/>
    <w:rsid w:val="5B843A1C"/>
    <w:rsid w:val="5B873E3F"/>
    <w:rsid w:val="5BD77D96"/>
    <w:rsid w:val="5C02690E"/>
    <w:rsid w:val="5C196DA7"/>
    <w:rsid w:val="5C2A048C"/>
    <w:rsid w:val="5C4D2220"/>
    <w:rsid w:val="5C80234E"/>
    <w:rsid w:val="5C8A680C"/>
    <w:rsid w:val="5C927F88"/>
    <w:rsid w:val="5D0C4701"/>
    <w:rsid w:val="5D0F0395"/>
    <w:rsid w:val="5D221076"/>
    <w:rsid w:val="5D397964"/>
    <w:rsid w:val="5D4E0D92"/>
    <w:rsid w:val="5D5A391C"/>
    <w:rsid w:val="5D5F10C0"/>
    <w:rsid w:val="5D790E2F"/>
    <w:rsid w:val="5D891B7B"/>
    <w:rsid w:val="5DAD38EE"/>
    <w:rsid w:val="5DD2425A"/>
    <w:rsid w:val="5E006862"/>
    <w:rsid w:val="5E0207B9"/>
    <w:rsid w:val="5E1834A1"/>
    <w:rsid w:val="5E261785"/>
    <w:rsid w:val="5E4A7017"/>
    <w:rsid w:val="5E552BBA"/>
    <w:rsid w:val="5E611C10"/>
    <w:rsid w:val="5E7A0F3F"/>
    <w:rsid w:val="5ECD6B2F"/>
    <w:rsid w:val="5EFC7377"/>
    <w:rsid w:val="5F06174D"/>
    <w:rsid w:val="5F3475AC"/>
    <w:rsid w:val="5F3A3602"/>
    <w:rsid w:val="5F45733B"/>
    <w:rsid w:val="5F5A335C"/>
    <w:rsid w:val="5F6277C6"/>
    <w:rsid w:val="5F6D0B1D"/>
    <w:rsid w:val="5F8D0B82"/>
    <w:rsid w:val="5F926F9A"/>
    <w:rsid w:val="5F985586"/>
    <w:rsid w:val="5FC668BB"/>
    <w:rsid w:val="5FCC5339"/>
    <w:rsid w:val="5FE34A5B"/>
    <w:rsid w:val="5FFE1E36"/>
    <w:rsid w:val="60232584"/>
    <w:rsid w:val="6053523D"/>
    <w:rsid w:val="60575F95"/>
    <w:rsid w:val="607330CE"/>
    <w:rsid w:val="60825176"/>
    <w:rsid w:val="609F2AC4"/>
    <w:rsid w:val="60FA2EE8"/>
    <w:rsid w:val="61054A27"/>
    <w:rsid w:val="61077588"/>
    <w:rsid w:val="610A52BC"/>
    <w:rsid w:val="610D059B"/>
    <w:rsid w:val="611D2366"/>
    <w:rsid w:val="61421856"/>
    <w:rsid w:val="615227C4"/>
    <w:rsid w:val="61654E3F"/>
    <w:rsid w:val="6178019B"/>
    <w:rsid w:val="6182292A"/>
    <w:rsid w:val="619F7F92"/>
    <w:rsid w:val="61B2122D"/>
    <w:rsid w:val="61C51991"/>
    <w:rsid w:val="61F94C26"/>
    <w:rsid w:val="62000E56"/>
    <w:rsid w:val="624F3E49"/>
    <w:rsid w:val="62632286"/>
    <w:rsid w:val="62767AAD"/>
    <w:rsid w:val="62885958"/>
    <w:rsid w:val="62F40B65"/>
    <w:rsid w:val="62F61AE2"/>
    <w:rsid w:val="62FC2CFE"/>
    <w:rsid w:val="63024505"/>
    <w:rsid w:val="635600A5"/>
    <w:rsid w:val="635B1DB5"/>
    <w:rsid w:val="63711FED"/>
    <w:rsid w:val="63880DDC"/>
    <w:rsid w:val="638D750D"/>
    <w:rsid w:val="63AC6CC0"/>
    <w:rsid w:val="63C66040"/>
    <w:rsid w:val="64055776"/>
    <w:rsid w:val="641F5B67"/>
    <w:rsid w:val="64240056"/>
    <w:rsid w:val="643E143A"/>
    <w:rsid w:val="64491666"/>
    <w:rsid w:val="648B6EEF"/>
    <w:rsid w:val="64AF7CA6"/>
    <w:rsid w:val="64C158BF"/>
    <w:rsid w:val="64CE2EAA"/>
    <w:rsid w:val="64E92DA1"/>
    <w:rsid w:val="651346D9"/>
    <w:rsid w:val="653C3090"/>
    <w:rsid w:val="65854376"/>
    <w:rsid w:val="658767BE"/>
    <w:rsid w:val="65892531"/>
    <w:rsid w:val="65FA31A3"/>
    <w:rsid w:val="66195831"/>
    <w:rsid w:val="662E75B1"/>
    <w:rsid w:val="66342C2E"/>
    <w:rsid w:val="663E784C"/>
    <w:rsid w:val="668B6A45"/>
    <w:rsid w:val="66B371B9"/>
    <w:rsid w:val="67112C4A"/>
    <w:rsid w:val="672F3F24"/>
    <w:rsid w:val="673E055F"/>
    <w:rsid w:val="67551CE3"/>
    <w:rsid w:val="67A22552"/>
    <w:rsid w:val="67B22DCC"/>
    <w:rsid w:val="67BE71AA"/>
    <w:rsid w:val="67CF7323"/>
    <w:rsid w:val="67D90273"/>
    <w:rsid w:val="67DE5875"/>
    <w:rsid w:val="67DF40F1"/>
    <w:rsid w:val="67E0499E"/>
    <w:rsid w:val="67E55852"/>
    <w:rsid w:val="67EB1AB4"/>
    <w:rsid w:val="67FA1285"/>
    <w:rsid w:val="68551F4F"/>
    <w:rsid w:val="687C10C9"/>
    <w:rsid w:val="68840C16"/>
    <w:rsid w:val="68876EFB"/>
    <w:rsid w:val="68884654"/>
    <w:rsid w:val="689A44B8"/>
    <w:rsid w:val="689F444F"/>
    <w:rsid w:val="68B96DBB"/>
    <w:rsid w:val="68C747FF"/>
    <w:rsid w:val="68CA2805"/>
    <w:rsid w:val="68E937A3"/>
    <w:rsid w:val="68FB149A"/>
    <w:rsid w:val="693E15D3"/>
    <w:rsid w:val="693E5A9D"/>
    <w:rsid w:val="69627681"/>
    <w:rsid w:val="69747710"/>
    <w:rsid w:val="6977531D"/>
    <w:rsid w:val="69C45FA2"/>
    <w:rsid w:val="69CB7AEF"/>
    <w:rsid w:val="69CC2BFF"/>
    <w:rsid w:val="69E124DF"/>
    <w:rsid w:val="69FD55B8"/>
    <w:rsid w:val="6A0B1C62"/>
    <w:rsid w:val="6A2406C8"/>
    <w:rsid w:val="6A3E36EC"/>
    <w:rsid w:val="6A9A1ADF"/>
    <w:rsid w:val="6ADE0BD1"/>
    <w:rsid w:val="6AE81378"/>
    <w:rsid w:val="6AE96859"/>
    <w:rsid w:val="6B147746"/>
    <w:rsid w:val="6B24787C"/>
    <w:rsid w:val="6B3C3C10"/>
    <w:rsid w:val="6B573233"/>
    <w:rsid w:val="6B5B6274"/>
    <w:rsid w:val="6B935D53"/>
    <w:rsid w:val="6BB96BFA"/>
    <w:rsid w:val="6C102BA1"/>
    <w:rsid w:val="6C1316F7"/>
    <w:rsid w:val="6C196F71"/>
    <w:rsid w:val="6C226FCB"/>
    <w:rsid w:val="6C31226F"/>
    <w:rsid w:val="6C517EC7"/>
    <w:rsid w:val="6C5363E6"/>
    <w:rsid w:val="6C552F0B"/>
    <w:rsid w:val="6C8C67B7"/>
    <w:rsid w:val="6C9D744C"/>
    <w:rsid w:val="6CE16E6B"/>
    <w:rsid w:val="6D167928"/>
    <w:rsid w:val="6D26299B"/>
    <w:rsid w:val="6D4772EC"/>
    <w:rsid w:val="6D9078AF"/>
    <w:rsid w:val="6DAA3FEF"/>
    <w:rsid w:val="6DB141CC"/>
    <w:rsid w:val="6DC0172B"/>
    <w:rsid w:val="6DCB690C"/>
    <w:rsid w:val="6DD41A5B"/>
    <w:rsid w:val="6DF43C2E"/>
    <w:rsid w:val="6DF51CA3"/>
    <w:rsid w:val="6E1A468C"/>
    <w:rsid w:val="6E8335BD"/>
    <w:rsid w:val="6E8E12EF"/>
    <w:rsid w:val="6E972936"/>
    <w:rsid w:val="6ED446C5"/>
    <w:rsid w:val="6F085113"/>
    <w:rsid w:val="6F2A7D94"/>
    <w:rsid w:val="6F5C2C6E"/>
    <w:rsid w:val="6F8331F1"/>
    <w:rsid w:val="6FAE1A09"/>
    <w:rsid w:val="6FD75BF8"/>
    <w:rsid w:val="7004365E"/>
    <w:rsid w:val="7038627B"/>
    <w:rsid w:val="707723D0"/>
    <w:rsid w:val="70D9019E"/>
    <w:rsid w:val="70F5661B"/>
    <w:rsid w:val="712141ED"/>
    <w:rsid w:val="71360107"/>
    <w:rsid w:val="713B688E"/>
    <w:rsid w:val="7148279F"/>
    <w:rsid w:val="719B3EA4"/>
    <w:rsid w:val="71CF7E6C"/>
    <w:rsid w:val="71D43752"/>
    <w:rsid w:val="71F1796A"/>
    <w:rsid w:val="71FB63D5"/>
    <w:rsid w:val="72154626"/>
    <w:rsid w:val="72256550"/>
    <w:rsid w:val="72262B5D"/>
    <w:rsid w:val="72283FF7"/>
    <w:rsid w:val="722E7212"/>
    <w:rsid w:val="723A0474"/>
    <w:rsid w:val="725923E4"/>
    <w:rsid w:val="72864BF7"/>
    <w:rsid w:val="729023FC"/>
    <w:rsid w:val="729B6821"/>
    <w:rsid w:val="73A429A0"/>
    <w:rsid w:val="73C0646E"/>
    <w:rsid w:val="742222F5"/>
    <w:rsid w:val="74476126"/>
    <w:rsid w:val="74706664"/>
    <w:rsid w:val="747F3682"/>
    <w:rsid w:val="749C4185"/>
    <w:rsid w:val="74DD5958"/>
    <w:rsid w:val="75067759"/>
    <w:rsid w:val="752E6DCD"/>
    <w:rsid w:val="754B04A9"/>
    <w:rsid w:val="7551380D"/>
    <w:rsid w:val="75600BE5"/>
    <w:rsid w:val="7564475C"/>
    <w:rsid w:val="756E4143"/>
    <w:rsid w:val="7583797F"/>
    <w:rsid w:val="759B1FB8"/>
    <w:rsid w:val="75D20F1D"/>
    <w:rsid w:val="75DA2C18"/>
    <w:rsid w:val="75F54412"/>
    <w:rsid w:val="761D08E0"/>
    <w:rsid w:val="763018E5"/>
    <w:rsid w:val="765B7C8E"/>
    <w:rsid w:val="765D347C"/>
    <w:rsid w:val="76826699"/>
    <w:rsid w:val="769C6745"/>
    <w:rsid w:val="76C87133"/>
    <w:rsid w:val="76CD08D5"/>
    <w:rsid w:val="76D23D36"/>
    <w:rsid w:val="76DB4B92"/>
    <w:rsid w:val="77052AA4"/>
    <w:rsid w:val="77136511"/>
    <w:rsid w:val="77340A39"/>
    <w:rsid w:val="77351FD0"/>
    <w:rsid w:val="77472422"/>
    <w:rsid w:val="777F31F2"/>
    <w:rsid w:val="77D1700D"/>
    <w:rsid w:val="77EC04CC"/>
    <w:rsid w:val="780F58EC"/>
    <w:rsid w:val="784F737E"/>
    <w:rsid w:val="78775729"/>
    <w:rsid w:val="78A42DB0"/>
    <w:rsid w:val="78A656AB"/>
    <w:rsid w:val="78B2245C"/>
    <w:rsid w:val="78E172CC"/>
    <w:rsid w:val="78EA1D1F"/>
    <w:rsid w:val="79036DC3"/>
    <w:rsid w:val="7904172F"/>
    <w:rsid w:val="790F7E27"/>
    <w:rsid w:val="792A231A"/>
    <w:rsid w:val="79316829"/>
    <w:rsid w:val="79464C25"/>
    <w:rsid w:val="797E66A9"/>
    <w:rsid w:val="798518A4"/>
    <w:rsid w:val="79A97383"/>
    <w:rsid w:val="79D374AA"/>
    <w:rsid w:val="79E27E8B"/>
    <w:rsid w:val="79F850CE"/>
    <w:rsid w:val="79FD443C"/>
    <w:rsid w:val="7A1D1975"/>
    <w:rsid w:val="7A39227F"/>
    <w:rsid w:val="7A3E5150"/>
    <w:rsid w:val="7A4670D6"/>
    <w:rsid w:val="7A534B63"/>
    <w:rsid w:val="7A615382"/>
    <w:rsid w:val="7A67303B"/>
    <w:rsid w:val="7A84305A"/>
    <w:rsid w:val="7AAB1D04"/>
    <w:rsid w:val="7ABA4368"/>
    <w:rsid w:val="7AD05746"/>
    <w:rsid w:val="7AEC51A1"/>
    <w:rsid w:val="7B095554"/>
    <w:rsid w:val="7B0B2059"/>
    <w:rsid w:val="7B257FFD"/>
    <w:rsid w:val="7B302783"/>
    <w:rsid w:val="7B343476"/>
    <w:rsid w:val="7B5A2978"/>
    <w:rsid w:val="7B5A7E4C"/>
    <w:rsid w:val="7B667AF9"/>
    <w:rsid w:val="7B7468F8"/>
    <w:rsid w:val="7B8B5094"/>
    <w:rsid w:val="7BC85150"/>
    <w:rsid w:val="7BCB48B9"/>
    <w:rsid w:val="7BEE0103"/>
    <w:rsid w:val="7C0A0FE4"/>
    <w:rsid w:val="7C254906"/>
    <w:rsid w:val="7C417926"/>
    <w:rsid w:val="7C590818"/>
    <w:rsid w:val="7C7B2E38"/>
    <w:rsid w:val="7C7C10F6"/>
    <w:rsid w:val="7C853BEA"/>
    <w:rsid w:val="7C881368"/>
    <w:rsid w:val="7CA66D45"/>
    <w:rsid w:val="7CAE7479"/>
    <w:rsid w:val="7CD564F7"/>
    <w:rsid w:val="7CE27788"/>
    <w:rsid w:val="7D0C32F1"/>
    <w:rsid w:val="7D0F408D"/>
    <w:rsid w:val="7D367C16"/>
    <w:rsid w:val="7D491C6C"/>
    <w:rsid w:val="7D5429C0"/>
    <w:rsid w:val="7D6E6D43"/>
    <w:rsid w:val="7D8201F6"/>
    <w:rsid w:val="7D8C5DEA"/>
    <w:rsid w:val="7DA26F2F"/>
    <w:rsid w:val="7DB57A34"/>
    <w:rsid w:val="7DE60973"/>
    <w:rsid w:val="7DEF0916"/>
    <w:rsid w:val="7E1E5218"/>
    <w:rsid w:val="7E6C679B"/>
    <w:rsid w:val="7E9A4E1F"/>
    <w:rsid w:val="7EA7723A"/>
    <w:rsid w:val="7EB24A29"/>
    <w:rsid w:val="7EE71E5E"/>
    <w:rsid w:val="7EF56FBB"/>
    <w:rsid w:val="7F0768EB"/>
    <w:rsid w:val="7F143BEC"/>
    <w:rsid w:val="7F715AF2"/>
    <w:rsid w:val="7F7B47F9"/>
    <w:rsid w:val="7F886E69"/>
    <w:rsid w:val="7F8A4BDD"/>
    <w:rsid w:val="7FB63BD8"/>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1"/>
    <w:qFormat/>
    <w:uiPriority w:val="9"/>
    <w:pPr>
      <w:keepNext/>
      <w:keepLines/>
      <w:tabs>
        <w:tab w:val="left" w:pos="432"/>
      </w:tabs>
      <w:snapToGrid w:val="0"/>
      <w:spacing w:line="360" w:lineRule="auto"/>
      <w:ind w:left="0" w:firstLine="0"/>
      <w:jc w:val="center"/>
      <w:outlineLvl w:val="0"/>
    </w:pPr>
    <w:rPr>
      <w:rFonts w:ascii="Times New Roman" w:hAnsi="Times New Roman" w:eastAsia="宋体"/>
      <w:b/>
      <w:bCs/>
      <w:kern w:val="44"/>
      <w:sz w:val="44"/>
      <w:szCs w:val="44"/>
    </w:rPr>
  </w:style>
  <w:style w:type="paragraph" w:styleId="3">
    <w:name w:val="heading 2"/>
    <w:basedOn w:val="1"/>
    <w:next w:val="1"/>
    <w:qFormat/>
    <w:uiPriority w:val="0"/>
    <w:pPr>
      <w:keepNext/>
      <w:keepLines/>
      <w:tabs>
        <w:tab w:val="left" w:pos="432"/>
      </w:tabs>
      <w:adjustRightInd w:val="0"/>
      <w:snapToGrid w:val="0"/>
      <w:spacing w:line="360" w:lineRule="auto"/>
      <w:ind w:left="0" w:firstLine="0"/>
      <w:jc w:val="center"/>
      <w:outlineLvl w:val="1"/>
    </w:pPr>
    <w:rPr>
      <w:rFonts w:ascii="仿宋_GB2312" w:hAnsi="仿宋_GB2312" w:eastAsia="宋体"/>
      <w:b/>
      <w:bCs/>
      <w:sz w:val="32"/>
      <w:szCs w:val="32"/>
      <w:lang w:val="zh-CN"/>
    </w:rPr>
  </w:style>
  <w:style w:type="paragraph" w:styleId="4">
    <w:name w:val="heading 3"/>
    <w:basedOn w:val="1"/>
    <w:next w:val="5"/>
    <w:qFormat/>
    <w:uiPriority w:val="0"/>
    <w:pPr>
      <w:keepNext/>
      <w:keepLines/>
      <w:tabs>
        <w:tab w:val="left" w:pos="900"/>
      </w:tabs>
      <w:snapToGrid w:val="0"/>
      <w:spacing w:line="360" w:lineRule="auto"/>
      <w:ind w:left="0" w:firstLine="0"/>
      <w:jc w:val="left"/>
      <w:outlineLvl w:val="2"/>
    </w:pPr>
    <w:rPr>
      <w:rFonts w:ascii="Times New Roman" w:hAnsi="Times New Roman" w:eastAsia="宋体"/>
      <w:b/>
      <w:bCs/>
      <w:sz w:val="24"/>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toa heading"/>
    <w:basedOn w:val="1"/>
    <w:next w:val="1"/>
    <w:autoRedefine/>
    <w:qFormat/>
    <w:uiPriority w:val="0"/>
    <w:rPr>
      <w:rFonts w:ascii="Arial" w:hAnsi="Arial"/>
      <w:sz w:val="24"/>
    </w:rPr>
  </w:style>
  <w:style w:type="paragraph" w:styleId="20">
    <w:name w:val="annotation text"/>
    <w:basedOn w:val="1"/>
    <w:link w:val="342"/>
    <w:autoRedefine/>
    <w:qFormat/>
    <w:uiPriority w:val="99"/>
    <w:pPr>
      <w:jc w:val="left"/>
    </w:pPr>
  </w:style>
  <w:style w:type="paragraph" w:styleId="21">
    <w:name w:val="Salutation"/>
    <w:basedOn w:val="1"/>
    <w:next w:val="1"/>
    <w:link w:val="296"/>
    <w:autoRedefine/>
    <w:qFormat/>
    <w:uiPriority w:val="0"/>
    <w:rPr>
      <w:rFonts w:ascii="仿宋_GB2312" w:eastAsia="仿宋_GB2312"/>
      <w:sz w:val="28"/>
      <w:szCs w:val="20"/>
    </w:rPr>
  </w:style>
  <w:style w:type="paragraph" w:styleId="22">
    <w:name w:val="Body Text 3"/>
    <w:basedOn w:val="1"/>
    <w:link w:val="328"/>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25"/>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Date"/>
    <w:basedOn w:val="1"/>
    <w:next w:val="1"/>
    <w:link w:val="180"/>
    <w:autoRedefine/>
    <w:qFormat/>
    <w:uiPriority w:val="0"/>
    <w:pPr>
      <w:ind w:left="100" w:leftChars="2500"/>
    </w:pPr>
    <w:rPr>
      <w:rFonts w:ascii="宋体"/>
      <w:sz w:val="24"/>
      <w:szCs w:val="21"/>
      <w:lang w:val="zh-CN"/>
    </w:rPr>
  </w:style>
  <w:style w:type="paragraph" w:styleId="26">
    <w:name w:val="Body Text Indent"/>
    <w:basedOn w:val="1"/>
    <w:next w:val="1"/>
    <w:link w:val="263"/>
    <w:autoRedefine/>
    <w:qFormat/>
    <w:uiPriority w:val="0"/>
    <w:pPr>
      <w:spacing w:line="480" w:lineRule="exact"/>
      <w:ind w:firstLine="480" w:firstLineChars="200"/>
    </w:pPr>
    <w:rPr>
      <w:rFonts w:ascii="宋体" w:hAnsi="宋体"/>
      <w:sz w:val="24"/>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autoRedefine/>
    <w:qFormat/>
    <w:uiPriority w:val="0"/>
    <w:pPr>
      <w:ind w:left="1680" w:leftChars="800"/>
    </w:pPr>
  </w:style>
  <w:style w:type="paragraph" w:styleId="33">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4"/>
    <w:autoRedefine/>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Body Text Indent 2"/>
    <w:basedOn w:val="1"/>
    <w:link w:val="306"/>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0"/>
    <w:autoRedefine/>
    <w:qFormat/>
    <w:uiPriority w:val="0"/>
    <w:rPr>
      <w:lang w:val="zh-CN"/>
    </w:rPr>
  </w:style>
  <w:style w:type="paragraph" w:styleId="39">
    <w:name w:val="Balloon Text"/>
    <w:basedOn w:val="1"/>
    <w:link w:val="187"/>
    <w:autoRedefine/>
    <w:qFormat/>
    <w:uiPriority w:val="0"/>
    <w:rPr>
      <w:sz w:val="18"/>
      <w:szCs w:val="18"/>
    </w:rPr>
  </w:style>
  <w:style w:type="paragraph" w:styleId="40">
    <w:name w:val="footer"/>
    <w:basedOn w:val="1"/>
    <w:link w:val="381"/>
    <w:autoRedefine/>
    <w:qFormat/>
    <w:uiPriority w:val="99"/>
    <w:pPr>
      <w:tabs>
        <w:tab w:val="center" w:pos="4153"/>
        <w:tab w:val="right" w:pos="8306"/>
      </w:tabs>
      <w:snapToGrid w:val="0"/>
      <w:jc w:val="left"/>
    </w:pPr>
    <w:rPr>
      <w:sz w:val="18"/>
      <w:szCs w:val="18"/>
    </w:rPr>
  </w:style>
  <w:style w:type="paragraph" w:styleId="41">
    <w:name w:val="header"/>
    <w:basedOn w:val="1"/>
    <w:link w:val="390"/>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08"/>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3"/>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0"/>
    <w:autoRedefine/>
    <w:qFormat/>
    <w:uiPriority w:val="0"/>
    <w:pPr>
      <w:spacing w:after="120" w:line="480" w:lineRule="auto"/>
    </w:pPr>
  </w:style>
  <w:style w:type="paragraph" w:styleId="57">
    <w:name w:val="HTML Preformatted"/>
    <w:basedOn w:val="1"/>
    <w:link w:val="29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5"/>
    <w:autoRedefine/>
    <w:qFormat/>
    <w:uiPriority w:val="0"/>
    <w:rPr>
      <w:b/>
      <w:bCs/>
    </w:rPr>
  </w:style>
  <w:style w:type="paragraph" w:styleId="61">
    <w:name w:val="Body Text First Indent"/>
    <w:basedOn w:val="24"/>
    <w:next w:val="51"/>
    <w:link w:val="319"/>
    <w:autoRedefine/>
    <w:qFormat/>
    <w:uiPriority w:val="0"/>
    <w:pPr>
      <w:ind w:firstLine="420"/>
    </w:pPr>
    <w:rPr>
      <w:rFonts w:hAnsi="Calibri" w:cs="Times New Roman"/>
      <w:snapToGrid/>
      <w:szCs w:val="20"/>
    </w:rPr>
  </w:style>
  <w:style w:type="paragraph" w:styleId="62">
    <w:name w:val="Body Text First Indent 2"/>
    <w:basedOn w:val="26"/>
    <w:link w:val="120"/>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列出段落1"/>
    <w:basedOn w:val="1"/>
    <w:autoRedefine/>
    <w:qFormat/>
    <w:uiPriority w:val="34"/>
    <w:pPr>
      <w:spacing w:line="360" w:lineRule="auto"/>
      <w:ind w:firstLine="200" w:firstLineChars="200"/>
    </w:pPr>
    <w:rPr>
      <w:rFonts w:eastAsia="楷体_GB2312" w:cs="Lucida Sans"/>
      <w:sz w:val="24"/>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0"/>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2"/>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0"/>
    <w:autoRedefine/>
    <w:qFormat/>
    <w:uiPriority w:val="0"/>
    <w:rPr>
      <w:rFonts w:ascii="Arial" w:hAnsi="Arial" w:eastAsia="黑体" w:cs="Arial"/>
      <w:snapToGrid w:val="0"/>
      <w:kern w:val="0"/>
      <w:szCs w:val="21"/>
    </w:rPr>
  </w:style>
  <w:style w:type="character" w:customStyle="1" w:styleId="124">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7"/>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25"/>
    <w:autoRedefine/>
    <w:qFormat/>
    <w:uiPriority w:val="0"/>
    <w:rPr>
      <w:rFonts w:ascii="宋体"/>
      <w:kern w:val="2"/>
      <w:sz w:val="24"/>
      <w:szCs w:val="21"/>
      <w:lang w:val="zh-CN"/>
    </w:rPr>
  </w:style>
  <w:style w:type="character" w:customStyle="1" w:styleId="181">
    <w:name w:val="标题 9 Char"/>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9"/>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0"/>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1"/>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80"/>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57">
    <w:name w:val="Char Char8"/>
    <w:autoRedefine/>
    <w:qFormat/>
    <w:uiPriority w:val="0"/>
    <w:rPr>
      <w:rFonts w:eastAsia="宋体"/>
      <w:b/>
      <w:sz w:val="24"/>
      <w:lang w:val="en-GB" w:eastAsia="zh-CN"/>
    </w:rPr>
  </w:style>
  <w:style w:type="character" w:customStyle="1" w:styleId="258">
    <w:name w:val="Normal Indent Char Char"/>
    <w:autoRedefine/>
    <w:qFormat/>
    <w:uiPriority w:val="0"/>
    <w:rPr>
      <w:rFonts w:eastAsia="宋体"/>
      <w:kern w:val="2"/>
      <w:sz w:val="21"/>
      <w:lang w:val="en-US" w:eastAsia="zh-CN" w:bidi="ar-SA"/>
    </w:rPr>
  </w:style>
  <w:style w:type="character" w:customStyle="1" w:styleId="259">
    <w:name w:val="列表段落 字符"/>
    <w:autoRedefine/>
    <w:qFormat/>
    <w:uiPriority w:val="99"/>
  </w:style>
  <w:style w:type="character" w:customStyle="1" w:styleId="260">
    <w:name w:val="Ò³Ã¼ Char Char1"/>
    <w:autoRedefine/>
    <w:qFormat/>
    <w:uiPriority w:val="0"/>
    <w:rPr>
      <w:rFonts w:eastAsia="宋体"/>
      <w:kern w:val="2"/>
      <w:sz w:val="18"/>
      <w:szCs w:val="18"/>
      <w:lang w:val="en-US" w:eastAsia="zh-CN" w:bidi="ar-SA"/>
    </w:rPr>
  </w:style>
  <w:style w:type="character" w:customStyle="1" w:styleId="261">
    <w:name w:val="方案正文 Char"/>
    <w:autoRedefine/>
    <w:qFormat/>
    <w:uiPriority w:val="0"/>
    <w:rPr>
      <w:rFonts w:ascii="仿宋_GB2312" w:eastAsia="仿宋_GB2312"/>
      <w:b/>
      <w:color w:val="000000"/>
      <w:kern w:val="2"/>
      <w:sz w:val="24"/>
      <w:lang w:val="en-US" w:eastAsia="zh-CN" w:bidi="ar-SA"/>
    </w:rPr>
  </w:style>
  <w:style w:type="character" w:customStyle="1" w:styleId="262">
    <w:name w:val="Char Char30"/>
    <w:autoRedefine/>
    <w:qFormat/>
    <w:uiPriority w:val="6"/>
    <w:rPr>
      <w:rFonts w:ascii="Arial" w:hAnsi="Arial" w:eastAsia="黑体"/>
      <w:kern w:val="1"/>
      <w:sz w:val="21"/>
      <w:szCs w:val="21"/>
    </w:rPr>
  </w:style>
  <w:style w:type="character" w:customStyle="1" w:styleId="263">
    <w:name w:val="正文文本缩进 Char3"/>
    <w:link w:val="26"/>
    <w:autoRedefine/>
    <w:qFormat/>
    <w:uiPriority w:val="0"/>
    <w:rPr>
      <w:rFonts w:ascii="宋体" w:hAnsi="宋体"/>
      <w:kern w:val="2"/>
      <w:sz w:val="24"/>
      <w:szCs w:val="24"/>
    </w:rPr>
  </w:style>
  <w:style w:type="character" w:customStyle="1" w:styleId="264">
    <w:name w:val="font01"/>
    <w:autoRedefine/>
    <w:qFormat/>
    <w:uiPriority w:val="0"/>
    <w:rPr>
      <w:rFonts w:hint="eastAsia" w:ascii="微软雅黑" w:hAnsi="微软雅黑" w:eastAsia="微软雅黑" w:cs="微软雅黑"/>
      <w:color w:val="000000"/>
      <w:sz w:val="20"/>
      <w:szCs w:val="20"/>
      <w:u w:val="none"/>
    </w:rPr>
  </w:style>
  <w:style w:type="character" w:customStyle="1" w:styleId="265">
    <w:name w:val="Char Char20"/>
    <w:autoRedefine/>
    <w:qFormat/>
    <w:uiPriority w:val="6"/>
    <w:rPr>
      <w:kern w:val="1"/>
      <w:sz w:val="24"/>
    </w:rPr>
  </w:style>
  <w:style w:type="character" w:customStyle="1" w:styleId="266">
    <w:name w:val="tw4winExternal"/>
    <w:autoRedefine/>
    <w:qFormat/>
    <w:uiPriority w:val="0"/>
    <w:rPr>
      <w:rFonts w:ascii="Courier New" w:hAnsi="Courier New" w:cs="Courier New"/>
      <w:color w:val="808080"/>
      <w:lang w:val="en-US" w:eastAsia="zh-CN"/>
    </w:rPr>
  </w:style>
  <w:style w:type="character" w:customStyle="1" w:styleId="267">
    <w:name w:val="标题 4 Char1"/>
    <w:autoRedefine/>
    <w:qFormat/>
    <w:uiPriority w:val="9"/>
    <w:rPr>
      <w:rFonts w:ascii="Cambria" w:hAnsi="Cambria" w:eastAsia="宋体" w:cs="Times New Roman"/>
      <w:b/>
      <w:bCs/>
      <w:kern w:val="2"/>
      <w:sz w:val="28"/>
      <w:szCs w:val="28"/>
    </w:rPr>
  </w:style>
  <w:style w:type="character" w:customStyle="1" w:styleId="268">
    <w:name w:val="批注文字 Char2"/>
    <w:autoRedefine/>
    <w:qFormat/>
    <w:uiPriority w:val="99"/>
    <w:rPr>
      <w:rFonts w:ascii="Times New Roman" w:hAnsi="Times New Roman" w:eastAsia="宋体" w:cs="Times New Roman"/>
      <w:snapToGrid w:val="0"/>
      <w:kern w:val="0"/>
      <w:szCs w:val="24"/>
    </w:rPr>
  </w:style>
  <w:style w:type="character" w:customStyle="1" w:styleId="269">
    <w:name w:val="正文文本 2 Char"/>
    <w:autoRedefine/>
    <w:qFormat/>
    <w:uiPriority w:val="0"/>
    <w:rPr>
      <w:rFonts w:eastAsia="宋体"/>
      <w:kern w:val="2"/>
      <w:sz w:val="21"/>
      <w:szCs w:val="24"/>
      <w:lang w:val="en-US" w:eastAsia="zh-CN" w:bidi="ar-SA"/>
    </w:rPr>
  </w:style>
  <w:style w:type="character" w:customStyle="1" w:styleId="270">
    <w:name w:val="Ò³Ã¼ Char Char"/>
    <w:autoRedefine/>
    <w:qFormat/>
    <w:uiPriority w:val="0"/>
    <w:rPr>
      <w:rFonts w:eastAsia="宋体"/>
      <w:kern w:val="2"/>
      <w:sz w:val="18"/>
      <w:lang w:val="en-US" w:eastAsia="zh-CN" w:bidi="ar-SA"/>
    </w:rPr>
  </w:style>
  <w:style w:type="character" w:customStyle="1" w:styleId="271">
    <w:name w:val="message1"/>
    <w:autoRedefine/>
    <w:qFormat/>
    <w:uiPriority w:val="0"/>
    <w:rPr>
      <w:rFonts w:hint="default" w:ascii="Tahoma" w:hAnsi="Tahoma" w:cs="Tahoma"/>
      <w:sz w:val="18"/>
      <w:szCs w:val="18"/>
    </w:rPr>
  </w:style>
  <w:style w:type="character" w:customStyle="1" w:styleId="272">
    <w:name w:val="Char Char23"/>
    <w:autoRedefine/>
    <w:qFormat/>
    <w:uiPriority w:val="6"/>
    <w:rPr>
      <w:color w:val="0000FF"/>
      <w:sz w:val="21"/>
    </w:rPr>
  </w:style>
  <w:style w:type="character" w:customStyle="1" w:styleId="273">
    <w:name w:val="批注框文本 字符"/>
    <w:autoRedefine/>
    <w:qFormat/>
    <w:uiPriority w:val="0"/>
    <w:rPr>
      <w:rFonts w:ascii="Arial" w:hAnsi="Arial" w:eastAsia="黑体" w:cs="Arial"/>
      <w:snapToGrid w:val="0"/>
      <w:kern w:val="0"/>
      <w:sz w:val="18"/>
      <w:szCs w:val="18"/>
    </w:rPr>
  </w:style>
  <w:style w:type="character" w:customStyle="1" w:styleId="274">
    <w:name w:val="纯文本 Char2"/>
    <w:autoRedefine/>
    <w:semiHidden/>
    <w:qFormat/>
    <w:uiPriority w:val="99"/>
    <w:rPr>
      <w:rFonts w:ascii="宋体" w:hAnsi="Courier New" w:eastAsia="宋体" w:cs="Courier New"/>
    </w:rPr>
  </w:style>
  <w:style w:type="character" w:customStyle="1" w:styleId="275">
    <w:name w:val="Char Char25"/>
    <w:autoRedefine/>
    <w:qFormat/>
    <w:uiPriority w:val="6"/>
    <w:rPr>
      <w:rFonts w:ascii="宋体" w:hAnsi="宋体"/>
      <w:kern w:val="1"/>
      <w:sz w:val="24"/>
      <w:lang w:val="zh-CN"/>
    </w:rPr>
  </w:style>
  <w:style w:type="character" w:customStyle="1" w:styleId="276">
    <w:name w:val="Char Char411"/>
    <w:autoRedefine/>
    <w:qFormat/>
    <w:uiPriority w:val="0"/>
    <w:rPr>
      <w:rFonts w:eastAsia="宋体"/>
      <w:b/>
      <w:sz w:val="24"/>
      <w:lang w:val="en-GB" w:eastAsia="zh-CN" w:bidi="ar-SA"/>
    </w:rPr>
  </w:style>
  <w:style w:type="character" w:customStyle="1" w:styleId="277">
    <w:name w:val="Heading 7 Char"/>
    <w:autoRedefine/>
    <w:qFormat/>
    <w:locked/>
    <w:uiPriority w:val="0"/>
    <w:rPr>
      <w:rFonts w:ascii="宋体" w:hAnsi="宋体" w:eastAsia="宋体"/>
      <w:b/>
      <w:bCs/>
      <w:kern w:val="2"/>
      <w:sz w:val="24"/>
      <w:szCs w:val="24"/>
      <w:lang w:val="en-US" w:eastAsia="zh-CN" w:bidi="ar-SA"/>
    </w:rPr>
  </w:style>
  <w:style w:type="character" w:customStyle="1" w:styleId="278">
    <w:name w:val="此正文 Char"/>
    <w:link w:val="279"/>
    <w:autoRedefine/>
    <w:qFormat/>
    <w:uiPriority w:val="0"/>
    <w:rPr>
      <w:kern w:val="2"/>
      <w:sz w:val="24"/>
      <w:szCs w:val="24"/>
    </w:rPr>
  </w:style>
  <w:style w:type="paragraph" w:customStyle="1" w:styleId="279">
    <w:name w:val="此正文"/>
    <w:basedOn w:val="1"/>
    <w:link w:val="278"/>
    <w:autoRedefine/>
    <w:qFormat/>
    <w:uiPriority w:val="0"/>
    <w:pPr>
      <w:adjustRightInd/>
      <w:spacing w:line="360" w:lineRule="auto"/>
      <w:ind w:firstLine="200" w:firstLineChars="200"/>
    </w:pPr>
    <w:rPr>
      <w:sz w:val="24"/>
    </w:rPr>
  </w:style>
  <w:style w:type="character" w:customStyle="1" w:styleId="280">
    <w:name w:val="Char Char2"/>
    <w:autoRedefine/>
    <w:qFormat/>
    <w:uiPriority w:val="0"/>
    <w:rPr>
      <w:rFonts w:eastAsia="宋体"/>
      <w:b/>
      <w:bCs/>
      <w:kern w:val="2"/>
      <w:sz w:val="21"/>
      <w:szCs w:val="24"/>
      <w:lang w:val="en-US" w:eastAsia="zh-CN" w:bidi="ar-SA"/>
    </w:rPr>
  </w:style>
  <w:style w:type="character" w:customStyle="1" w:styleId="281">
    <w:name w:val="标题 1 Char"/>
    <w:link w:val="2"/>
    <w:autoRedefine/>
    <w:qFormat/>
    <w:uiPriority w:val="9"/>
    <w:rPr>
      <w:rFonts w:ascii="Times New Roman" w:hAnsi="Times New Roman" w:eastAsia="宋体"/>
      <w:b/>
      <w:bCs/>
      <w:kern w:val="44"/>
      <w:sz w:val="44"/>
      <w:szCs w:val="44"/>
    </w:rPr>
  </w:style>
  <w:style w:type="character" w:customStyle="1" w:styleId="282">
    <w:name w:val="Footer-Even Char1"/>
    <w:autoRedefine/>
    <w:qFormat/>
    <w:uiPriority w:val="0"/>
    <w:rPr>
      <w:rFonts w:eastAsia="宋体"/>
      <w:kern w:val="2"/>
      <w:sz w:val="18"/>
      <w:szCs w:val="18"/>
      <w:lang w:val="en-US" w:eastAsia="zh-CN" w:bidi="ar-SA"/>
    </w:rPr>
  </w:style>
  <w:style w:type="character" w:customStyle="1" w:styleId="283">
    <w:name w:val="Char Char29"/>
    <w:autoRedefine/>
    <w:qFormat/>
    <w:uiPriority w:val="6"/>
    <w:rPr>
      <w:rFonts w:ascii="Arial" w:hAnsi="Arial" w:eastAsia="微软雅黑"/>
      <w:b/>
      <w:kern w:val="1"/>
      <w:sz w:val="44"/>
      <w:szCs w:val="32"/>
      <w:lang w:val="en-US" w:eastAsia="zh-CN" w:bidi="ar-SA"/>
    </w:rPr>
  </w:style>
  <w:style w:type="character" w:customStyle="1" w:styleId="284">
    <w:name w:val="标题 Char2"/>
    <w:link w:val="59"/>
    <w:autoRedefine/>
    <w:qFormat/>
    <w:uiPriority w:val="10"/>
    <w:rPr>
      <w:b/>
      <w:sz w:val="24"/>
      <w:lang w:val="en-GB"/>
    </w:rPr>
  </w:style>
  <w:style w:type="character" w:customStyle="1" w:styleId="285">
    <w:name w:val="font81"/>
    <w:autoRedefine/>
    <w:qFormat/>
    <w:uiPriority w:val="0"/>
    <w:rPr>
      <w:rFonts w:ascii="微软雅黑" w:hAnsi="微软雅黑" w:eastAsia="微软雅黑" w:cs="微软雅黑"/>
      <w:color w:val="000000"/>
      <w:sz w:val="20"/>
      <w:szCs w:val="20"/>
      <w:u w:val="none"/>
    </w:rPr>
  </w:style>
  <w:style w:type="character" w:customStyle="1" w:styleId="28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7">
    <w:name w:val="t21"/>
    <w:autoRedefine/>
    <w:qFormat/>
    <w:uiPriority w:val="0"/>
    <w:rPr>
      <w:rFonts w:ascii="仿宋_GB2312" w:eastAsia="微软雅黑"/>
      <w:b/>
      <w:kern w:val="2"/>
      <w:sz w:val="23"/>
      <w:szCs w:val="23"/>
      <w:lang w:val="en-US" w:eastAsia="zh-CN" w:bidi="ar-SA"/>
    </w:rPr>
  </w:style>
  <w:style w:type="character" w:customStyle="1" w:styleId="288">
    <w:name w:val="样式8 Char"/>
    <w:autoRedefine/>
    <w:qFormat/>
    <w:uiPriority w:val="0"/>
    <w:rPr>
      <w:rFonts w:ascii="仿宋_GB2312" w:hAnsi="宋体" w:eastAsia="仿宋_GB2312"/>
      <w:b/>
      <w:bCs/>
      <w:kern w:val="2"/>
      <w:sz w:val="24"/>
      <w:szCs w:val="24"/>
    </w:rPr>
  </w:style>
  <w:style w:type="character" w:customStyle="1" w:styleId="289">
    <w:name w:val="表格 Char Char"/>
    <w:autoRedefine/>
    <w:qFormat/>
    <w:uiPriority w:val="0"/>
    <w:rPr>
      <w:rFonts w:ascii="宋体" w:hAnsi="宋体" w:eastAsia="宋体"/>
      <w:lang w:bidi="ar-SA"/>
    </w:rPr>
  </w:style>
  <w:style w:type="character" w:customStyle="1" w:styleId="290">
    <w:name w:val="正文文本 字符1"/>
    <w:autoRedefine/>
    <w:qFormat/>
    <w:uiPriority w:val="0"/>
    <w:rPr>
      <w:rFonts w:ascii="Calibri" w:hAnsi="Calibri" w:eastAsia="黑体" w:cs="Arial"/>
      <w:snapToGrid w:val="0"/>
      <w:kern w:val="2"/>
      <w:sz w:val="28"/>
      <w:szCs w:val="21"/>
    </w:rPr>
  </w:style>
  <w:style w:type="character" w:customStyle="1" w:styleId="291">
    <w:name w:val="标题 5 Char"/>
    <w:link w:val="7"/>
    <w:autoRedefine/>
    <w:qFormat/>
    <w:uiPriority w:val="9"/>
    <w:rPr>
      <w:b/>
      <w:bCs/>
      <w:kern w:val="2"/>
      <w:sz w:val="28"/>
      <w:szCs w:val="28"/>
    </w:rPr>
  </w:style>
  <w:style w:type="character" w:customStyle="1" w:styleId="292">
    <w:name w:val="标题 6 Char1"/>
    <w:autoRedefine/>
    <w:qFormat/>
    <w:uiPriority w:val="0"/>
    <w:rPr>
      <w:rFonts w:ascii="Arial" w:hAnsi="Arial" w:eastAsia="黑体" w:cs="Times New Roman"/>
      <w:b/>
      <w:sz w:val="24"/>
      <w:szCs w:val="20"/>
      <w:lang w:bidi="ar-SA"/>
    </w:rPr>
  </w:style>
  <w:style w:type="character" w:customStyle="1" w:styleId="293">
    <w:name w:val="带编号样式 Char"/>
    <w:autoRedefine/>
    <w:qFormat/>
    <w:uiPriority w:val="0"/>
    <w:rPr>
      <w:rFonts w:ascii="仿宋_GB2312" w:eastAsia="仿宋_GB2312"/>
      <w:color w:val="000000"/>
      <w:sz w:val="24"/>
      <w:lang w:bidi="ar-SA"/>
    </w:rPr>
  </w:style>
  <w:style w:type="character" w:customStyle="1" w:styleId="294">
    <w:name w:val="unnamed31"/>
    <w:autoRedefine/>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autoRedefine/>
    <w:qFormat/>
    <w:uiPriority w:val="0"/>
    <w:rPr>
      <w:rFonts w:ascii="宋体" w:eastAsia="宋体"/>
      <w:kern w:val="2"/>
      <w:sz w:val="24"/>
      <w:szCs w:val="24"/>
      <w:lang w:val="zh-CN" w:bidi="ar-SA"/>
    </w:rPr>
  </w:style>
  <w:style w:type="character" w:customStyle="1" w:styleId="296">
    <w:name w:val="称呼 Char"/>
    <w:link w:val="21"/>
    <w:autoRedefine/>
    <w:qFormat/>
    <w:uiPriority w:val="0"/>
    <w:rPr>
      <w:rFonts w:ascii="仿宋_GB2312" w:eastAsia="仿宋_GB2312"/>
      <w:kern w:val="2"/>
      <w:sz w:val="28"/>
    </w:rPr>
  </w:style>
  <w:style w:type="character" w:customStyle="1" w:styleId="297">
    <w:name w:val="文本正文 Char Char"/>
    <w:autoRedefine/>
    <w:qFormat/>
    <w:locked/>
    <w:uiPriority w:val="0"/>
    <w:rPr>
      <w:sz w:val="24"/>
      <w:lang w:bidi="ar-SA"/>
    </w:rPr>
  </w:style>
  <w:style w:type="character" w:customStyle="1" w:styleId="298">
    <w:name w:val="正文缩进 字符"/>
    <w:autoRedefine/>
    <w:qFormat/>
    <w:uiPriority w:val="0"/>
    <w:rPr>
      <w:rFonts w:ascii="宋体" w:eastAsia="宋体"/>
      <w:snapToGrid w:val="0"/>
      <w:color w:val="000000"/>
      <w:kern w:val="28"/>
      <w:sz w:val="28"/>
      <w:lang w:val="en-US" w:eastAsia="zh-CN" w:bidi="ar-SA"/>
    </w:rPr>
  </w:style>
  <w:style w:type="character" w:customStyle="1" w:styleId="299">
    <w:name w:val="HTML 预设格式 Char"/>
    <w:link w:val="57"/>
    <w:autoRedefine/>
    <w:qFormat/>
    <w:uiPriority w:val="0"/>
    <w:rPr>
      <w:rFonts w:ascii="黑体" w:hAnsi="Courier New" w:eastAsia="黑体"/>
    </w:rPr>
  </w:style>
  <w:style w:type="character" w:customStyle="1" w:styleId="300">
    <w:name w:val="正文文本 2 Char1"/>
    <w:link w:val="56"/>
    <w:autoRedefine/>
    <w:qFormat/>
    <w:uiPriority w:val="0"/>
    <w:rPr>
      <w:kern w:val="2"/>
      <w:sz w:val="21"/>
      <w:szCs w:val="24"/>
    </w:rPr>
  </w:style>
  <w:style w:type="character" w:customStyle="1" w:styleId="301">
    <w:name w:val="样式 样式 标题 4h4H4Fab-4T5Ref Heading 1rh1Heading sqlsect 1.2.3.... +... Char"/>
    <w:link w:val="302"/>
    <w:autoRedefine/>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autoRedefine/>
    <w:qFormat/>
    <w:uiPriority w:val="0"/>
    <w:pPr>
      <w:tabs>
        <w:tab w:val="left" w:pos="2356"/>
      </w:tabs>
    </w:pPr>
  </w:style>
  <w:style w:type="paragraph" w:customStyle="1" w:styleId="303">
    <w:name w:val="样式 标题 4h4H4Fab-4T5Ref Heading 1rh1Heading sqlsect 1.2.3...."/>
    <w:basedOn w:val="6"/>
    <w:link w:val="411"/>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autoRedefine/>
    <w:qFormat/>
    <w:uiPriority w:val="0"/>
    <w:rPr>
      <w:rFonts w:ascii="宋体" w:eastAsia="宋体"/>
      <w:snapToGrid w:val="0"/>
      <w:color w:val="000000"/>
      <w:kern w:val="28"/>
      <w:sz w:val="28"/>
      <w:lang w:val="en-US" w:eastAsia="zh-CN" w:bidi="ar-SA"/>
    </w:rPr>
  </w:style>
  <w:style w:type="character" w:customStyle="1" w:styleId="305">
    <w:name w:val="标题 7 Char"/>
    <w:link w:val="9"/>
    <w:autoRedefine/>
    <w:qFormat/>
    <w:uiPriority w:val="0"/>
    <w:rPr>
      <w:b/>
      <w:bCs/>
      <w:kern w:val="2"/>
      <w:sz w:val="24"/>
      <w:szCs w:val="24"/>
    </w:rPr>
  </w:style>
  <w:style w:type="character" w:customStyle="1" w:styleId="306">
    <w:name w:val="正文文本缩进 2 Char"/>
    <w:link w:val="37"/>
    <w:autoRedefine/>
    <w:qFormat/>
    <w:uiPriority w:val="0"/>
    <w:rPr>
      <w:rFonts w:ascii="宋体"/>
      <w:sz w:val="28"/>
    </w:rPr>
  </w:style>
  <w:style w:type="character" w:customStyle="1" w:styleId="307">
    <w:name w:val="Char Char5"/>
    <w:autoRedefine/>
    <w:qFormat/>
    <w:uiPriority w:val="0"/>
    <w:rPr>
      <w:rFonts w:ascii="宋体" w:hAnsi="Courier New" w:eastAsia="宋体"/>
      <w:kern w:val="2"/>
      <w:sz w:val="21"/>
      <w:lang w:val="en-US" w:eastAsia="zh-CN"/>
    </w:rPr>
  </w:style>
  <w:style w:type="character" w:customStyle="1" w:styleId="308">
    <w:name w:val="脚注文本 Char"/>
    <w:link w:val="50"/>
    <w:autoRedefine/>
    <w:qFormat/>
    <w:uiPriority w:val="0"/>
    <w:rPr>
      <w:color w:val="0000FF"/>
      <w:sz w:val="21"/>
    </w:rPr>
  </w:style>
  <w:style w:type="character" w:customStyle="1" w:styleId="309">
    <w:name w:val="称呼 Char1"/>
    <w:autoRedefine/>
    <w:qFormat/>
    <w:uiPriority w:val="0"/>
    <w:rPr>
      <w:rFonts w:ascii="Times New Roman" w:hAnsi="Times New Roman" w:eastAsia="宋体" w:cs="Times New Roman"/>
      <w:szCs w:val="24"/>
    </w:rPr>
  </w:style>
  <w:style w:type="character" w:customStyle="1" w:styleId="310">
    <w:name w:val="正文1 Char"/>
    <w:autoRedefine/>
    <w:qFormat/>
    <w:uiPriority w:val="0"/>
    <w:rPr>
      <w:rFonts w:ascii="宋体" w:eastAsia="宋体"/>
      <w:snapToGrid w:val="0"/>
      <w:color w:val="000000"/>
      <w:kern w:val="28"/>
      <w:sz w:val="28"/>
      <w:lang w:val="en-US" w:eastAsia="zh-CN" w:bidi="ar-SA"/>
    </w:rPr>
  </w:style>
  <w:style w:type="character" w:customStyle="1" w:styleId="311">
    <w:name w:val="正文缩进 Char1"/>
    <w:autoRedefine/>
    <w:qFormat/>
    <w:uiPriority w:val="0"/>
    <w:rPr>
      <w:rFonts w:ascii="宋体" w:eastAsia="宋体"/>
      <w:snapToGrid w:val="0"/>
      <w:color w:val="000000"/>
      <w:kern w:val="28"/>
      <w:sz w:val="28"/>
      <w:lang w:val="en-US" w:eastAsia="zh-CN" w:bidi="ar-SA"/>
    </w:rPr>
  </w:style>
  <w:style w:type="character" w:customStyle="1" w:styleId="312">
    <w:name w:val="font21"/>
    <w:autoRedefine/>
    <w:qFormat/>
    <w:uiPriority w:val="0"/>
    <w:rPr>
      <w:rFonts w:hint="eastAsia" w:ascii="宋体" w:hAnsi="宋体" w:eastAsia="宋体"/>
      <w:kern w:val="2"/>
      <w:sz w:val="28"/>
      <w:szCs w:val="28"/>
      <w:lang w:val="en-US" w:eastAsia="zh-CN" w:bidi="ar-SA"/>
    </w:rPr>
  </w:style>
  <w:style w:type="character" w:customStyle="1" w:styleId="313">
    <w:name w:val="Char Char26"/>
    <w:autoRedefine/>
    <w:qFormat/>
    <w:uiPriority w:val="6"/>
    <w:rPr>
      <w:kern w:val="1"/>
      <w:sz w:val="21"/>
      <w:szCs w:val="24"/>
    </w:rPr>
  </w:style>
  <w:style w:type="character" w:customStyle="1" w:styleId="314">
    <w:name w:val="Item List Char"/>
    <w:link w:val="315"/>
    <w:autoRedefine/>
    <w:qFormat/>
    <w:uiPriority w:val="0"/>
    <w:rPr>
      <w:rFonts w:ascii="Arial"/>
      <w:bCs/>
      <w:sz w:val="21"/>
      <w:szCs w:val="21"/>
      <w:lang w:val="en-US" w:eastAsia="zh-CN" w:bidi="ar-SA"/>
    </w:rPr>
  </w:style>
  <w:style w:type="paragraph" w:customStyle="1" w:styleId="315">
    <w:name w:val="Item List"/>
    <w:link w:val="314"/>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autoRedefine/>
    <w:qFormat/>
    <w:uiPriority w:val="0"/>
    <w:rPr>
      <w:rFonts w:ascii="Times New Roman" w:hAnsi="Times New Roman" w:eastAsia="宋体" w:cs="Times New Roman"/>
      <w:sz w:val="18"/>
      <w:szCs w:val="18"/>
    </w:rPr>
  </w:style>
  <w:style w:type="character" w:customStyle="1" w:styleId="317">
    <w:name w:val="纯文本 Char1"/>
    <w:link w:val="318"/>
    <w:autoRedefine/>
    <w:qFormat/>
    <w:uiPriority w:val="0"/>
    <w:rPr>
      <w:rFonts w:ascii="宋体" w:hAnsi="Courier New"/>
    </w:rPr>
  </w:style>
  <w:style w:type="paragraph" w:customStyle="1" w:styleId="318">
    <w:name w:val="纯文本1"/>
    <w:basedOn w:val="1"/>
    <w:link w:val="317"/>
    <w:autoRedefine/>
    <w:qFormat/>
    <w:uiPriority w:val="0"/>
    <w:pPr>
      <w:adjustRightInd/>
    </w:pPr>
    <w:rPr>
      <w:rFonts w:ascii="宋体" w:hAnsi="Courier New"/>
      <w:kern w:val="0"/>
      <w:sz w:val="20"/>
      <w:szCs w:val="20"/>
    </w:rPr>
  </w:style>
  <w:style w:type="character" w:customStyle="1" w:styleId="319">
    <w:name w:val="正文首行缩进 Char"/>
    <w:link w:val="61"/>
    <w:autoRedefine/>
    <w:qFormat/>
    <w:uiPriority w:val="0"/>
    <w:rPr>
      <w:rFonts w:ascii="宋体"/>
      <w:kern w:val="2"/>
      <w:sz w:val="24"/>
      <w:lang w:val="zh-CN"/>
    </w:rPr>
  </w:style>
  <w:style w:type="character" w:customStyle="1" w:styleId="320">
    <w:name w:val="h3 Char"/>
    <w:autoRedefine/>
    <w:qFormat/>
    <w:uiPriority w:val="0"/>
    <w:rPr>
      <w:rFonts w:eastAsia="宋体"/>
      <w:b/>
      <w:kern w:val="2"/>
      <w:sz w:val="32"/>
      <w:lang w:val="en-US" w:eastAsia="zh-CN" w:bidi="ar-SA"/>
    </w:rPr>
  </w:style>
  <w:style w:type="character" w:customStyle="1" w:styleId="321">
    <w:name w:val="dandyren_title1"/>
    <w:autoRedefine/>
    <w:qFormat/>
    <w:uiPriority w:val="0"/>
    <w:rPr>
      <w:b/>
      <w:bCs/>
      <w:color w:val="FF6633"/>
      <w:sz w:val="18"/>
      <w:szCs w:val="18"/>
    </w:rPr>
  </w:style>
  <w:style w:type="character" w:customStyle="1" w:styleId="322">
    <w:name w:val="Char Char31"/>
    <w:autoRedefine/>
    <w:qFormat/>
    <w:uiPriority w:val="6"/>
    <w:rPr>
      <w:rFonts w:ascii="Arial" w:hAnsi="Arial" w:eastAsia="黑体"/>
      <w:kern w:val="1"/>
      <w:sz w:val="24"/>
      <w:szCs w:val="24"/>
    </w:rPr>
  </w:style>
  <w:style w:type="character" w:customStyle="1" w:styleId="323">
    <w:name w:val="h Char1"/>
    <w:autoRedefine/>
    <w:qFormat/>
    <w:uiPriority w:val="0"/>
    <w:rPr>
      <w:sz w:val="18"/>
      <w:szCs w:val="18"/>
    </w:rPr>
  </w:style>
  <w:style w:type="character" w:customStyle="1" w:styleId="324">
    <w:name w:val="solutionfonts"/>
    <w:autoRedefine/>
    <w:qFormat/>
    <w:uiPriority w:val="0"/>
  </w:style>
  <w:style w:type="character" w:customStyle="1" w:styleId="325">
    <w:name w:val="标题 4 Char2"/>
    <w:link w:val="6"/>
    <w:autoRedefine/>
    <w:qFormat/>
    <w:uiPriority w:val="9"/>
    <w:rPr>
      <w:rFonts w:ascii="Arial" w:hAnsi="Arial" w:eastAsia="黑体"/>
      <w:b/>
      <w:bCs/>
      <w:kern w:val="2"/>
      <w:sz w:val="28"/>
      <w:szCs w:val="28"/>
      <w:lang w:val="zh-CN"/>
    </w:rPr>
  </w:style>
  <w:style w:type="character" w:customStyle="1" w:styleId="326">
    <w:name w:val="首行缩进 Char"/>
    <w:autoRedefine/>
    <w:qFormat/>
    <w:uiPriority w:val="0"/>
    <w:rPr>
      <w:rFonts w:ascii="宋体" w:eastAsia="宋体"/>
      <w:kern w:val="2"/>
      <w:sz w:val="24"/>
      <w:lang w:val="en-US" w:eastAsia="zh-CN" w:bidi="ar-SA"/>
    </w:rPr>
  </w:style>
  <w:style w:type="character" w:customStyle="1" w:styleId="327">
    <w:name w:val="Char Char52"/>
    <w:autoRedefine/>
    <w:qFormat/>
    <w:uiPriority w:val="0"/>
    <w:rPr>
      <w:rFonts w:ascii="宋体" w:hAnsi="Courier New" w:eastAsia="宋体"/>
      <w:kern w:val="2"/>
      <w:sz w:val="21"/>
      <w:lang w:val="en-US" w:eastAsia="zh-CN"/>
    </w:rPr>
  </w:style>
  <w:style w:type="character" w:customStyle="1" w:styleId="328">
    <w:name w:val="正文文本 3 Char"/>
    <w:link w:val="22"/>
    <w:autoRedefine/>
    <w:qFormat/>
    <w:uiPriority w:val="0"/>
    <w:rPr>
      <w:kern w:val="2"/>
      <w:sz w:val="21"/>
    </w:rPr>
  </w:style>
  <w:style w:type="character" w:customStyle="1" w:styleId="329">
    <w:name w:val="font31"/>
    <w:autoRedefine/>
    <w:qFormat/>
    <w:uiPriority w:val="0"/>
    <w:rPr>
      <w:rFonts w:hint="eastAsia" w:ascii="仿宋" w:hAnsi="仿宋" w:eastAsia="仿宋" w:cs="仿宋"/>
      <w:color w:val="000000"/>
      <w:sz w:val="20"/>
      <w:szCs w:val="20"/>
      <w:u w:val="none"/>
    </w:rPr>
  </w:style>
  <w:style w:type="character" w:customStyle="1" w:styleId="330">
    <w:name w:val="正文说明 Char"/>
    <w:link w:val="331"/>
    <w:autoRedefine/>
    <w:qFormat/>
    <w:uiPriority w:val="0"/>
    <w:rPr>
      <w:sz w:val="24"/>
      <w:szCs w:val="24"/>
    </w:rPr>
  </w:style>
  <w:style w:type="paragraph" w:customStyle="1" w:styleId="331">
    <w:name w:val="正文说明"/>
    <w:basedOn w:val="1"/>
    <w:link w:val="330"/>
    <w:autoRedefine/>
    <w:qFormat/>
    <w:uiPriority w:val="0"/>
    <w:pPr>
      <w:adjustRightInd/>
      <w:spacing w:line="360" w:lineRule="auto"/>
    </w:pPr>
    <w:rPr>
      <w:kern w:val="0"/>
      <w:sz w:val="24"/>
    </w:rPr>
  </w:style>
  <w:style w:type="character" w:customStyle="1" w:styleId="332">
    <w:name w:val="脚注文本 Char1"/>
    <w:autoRedefine/>
    <w:qFormat/>
    <w:uiPriority w:val="0"/>
    <w:rPr>
      <w:rFonts w:ascii="Times New Roman" w:hAnsi="Times New Roman" w:eastAsia="宋体" w:cs="Times New Roman"/>
      <w:sz w:val="18"/>
      <w:szCs w:val="18"/>
    </w:rPr>
  </w:style>
  <w:style w:type="character" w:customStyle="1" w:styleId="333">
    <w:name w:val="Char Char1211"/>
    <w:autoRedefine/>
    <w:qFormat/>
    <w:uiPriority w:val="0"/>
    <w:rPr>
      <w:rFonts w:ascii="仿宋_GB2312" w:eastAsia="仿宋_GB2312"/>
      <w:b/>
      <w:bCs/>
      <w:kern w:val="2"/>
      <w:sz w:val="24"/>
      <w:szCs w:val="24"/>
      <w:lang w:val="zh-CN" w:eastAsia="zh-CN" w:bidi="ar-SA"/>
    </w:rPr>
  </w:style>
  <w:style w:type="character" w:customStyle="1" w:styleId="334">
    <w:name w:val="标题 Char"/>
    <w:autoRedefine/>
    <w:qFormat/>
    <w:uiPriority w:val="0"/>
    <w:rPr>
      <w:rFonts w:eastAsia="宋体"/>
      <w:b/>
      <w:sz w:val="24"/>
      <w:lang w:val="en-GB" w:eastAsia="zh-CN" w:bidi="ar-SA"/>
    </w:rPr>
  </w:style>
  <w:style w:type="character" w:customStyle="1" w:styleId="335">
    <w:name w:val="Char Char35"/>
    <w:autoRedefine/>
    <w:qFormat/>
    <w:uiPriority w:val="6"/>
    <w:rPr>
      <w:rFonts w:ascii="Arial" w:hAnsi="Arial" w:eastAsia="黑体"/>
      <w:b/>
      <w:kern w:val="1"/>
      <w:sz w:val="28"/>
      <w:szCs w:val="28"/>
      <w:lang w:val="zh-CN"/>
    </w:rPr>
  </w:style>
  <w:style w:type="character" w:customStyle="1" w:styleId="336">
    <w:name w:val="纯文本 Char Char Char"/>
    <w:autoRedefine/>
    <w:qFormat/>
    <w:uiPriority w:val="0"/>
    <w:rPr>
      <w:rFonts w:ascii="宋体" w:hAnsi="Courier New" w:eastAsia="宋体"/>
      <w:kern w:val="2"/>
      <w:sz w:val="21"/>
      <w:lang w:val="en-US" w:eastAsia="zh-CN" w:bidi="ar-SA"/>
    </w:rPr>
  </w:style>
  <w:style w:type="character" w:customStyle="1" w:styleId="337">
    <w:name w:val="Table Text Char"/>
    <w:link w:val="338"/>
    <w:autoRedefine/>
    <w:qFormat/>
    <w:uiPriority w:val="0"/>
    <w:rPr>
      <w:sz w:val="24"/>
      <w:szCs w:val="24"/>
    </w:rPr>
  </w:style>
  <w:style w:type="paragraph" w:customStyle="1" w:styleId="338">
    <w:name w:val="Table Text"/>
    <w:basedOn w:val="1"/>
    <w:link w:val="337"/>
    <w:autoRedefine/>
    <w:qFormat/>
    <w:uiPriority w:val="0"/>
    <w:pPr>
      <w:widowControl/>
      <w:spacing w:before="60" w:after="60"/>
      <w:jc w:val="left"/>
    </w:pPr>
    <w:rPr>
      <w:kern w:val="0"/>
      <w:sz w:val="24"/>
    </w:rPr>
  </w:style>
  <w:style w:type="character" w:customStyle="1" w:styleId="339">
    <w:name w:val="正文1 Char1"/>
    <w:autoRedefine/>
    <w:qFormat/>
    <w:uiPriority w:val="0"/>
    <w:rPr>
      <w:rFonts w:ascii="仿宋_GB2312" w:hAnsi="Courier New" w:eastAsia="仿宋_GB2312"/>
      <w:kern w:val="28"/>
      <w:sz w:val="24"/>
      <w:szCs w:val="24"/>
      <w:lang w:val="en-US" w:eastAsia="zh-CN"/>
    </w:rPr>
  </w:style>
  <w:style w:type="character" w:customStyle="1" w:styleId="340">
    <w:name w:val="页脚 Char1"/>
    <w:autoRedefine/>
    <w:qFormat/>
    <w:uiPriority w:val="0"/>
    <w:rPr>
      <w:rFonts w:eastAsia="宋体"/>
      <w:kern w:val="2"/>
      <w:sz w:val="18"/>
      <w:szCs w:val="18"/>
      <w:lang w:val="en-US" w:eastAsia="zh-CN" w:bidi="ar-SA"/>
    </w:rPr>
  </w:style>
  <w:style w:type="character" w:customStyle="1" w:styleId="341">
    <w:name w:val="Bold"/>
    <w:autoRedefine/>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autoRedefine/>
    <w:qFormat/>
    <w:uiPriority w:val="99"/>
    <w:rPr>
      <w:kern w:val="2"/>
      <w:sz w:val="21"/>
      <w:szCs w:val="24"/>
    </w:rPr>
  </w:style>
  <w:style w:type="character" w:customStyle="1" w:styleId="343">
    <w:name w:val="签名 Char"/>
    <w:link w:val="42"/>
    <w:autoRedefine/>
    <w:qFormat/>
    <w:uiPriority w:val="0"/>
    <w:rPr>
      <w:rFonts w:eastAsia="仿宋_GB2312"/>
      <w:sz w:val="24"/>
    </w:rPr>
  </w:style>
  <w:style w:type="character" w:customStyle="1" w:styleId="344">
    <w:name w:val="hui3"/>
    <w:autoRedefine/>
    <w:qFormat/>
    <w:uiPriority w:val="0"/>
    <w:rPr>
      <w:color w:val="333333"/>
    </w:rPr>
  </w:style>
  <w:style w:type="character" w:customStyle="1" w:styleId="345">
    <w:name w:val="Char Char17"/>
    <w:autoRedefine/>
    <w:qFormat/>
    <w:uiPriority w:val="6"/>
    <w:rPr>
      <w:rFonts w:eastAsia="仿宋_GB2312"/>
      <w:sz w:val="24"/>
    </w:rPr>
  </w:style>
  <w:style w:type="character" w:customStyle="1" w:styleId="346">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7">
    <w:name w:val="Char Char37"/>
    <w:autoRedefine/>
    <w:qFormat/>
    <w:uiPriority w:val="6"/>
    <w:rPr>
      <w:b/>
      <w:kern w:val="1"/>
      <w:sz w:val="44"/>
      <w:szCs w:val="44"/>
    </w:rPr>
  </w:style>
  <w:style w:type="character" w:customStyle="1" w:styleId="348">
    <w:name w:val="列出段落 Char"/>
    <w:autoRedefine/>
    <w:qFormat/>
    <w:uiPriority w:val="0"/>
    <w:rPr>
      <w:rFonts w:eastAsia="楷体_GB2312" w:cs="Lucida Sans"/>
      <w:kern w:val="2"/>
      <w:sz w:val="24"/>
      <w:szCs w:val="24"/>
      <w:lang w:val="en-US" w:eastAsia="zh-CN" w:bidi="ar-SA"/>
    </w:rPr>
  </w:style>
  <w:style w:type="character" w:customStyle="1" w:styleId="349">
    <w:name w:val="正文文本缩进 3 Char1"/>
    <w:autoRedefine/>
    <w:semiHidden/>
    <w:qFormat/>
    <w:uiPriority w:val="99"/>
    <w:rPr>
      <w:rFonts w:ascii="Times New Roman" w:hAnsi="Times New Roman" w:eastAsia="宋体" w:cs="Times New Roman"/>
      <w:sz w:val="16"/>
      <w:szCs w:val="16"/>
    </w:rPr>
  </w:style>
  <w:style w:type="character" w:customStyle="1" w:styleId="350">
    <w:name w:val="公文正文 Char Char"/>
    <w:link w:val="351"/>
    <w:autoRedefine/>
    <w:qFormat/>
    <w:uiPriority w:val="0"/>
    <w:rPr>
      <w:rFonts w:ascii="仿宋_GB2312" w:eastAsia="仿宋_GB2312"/>
      <w:kern w:val="2"/>
      <w:sz w:val="24"/>
      <w:szCs w:val="24"/>
    </w:rPr>
  </w:style>
  <w:style w:type="paragraph" w:customStyle="1" w:styleId="351">
    <w:name w:val="公文正文"/>
    <w:basedOn w:val="1"/>
    <w:link w:val="350"/>
    <w:autoRedefine/>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autoRedefine/>
    <w:qFormat/>
    <w:uiPriority w:val="0"/>
    <w:rPr>
      <w:rFonts w:eastAsia="宋体"/>
      <w:sz w:val="24"/>
      <w:szCs w:val="24"/>
      <w:lang w:val="en-US" w:eastAsia="zh-CN" w:bidi="ar-SA"/>
    </w:rPr>
  </w:style>
  <w:style w:type="character" w:customStyle="1" w:styleId="353">
    <w:name w:val="标题 1 Char Char"/>
    <w:autoRedefine/>
    <w:qFormat/>
    <w:uiPriority w:val="0"/>
    <w:rPr>
      <w:rFonts w:hint="eastAsia" w:ascii="宋体" w:hAnsi="宋体" w:eastAsia="宋体"/>
      <w:b/>
      <w:spacing w:val="-2"/>
      <w:sz w:val="24"/>
      <w:lang w:val="en-US" w:eastAsia="zh-CN" w:bidi="ar-SA"/>
    </w:rPr>
  </w:style>
  <w:style w:type="character" w:customStyle="1" w:styleId="354">
    <w:name w:val="正文（缩进2汉字） Char"/>
    <w:link w:val="355"/>
    <w:autoRedefine/>
    <w:qFormat/>
    <w:uiPriority w:val="0"/>
    <w:rPr>
      <w:rFonts w:ascii="宋体"/>
    </w:rPr>
  </w:style>
  <w:style w:type="paragraph" w:customStyle="1" w:styleId="355">
    <w:name w:val="正文（缩进2汉字）"/>
    <w:basedOn w:val="1"/>
    <w:link w:val="354"/>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autoRedefine/>
    <w:qFormat/>
    <w:uiPriority w:val="0"/>
    <w:rPr>
      <w:rFonts w:ascii="Arial" w:hAnsi="Arial" w:eastAsia="黑体"/>
      <w:kern w:val="2"/>
      <w:sz w:val="24"/>
      <w:szCs w:val="24"/>
    </w:rPr>
  </w:style>
  <w:style w:type="character" w:customStyle="1" w:styleId="357">
    <w:name w:val="标书表格字体格式 Char"/>
    <w:autoRedefine/>
    <w:qFormat/>
    <w:uiPriority w:val="0"/>
    <w:rPr>
      <w:kern w:val="2"/>
      <w:sz w:val="21"/>
      <w:szCs w:val="24"/>
      <w:lang w:bidi="ar-SA"/>
    </w:rPr>
  </w:style>
  <w:style w:type="character" w:customStyle="1" w:styleId="358">
    <w:name w:val="tw4winError"/>
    <w:autoRedefine/>
    <w:qFormat/>
    <w:uiPriority w:val="0"/>
    <w:rPr>
      <w:rFonts w:ascii="Courier New" w:hAnsi="Courier New" w:cs="Courier New"/>
      <w:color w:val="00FF00"/>
      <w:sz w:val="40"/>
      <w:szCs w:val="40"/>
    </w:rPr>
  </w:style>
  <w:style w:type="character" w:customStyle="1" w:styleId="359">
    <w:name w:val="Body Text(ch) Char Char"/>
    <w:autoRedefine/>
    <w:qFormat/>
    <w:uiPriority w:val="0"/>
    <w:rPr>
      <w:rFonts w:ascii="宋体"/>
      <w:kern w:val="2"/>
      <w:sz w:val="24"/>
      <w:szCs w:val="21"/>
      <w:lang w:val="zh-CN"/>
    </w:rPr>
  </w:style>
  <w:style w:type="character" w:customStyle="1" w:styleId="360">
    <w:name w:val="正文首行缩进两字 Char"/>
    <w:autoRedefine/>
    <w:qFormat/>
    <w:uiPriority w:val="0"/>
    <w:rPr>
      <w:sz w:val="24"/>
      <w:szCs w:val="24"/>
      <w:lang w:val="en-US" w:eastAsia="zh-CN" w:bidi="ar-SA"/>
    </w:rPr>
  </w:style>
  <w:style w:type="character" w:customStyle="1" w:styleId="361">
    <w:name w:val="正文文本 Char"/>
    <w:autoRedefine/>
    <w:qFormat/>
    <w:uiPriority w:val="0"/>
    <w:rPr>
      <w:rFonts w:eastAsia="宋体"/>
      <w:kern w:val="2"/>
      <w:sz w:val="24"/>
      <w:szCs w:val="24"/>
      <w:lang w:val="en-US" w:eastAsia="zh-CN" w:bidi="ar-SA"/>
    </w:rPr>
  </w:style>
  <w:style w:type="character" w:customStyle="1" w:styleId="362">
    <w:name w:val="文档结构图 字符1"/>
    <w:autoRedefine/>
    <w:qFormat/>
    <w:uiPriority w:val="0"/>
    <w:rPr>
      <w:rFonts w:ascii="宋体" w:hAnsi="Calibri" w:eastAsia="黑体" w:cs="Arial"/>
      <w:snapToGrid w:val="0"/>
      <w:kern w:val="2"/>
      <w:sz w:val="18"/>
      <w:szCs w:val="18"/>
    </w:rPr>
  </w:style>
  <w:style w:type="character" w:customStyle="1" w:styleId="363">
    <w:name w:val="content"/>
    <w:autoRedefine/>
    <w:qFormat/>
    <w:uiPriority w:val="0"/>
  </w:style>
  <w:style w:type="character" w:customStyle="1" w:styleId="364">
    <w:name w:val="tw4winPopup"/>
    <w:autoRedefine/>
    <w:qFormat/>
    <w:uiPriority w:val="0"/>
    <w:rPr>
      <w:rFonts w:ascii="Courier New" w:hAnsi="Courier New" w:cs="Courier New"/>
      <w:color w:val="008000"/>
      <w:lang w:val="en-US" w:eastAsia="zh-CN"/>
    </w:rPr>
  </w:style>
  <w:style w:type="character" w:customStyle="1" w:styleId="365">
    <w:name w:val="param-name"/>
    <w:autoRedefine/>
    <w:qFormat/>
    <w:uiPriority w:val="99"/>
    <w:rPr>
      <w:rFonts w:ascii="Arial" w:hAnsi="Arial" w:eastAsia="黑体" w:cs="Arial"/>
      <w:snapToGrid w:val="0"/>
      <w:kern w:val="0"/>
      <w:szCs w:val="21"/>
    </w:rPr>
  </w:style>
  <w:style w:type="character" w:customStyle="1" w:styleId="366">
    <w:name w:val="标准正文格式 Char"/>
    <w:autoRedefine/>
    <w:qFormat/>
    <w:uiPriority w:val="0"/>
    <w:rPr>
      <w:rFonts w:ascii="宋体" w:eastAsia="仿宋_GB2312" w:cs="宋体"/>
      <w:color w:val="000000"/>
      <w:sz w:val="24"/>
      <w:lang w:val="en-US" w:eastAsia="zh-CN" w:bidi="ar-SA"/>
    </w:rPr>
  </w:style>
  <w:style w:type="character" w:customStyle="1" w:styleId="367">
    <w:name w:val="Char Char212"/>
    <w:autoRedefine/>
    <w:qFormat/>
    <w:uiPriority w:val="0"/>
    <w:rPr>
      <w:rFonts w:eastAsia="宋体"/>
      <w:b/>
      <w:bCs/>
      <w:kern w:val="2"/>
      <w:sz w:val="21"/>
      <w:szCs w:val="24"/>
      <w:lang w:val="en-US" w:eastAsia="zh-CN" w:bidi="ar-SA"/>
    </w:rPr>
  </w:style>
  <w:style w:type="character" w:customStyle="1" w:styleId="368">
    <w:name w:val="文档结构图 Char"/>
    <w:autoRedefine/>
    <w:qFormat/>
    <w:uiPriority w:val="0"/>
    <w:rPr>
      <w:rFonts w:eastAsia="宋体"/>
      <w:kern w:val="2"/>
      <w:sz w:val="21"/>
      <w:szCs w:val="24"/>
      <w:lang w:val="en-US" w:eastAsia="zh-CN" w:bidi="ar-SA"/>
    </w:rPr>
  </w:style>
  <w:style w:type="character" w:customStyle="1" w:styleId="369">
    <w:name w:val="zbggmain style9"/>
    <w:autoRedefine/>
    <w:qFormat/>
    <w:uiPriority w:val="0"/>
  </w:style>
  <w:style w:type="character" w:customStyle="1" w:styleId="370">
    <w:name w:val="Char Char16"/>
    <w:autoRedefine/>
    <w:qFormat/>
    <w:uiPriority w:val="6"/>
    <w:rPr>
      <w:kern w:val="1"/>
      <w:sz w:val="18"/>
      <w:szCs w:val="18"/>
    </w:rPr>
  </w:style>
  <w:style w:type="character" w:customStyle="1" w:styleId="371">
    <w:name w:val="font51"/>
    <w:autoRedefine/>
    <w:qFormat/>
    <w:uiPriority w:val="0"/>
    <w:rPr>
      <w:rFonts w:hint="eastAsia" w:ascii="仿宋" w:hAnsi="仿宋" w:eastAsia="仿宋" w:cs="仿宋"/>
      <w:color w:val="000000"/>
      <w:sz w:val="20"/>
      <w:szCs w:val="20"/>
      <w:u w:val="none"/>
    </w:rPr>
  </w:style>
  <w:style w:type="character" w:customStyle="1" w:styleId="372">
    <w:name w:val="Char Char82"/>
    <w:autoRedefine/>
    <w:qFormat/>
    <w:uiPriority w:val="0"/>
    <w:rPr>
      <w:rFonts w:eastAsia="宋体"/>
      <w:b/>
      <w:sz w:val="24"/>
      <w:lang w:val="en-GB" w:eastAsia="zh-CN"/>
    </w:rPr>
  </w:style>
  <w:style w:type="character" w:customStyle="1" w:styleId="373">
    <w:name w:val="正文文本缩进 3 Char"/>
    <w:link w:val="53"/>
    <w:autoRedefine/>
    <w:qFormat/>
    <w:uiPriority w:val="0"/>
    <w:rPr>
      <w:kern w:val="2"/>
      <w:sz w:val="24"/>
    </w:rPr>
  </w:style>
  <w:style w:type="character" w:customStyle="1" w:styleId="374">
    <w:name w:val="日期 Char1"/>
    <w:autoRedefine/>
    <w:semiHidden/>
    <w:qFormat/>
    <w:uiPriority w:val="99"/>
    <w:rPr>
      <w:rFonts w:ascii="Times New Roman" w:hAnsi="Times New Roman" w:eastAsia="宋体" w:cs="Times New Roman"/>
      <w:szCs w:val="24"/>
    </w:rPr>
  </w:style>
  <w:style w:type="character" w:customStyle="1" w:styleId="375">
    <w:name w:val="页眉 字符"/>
    <w:autoRedefine/>
    <w:qFormat/>
    <w:uiPriority w:val="99"/>
    <w:rPr>
      <w:kern w:val="2"/>
      <w:sz w:val="18"/>
      <w:szCs w:val="18"/>
    </w:rPr>
  </w:style>
  <w:style w:type="character" w:customStyle="1" w:styleId="376">
    <w:name w:val="Char Char33"/>
    <w:autoRedefine/>
    <w:qFormat/>
    <w:uiPriority w:val="6"/>
    <w:rPr>
      <w:rFonts w:ascii="Arial" w:hAnsi="Arial" w:eastAsia="黑体"/>
      <w:b/>
      <w:kern w:val="1"/>
      <w:sz w:val="24"/>
      <w:szCs w:val="24"/>
    </w:rPr>
  </w:style>
  <w:style w:type="character" w:customStyle="1" w:styleId="377">
    <w:name w:val="b11_01b Char"/>
    <w:link w:val="378"/>
    <w:autoRedefine/>
    <w:qFormat/>
    <w:uiPriority w:val="0"/>
    <w:rPr>
      <w:rFonts w:ascii="Verdana" w:hAnsi="Verdana"/>
      <w:b/>
      <w:bCs/>
      <w:color w:val="4A82CA"/>
      <w:sz w:val="17"/>
      <w:szCs w:val="17"/>
    </w:rPr>
  </w:style>
  <w:style w:type="paragraph" w:customStyle="1" w:styleId="378">
    <w:name w:val="b11_01b"/>
    <w:basedOn w:val="1"/>
    <w:next w:val="1"/>
    <w:link w:val="377"/>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autoRedefine/>
    <w:qFormat/>
    <w:uiPriority w:val="6"/>
    <w:rPr>
      <w:rFonts w:ascii="仿宋_GB2312" w:eastAsia="仿宋_GB2312"/>
      <w:b/>
      <w:bCs/>
      <w:kern w:val="2"/>
      <w:sz w:val="24"/>
      <w:szCs w:val="24"/>
      <w:lang w:val="zh-CN" w:eastAsia="zh-CN" w:bidi="ar-SA"/>
    </w:rPr>
  </w:style>
  <w:style w:type="character" w:customStyle="1" w:styleId="380">
    <w:name w:val="Footer-Even Char"/>
    <w:autoRedefine/>
    <w:qFormat/>
    <w:uiPriority w:val="0"/>
    <w:rPr>
      <w:rFonts w:eastAsia="宋体"/>
      <w:kern w:val="2"/>
      <w:sz w:val="18"/>
      <w:lang w:val="en-US" w:eastAsia="zh-CN" w:bidi="ar-SA"/>
    </w:rPr>
  </w:style>
  <w:style w:type="character" w:customStyle="1" w:styleId="381">
    <w:name w:val="页脚 Char2"/>
    <w:link w:val="40"/>
    <w:autoRedefine/>
    <w:qFormat/>
    <w:locked/>
    <w:uiPriority w:val="99"/>
    <w:rPr>
      <w:kern w:val="2"/>
      <w:sz w:val="18"/>
      <w:szCs w:val="18"/>
    </w:rPr>
  </w:style>
  <w:style w:type="character" w:customStyle="1" w:styleId="38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3">
    <w:name w:val="Char Char61"/>
    <w:autoRedefine/>
    <w:qFormat/>
    <w:uiPriority w:val="6"/>
    <w:rPr>
      <w:rFonts w:eastAsia="宋体"/>
      <w:kern w:val="2"/>
      <w:sz w:val="21"/>
      <w:szCs w:val="24"/>
      <w:lang w:val="en-US" w:eastAsia="zh-CN" w:bidi="ar-SA"/>
    </w:rPr>
  </w:style>
  <w:style w:type="character" w:customStyle="1" w:styleId="384">
    <w:name w:val="正文文字缩进 2 Char Char"/>
    <w:autoRedefine/>
    <w:qFormat/>
    <w:uiPriority w:val="0"/>
    <w:rPr>
      <w:rFonts w:ascii="宋体"/>
      <w:sz w:val="28"/>
    </w:rPr>
  </w:style>
  <w:style w:type="character" w:customStyle="1" w:styleId="385">
    <w:name w:val="f141"/>
    <w:autoRedefine/>
    <w:qFormat/>
    <w:uiPriority w:val="0"/>
    <w:rPr>
      <w:rFonts w:ascii="Tahoma" w:hAnsi="Tahoma" w:eastAsia="宋体"/>
      <w:b/>
      <w:kern w:val="2"/>
      <w:sz w:val="21"/>
      <w:szCs w:val="21"/>
      <w:lang w:val="en-US" w:eastAsia="zh-CN" w:bidi="ar-SA"/>
    </w:rPr>
  </w:style>
  <w:style w:type="character" w:customStyle="1" w:styleId="386">
    <w:name w:val="段落 Char Char"/>
    <w:link w:val="387"/>
    <w:autoRedefine/>
    <w:qFormat/>
    <w:uiPriority w:val="0"/>
    <w:rPr>
      <w:rFonts w:ascii="宋体" w:hAnsi="宋体"/>
      <w:sz w:val="24"/>
    </w:rPr>
  </w:style>
  <w:style w:type="paragraph" w:customStyle="1" w:styleId="387">
    <w:name w:val="段落"/>
    <w:basedOn w:val="1"/>
    <w:link w:val="386"/>
    <w:autoRedefine/>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autoRedefine/>
    <w:qFormat/>
    <w:uiPriority w:val="0"/>
    <w:rPr>
      <w:rFonts w:eastAsia="宋体"/>
      <w:b/>
      <w:bCs/>
      <w:kern w:val="2"/>
      <w:sz w:val="32"/>
      <w:szCs w:val="32"/>
      <w:lang w:val="en-US" w:eastAsia="zh-CN" w:bidi="ar-SA"/>
    </w:rPr>
  </w:style>
  <w:style w:type="character" w:customStyle="1" w:styleId="389">
    <w:name w:val="apple-converted-space"/>
    <w:autoRedefine/>
    <w:qFormat/>
    <w:uiPriority w:val="0"/>
  </w:style>
  <w:style w:type="character" w:customStyle="1" w:styleId="390">
    <w:name w:val="页眉 Char2"/>
    <w:link w:val="41"/>
    <w:autoRedefine/>
    <w:qFormat/>
    <w:uiPriority w:val="99"/>
    <w:rPr>
      <w:kern w:val="2"/>
      <w:sz w:val="18"/>
      <w:szCs w:val="18"/>
    </w:rPr>
  </w:style>
  <w:style w:type="character" w:customStyle="1" w:styleId="391">
    <w:name w:val="Char Char9"/>
    <w:autoRedefine/>
    <w:qFormat/>
    <w:uiPriority w:val="0"/>
    <w:rPr>
      <w:rFonts w:eastAsia="宋体"/>
      <w:kern w:val="2"/>
      <w:sz w:val="18"/>
      <w:szCs w:val="18"/>
      <w:lang w:val="en-US" w:eastAsia="zh-CN" w:bidi="ar-SA"/>
    </w:rPr>
  </w:style>
  <w:style w:type="character" w:customStyle="1" w:styleId="392">
    <w:name w:val="Char Char41"/>
    <w:autoRedefine/>
    <w:qFormat/>
    <w:uiPriority w:val="0"/>
    <w:rPr>
      <w:rFonts w:eastAsia="宋体"/>
      <w:b/>
      <w:sz w:val="24"/>
      <w:lang w:val="en-GB" w:eastAsia="zh-CN" w:bidi="ar-SA"/>
    </w:rPr>
  </w:style>
  <w:style w:type="character" w:customStyle="1" w:styleId="393">
    <w:name w:val="large1"/>
    <w:autoRedefine/>
    <w:qFormat/>
    <w:uiPriority w:val="0"/>
    <w:rPr>
      <w:rFonts w:hint="eastAsia" w:ascii="宋体" w:hAnsi="宋体" w:eastAsia="宋体"/>
      <w:sz w:val="21"/>
      <w:szCs w:val="21"/>
    </w:rPr>
  </w:style>
  <w:style w:type="character" w:customStyle="1" w:styleId="394">
    <w:name w:val="正文段 Char"/>
    <w:link w:val="395"/>
    <w:autoRedefine/>
    <w:qFormat/>
    <w:uiPriority w:val="0"/>
    <w:rPr>
      <w:sz w:val="24"/>
    </w:rPr>
  </w:style>
  <w:style w:type="paragraph" w:customStyle="1" w:styleId="395">
    <w:name w:val="正文段"/>
    <w:basedOn w:val="1"/>
    <w:link w:val="394"/>
    <w:autoRedefine/>
    <w:qFormat/>
    <w:uiPriority w:val="0"/>
    <w:pPr>
      <w:widowControl/>
      <w:snapToGrid w:val="0"/>
      <w:spacing w:after="156" w:afterLines="50"/>
      <w:ind w:firstLine="200" w:firstLineChars="200"/>
    </w:pPr>
    <w:rPr>
      <w:kern w:val="0"/>
      <w:sz w:val="24"/>
      <w:szCs w:val="20"/>
    </w:rPr>
  </w:style>
  <w:style w:type="character" w:customStyle="1" w:styleId="396">
    <w:name w:val="Char Char13"/>
    <w:autoRedefine/>
    <w:qFormat/>
    <w:uiPriority w:val="6"/>
    <w:rPr>
      <w:rFonts w:ascii="宋体" w:hAnsi="宋体"/>
      <w:kern w:val="1"/>
      <w:sz w:val="21"/>
      <w:szCs w:val="24"/>
    </w:rPr>
  </w:style>
  <w:style w:type="character" w:customStyle="1" w:styleId="397">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autoRedefine/>
    <w:qFormat/>
    <w:uiPriority w:val="0"/>
    <w:rPr>
      <w:rFonts w:ascii="宋体" w:hAnsi="宋体"/>
      <w:kern w:val="2"/>
      <w:sz w:val="24"/>
      <w:szCs w:val="22"/>
    </w:rPr>
  </w:style>
  <w:style w:type="paragraph" w:customStyle="1" w:styleId="399">
    <w:name w:val="冯广丽"/>
    <w:basedOn w:val="1"/>
    <w:link w:val="398"/>
    <w:autoRedefine/>
    <w:qFormat/>
    <w:uiPriority w:val="0"/>
    <w:pPr>
      <w:adjustRightInd/>
      <w:spacing w:line="360" w:lineRule="auto"/>
      <w:ind w:firstLine="480" w:firstLineChars="200"/>
    </w:pPr>
    <w:rPr>
      <w:rFonts w:ascii="宋体" w:hAnsi="宋体"/>
      <w:sz w:val="24"/>
      <w:szCs w:val="22"/>
    </w:rPr>
  </w:style>
  <w:style w:type="character" w:customStyle="1" w:styleId="400">
    <w:name w:val="批注文字 字符"/>
    <w:autoRedefine/>
    <w:qFormat/>
    <w:uiPriority w:val="0"/>
    <w:rPr>
      <w:rFonts w:ascii="Arial" w:hAnsi="Arial" w:eastAsia="黑体" w:cs="Arial"/>
      <w:snapToGrid w:val="0"/>
      <w:kern w:val="0"/>
      <w:szCs w:val="21"/>
    </w:rPr>
  </w:style>
  <w:style w:type="character" w:customStyle="1" w:styleId="401">
    <w:name w:val="Char Char161"/>
    <w:autoRedefine/>
    <w:qFormat/>
    <w:uiPriority w:val="0"/>
    <w:rPr>
      <w:rFonts w:eastAsia="宋体"/>
      <w:b/>
      <w:kern w:val="2"/>
      <w:sz w:val="32"/>
      <w:lang w:val="en-US" w:eastAsia="zh-CN"/>
    </w:rPr>
  </w:style>
  <w:style w:type="character" w:customStyle="1" w:styleId="402">
    <w:name w:val="javascript"/>
    <w:autoRedefine/>
    <w:qFormat/>
    <w:uiPriority w:val="0"/>
  </w:style>
  <w:style w:type="character" w:customStyle="1" w:styleId="403">
    <w:name w:val="图名 Char"/>
    <w:autoRedefine/>
    <w:qFormat/>
    <w:uiPriority w:val="0"/>
    <w:rPr>
      <w:rFonts w:ascii="Arial" w:hAnsi="Arial" w:eastAsia="黑体"/>
      <w:kern w:val="2"/>
      <w:sz w:val="24"/>
      <w:szCs w:val="24"/>
      <w:lang w:val="en-US" w:eastAsia="zh-CN" w:bidi="ar-SA"/>
    </w:rPr>
  </w:style>
  <w:style w:type="character" w:customStyle="1" w:styleId="404">
    <w:name w:val="Used by Word for text of Help footnotes Char Char"/>
    <w:autoRedefine/>
    <w:qFormat/>
    <w:uiPriority w:val="0"/>
    <w:rPr>
      <w:rFonts w:ascii="Times New Roman" w:hAnsi="Times New Roman" w:eastAsia="宋体" w:cs="Times New Roman"/>
      <w:sz w:val="20"/>
      <w:szCs w:val="20"/>
    </w:rPr>
  </w:style>
  <w:style w:type="character" w:customStyle="1" w:styleId="405">
    <w:name w:val="编号，小四 Char"/>
    <w:link w:val="406"/>
    <w:autoRedefine/>
    <w:qFormat/>
    <w:uiPriority w:val="0"/>
    <w:rPr>
      <w:rFonts w:ascii="Arial" w:hAnsi="Arial"/>
      <w:sz w:val="24"/>
    </w:rPr>
  </w:style>
  <w:style w:type="paragraph" w:customStyle="1" w:styleId="406">
    <w:name w:val="编号，小四"/>
    <w:basedOn w:val="1"/>
    <w:link w:val="405"/>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autoRedefine/>
    <w:qFormat/>
    <w:uiPriority w:val="99"/>
    <w:rPr>
      <w:rFonts w:ascii="宋体" w:eastAsia="宋体" w:cs="宋体"/>
      <w:color w:val="000000"/>
      <w:sz w:val="14"/>
      <w:szCs w:val="14"/>
    </w:rPr>
  </w:style>
  <w:style w:type="character" w:customStyle="1" w:styleId="408">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9">
    <w:name w:val="未用 Char"/>
    <w:autoRedefine/>
    <w:qFormat/>
    <w:uiPriority w:val="0"/>
    <w:rPr>
      <w:rFonts w:ascii="Arial" w:hAnsi="Arial" w:eastAsia="黑体"/>
      <w:kern w:val="2"/>
      <w:sz w:val="21"/>
      <w:szCs w:val="21"/>
      <w:lang w:val="en-US" w:eastAsia="zh-CN" w:bidi="ar-SA"/>
    </w:rPr>
  </w:style>
  <w:style w:type="character" w:customStyle="1" w:styleId="410">
    <w:name w:val="myp1111"/>
    <w:autoRedefine/>
    <w:qFormat/>
    <w:uiPriority w:val="0"/>
    <w:rPr>
      <w:rFonts w:hint="default" w:ascii="ˎ̥" w:hAnsi="ˎ̥"/>
      <w:color w:val="000000"/>
      <w:sz w:val="20"/>
      <w:szCs w:val="20"/>
      <w:u w:val="none"/>
    </w:rPr>
  </w:style>
  <w:style w:type="character" w:customStyle="1" w:styleId="411">
    <w:name w:val="样式 标题 4h4H4Fab-4T5Ref Heading 1rh1Heading sqlsect 1.2.3.... Char"/>
    <w:link w:val="303"/>
    <w:autoRedefine/>
    <w:qFormat/>
    <w:uiPriority w:val="0"/>
    <w:rPr>
      <w:rFonts w:ascii="微软雅黑" w:hAnsi="微软雅黑" w:eastAsia="微软雅黑"/>
      <w:b/>
      <w:bCs/>
      <w:kern w:val="2"/>
      <w:sz w:val="24"/>
      <w:szCs w:val="28"/>
    </w:rPr>
  </w:style>
  <w:style w:type="character" w:customStyle="1" w:styleId="412">
    <w:name w:val="h Char Char"/>
    <w:autoRedefine/>
    <w:qFormat/>
    <w:uiPriority w:val="0"/>
    <w:rPr>
      <w:rFonts w:eastAsia="宋体"/>
      <w:kern w:val="2"/>
      <w:sz w:val="18"/>
      <w:lang w:val="en-US" w:eastAsia="zh-CN" w:bidi="ar-SA"/>
    </w:rPr>
  </w:style>
  <w:style w:type="character" w:customStyle="1" w:styleId="413">
    <w:name w:val="仿宋正文 Char"/>
    <w:link w:val="414"/>
    <w:autoRedefine/>
    <w:qFormat/>
    <w:uiPriority w:val="0"/>
    <w:rPr>
      <w:rFonts w:ascii="仿宋_GB2312" w:eastAsia="仿宋_GB2312"/>
      <w:kern w:val="2"/>
      <w:sz w:val="24"/>
      <w:lang w:val="en-US" w:eastAsia="zh-CN" w:bidi="ar-SA"/>
    </w:rPr>
  </w:style>
  <w:style w:type="paragraph" w:customStyle="1" w:styleId="414">
    <w:name w:val="仿宋正文"/>
    <w:basedOn w:val="1"/>
    <w:link w:val="413"/>
    <w:autoRedefine/>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autoRedefine/>
    <w:qFormat/>
    <w:uiPriority w:val="0"/>
    <w:rPr>
      <w:rFonts w:ascii="宋体" w:eastAsia="宋体"/>
      <w:kern w:val="2"/>
      <w:sz w:val="24"/>
      <w:lang w:val="zh-CN" w:bidi="ar-SA"/>
    </w:rPr>
  </w:style>
  <w:style w:type="character" w:customStyle="1" w:styleId="416">
    <w:name w:val="样式 宋体"/>
    <w:autoRedefine/>
    <w:qFormat/>
    <w:uiPriority w:val="0"/>
    <w:rPr>
      <w:rFonts w:ascii="宋体" w:hAnsi="宋体"/>
      <w:sz w:val="24"/>
    </w:rPr>
  </w:style>
  <w:style w:type="character" w:customStyle="1" w:styleId="417">
    <w:name w:val="tw4winJump"/>
    <w:autoRedefine/>
    <w:qFormat/>
    <w:uiPriority w:val="0"/>
    <w:rPr>
      <w:rFonts w:ascii="Courier New" w:hAnsi="Courier New" w:cs="Courier New"/>
      <w:color w:val="008080"/>
      <w:lang w:val="en-US" w:eastAsia="zh-CN"/>
    </w:rPr>
  </w:style>
  <w:style w:type="character" w:customStyle="1" w:styleId="418">
    <w:name w:val="标题 1 字符"/>
    <w:autoRedefine/>
    <w:qFormat/>
    <w:uiPriority w:val="9"/>
    <w:rPr>
      <w:rFonts w:ascii="Arial" w:hAnsi="Arial" w:eastAsia="黑体" w:cs="Arial"/>
      <w:b/>
      <w:bCs/>
      <w:snapToGrid w:val="0"/>
      <w:kern w:val="44"/>
      <w:sz w:val="44"/>
      <w:szCs w:val="44"/>
    </w:rPr>
  </w:style>
  <w:style w:type="character" w:customStyle="1" w:styleId="419">
    <w:name w:val="style36"/>
    <w:basedOn w:val="70"/>
    <w:autoRedefine/>
    <w:qFormat/>
    <w:uiPriority w:val="0"/>
    <w:rPr>
      <w:rFonts w:ascii="Arial" w:hAnsi="Arial" w:eastAsia="黑体" w:cs="Arial"/>
      <w:snapToGrid w:val="0"/>
      <w:kern w:val="0"/>
      <w:szCs w:val="21"/>
    </w:rPr>
  </w:style>
  <w:style w:type="character" w:customStyle="1" w:styleId="420">
    <w:name w:val="pt9"/>
    <w:autoRedefine/>
    <w:qFormat/>
    <w:uiPriority w:val="0"/>
    <w:rPr>
      <w:rFonts w:ascii="仿宋_GB2312" w:eastAsia="微软雅黑"/>
      <w:b/>
      <w:kern w:val="2"/>
      <w:sz w:val="32"/>
      <w:szCs w:val="32"/>
      <w:lang w:val="en-US" w:eastAsia="zh-CN" w:bidi="ar-SA"/>
    </w:rPr>
  </w:style>
  <w:style w:type="character" w:customStyle="1" w:styleId="421">
    <w:name w:val="DO_NOT_TRANSLATE"/>
    <w:autoRedefine/>
    <w:qFormat/>
    <w:uiPriority w:val="0"/>
    <w:rPr>
      <w:rFonts w:ascii="Courier New" w:hAnsi="Courier New" w:cs="Courier New"/>
      <w:color w:val="800000"/>
      <w:lang w:val="en-US" w:eastAsia="zh-CN"/>
    </w:rPr>
  </w:style>
  <w:style w:type="character" w:customStyle="1" w:styleId="422">
    <w:name w:val="标书1 Char1"/>
    <w:autoRedefine/>
    <w:qFormat/>
    <w:uiPriority w:val="0"/>
    <w:rPr>
      <w:rFonts w:eastAsia="宋体"/>
      <w:b/>
      <w:bCs/>
      <w:kern w:val="44"/>
      <w:sz w:val="44"/>
      <w:szCs w:val="44"/>
      <w:lang w:val="en-US" w:eastAsia="zh-CN" w:bidi="ar-SA"/>
    </w:rPr>
  </w:style>
  <w:style w:type="character" w:customStyle="1" w:styleId="423">
    <w:name w:val="页脚 字符"/>
    <w:autoRedefine/>
    <w:qFormat/>
    <w:uiPriority w:val="99"/>
    <w:rPr>
      <w:kern w:val="2"/>
      <w:sz w:val="18"/>
      <w:szCs w:val="18"/>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5"/>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70"/>
    <w:autoRedefine/>
    <w:qFormat/>
    <w:uiPriority w:val="0"/>
    <w:rPr>
      <w:rFonts w:ascii="Arial" w:hAnsi="Arial" w:eastAsia="黑体" w:cs="Arial"/>
      <w:snapToGrid w:val="0"/>
      <w:kern w:val="0"/>
      <w:szCs w:val="21"/>
    </w:rPr>
  </w:style>
  <w:style w:type="character" w:customStyle="1" w:styleId="430">
    <w:name w:val="hui"/>
    <w:basedOn w:val="70"/>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6"/>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312"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spacing w:before="0" w:after="0"/>
      <w:outlineLvl w:val="5"/>
    </w:pPr>
  </w:style>
  <w:style w:type="paragraph" w:customStyle="1" w:styleId="472">
    <w:name w:val="5级标题"/>
    <w:basedOn w:val="473"/>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8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81">
    <w:name w:val="无间隔2"/>
    <w:basedOn w:val="1"/>
    <w:link w:val="931"/>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3"/>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4"/>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7"/>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4"/>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6"/>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4"/>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6"/>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2"/>
    <w:autoRedefine/>
    <w:qFormat/>
    <w:uiPriority w:val="0"/>
    <w:pPr>
      <w:tabs>
        <w:tab w:val="left" w:pos="840"/>
      </w:tabs>
      <w:adjustRightInd/>
      <w:ind w:left="840" w:hanging="420"/>
    </w:pPr>
  </w:style>
  <w:style w:type="paragraph" w:customStyle="1" w:styleId="624">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8">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6"/>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4"/>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3"/>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6"/>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8"/>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80"/>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autoRedefine/>
    <w:qFormat/>
    <w:uiPriority w:val="0"/>
    <w:pPr>
      <w:tabs>
        <w:tab w:val="left" w:pos="1080"/>
      </w:tabs>
      <w:ind w:left="1080" w:hanging="1080"/>
    </w:pPr>
  </w:style>
  <w:style w:type="paragraph" w:customStyle="1" w:styleId="895">
    <w:name w:val="数字标题1"/>
    <w:basedOn w:val="2"/>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8"/>
    <w:autoRedefine/>
    <w:qFormat/>
    <w:uiPriority w:val="0"/>
    <w:rPr>
      <w:kern w:val="2"/>
      <w:sz w:val="21"/>
      <w:szCs w:val="24"/>
      <w:lang w:val="zh-CN"/>
    </w:rPr>
  </w:style>
  <w:style w:type="character" w:customStyle="1" w:styleId="931">
    <w:name w:val="无间隔 字符"/>
    <w:link w:val="481"/>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80"/>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样式 标题 2 + Times New Roman 四号 非加粗 段前: 5 磅 段后: 0 磅 行距: 固定值 20..."/>
    <w:basedOn w:val="3"/>
    <w:qFormat/>
    <w:uiPriority w:val="0"/>
    <w:pPr>
      <w:tabs>
        <w:tab w:val="left" w:pos="1080"/>
        <w:tab w:val="clear" w:pos="432"/>
      </w:tabs>
      <w:spacing w:before="100" w:line="400" w:lineRule="exact"/>
    </w:pPr>
    <w:rPr>
      <w:rFonts w:ascii="Times New Roman" w:hAnsi="Times New Roman" w:eastAsia="黑体" w:cs="宋体"/>
      <w:b w:val="0"/>
      <w:sz w:val="28"/>
      <w:szCs w:val="20"/>
    </w:rPr>
  </w:style>
  <w:style w:type="paragraph" w:customStyle="1" w:styleId="963">
    <w:name w:val="p16"/>
    <w:basedOn w:val="1"/>
    <w:autoRedefine/>
    <w:qFormat/>
    <w:uiPriority w:val="0"/>
    <w:pPr>
      <w:widowControl/>
      <w:spacing w:before="100" w:after="100"/>
      <w:jc w:val="left"/>
    </w:pPr>
    <w:rPr>
      <w:rFonts w:ascii="宋体" w:hAnsi="宋体" w:cs="宋体"/>
      <w:color w:val="000000"/>
      <w:kern w:val="0"/>
      <w:sz w:val="24"/>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正文_2"/>
    <w:basedOn w:val="966"/>
    <w:uiPriority w:val="0"/>
    <w:rPr>
      <w:rFonts w:ascii="Calibri" w:hAnsi="Calibri"/>
    </w:rPr>
  </w:style>
  <w:style w:type="paragraph" w:customStyle="1" w:styleId="966">
    <w:name w:val="正文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67">
    <w:name w:val="正文_0_0_1"/>
    <w:basedOn w:val="1"/>
    <w:uiPriority w:val="0"/>
    <w:rPr>
      <w:rFonts w:ascii="Times New Roman"/>
      <w:sz w:val="21"/>
      <w:szCs w:val="24"/>
    </w:rPr>
  </w:style>
  <w:style w:type="paragraph" w:customStyle="1" w:styleId="968">
    <w:name w:val="样式 样式1 + 首行缩进:  2 字符"/>
    <w:basedOn w:val="722"/>
    <w:uiPriority w:val="0"/>
    <w:pPr>
      <w:spacing w:line="360" w:lineRule="exact"/>
      <w:ind w:firstLine="420" w:firstLineChars="200"/>
    </w:pPr>
    <w:rPr>
      <w:rFonts w:ascii="Arial" w:hAnsi="Arial" w:cs="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footer" Target="footer12.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2E11C-51AB-47DF-B442-849B3EEBA18D}">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82</Pages>
  <Words>8410</Words>
  <Characters>47943</Characters>
  <Lines>399</Lines>
  <Paragraphs>112</Paragraphs>
  <TotalTime>75</TotalTime>
  <ScaleCrop>false</ScaleCrop>
  <LinksUpToDate>false</LinksUpToDate>
  <CharactersWithSpaces>56241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2022-05-06T23:35:00Z</dcterms:created>
  <dc:creator>玥</dc:creator>
  <cp:lastModifiedBy>李月园</cp:lastModifiedBy>
  <cp:lastPrinted>2023-12-13T07:04:00Z</cp:lastPrinted>
  <dcterms:modified xsi:type="dcterms:W3CDTF">2024-01-31T01:44:20Z</dcterms:modified>
  <dc:title>杭州市市民卡扩大发卡工程</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03246DB0735A4F3D87FE86B4B5D79490_13</vt:lpwstr>
  </property>
  <property fmtid="{D5CDD505-2E9C-101B-9397-08002B2CF9AE}" pid="5" name="commondata">
    <vt:lpwstr>eyJoZGlkIjoiNGNlMmFkMDQ1NDY0ZmRiM2Q0NjY4NTFjN2IwMTllYjMifQ==</vt:lpwstr>
  </property>
</Properties>
</file>