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bCs/>
          <w:color w:val="auto"/>
          <w:sz w:val="44"/>
          <w:szCs w:val="44"/>
          <w:highlight w:val="none"/>
        </w:rPr>
      </w:pPr>
    </w:p>
    <w:p>
      <w:pPr>
        <w:adjustRightInd w:val="0"/>
        <w:snapToGrid w:val="0"/>
        <w:spacing w:line="360" w:lineRule="auto"/>
        <w:jc w:val="center"/>
        <w:rPr>
          <w:rFonts w:ascii="仿宋" w:hAnsi="仿宋" w:eastAsia="仿宋" w:cs="仿宋"/>
          <w:b/>
          <w:bCs/>
          <w:color w:val="auto"/>
          <w:sz w:val="44"/>
          <w:szCs w:val="44"/>
          <w:highlight w:val="none"/>
        </w:rPr>
      </w:pPr>
    </w:p>
    <w:p>
      <w:pPr>
        <w:adjustRightInd w:val="0"/>
        <w:snapToGrid w:val="0"/>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color w:val="auto"/>
          <w:sz w:val="52"/>
          <w:szCs w:val="52"/>
          <w:highlight w:val="none"/>
          <w:lang w:eastAsia="zh-CN"/>
        </w:rPr>
        <w:t>2021年钱塘新区（下沙片区）交通设施养护服务</w:t>
      </w:r>
    </w:p>
    <w:p>
      <w:pPr>
        <w:adjustRightInd w:val="0"/>
        <w:snapToGrid w:val="0"/>
        <w:spacing w:line="360" w:lineRule="auto"/>
        <w:jc w:val="center"/>
        <w:rPr>
          <w:rFonts w:ascii="仿宋" w:hAnsi="仿宋" w:eastAsia="仿宋" w:cs="仿宋"/>
          <w:b/>
          <w:bCs/>
          <w:color w:val="auto"/>
          <w:sz w:val="44"/>
          <w:szCs w:val="44"/>
          <w:highlight w:val="none"/>
        </w:rPr>
      </w:pPr>
    </w:p>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spacing w:line="360" w:lineRule="auto"/>
        <w:jc w:val="center"/>
        <w:rPr>
          <w:rFonts w:ascii="仿宋" w:hAnsi="仿宋" w:eastAsia="仿宋" w:cs="仿宋"/>
          <w:b/>
          <w:bCs/>
          <w:color w:val="auto"/>
          <w:sz w:val="72"/>
          <w:szCs w:val="72"/>
          <w:highlight w:val="none"/>
        </w:rPr>
      </w:pPr>
    </w:p>
    <w:p>
      <w:pPr>
        <w:spacing w:line="360" w:lineRule="auto"/>
        <w:jc w:val="center"/>
        <w:rPr>
          <w:rFonts w:ascii="仿宋" w:hAnsi="仿宋" w:eastAsia="仿宋" w:cs="仿宋"/>
          <w:b/>
          <w:bCs/>
          <w:color w:val="auto"/>
          <w:sz w:val="72"/>
          <w:szCs w:val="72"/>
          <w:highlight w:val="none"/>
        </w:rPr>
      </w:pPr>
    </w:p>
    <w:p>
      <w:pPr>
        <w:numPr>
          <w:ilvl w:val="-1"/>
          <w:numId w:val="0"/>
        </w:num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44"/>
          <w:szCs w:val="44"/>
          <w:highlight w:val="none"/>
        </w:rPr>
        <w:t>编号：QTXQ-GK-2021-171</w:t>
      </w:r>
      <w:r>
        <w:rPr>
          <w:rFonts w:hint="eastAsia" w:ascii="仿宋" w:hAnsi="仿宋" w:eastAsia="仿宋" w:cs="仿宋"/>
          <w:color w:val="auto"/>
          <w:sz w:val="44"/>
          <w:szCs w:val="44"/>
          <w:highlight w:val="none"/>
          <w:lang w:val="en-US" w:eastAsia="zh-CN"/>
        </w:rPr>
        <w:t xml:space="preserve"> </w:t>
      </w: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center"/>
        <w:rPr>
          <w:color w:val="auto"/>
          <w:highlight w:val="none"/>
        </w:rPr>
      </w:pPr>
    </w:p>
    <w:p>
      <w:pPr>
        <w:pStyle w:val="11"/>
        <w:jc w:val="both"/>
        <w:rPr>
          <w:color w:val="auto"/>
          <w:highlight w:val="none"/>
        </w:rPr>
      </w:pP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杭州钱塘新区综合行政执法局</w:t>
      </w: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杭州建设工程造价咨询有限公司</w:t>
      </w:r>
    </w:p>
    <w:p>
      <w:pPr>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二〇二一年</w:t>
      </w:r>
      <w:r>
        <w:rPr>
          <w:rFonts w:hint="eastAsia" w:ascii="仿宋" w:hAnsi="仿宋" w:eastAsia="仿宋" w:cs="仿宋"/>
          <w:color w:val="auto"/>
          <w:sz w:val="36"/>
          <w:szCs w:val="36"/>
          <w:highlight w:val="none"/>
          <w:lang w:val="en-US" w:eastAsia="zh-CN"/>
        </w:rPr>
        <w:t>六</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日</w:t>
      </w:r>
    </w:p>
    <w:p>
      <w:pPr>
        <w:spacing w:line="360" w:lineRule="auto"/>
        <w:jc w:val="center"/>
        <w:rPr>
          <w:rFonts w:ascii="仿宋" w:hAnsi="仿宋" w:eastAsia="仿宋" w:cs="仿宋"/>
          <w:color w:val="auto"/>
          <w:sz w:val="36"/>
          <w:szCs w:val="36"/>
          <w:highlight w:val="none"/>
        </w:rPr>
        <w:sectPr>
          <w:headerReference r:id="rId4" w:type="first"/>
          <w:headerReference r:id="rId3" w:type="default"/>
          <w:pgSz w:w="11906" w:h="16838"/>
          <w:pgMar w:top="1440" w:right="1416" w:bottom="1440" w:left="1418" w:header="930" w:footer="992" w:gutter="0"/>
          <w:pgNumType w:fmt="decimal"/>
          <w:cols w:space="425" w:num="1"/>
          <w:docGrid w:type="lines" w:linePitch="312" w:charSpace="0"/>
        </w:sect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left="1680" w:leftChars="800"/>
        <w:jc w:val="left"/>
        <w:rPr>
          <w:rFonts w:ascii="仿宋" w:hAnsi="仿宋" w:eastAsia="仿宋" w:cs="仿宋_GB2312"/>
          <w:color w:val="auto"/>
          <w:sz w:val="32"/>
          <w:szCs w:val="32"/>
          <w:highlight w:val="none"/>
        </w:rPr>
        <w:sectPr>
          <w:footerReference r:id="rId5" w:type="default"/>
          <w:pgSz w:w="11906" w:h="16838"/>
          <w:pgMar w:top="1440" w:right="1800" w:bottom="1440" w:left="1800" w:header="930" w:footer="992" w:gutter="0"/>
          <w:pgNumType w:fmt="decimal" w:start="1"/>
          <w:cols w:space="425" w:num="1"/>
          <w:docGrid w:type="lines" w:linePitch="312" w:charSpace="0"/>
        </w:sectPr>
      </w:pPr>
      <w:r>
        <w:rPr>
          <w:rFonts w:hint="eastAsia" w:ascii="仿宋" w:hAnsi="仿宋" w:eastAsia="仿宋" w:cs="仿宋_GB2312"/>
          <w:color w:val="auto"/>
          <w:sz w:val="32"/>
          <w:szCs w:val="32"/>
          <w:highlight w:val="none"/>
        </w:rPr>
        <w:t>第六部分      应提交的有关格式范例</w:t>
      </w:r>
    </w:p>
    <w:p>
      <w:pPr>
        <w:spacing w:line="360" w:lineRule="auto"/>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bookmarkStart w:id="0" w:name="_Toc28359085"/>
      <w:bookmarkStart w:id="1" w:name="_Toc35393627"/>
      <w:bookmarkStart w:id="2" w:name="_Toc28359008"/>
      <w:bookmarkStart w:id="3" w:name="_Toc35393796"/>
      <w:r>
        <w:rPr>
          <w:rFonts w:hint="eastAsia" w:ascii="仿宋" w:hAnsi="仿宋" w:eastAsia="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2021年钱塘新区（下沙片区）交通设施养护服务</w:t>
      </w:r>
      <w:r>
        <w:rPr>
          <w:rFonts w:hint="eastAsia" w:ascii="仿宋" w:hAnsi="仿宋" w:eastAsia="仿宋"/>
          <w:color w:val="auto"/>
          <w:sz w:val="28"/>
          <w:szCs w:val="28"/>
          <w:highlight w:val="none"/>
        </w:rPr>
        <w:t xml:space="preserve"> 招标项目的潜在投标人应在</w:t>
      </w:r>
      <w:r>
        <w:rPr>
          <w:rFonts w:hint="eastAsia" w:ascii="仿宋" w:hAnsi="仿宋" w:eastAsia="仿宋"/>
          <w:color w:val="auto"/>
          <w:sz w:val="28"/>
          <w:szCs w:val="28"/>
          <w:highlight w:val="none"/>
          <w:u w:val="single"/>
        </w:rPr>
        <w:t>政府采购云平台</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2021</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pStyle w:val="2"/>
        <w:spacing w:line="360" w:lineRule="auto"/>
        <w:ind w:firstLine="560" w:firstLineChars="200"/>
        <w:rPr>
          <w:color w:val="auto"/>
          <w:highlight w:val="none"/>
        </w:rPr>
      </w:pPr>
      <w:bookmarkStart w:id="4" w:name="_Toc35393621"/>
      <w:bookmarkStart w:id="5" w:name="_Toc28359002"/>
      <w:bookmarkStart w:id="6" w:name="_Toc35393790"/>
      <w:bookmarkStart w:id="7" w:name="_Toc28359079"/>
      <w:bookmarkStart w:id="8" w:name="_Hlk24379207"/>
      <w:r>
        <w:rPr>
          <w:rFonts w:hint="eastAsia" w:ascii="黑体" w:hAnsi="黑体" w:cs="宋体"/>
          <w:b w:val="0"/>
          <w:color w:val="auto"/>
          <w:sz w:val="28"/>
          <w:szCs w:val="28"/>
          <w:highlight w:val="none"/>
        </w:rPr>
        <w:t>一、项目基本情况</w:t>
      </w:r>
      <w:bookmarkEnd w:id="4"/>
      <w:bookmarkEnd w:id="5"/>
      <w:bookmarkEnd w:id="6"/>
      <w:bookmarkEnd w:id="7"/>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项目编号：QTXQ-GK-2021-171</w:t>
      </w:r>
      <w:r>
        <w:rPr>
          <w:rFonts w:hint="eastAsia" w:ascii="仿宋" w:hAnsi="仿宋" w:eastAsia="仿宋"/>
          <w:color w:val="auto"/>
          <w:sz w:val="28"/>
          <w:szCs w:val="28"/>
          <w:highlight w:val="none"/>
          <w:lang w:val="en-US" w:eastAsia="zh-CN"/>
        </w:rPr>
        <w:t xml:space="preserve"> </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2021年钱塘新区（下沙片区）交通设施养护服务</w:t>
      </w:r>
    </w:p>
    <w:bookmarkEnd w:id="8"/>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ascii="仿宋" w:hAnsi="仿宋" w:eastAsia="仿宋" w:cs="仿宋"/>
          <w:color w:val="auto"/>
          <w:sz w:val="27"/>
          <w:szCs w:val="27"/>
          <w:highlight w:val="none"/>
        </w:rPr>
        <w:t>（元）</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8000000</w:t>
      </w:r>
      <w:r>
        <w:rPr>
          <w:rFonts w:hint="eastAsia" w:ascii="仿宋" w:hAnsi="仿宋" w:eastAsia="仿宋"/>
          <w:color w:val="auto"/>
          <w:sz w:val="28"/>
          <w:szCs w:val="28"/>
          <w:highlight w:val="none"/>
        </w:rPr>
        <w:t xml:space="preserve">   </w:t>
      </w:r>
    </w:p>
    <w:p>
      <w:pPr>
        <w:ind w:firstLine="560" w:firstLineChars="200"/>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最高限价</w:t>
      </w:r>
      <w:r>
        <w:rPr>
          <w:rFonts w:ascii="仿宋" w:hAnsi="仿宋" w:eastAsia="仿宋" w:cs="仿宋"/>
          <w:color w:val="auto"/>
          <w:sz w:val="27"/>
          <w:szCs w:val="27"/>
          <w:highlight w:val="none"/>
        </w:rPr>
        <w:t>（元）</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 xml:space="preserve">  8000000</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2021年钱塘新区（下沙片区）交通设施养护服务</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标项一</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标项名称：2021年钱塘新区交通设施养护服务（白杨街道）</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数量：1</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预算金额（元）：</w:t>
      </w:r>
      <w:r>
        <w:rPr>
          <w:rFonts w:hint="eastAsia" w:ascii="仿宋" w:hAnsi="仿宋" w:eastAsia="仿宋"/>
          <w:color w:val="auto"/>
          <w:sz w:val="28"/>
          <w:szCs w:val="28"/>
          <w:highlight w:val="none"/>
          <w:lang w:val="en-US" w:eastAsia="zh-CN"/>
        </w:rPr>
        <w:t>4500000</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简要规格描述或项目基本概况介绍、用途：2021年钱塘新区交通设施养护服务（白杨街道）一年，详见招标文件第</w:t>
      </w:r>
      <w:r>
        <w:rPr>
          <w:rFonts w:hint="eastAsia" w:ascii="仿宋" w:hAnsi="仿宋" w:eastAsia="仿宋"/>
          <w:color w:val="auto"/>
          <w:sz w:val="28"/>
          <w:szCs w:val="28"/>
          <w:highlight w:val="none"/>
          <w:lang w:val="en-US" w:eastAsia="zh-CN"/>
        </w:rPr>
        <w:t>三部分采购</w:t>
      </w:r>
      <w:r>
        <w:rPr>
          <w:rFonts w:hint="eastAsia" w:ascii="仿宋" w:hAnsi="仿宋" w:eastAsia="仿宋"/>
          <w:color w:val="auto"/>
          <w:sz w:val="28"/>
          <w:szCs w:val="28"/>
          <w:highlight w:val="none"/>
          <w:lang w:eastAsia="zh-CN"/>
        </w:rPr>
        <w:t>需求。</w:t>
      </w:r>
    </w:p>
    <w:p>
      <w:pPr>
        <w:ind w:firstLine="540" w:firstLineChars="200"/>
        <w:rPr>
          <w:rFonts w:hint="eastAsia" w:ascii="仿宋" w:hAnsi="仿宋" w:eastAsia="仿宋"/>
          <w:b/>
          <w:bCs/>
          <w:color w:val="auto"/>
          <w:sz w:val="28"/>
          <w:szCs w:val="28"/>
          <w:highlight w:val="none"/>
          <w:lang w:eastAsia="zh-CN"/>
        </w:rPr>
      </w:pPr>
      <w:r>
        <w:rPr>
          <w:rFonts w:hint="eastAsia" w:ascii="仿宋" w:hAnsi="仿宋" w:eastAsia="仿宋" w:cs="仿宋"/>
          <w:color w:val="auto"/>
          <w:sz w:val="27"/>
          <w:szCs w:val="27"/>
          <w:highlight w:val="none"/>
        </w:rPr>
        <w:t>备注：无</w:t>
      </w:r>
    </w:p>
    <w:p>
      <w:pPr>
        <w:ind w:firstLine="562" w:firstLineChars="200"/>
        <w:rPr>
          <w:rFonts w:hint="eastAsia" w:ascii="仿宋" w:hAnsi="仿宋" w:eastAsia="仿宋"/>
          <w:color w:val="auto"/>
          <w:sz w:val="28"/>
          <w:szCs w:val="28"/>
          <w:highlight w:val="none"/>
          <w:lang w:eastAsia="zh-CN"/>
        </w:rPr>
      </w:pPr>
      <w:r>
        <w:rPr>
          <w:rFonts w:hint="eastAsia" w:ascii="仿宋" w:hAnsi="仿宋" w:eastAsia="仿宋"/>
          <w:b/>
          <w:bCs/>
          <w:color w:val="auto"/>
          <w:sz w:val="28"/>
          <w:szCs w:val="28"/>
          <w:highlight w:val="none"/>
          <w:lang w:eastAsia="zh-CN"/>
        </w:rPr>
        <w:t>合同履行期限：</w:t>
      </w:r>
      <w:r>
        <w:rPr>
          <w:rFonts w:hint="eastAsia" w:ascii="仿宋" w:hAnsi="仿宋" w:eastAsia="仿宋"/>
          <w:b/>
          <w:bCs/>
          <w:color w:val="auto"/>
          <w:sz w:val="28"/>
          <w:szCs w:val="28"/>
          <w:highlight w:val="none"/>
          <w:lang w:val="en-US" w:eastAsia="zh-CN"/>
        </w:rPr>
        <w:t>1年</w:t>
      </w:r>
      <w:r>
        <w:rPr>
          <w:rFonts w:hint="eastAsia" w:ascii="仿宋" w:hAnsi="仿宋" w:eastAsia="仿宋"/>
          <w:b/>
          <w:bCs/>
          <w:color w:val="auto"/>
          <w:sz w:val="28"/>
          <w:szCs w:val="28"/>
          <w:highlight w:val="none"/>
          <w:lang w:eastAsia="zh-CN"/>
        </w:rPr>
        <w:t>。</w:t>
      </w:r>
    </w:p>
    <w:p>
      <w:pPr>
        <w:ind w:firstLine="560" w:firstLineChars="200"/>
        <w:rPr>
          <w:rFonts w:hint="default"/>
          <w:color w:val="auto"/>
          <w:highlight w:val="none"/>
          <w:lang w:val="en-US" w:eastAsia="zh-CN"/>
        </w:rPr>
      </w:pPr>
      <w:r>
        <w:rPr>
          <w:rFonts w:hint="eastAsia" w:ascii="仿宋" w:hAnsi="仿宋" w:eastAsia="仿宋"/>
          <w:color w:val="auto"/>
          <w:sz w:val="28"/>
          <w:szCs w:val="28"/>
          <w:highlight w:val="none"/>
          <w:lang w:eastAsia="zh-CN"/>
        </w:rPr>
        <w:t>本项目（否）接受联合体投标。</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标项二</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标项名称：2021年钱塘新区交通设施养护服务（下沙街道）</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数量：1</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预算金额（元）：</w:t>
      </w:r>
      <w:r>
        <w:rPr>
          <w:rFonts w:hint="eastAsia" w:ascii="仿宋" w:hAnsi="仿宋" w:eastAsia="仿宋"/>
          <w:color w:val="auto"/>
          <w:sz w:val="28"/>
          <w:szCs w:val="28"/>
          <w:highlight w:val="none"/>
          <w:lang w:val="en-US" w:eastAsia="zh-CN"/>
        </w:rPr>
        <w:t>3500000</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简要规格描述或项目基本概况介绍、用途：2021年钱塘新区交通设施养护服务（下沙街道）一年，详见招标文件第</w:t>
      </w:r>
      <w:r>
        <w:rPr>
          <w:rFonts w:hint="eastAsia" w:ascii="仿宋" w:hAnsi="仿宋" w:eastAsia="仿宋"/>
          <w:color w:val="auto"/>
          <w:sz w:val="28"/>
          <w:szCs w:val="28"/>
          <w:highlight w:val="none"/>
          <w:lang w:val="en-US" w:eastAsia="zh-CN"/>
        </w:rPr>
        <w:t>三部分采购</w:t>
      </w:r>
      <w:r>
        <w:rPr>
          <w:rFonts w:hint="eastAsia" w:ascii="仿宋" w:hAnsi="仿宋" w:eastAsia="仿宋"/>
          <w:color w:val="auto"/>
          <w:sz w:val="28"/>
          <w:szCs w:val="28"/>
          <w:highlight w:val="none"/>
          <w:lang w:eastAsia="zh-CN"/>
        </w:rPr>
        <w:t>需求。</w:t>
      </w:r>
    </w:p>
    <w:p>
      <w:pPr>
        <w:ind w:firstLine="540" w:firstLineChars="200"/>
        <w:rPr>
          <w:rFonts w:hint="eastAsia" w:ascii="仿宋" w:hAnsi="仿宋" w:eastAsia="仿宋"/>
          <w:color w:val="auto"/>
          <w:sz w:val="28"/>
          <w:szCs w:val="28"/>
          <w:highlight w:val="none"/>
          <w:lang w:eastAsia="zh-CN"/>
        </w:rPr>
      </w:pPr>
      <w:r>
        <w:rPr>
          <w:rFonts w:hint="eastAsia" w:ascii="仿宋" w:hAnsi="仿宋" w:eastAsia="仿宋" w:cs="仿宋"/>
          <w:color w:val="auto"/>
          <w:sz w:val="27"/>
          <w:szCs w:val="27"/>
          <w:highlight w:val="none"/>
        </w:rPr>
        <w:t>备注：无</w:t>
      </w:r>
    </w:p>
    <w:p>
      <w:pPr>
        <w:ind w:firstLine="562" w:firstLineChars="200"/>
        <w:rPr>
          <w:rFonts w:hint="eastAsia" w:ascii="仿宋" w:hAnsi="仿宋" w:eastAsia="仿宋"/>
          <w:color w:val="auto"/>
          <w:sz w:val="28"/>
          <w:szCs w:val="28"/>
          <w:highlight w:val="none"/>
          <w:lang w:eastAsia="zh-CN"/>
        </w:rPr>
      </w:pPr>
      <w:r>
        <w:rPr>
          <w:rFonts w:hint="eastAsia" w:ascii="仿宋" w:hAnsi="仿宋" w:eastAsia="仿宋"/>
          <w:b/>
          <w:bCs/>
          <w:color w:val="auto"/>
          <w:sz w:val="28"/>
          <w:szCs w:val="28"/>
          <w:highlight w:val="none"/>
          <w:lang w:eastAsia="zh-CN"/>
        </w:rPr>
        <w:t>合同履行期限：</w:t>
      </w:r>
      <w:r>
        <w:rPr>
          <w:rFonts w:hint="eastAsia" w:ascii="仿宋" w:hAnsi="仿宋" w:eastAsia="仿宋"/>
          <w:b/>
          <w:bCs/>
          <w:color w:val="auto"/>
          <w:sz w:val="28"/>
          <w:szCs w:val="28"/>
          <w:highlight w:val="none"/>
          <w:lang w:val="en-US" w:eastAsia="zh-CN"/>
        </w:rPr>
        <w:t>1年</w:t>
      </w:r>
      <w:r>
        <w:rPr>
          <w:rFonts w:hint="eastAsia" w:ascii="仿宋" w:hAnsi="仿宋" w:eastAsia="仿宋"/>
          <w:b/>
          <w:bCs/>
          <w:color w:val="auto"/>
          <w:sz w:val="28"/>
          <w:szCs w:val="28"/>
          <w:highlight w:val="none"/>
          <w:lang w:eastAsia="zh-CN"/>
        </w:rPr>
        <w:t>。</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本项目（否）接受联合体投标。</w:t>
      </w:r>
    </w:p>
    <w:p>
      <w:pPr>
        <w:pStyle w:val="2"/>
        <w:spacing w:line="360" w:lineRule="auto"/>
        <w:ind w:firstLine="560" w:firstLineChars="200"/>
        <w:rPr>
          <w:rFonts w:ascii="黑体" w:hAnsi="黑体" w:cs="宋体"/>
          <w:b w:val="0"/>
          <w:color w:val="auto"/>
          <w:sz w:val="28"/>
          <w:szCs w:val="28"/>
          <w:highlight w:val="none"/>
        </w:rPr>
      </w:pPr>
      <w:bookmarkStart w:id="9" w:name="_Toc28359003"/>
      <w:bookmarkStart w:id="10" w:name="_Toc28359080"/>
      <w:bookmarkStart w:id="11" w:name="_Toc35393791"/>
      <w:bookmarkStart w:id="12" w:name="_Toc35393622"/>
      <w:r>
        <w:rPr>
          <w:rFonts w:hint="eastAsia" w:ascii="黑体" w:hAnsi="黑体" w:cs="宋体"/>
          <w:b w:val="0"/>
          <w:color w:val="auto"/>
          <w:sz w:val="28"/>
          <w:szCs w:val="28"/>
          <w:highlight w:val="none"/>
        </w:rPr>
        <w:t>二、申请人的资格要求：</w:t>
      </w:r>
      <w:bookmarkEnd w:id="9"/>
      <w:bookmarkEnd w:id="10"/>
      <w:bookmarkEnd w:id="11"/>
      <w:bookmarkEnd w:id="12"/>
    </w:p>
    <w:p>
      <w:pPr>
        <w:wordWrap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ind w:firstLine="560" w:firstLineChars="200"/>
        <w:rPr>
          <w:rFonts w:ascii="仿宋" w:hAnsi="仿宋" w:eastAsia="仿宋"/>
          <w:color w:val="auto"/>
          <w:sz w:val="28"/>
          <w:szCs w:val="28"/>
          <w:highlight w:val="none"/>
        </w:rPr>
      </w:pPr>
      <w:bookmarkStart w:id="13" w:name="_Toc28359081"/>
      <w:bookmarkStart w:id="14" w:name="_Toc2835900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rPr>
        <w:t>；</w:t>
      </w:r>
    </w:p>
    <w:p>
      <w:pPr>
        <w:wordWrap w:val="0"/>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.本项目的特定资格要求：投标人具有有效的公路交通工程专业承包（公路安全设施分项）二级及以上资质及有效的安全生产许可证。</w:t>
      </w:r>
    </w:p>
    <w:p>
      <w:pPr>
        <w:pStyle w:val="2"/>
        <w:spacing w:line="360" w:lineRule="auto"/>
        <w:ind w:firstLine="560" w:firstLineChars="200"/>
        <w:rPr>
          <w:rFonts w:ascii="黑体" w:hAnsi="黑体" w:cs="宋体"/>
          <w:b w:val="0"/>
          <w:color w:val="auto"/>
          <w:sz w:val="28"/>
          <w:szCs w:val="28"/>
          <w:highlight w:val="none"/>
        </w:rPr>
      </w:pPr>
      <w:bookmarkStart w:id="15" w:name="_Toc35393792"/>
      <w:bookmarkStart w:id="16" w:name="_Toc35393623"/>
      <w:r>
        <w:rPr>
          <w:rFonts w:hint="eastAsia" w:ascii="黑体" w:hAnsi="黑体" w:cs="宋体"/>
          <w:b w:val="0"/>
          <w:color w:val="auto"/>
          <w:sz w:val="28"/>
          <w:szCs w:val="28"/>
          <w:highlight w:val="none"/>
        </w:rPr>
        <w:t>三、获取招标文件</w:t>
      </w:r>
      <w:bookmarkEnd w:id="13"/>
      <w:bookmarkEnd w:id="14"/>
      <w:bookmarkEnd w:id="15"/>
      <w:bookmarkEnd w:id="16"/>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2021年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，每天上午00:00至12:00 ，下午12:00至23:59（北京时间，线上获取法定节假日均可，线下获取文件法定节假日除外）</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地点：政府采购云平台（https://www.zcygov.cn/）</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宋体"/>
          <w:b/>
          <w:bCs/>
          <w:color w:val="auto"/>
          <w:sz w:val="28"/>
          <w:szCs w:val="28"/>
          <w:highlight w:val="none"/>
        </w:rPr>
        <w:t>潜在供应商登陆政府采购云平台，在线申请获取招标文件。进入“项目采购”应用，在获取招标文件菜单中选择项目，申请获取招标文件。</w:t>
      </w:r>
      <w:r>
        <w:rPr>
          <w:rFonts w:hint="eastAsia" w:ascii="仿宋" w:hAnsi="仿宋" w:eastAsia="仿宋" w:cs="宋体"/>
          <w:color w:val="auto"/>
          <w:sz w:val="28"/>
          <w:szCs w:val="28"/>
          <w:highlight w:val="none"/>
        </w:rPr>
        <w:t>（仅需浏览招标文件的供应商可点击“游客，浏览招标文件”直接下载招标文件浏览。）</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售价（元）：0</w:t>
      </w:r>
    </w:p>
    <w:p>
      <w:pPr>
        <w:pStyle w:val="2"/>
        <w:spacing w:line="360" w:lineRule="auto"/>
        <w:ind w:firstLine="560" w:firstLineChars="200"/>
        <w:rPr>
          <w:rFonts w:ascii="黑体" w:hAnsi="黑体" w:cs="宋体"/>
          <w:b w:val="0"/>
          <w:color w:val="auto"/>
          <w:sz w:val="28"/>
          <w:szCs w:val="28"/>
          <w:highlight w:val="none"/>
        </w:rPr>
      </w:pPr>
      <w:bookmarkStart w:id="17" w:name="_Toc28359005"/>
      <w:bookmarkStart w:id="18" w:name="_Toc28359082"/>
      <w:bookmarkStart w:id="19" w:name="_Toc35393624"/>
      <w:bookmarkStart w:id="20" w:name="_Toc35393793"/>
      <w:r>
        <w:rPr>
          <w:rFonts w:hint="eastAsia" w:ascii="黑体" w:hAnsi="黑体" w:cs="宋体"/>
          <w:b w:val="0"/>
          <w:color w:val="auto"/>
          <w:sz w:val="28"/>
          <w:szCs w:val="28"/>
          <w:highlight w:val="none"/>
        </w:rPr>
        <w:t>四、提交投标文件</w:t>
      </w:r>
      <w:bookmarkEnd w:id="17"/>
      <w:bookmarkEnd w:id="18"/>
      <w:r>
        <w:rPr>
          <w:rFonts w:hint="eastAsia" w:ascii="黑体" w:hAnsi="黑体" w:cs="宋体"/>
          <w:b w:val="0"/>
          <w:color w:val="auto"/>
          <w:sz w:val="28"/>
          <w:szCs w:val="28"/>
          <w:highlight w:val="none"/>
        </w:rPr>
        <w:t>截止时间、开标时间和地点</w:t>
      </w:r>
      <w:bookmarkEnd w:id="19"/>
      <w:bookmarkEnd w:id="20"/>
    </w:p>
    <w:p>
      <w:pPr>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提交投标文件截止时间：</w:t>
      </w:r>
      <w:r>
        <w:rPr>
          <w:rFonts w:hint="eastAsia" w:ascii="仿宋" w:hAnsi="仿宋" w:eastAsia="仿宋"/>
          <w:bCs/>
          <w:color w:val="auto"/>
          <w:sz w:val="28"/>
          <w:szCs w:val="28"/>
          <w:highlight w:val="none"/>
          <w:u w:val="single"/>
        </w:rPr>
        <w:t>2021年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pPr>
        <w:ind w:firstLine="560" w:firstLineChars="200"/>
        <w:rPr>
          <w:rFonts w:ascii="仿宋" w:hAnsi="仿宋" w:eastAsia="仿宋" w:cs="宋体"/>
          <w:color w:val="auto"/>
          <w:sz w:val="28"/>
          <w:szCs w:val="28"/>
          <w:highlight w:val="none"/>
        </w:rPr>
      </w:pPr>
      <w:r>
        <w:rPr>
          <w:rFonts w:hint="eastAsia" w:ascii="仿宋" w:hAnsi="仿宋" w:eastAsia="仿宋"/>
          <w:color w:val="auto"/>
          <w:sz w:val="28"/>
          <w:szCs w:val="28"/>
          <w:highlight w:val="none"/>
        </w:rPr>
        <w:t>投标地点（网址）：</w:t>
      </w:r>
      <w:r>
        <w:rPr>
          <w:rFonts w:hint="eastAsia" w:ascii="仿宋" w:hAnsi="仿宋" w:eastAsia="仿宋" w:cs="宋体"/>
          <w:color w:val="auto"/>
          <w:sz w:val="28"/>
          <w:szCs w:val="28"/>
          <w:highlight w:val="none"/>
        </w:rPr>
        <w:t>政府采购云平台（https://www.zcygov.cn/）</w:t>
      </w:r>
    </w:p>
    <w:p>
      <w:pPr>
        <w:ind w:firstLine="540" w:firstLineChars="200"/>
        <w:rPr>
          <w:rFonts w:ascii="仿宋" w:hAnsi="仿宋" w:eastAsia="仿宋" w:cs="仿宋"/>
          <w:color w:val="auto"/>
          <w:sz w:val="27"/>
          <w:szCs w:val="27"/>
          <w:highlight w:val="none"/>
        </w:rPr>
      </w:pPr>
      <w:r>
        <w:rPr>
          <w:rFonts w:ascii="仿宋" w:hAnsi="仿宋" w:eastAsia="仿宋" w:cs="仿宋"/>
          <w:color w:val="auto"/>
          <w:sz w:val="27"/>
          <w:szCs w:val="27"/>
          <w:highlight w:val="none"/>
        </w:rPr>
        <w:t>开标时间：</w:t>
      </w:r>
      <w:r>
        <w:rPr>
          <w:rFonts w:hint="eastAsia" w:ascii="仿宋" w:hAnsi="仿宋" w:eastAsia="仿宋"/>
          <w:bCs/>
          <w:color w:val="auto"/>
          <w:sz w:val="28"/>
          <w:szCs w:val="28"/>
          <w:highlight w:val="none"/>
          <w:u w:val="single"/>
        </w:rPr>
        <w:t>2021年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pPr>
        <w:ind w:firstLine="540" w:firstLineChars="200"/>
        <w:rPr>
          <w:rFonts w:ascii="仿宋" w:hAnsi="仿宋" w:eastAsia="仿宋" w:cs="仿宋"/>
          <w:color w:val="auto"/>
          <w:sz w:val="27"/>
          <w:szCs w:val="27"/>
          <w:highlight w:val="none"/>
        </w:rPr>
      </w:pPr>
      <w:r>
        <w:rPr>
          <w:rFonts w:ascii="仿宋" w:hAnsi="仿宋" w:eastAsia="仿宋" w:cs="仿宋"/>
          <w:color w:val="auto"/>
          <w:sz w:val="27"/>
          <w:szCs w:val="27"/>
          <w:highlight w:val="none"/>
        </w:rPr>
        <w:t>开标地点（网址）：</w:t>
      </w:r>
      <w:r>
        <w:rPr>
          <w:rFonts w:hint="eastAsia" w:ascii="仿宋" w:hAnsi="仿宋" w:eastAsia="仿宋" w:cs="宋体"/>
          <w:color w:val="auto"/>
          <w:sz w:val="28"/>
          <w:szCs w:val="28"/>
          <w:highlight w:val="none"/>
        </w:rPr>
        <w:t>政府采购云平台（https://www.zcygov.cn/）</w:t>
      </w:r>
    </w:p>
    <w:p>
      <w:pPr>
        <w:pStyle w:val="2"/>
        <w:spacing w:line="360" w:lineRule="auto"/>
        <w:ind w:firstLine="560" w:firstLineChars="200"/>
        <w:rPr>
          <w:rFonts w:ascii="黑体" w:hAnsi="黑体" w:cs="宋体"/>
          <w:b w:val="0"/>
          <w:color w:val="auto"/>
          <w:sz w:val="28"/>
          <w:szCs w:val="28"/>
          <w:highlight w:val="none"/>
        </w:rPr>
      </w:pPr>
      <w:bookmarkStart w:id="21" w:name="_Toc28359007"/>
      <w:bookmarkStart w:id="22" w:name="_Toc28359084"/>
      <w:bookmarkStart w:id="23" w:name="_Toc35393625"/>
      <w:bookmarkStart w:id="24" w:name="_Toc35393794"/>
      <w:r>
        <w:rPr>
          <w:rFonts w:hint="eastAsia" w:ascii="黑体" w:hAnsi="黑体" w:cs="宋体"/>
          <w:b w:val="0"/>
          <w:color w:val="auto"/>
          <w:sz w:val="28"/>
          <w:szCs w:val="28"/>
          <w:highlight w:val="none"/>
        </w:rPr>
        <w:t>五、公告期限</w:t>
      </w:r>
      <w:bookmarkEnd w:id="21"/>
      <w:bookmarkEnd w:id="22"/>
      <w:bookmarkEnd w:id="23"/>
      <w:bookmarkEnd w:id="24"/>
    </w:p>
    <w:p>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pStyle w:val="2"/>
        <w:spacing w:line="360" w:lineRule="auto"/>
        <w:ind w:firstLine="560" w:firstLineChars="200"/>
        <w:rPr>
          <w:rFonts w:ascii="黑体" w:hAnsi="黑体" w:cs="宋体"/>
          <w:b w:val="0"/>
          <w:color w:val="auto"/>
          <w:sz w:val="28"/>
          <w:szCs w:val="28"/>
          <w:highlight w:val="none"/>
        </w:rPr>
      </w:pPr>
      <w:bookmarkStart w:id="25" w:name="_Toc35393626"/>
      <w:bookmarkStart w:id="26" w:name="_Toc35393795"/>
      <w:r>
        <w:rPr>
          <w:rFonts w:hint="eastAsia" w:ascii="黑体" w:hAnsi="黑体" w:cs="宋体"/>
          <w:b w:val="0"/>
          <w:color w:val="auto"/>
          <w:sz w:val="28"/>
          <w:szCs w:val="28"/>
          <w:highlight w:val="none"/>
        </w:rPr>
        <w:t>六、其他补充事宜</w:t>
      </w:r>
      <w:bookmarkEnd w:id="25"/>
      <w:bookmarkEnd w:id="26"/>
    </w:p>
    <w:p>
      <w:pPr>
        <w:pStyle w:val="9"/>
        <w:ind w:firstLine="560" w:firstLineChars="200"/>
        <w:rPr>
          <w:rFonts w:ascii="仿宋" w:hAnsi="仿宋" w:eastAsia="仿宋" w:cs="仿宋"/>
          <w:color w:val="auto"/>
          <w:sz w:val="28"/>
          <w:szCs w:val="28"/>
          <w:highlight w:val="none"/>
          <w:lang w:val="en-US"/>
        </w:rPr>
      </w:pPr>
      <w:r>
        <w:rPr>
          <w:rFonts w:ascii="仿宋" w:hAnsi="仿宋" w:eastAsia="仿宋" w:cs="仿宋"/>
          <w:color w:val="auto"/>
          <w:sz w:val="28"/>
          <w:szCs w:val="28"/>
          <w:highlight w:val="none"/>
          <w:lang w:val="en-US"/>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9"/>
        <w:ind w:firstLine="560" w:firstLineChars="20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lang w:val="en-US"/>
        </w:rPr>
        <w:t>2.其他事项：</w:t>
      </w:r>
      <w:r>
        <w:rPr>
          <w:rFonts w:hint="eastAsia" w:ascii="仿宋" w:hAnsi="仿宋" w:eastAsia="仿宋" w:cs="宋体"/>
          <w:color w:val="auto"/>
          <w:sz w:val="28"/>
          <w:szCs w:val="28"/>
          <w:highlight w:val="none"/>
          <w:lang w:val="en-US"/>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仿宋" w:hAnsi="仿宋" w:eastAsia="仿宋" w:cs="宋体"/>
          <w:color w:val="auto"/>
          <w:sz w:val="28"/>
          <w:szCs w:val="28"/>
          <w:highlight w:val="none"/>
        </w:rPr>
        <w:t>采购代理机构将拒绝接受未按上述要求获取招标文件的供应商的投标文件（如以联合体形式参加政府采购活动的，获取采购文件时须以联合体名义进行）。</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r>
        <w:rPr>
          <w:rFonts w:hint="eastAsia" w:ascii="仿宋" w:hAnsi="仿宋" w:eastAsia="仿宋" w:cs="仿宋"/>
          <w:color w:val="auto"/>
          <w:sz w:val="28"/>
          <w:szCs w:val="28"/>
          <w:highlight w:val="none"/>
          <w:lang w:val="en-US"/>
        </w:rPr>
        <w:t>.</w:t>
      </w:r>
      <w:r>
        <w:rPr>
          <w:rFonts w:hint="eastAsia" w:ascii="仿宋" w:hAnsi="仿宋" w:eastAsia="仿宋" w:cs="宋体"/>
          <w:color w:val="auto"/>
          <w:sz w:val="28"/>
          <w:szCs w:val="28"/>
          <w:highlight w:val="none"/>
        </w:rPr>
        <w:t>钱塘新区政府采购支持中小企业信用融资：为支持和促进中小企业发展，进一步发挥政府采购政策功能，根据《杭州市政府采购支持中小企业信用融资管理办法》《关于钱塘新区政府采购支持中小企业信用融资有关事项的通知》，现将相关事项通知如下：</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1）适用对象：在浙江“政采云”平台注册入库，并取得钱塘新区政府采购合同的中小企业供应商。</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2）相关信息获取方式：具体合作银行及联系方式详见采购文件。登陆杭州钱塘新区管理委员会官网（http://qt.hangzhou.gov.cn） “公告公示”专栏，可查看信用融资政策文件及各相关银行服务方案。</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申请方式和步骤：(1)供应商若有融资意向，需先与钱塘新区财政金融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金融局备案。</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4）注意事项</w:t>
      </w:r>
    </w:p>
    <w:p>
      <w:pPr>
        <w:pStyle w:val="9"/>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请各采购单位和采购代理机构积极支持和配合政府采购信用融资工作，在合同备案环节务必请仔细核对收款银行、账号信息等内容，一旦录入将无法修改。</w:t>
      </w:r>
    </w:p>
    <w:p>
      <w:pPr>
        <w:pStyle w:val="2"/>
        <w:spacing w:line="360" w:lineRule="auto"/>
        <w:ind w:firstLine="560" w:firstLineChars="200"/>
        <w:rPr>
          <w:rFonts w:ascii="黑体" w:hAnsi="黑体" w:cs="宋体"/>
          <w:b w:val="0"/>
          <w:color w:val="auto"/>
          <w:sz w:val="28"/>
          <w:szCs w:val="28"/>
          <w:highlight w:val="none"/>
        </w:rPr>
      </w:pPr>
      <w:r>
        <w:rPr>
          <w:rFonts w:hint="eastAsia" w:ascii="黑体" w:hAnsi="黑体" w:cs="宋体"/>
          <w:b w:val="0"/>
          <w:color w:val="auto"/>
          <w:sz w:val="28"/>
          <w:szCs w:val="28"/>
          <w:highlight w:val="none"/>
        </w:rPr>
        <w:t>七、对本次招标提出询问，请按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0"/>
      <w:bookmarkEnd w:id="1"/>
      <w:bookmarkEnd w:id="2"/>
      <w:bookmarkEnd w:id="3"/>
    </w:p>
    <w:p>
      <w:pPr>
        <w:widowControl/>
        <w:ind w:firstLine="560" w:firstLineChars="200"/>
        <w:jc w:val="left"/>
        <w:rPr>
          <w:rFonts w:ascii="仿宋_GB2312" w:eastAsia="仿宋_GB2312"/>
          <w:color w:val="auto"/>
          <w:sz w:val="28"/>
          <w:szCs w:val="28"/>
          <w:highlight w:val="none"/>
        </w:rPr>
      </w:pPr>
      <w:r>
        <w:rPr>
          <w:rFonts w:hint="eastAsia" w:ascii="仿宋" w:hAnsi="仿宋" w:eastAsia="仿宋" w:cs="宋体"/>
          <w:color w:val="auto"/>
          <w:sz w:val="28"/>
          <w:szCs w:val="28"/>
          <w:highlight w:val="none"/>
        </w:rPr>
        <w:t>1.采购人信息</w:t>
      </w:r>
    </w:p>
    <w:p>
      <w:pPr>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杭州钱塘新区综合行政执法局</w:t>
      </w:r>
    </w:p>
    <w:p>
      <w:pPr>
        <w:spacing w:line="360" w:lineRule="auto"/>
        <w:ind w:firstLine="560" w:firstLineChars="200"/>
        <w:jc w:val="left"/>
        <w:rPr>
          <w:rFonts w:hint="default" w:ascii="仿宋" w:hAnsi="仿宋" w:eastAsia="仿宋" w:cs="宋体"/>
          <w:color w:val="auto"/>
          <w:sz w:val="28"/>
          <w:szCs w:val="28"/>
          <w:highlight w:val="none"/>
          <w:u w:val="singl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杭州市</w:t>
      </w:r>
      <w:r>
        <w:rPr>
          <w:rFonts w:hint="eastAsia" w:ascii="仿宋" w:hAnsi="仿宋" w:eastAsia="仿宋"/>
          <w:color w:val="auto"/>
          <w:sz w:val="28"/>
          <w:szCs w:val="28"/>
          <w:highlight w:val="none"/>
          <w:u w:val="single"/>
          <w:lang w:eastAsia="zh-CN"/>
        </w:rPr>
        <w:t>钱塘</w:t>
      </w:r>
      <w:r>
        <w:rPr>
          <w:rFonts w:hint="eastAsia" w:ascii="仿宋" w:hAnsi="仿宋" w:eastAsia="仿宋"/>
          <w:color w:val="auto"/>
          <w:sz w:val="28"/>
          <w:szCs w:val="28"/>
          <w:highlight w:val="none"/>
          <w:u w:val="single"/>
        </w:rPr>
        <w:t>区松合路369号</w:t>
      </w:r>
    </w:p>
    <w:p>
      <w:pPr>
        <w:spacing w:line="360" w:lineRule="auto"/>
        <w:ind w:firstLine="560" w:firstLineChars="200"/>
        <w:jc w:val="left"/>
        <w:rPr>
          <w:rFonts w:hint="eastAsia" w:ascii="仿宋" w:hAnsi="仿宋" w:eastAsia="仿宋"/>
          <w:color w:val="auto"/>
          <w:sz w:val="28"/>
          <w:szCs w:val="28"/>
          <w:highlight w:val="none"/>
          <w:u w:val="single"/>
          <w:lang w:val="en-US" w:eastAsia="zh-CN"/>
        </w:rPr>
      </w:pPr>
      <w:bookmarkStart w:id="27" w:name="_Toc28359086"/>
      <w:bookmarkStart w:id="28" w:name="_Toc28359009"/>
      <w:r>
        <w:rPr>
          <w:rFonts w:hint="eastAsia" w:ascii="仿宋" w:hAnsi="仿宋" w:eastAsia="仿宋"/>
          <w:color w:val="auto"/>
          <w:sz w:val="28"/>
          <w:szCs w:val="28"/>
          <w:highlight w:val="none"/>
        </w:rPr>
        <w:t>项目经办人：</w:t>
      </w:r>
      <w:r>
        <w:rPr>
          <w:rFonts w:hint="eastAsia" w:ascii="仿宋" w:hAnsi="仿宋" w:eastAsia="仿宋"/>
          <w:color w:val="auto"/>
          <w:sz w:val="28"/>
          <w:szCs w:val="28"/>
          <w:highlight w:val="none"/>
          <w:u w:val="single"/>
          <w:lang w:val="en-US" w:eastAsia="zh-CN"/>
        </w:rPr>
        <w:t xml:space="preserve"> 俞先生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u w:val="single"/>
          <w:lang w:val="en-US" w:eastAsia="zh-CN"/>
        </w:rPr>
        <w:t xml:space="preserve"> 0571-86834522</w:t>
      </w:r>
    </w:p>
    <w:p>
      <w:pPr>
        <w:spacing w:line="360" w:lineRule="auto"/>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质疑联系人：</w:t>
      </w:r>
      <w:r>
        <w:rPr>
          <w:rFonts w:hint="eastAsia" w:ascii="仿宋" w:hAnsi="仿宋" w:eastAsia="仿宋"/>
          <w:color w:val="auto"/>
          <w:sz w:val="28"/>
          <w:szCs w:val="28"/>
          <w:highlight w:val="none"/>
          <w:u w:val="single"/>
          <w:lang w:val="en-US" w:eastAsia="zh-CN"/>
        </w:rPr>
        <w:t xml:space="preserve"> 杨先生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u w:val="single"/>
          <w:lang w:val="en-US" w:eastAsia="zh-CN"/>
        </w:rPr>
        <w:t xml:space="preserve"> 0571-86933036 </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2.采购代理机构信息</w:t>
      </w:r>
      <w:bookmarkEnd w:id="27"/>
      <w:bookmarkEnd w:id="28"/>
    </w:p>
    <w:p>
      <w:pPr>
        <w:spacing w:line="360" w:lineRule="auto"/>
        <w:ind w:firstLine="560" w:firstLineChars="200"/>
        <w:rPr>
          <w:rFonts w:hint="eastAsia" w:ascii="仿宋" w:hAnsi="仿宋" w:eastAsia="仿宋"/>
          <w:color w:val="auto"/>
          <w:sz w:val="28"/>
          <w:szCs w:val="28"/>
          <w:highlight w:val="none"/>
          <w:u w:val="single"/>
          <w:lang w:eastAsia="zh-CN"/>
        </w:rPr>
      </w:pPr>
      <w:bookmarkStart w:id="29" w:name="_Toc28359087"/>
      <w:bookmarkStart w:id="30" w:name="_Toc28359010"/>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杭州建设工程造价咨询有限公司</w:t>
      </w:r>
    </w:p>
    <w:p>
      <w:pPr>
        <w:spacing w:line="360" w:lineRule="auto"/>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杭州</w:t>
      </w:r>
      <w:r>
        <w:rPr>
          <w:rFonts w:hint="eastAsia" w:ascii="仿宋" w:hAnsi="仿宋" w:eastAsia="仿宋"/>
          <w:color w:val="auto"/>
          <w:sz w:val="28"/>
          <w:szCs w:val="28"/>
          <w:highlight w:val="none"/>
          <w:u w:val="single"/>
          <w:lang w:val="en-US" w:eastAsia="zh-CN"/>
        </w:rPr>
        <w:t>市萧山区联合中心D座4楼代理2</w:t>
      </w:r>
    </w:p>
    <w:p>
      <w:pPr>
        <w:spacing w:line="360" w:lineRule="auto"/>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项目经办人：</w:t>
      </w:r>
      <w:r>
        <w:rPr>
          <w:rFonts w:hint="eastAsia" w:ascii="仿宋" w:hAnsi="仿宋" w:eastAsia="仿宋"/>
          <w:color w:val="auto"/>
          <w:sz w:val="28"/>
          <w:szCs w:val="28"/>
          <w:highlight w:val="none"/>
          <w:u w:val="single"/>
          <w:lang w:val="en-US" w:eastAsia="zh-CN"/>
        </w:rPr>
        <w:t>刘</w:t>
      </w:r>
      <w:r>
        <w:rPr>
          <w:rFonts w:hint="eastAsia" w:ascii="仿宋" w:hAnsi="仿宋" w:eastAsia="仿宋"/>
          <w:color w:val="auto"/>
          <w:sz w:val="28"/>
          <w:szCs w:val="28"/>
          <w:highlight w:val="none"/>
          <w:u w:val="single"/>
        </w:rPr>
        <w:t xml:space="preserve">  工</w:t>
      </w:r>
      <w:r>
        <w:rPr>
          <w:rFonts w:hint="eastAsia" w:ascii="仿宋" w:hAnsi="仿宋" w:eastAsia="仿宋"/>
          <w:color w:val="auto"/>
          <w:sz w:val="28"/>
          <w:szCs w:val="28"/>
          <w:highlight w:val="none"/>
        </w:rPr>
        <w:t xml:space="preserve">          联系电话：</w:t>
      </w:r>
      <w:r>
        <w:rPr>
          <w:rFonts w:hint="eastAsia" w:ascii="仿宋" w:hAnsi="仿宋" w:eastAsia="仿宋"/>
          <w:color w:val="auto"/>
          <w:sz w:val="28"/>
          <w:szCs w:val="28"/>
          <w:highlight w:val="none"/>
          <w:u w:val="single"/>
          <w:lang w:val="en-US" w:eastAsia="zh-CN"/>
        </w:rPr>
        <w:t>13575919845</w:t>
      </w:r>
    </w:p>
    <w:p>
      <w:pPr>
        <w:pStyle w:val="9"/>
        <w:ind w:left="0" w:leftChars="0" w:firstLine="560" w:firstLineChars="200"/>
        <w:rPr>
          <w:rFonts w:hint="default"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rPr>
        <w:t>质疑联系人：</w:t>
      </w:r>
      <w:r>
        <w:rPr>
          <w:rFonts w:hint="eastAsia" w:ascii="仿宋" w:hAnsi="仿宋" w:eastAsia="仿宋" w:cstheme="minorBidi"/>
          <w:color w:val="auto"/>
          <w:sz w:val="28"/>
          <w:szCs w:val="28"/>
          <w:highlight w:val="none"/>
          <w:u w:val="single"/>
          <w:lang w:val="en-US" w:eastAsia="zh-CN"/>
        </w:rPr>
        <w:t>周  工</w:t>
      </w:r>
      <w:r>
        <w:rPr>
          <w:rFonts w:hint="eastAsia" w:ascii="仿宋" w:hAnsi="仿宋" w:eastAsia="仿宋" w:cstheme="minorBidi"/>
          <w:color w:val="auto"/>
          <w:sz w:val="28"/>
          <w:szCs w:val="28"/>
          <w:highlight w:val="none"/>
          <w:lang w:val="en-US"/>
        </w:rPr>
        <w:t xml:space="preserve">   联系电话：</w:t>
      </w:r>
      <w:r>
        <w:rPr>
          <w:rFonts w:hint="eastAsia" w:ascii="仿宋" w:hAnsi="仿宋" w:eastAsia="仿宋" w:cstheme="minorBidi"/>
          <w:color w:val="auto"/>
          <w:sz w:val="28"/>
          <w:szCs w:val="28"/>
          <w:highlight w:val="none"/>
          <w:u w:val="single"/>
          <w:lang w:val="en-US"/>
        </w:rPr>
        <w:t>0571-</w:t>
      </w:r>
      <w:r>
        <w:rPr>
          <w:rFonts w:hint="eastAsia" w:ascii="仿宋" w:hAnsi="仿宋" w:eastAsia="仿宋" w:cstheme="minorBidi"/>
          <w:color w:val="auto"/>
          <w:sz w:val="28"/>
          <w:szCs w:val="28"/>
          <w:highlight w:val="none"/>
          <w:u w:val="single"/>
          <w:lang w:val="en-US" w:eastAsia="zh-CN"/>
        </w:rPr>
        <w:t>87831518</w:t>
      </w:r>
    </w:p>
    <w:p>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w:t>
      </w:r>
      <w:bookmarkEnd w:id="29"/>
      <w:bookmarkEnd w:id="30"/>
      <w:r>
        <w:rPr>
          <w:rFonts w:hint="eastAsia" w:ascii="仿宋" w:hAnsi="仿宋" w:eastAsia="仿宋" w:cs="宋体"/>
          <w:color w:val="auto"/>
          <w:sz w:val="28"/>
          <w:szCs w:val="28"/>
          <w:highlight w:val="none"/>
        </w:rPr>
        <w:t>同级财政监督管理部门信息</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杭州钱塘新区财政金融局</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杭州钱塘新区青六北路499号钱塘中心5号楼</w:t>
      </w:r>
    </w:p>
    <w:p>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监管联系人：</w:t>
      </w:r>
      <w:r>
        <w:rPr>
          <w:rFonts w:hint="eastAsia" w:ascii="仿宋" w:hAnsi="仿宋" w:eastAsia="仿宋"/>
          <w:color w:val="auto"/>
          <w:sz w:val="28"/>
          <w:szCs w:val="28"/>
          <w:highlight w:val="none"/>
          <w:u w:val="single"/>
        </w:rPr>
        <w:t>任女士</w:t>
      </w:r>
      <w:r>
        <w:rPr>
          <w:rFonts w:hint="eastAsia" w:ascii="仿宋" w:hAnsi="仿宋" w:eastAsia="仿宋"/>
          <w:color w:val="auto"/>
          <w:sz w:val="28"/>
          <w:szCs w:val="28"/>
          <w:highlight w:val="none"/>
        </w:rPr>
        <w:t xml:space="preserve">          联系电话：</w:t>
      </w:r>
      <w:r>
        <w:rPr>
          <w:rFonts w:hint="eastAsia" w:ascii="仿宋" w:hAnsi="仿宋" w:eastAsia="仿宋"/>
          <w:color w:val="auto"/>
          <w:sz w:val="28"/>
          <w:szCs w:val="28"/>
          <w:highlight w:val="none"/>
          <w:u w:val="single"/>
        </w:rPr>
        <w:t>0571-82987260</w:t>
      </w:r>
    </w:p>
    <w:p>
      <w:pPr>
        <w:spacing w:line="360" w:lineRule="auto"/>
        <w:ind w:firstLine="560" w:firstLineChars="200"/>
        <w:rPr>
          <w:rFonts w:ascii="仿宋" w:hAnsi="仿宋" w:eastAsia="仿宋"/>
          <w:color w:val="auto"/>
          <w:sz w:val="28"/>
          <w:szCs w:val="28"/>
          <w:highlight w:val="none"/>
          <w:u w:val="single"/>
        </w:rPr>
      </w:pPr>
    </w:p>
    <w:p>
      <w:pPr>
        <w:pStyle w:val="17"/>
        <w:kinsoku w:val="0"/>
        <w:ind w:firstLine="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若对项目采购电子交易系统操作有疑问，可登录政采云（https://www.zcygov.cn/），点击右侧咨询小采，获取采小蜜智能服务管家帮助，或拨打政采云服务热线400-881-7190获取热线服务帮助。        </w:t>
      </w:r>
    </w:p>
    <w:p>
      <w:pPr>
        <w:spacing w:line="360" w:lineRule="auto"/>
        <w:jc w:val="left"/>
        <w:rPr>
          <w:rFonts w:ascii="仿宋" w:hAnsi="仿宋" w:eastAsia="仿宋"/>
          <w:color w:val="auto"/>
          <w:sz w:val="28"/>
          <w:szCs w:val="28"/>
          <w:highlight w:val="none"/>
          <w:u w:val="single"/>
        </w:rPr>
        <w:sectPr>
          <w:footerReference r:id="rId6" w:type="default"/>
          <w:pgSz w:w="11906" w:h="16838"/>
          <w:pgMar w:top="1440" w:right="1274" w:bottom="1440" w:left="1418" w:header="930" w:footer="992" w:gutter="0"/>
          <w:pgNumType w:fmt="decimal" w:start="1"/>
          <w:cols w:space="425" w:num="1"/>
          <w:docGrid w:type="lines" w:linePitch="312" w:charSpace="0"/>
        </w:sectPr>
      </w:pPr>
      <w:r>
        <w:rPr>
          <w:rFonts w:hint="eastAsia" w:ascii="仿宋" w:hAnsi="仿宋" w:eastAsia="仿宋" w:cs="仿宋"/>
          <w:color w:val="auto"/>
          <w:sz w:val="28"/>
          <w:szCs w:val="28"/>
          <w:highlight w:val="none"/>
        </w:rPr>
        <w:t>CA问题联系电话（人工）：汇信CA 400-888-4636；天谷CA 400-087-8198。</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投标人须知</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20"/>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b/>
                <w:bCs/>
                <w:color w:val="auto"/>
                <w:sz w:val="24"/>
                <w:szCs w:val="24"/>
                <w:highlight w:val="none"/>
              </w:rPr>
              <w:t>投标人信用信息</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49"/>
              <w:keepNext w:val="0"/>
              <w:keepLines w:val="0"/>
              <w:pageBreakBefore w:val="0"/>
              <w:kinsoku/>
              <w:wordWrap/>
              <w:overflowPunct/>
              <w:topLinePunct w:val="0"/>
              <w:autoSpaceDE/>
              <w:autoSpaceDN/>
              <w:bidi w:val="0"/>
              <w:adjustRightInd w:val="0"/>
              <w:snapToGrid w:val="0"/>
              <w:spacing w:afterLines="0" w:line="360" w:lineRule="auto"/>
              <w:ind w:left="0" w:leftChars="0" w:firstLine="458" w:firstLineChars="200"/>
              <w:jc w:val="left"/>
              <w:textAlignment w:val="auto"/>
              <w:rPr>
                <w:rFonts w:hint="default"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lang w:eastAsia="zh-CN"/>
              </w:rPr>
              <w:t>（</w:t>
            </w:r>
            <w:r>
              <w:rPr>
                <w:rFonts w:hint="eastAsia" w:ascii="仿宋" w:hAnsi="仿宋" w:eastAsia="仿宋" w:cs="仿宋"/>
                <w:b/>
                <w:color w:val="auto"/>
                <w:spacing w:val="-6"/>
                <w:sz w:val="24"/>
                <w:szCs w:val="24"/>
                <w:highlight w:val="none"/>
                <w:lang w:val="en-US" w:eastAsia="zh-CN"/>
              </w:rPr>
              <w:t>1</w:t>
            </w:r>
            <w:r>
              <w:rPr>
                <w:rFonts w:hint="eastAsia" w:ascii="仿宋" w:hAnsi="仿宋" w:eastAsia="仿宋" w:cs="仿宋"/>
                <w:b/>
                <w:color w:val="auto"/>
                <w:spacing w:val="-6"/>
                <w:sz w:val="24"/>
                <w:szCs w:val="24"/>
                <w:highlight w:val="none"/>
                <w:lang w:eastAsia="zh-CN"/>
              </w:rPr>
              <w:t>）</w:t>
            </w:r>
            <w:r>
              <w:rPr>
                <w:rFonts w:ascii="仿宋" w:hAnsi="仿宋" w:eastAsia="仿宋" w:cs="仿宋"/>
                <w:b/>
                <w:color w:val="auto"/>
                <w:spacing w:val="-6"/>
                <w:sz w:val="24"/>
                <w:szCs w:val="24"/>
                <w:highlight w:val="none"/>
              </w:rPr>
              <w:t>信用信息查询渠道及截止时间：</w:t>
            </w:r>
            <w:r>
              <w:rPr>
                <w:rFonts w:ascii="仿宋" w:hAnsi="仿宋" w:eastAsia="仿宋" w:cs="仿宋"/>
                <w:color w:val="auto"/>
                <w:spacing w:val="-6"/>
                <w:sz w:val="24"/>
                <w:szCs w:val="24"/>
                <w:highlight w:val="none"/>
              </w:rPr>
              <w:t>项目评审组织人员将通过“信用中国”网站(www.creditchina.gov.cn)、中国政府采购网(www.ccgp.gov.cn)渠道查询投标人</w:t>
            </w:r>
            <w:r>
              <w:rPr>
                <w:rFonts w:ascii="仿宋" w:hAnsi="仿宋" w:eastAsia="仿宋" w:cs="仿宋"/>
                <w:b/>
                <w:color w:val="auto"/>
                <w:spacing w:val="-6"/>
                <w:sz w:val="24"/>
                <w:szCs w:val="24"/>
                <w:highlight w:val="none"/>
              </w:rPr>
              <w:t>投标截止时间前</w:t>
            </w:r>
            <w:r>
              <w:rPr>
                <w:rFonts w:ascii="仿宋" w:hAnsi="仿宋" w:eastAsia="仿宋" w:cs="仿宋"/>
                <w:color w:val="auto"/>
                <w:spacing w:val="-6"/>
                <w:sz w:val="24"/>
                <w:szCs w:val="24"/>
                <w:highlight w:val="none"/>
              </w:rPr>
              <w:t>的信用记录。</w:t>
            </w:r>
          </w:p>
          <w:p>
            <w:pPr>
              <w:pStyle w:val="49"/>
              <w:keepNext w:val="0"/>
              <w:keepLines w:val="0"/>
              <w:pageBreakBefore w:val="0"/>
              <w:kinsoku/>
              <w:wordWrap/>
              <w:overflowPunct/>
              <w:topLinePunct w:val="0"/>
              <w:autoSpaceDE/>
              <w:autoSpaceDN/>
              <w:bidi w:val="0"/>
              <w:adjustRightInd w:val="0"/>
              <w:snapToGrid w:val="0"/>
              <w:spacing w:afterLines="0" w:line="360" w:lineRule="auto"/>
              <w:ind w:left="0" w:leftChars="0" w:firstLine="458" w:firstLineChars="200"/>
              <w:jc w:val="left"/>
              <w:textAlignment w:val="auto"/>
              <w:rPr>
                <w:rFonts w:hint="default"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lang w:eastAsia="zh-CN"/>
              </w:rPr>
              <w:t>（</w:t>
            </w:r>
            <w:r>
              <w:rPr>
                <w:rFonts w:hint="eastAsia" w:ascii="仿宋" w:hAnsi="仿宋" w:eastAsia="仿宋" w:cs="仿宋"/>
                <w:b/>
                <w:color w:val="auto"/>
                <w:spacing w:val="-6"/>
                <w:sz w:val="24"/>
                <w:szCs w:val="24"/>
                <w:highlight w:val="none"/>
                <w:lang w:val="en-US" w:eastAsia="zh-CN"/>
              </w:rPr>
              <w:t>2</w:t>
            </w:r>
            <w:r>
              <w:rPr>
                <w:rFonts w:hint="eastAsia" w:ascii="仿宋" w:hAnsi="仿宋" w:eastAsia="仿宋" w:cs="仿宋"/>
                <w:b/>
                <w:color w:val="auto"/>
                <w:spacing w:val="-6"/>
                <w:sz w:val="24"/>
                <w:szCs w:val="24"/>
                <w:highlight w:val="none"/>
                <w:lang w:eastAsia="zh-CN"/>
              </w:rPr>
              <w:t>）</w:t>
            </w:r>
            <w:r>
              <w:rPr>
                <w:rFonts w:ascii="仿宋" w:hAnsi="仿宋" w:eastAsia="仿宋" w:cs="仿宋"/>
                <w:b/>
                <w:color w:val="auto"/>
                <w:spacing w:val="-6"/>
                <w:sz w:val="24"/>
                <w:szCs w:val="24"/>
                <w:highlight w:val="none"/>
              </w:rPr>
              <w:t>信用信息查询记录和证据留存的具体方式：</w:t>
            </w:r>
            <w:r>
              <w:rPr>
                <w:rFonts w:ascii="仿宋" w:hAnsi="仿宋" w:eastAsia="仿宋" w:cs="仿宋"/>
                <w:color w:val="auto"/>
                <w:spacing w:val="-6"/>
                <w:sz w:val="24"/>
                <w:szCs w:val="24"/>
                <w:highlight w:val="none"/>
              </w:rPr>
              <w:t>项目评审组织人员现场查询投标人的信用记录，查询结果经确认后与采购文件一起存档。</w:t>
            </w:r>
          </w:p>
          <w:p>
            <w:pPr>
              <w:pStyle w:val="49"/>
              <w:keepNext w:val="0"/>
              <w:keepLines w:val="0"/>
              <w:pageBreakBefore w:val="0"/>
              <w:kinsoku/>
              <w:wordWrap/>
              <w:overflowPunct/>
              <w:topLinePunct w:val="0"/>
              <w:autoSpaceDE/>
              <w:autoSpaceDN/>
              <w:bidi w:val="0"/>
              <w:adjustRightInd w:val="0"/>
              <w:snapToGrid w:val="0"/>
              <w:spacing w:afterLines="0" w:line="360" w:lineRule="auto"/>
              <w:ind w:left="0" w:leftChars="0" w:firstLine="458" w:firstLineChars="200"/>
              <w:jc w:val="left"/>
              <w:textAlignment w:val="auto"/>
              <w:rPr>
                <w:rFonts w:hint="default"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lang w:eastAsia="zh-CN"/>
              </w:rPr>
              <w:t>（</w:t>
            </w:r>
            <w:r>
              <w:rPr>
                <w:rFonts w:hint="eastAsia" w:ascii="仿宋" w:hAnsi="仿宋" w:eastAsia="仿宋" w:cs="仿宋"/>
                <w:b/>
                <w:color w:val="auto"/>
                <w:spacing w:val="-6"/>
                <w:sz w:val="24"/>
                <w:szCs w:val="24"/>
                <w:highlight w:val="none"/>
                <w:lang w:val="en-US" w:eastAsia="zh-CN"/>
              </w:rPr>
              <w:t>3</w:t>
            </w:r>
            <w:r>
              <w:rPr>
                <w:rFonts w:hint="eastAsia" w:ascii="仿宋" w:hAnsi="仿宋" w:eastAsia="仿宋" w:cs="仿宋"/>
                <w:b/>
                <w:color w:val="auto"/>
                <w:spacing w:val="-6"/>
                <w:sz w:val="24"/>
                <w:szCs w:val="24"/>
                <w:highlight w:val="none"/>
                <w:lang w:eastAsia="zh-CN"/>
              </w:rPr>
              <w:t>）</w:t>
            </w:r>
            <w:r>
              <w:rPr>
                <w:rFonts w:ascii="仿宋" w:hAnsi="仿宋" w:eastAsia="仿宋" w:cs="仿宋"/>
                <w:b/>
                <w:color w:val="auto"/>
                <w:spacing w:val="-6"/>
                <w:sz w:val="24"/>
                <w:szCs w:val="24"/>
                <w:highlight w:val="none"/>
              </w:rPr>
              <w:t>信用信息的使用规则：</w:t>
            </w:r>
            <w:r>
              <w:rPr>
                <w:rFonts w:ascii="仿宋" w:hAnsi="仿宋" w:eastAsia="仿宋" w:cs="仿宋"/>
                <w:color w:val="auto"/>
                <w:spacing w:val="-6"/>
                <w:sz w:val="24"/>
                <w:szCs w:val="24"/>
                <w:highlight w:val="none"/>
              </w:rPr>
              <w:t>经查询列入失信被执行人名单、重大税收违法案件当事人名单、政府采购严重违法失信行为记录名单的投标人的投标文件将做无效标处理。</w:t>
            </w:r>
          </w:p>
          <w:p>
            <w:pPr>
              <w:keepNext w:val="0"/>
              <w:keepLines w:val="0"/>
              <w:pageBreakBefore w:val="0"/>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lang w:eastAsia="zh-CN"/>
              </w:rPr>
              <w:t>）</w:t>
            </w:r>
            <w:r>
              <w:rPr>
                <w:rFonts w:ascii="仿宋" w:hAnsi="仿宋" w:eastAsia="仿宋" w:cs="仿宋"/>
                <w:color w:val="auto"/>
                <w:spacing w:val="-6"/>
                <w:sz w:val="24"/>
                <w:szCs w:val="24"/>
                <w:highlight w:val="none"/>
              </w:rPr>
              <w:t>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b/>
                <w:bCs/>
                <w:color w:val="auto"/>
                <w:sz w:val="24"/>
                <w:szCs w:val="24"/>
                <w:highlight w:val="none"/>
              </w:rPr>
              <w:t>中小企业预留份额情况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b w:val="0"/>
                <w:bCs/>
                <w:color w:val="auto"/>
                <w:sz w:val="24"/>
                <w:szCs w:val="24"/>
                <w:highlight w:val="none"/>
              </w:rPr>
              <w:t>根据《政府采购促进中小企业发展管理办法》财库〔</w:t>
            </w:r>
            <w:r>
              <w:rPr>
                <w:rFonts w:ascii="仿宋" w:hAnsi="仿宋" w:eastAsia="仿宋"/>
                <w:b w:val="0"/>
                <w:bCs/>
                <w:color w:val="auto"/>
                <w:sz w:val="24"/>
                <w:szCs w:val="24"/>
                <w:highlight w:val="none"/>
              </w:rPr>
              <w:t>2020〕46号</w:t>
            </w:r>
            <w:r>
              <w:rPr>
                <w:rFonts w:hint="eastAsia" w:ascii="仿宋" w:hAnsi="仿宋" w:eastAsia="仿宋"/>
                <w:b w:val="0"/>
                <w:bCs/>
                <w:color w:val="auto"/>
                <w:sz w:val="24"/>
                <w:szCs w:val="24"/>
                <w:highlight w:val="none"/>
              </w:rPr>
              <w:t>文件的规定，本项目</w:t>
            </w:r>
            <w:r>
              <w:rPr>
                <w:rFonts w:hint="eastAsia" w:ascii="仿宋" w:hAnsi="仿宋" w:eastAsia="仿宋"/>
                <w:b w:val="0"/>
                <w:bCs/>
                <w:color w:val="auto"/>
                <w:sz w:val="24"/>
                <w:szCs w:val="24"/>
                <w:highlight w:val="none"/>
                <w:u w:val="single"/>
                <w:lang w:val="en-US" w:eastAsia="zh-CN"/>
              </w:rPr>
              <w:t xml:space="preserve"> </w:t>
            </w:r>
            <w:r>
              <w:rPr>
                <w:rFonts w:hint="eastAsia" w:ascii="仿宋" w:hAnsi="仿宋" w:eastAsia="仿宋"/>
                <w:b/>
                <w:color w:val="auto"/>
                <w:sz w:val="24"/>
                <w:szCs w:val="24"/>
                <w:highlight w:val="none"/>
                <w:u w:val="single"/>
                <w:lang w:val="en-US" w:eastAsia="zh-CN"/>
              </w:rPr>
              <w:t>不</w:t>
            </w:r>
            <w:r>
              <w:rPr>
                <w:rFonts w:hint="eastAsia" w:ascii="仿宋" w:hAnsi="仿宋" w:eastAsia="仿宋"/>
                <w:b/>
                <w:color w:val="auto"/>
                <w:sz w:val="24"/>
                <w:szCs w:val="24"/>
                <w:highlight w:val="none"/>
                <w:u w:val="single"/>
              </w:rPr>
              <w:t>属于</w:t>
            </w:r>
            <w:r>
              <w:rPr>
                <w:rFonts w:hint="eastAsia" w:ascii="仿宋" w:hAnsi="仿宋" w:eastAsia="仿宋"/>
                <w:b/>
                <w:color w:val="auto"/>
                <w:sz w:val="24"/>
                <w:szCs w:val="24"/>
                <w:highlight w:val="none"/>
                <w:u w:val="single"/>
                <w:lang w:val="en-US" w:eastAsia="zh-CN"/>
              </w:rPr>
              <w:t xml:space="preserve"> </w:t>
            </w:r>
            <w:r>
              <w:rPr>
                <w:rFonts w:hint="eastAsia" w:ascii="仿宋" w:hAnsi="仿宋" w:eastAsia="仿宋"/>
                <w:b w:val="0"/>
                <w:bCs/>
                <w:color w:val="auto"/>
                <w:sz w:val="24"/>
                <w:szCs w:val="24"/>
                <w:highlight w:val="none"/>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bottom w:val="single" w:color="auto" w:sz="4" w:space="0"/>
              <w:right w:val="single" w:color="auto" w:sz="4" w:space="0"/>
            </w:tcBorders>
            <w:vAlign w:val="center"/>
          </w:tcPr>
          <w:p>
            <w:pPr>
              <w:snapToGrid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w:t>
            </w:r>
            <w:r>
              <w:rPr>
                <w:rFonts w:hint="eastAsia" w:ascii="仿宋" w:hAnsi="仿宋" w:eastAsia="仿宋" w:cs="仿宋"/>
                <w:b/>
                <w:bCs/>
                <w:color w:val="auto"/>
                <w:sz w:val="24"/>
                <w:szCs w:val="24"/>
                <w:highlight w:val="none"/>
                <w:lang w:eastAsia="zh-CN"/>
              </w:rPr>
              <w:t>微</w:t>
            </w:r>
            <w:r>
              <w:rPr>
                <w:rFonts w:hint="eastAsia" w:ascii="仿宋" w:hAnsi="仿宋" w:eastAsia="仿宋" w:cs="仿宋"/>
                <w:b/>
                <w:bCs/>
                <w:color w:val="auto"/>
                <w:sz w:val="24"/>
                <w:szCs w:val="24"/>
                <w:highlight w:val="none"/>
              </w:rPr>
              <w:t>企业优惠措施</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27"/>
              <w:numPr>
                <w:ilvl w:val="0"/>
                <w:numId w:val="0"/>
              </w:numPr>
              <w:snapToGrid w:val="0"/>
              <w:spacing w:line="460" w:lineRule="exact"/>
              <w:ind w:firstLine="480" w:firstLineChars="200"/>
              <w:rPr>
                <w:rFonts w:ascii="仿宋" w:hAnsi="仿宋" w:eastAsia="仿宋"/>
                <w:b w:val="0"/>
                <w:bCs/>
                <w:color w:val="auto"/>
                <w:sz w:val="24"/>
                <w:szCs w:val="24"/>
                <w:highlight w:val="none"/>
                <w:u w:val="single"/>
              </w:rPr>
            </w:pPr>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lang w:val="en-US" w:eastAsia="zh-CN"/>
              </w:rPr>
              <w:t>1</w:t>
            </w:r>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rPr>
              <w:t>项目属性</w:t>
            </w:r>
            <w:r>
              <w:rPr>
                <w:rFonts w:hint="eastAsia" w:ascii="仿宋" w:hAnsi="仿宋" w:eastAsia="仿宋"/>
                <w:b w:val="0"/>
                <w:bCs/>
                <w:color w:val="auto"/>
                <w:sz w:val="24"/>
                <w:szCs w:val="24"/>
                <w:highlight w:val="none"/>
                <w:lang w:eastAsia="zh-CN"/>
              </w:rPr>
              <w:t>：服务</w:t>
            </w:r>
            <w:r>
              <w:rPr>
                <w:rFonts w:hint="eastAsia" w:ascii="仿宋" w:hAnsi="仿宋" w:eastAsia="仿宋"/>
                <w:b w:val="0"/>
                <w:bCs/>
                <w:color w:val="auto"/>
                <w:sz w:val="24"/>
                <w:szCs w:val="24"/>
                <w:highlight w:val="none"/>
                <w:lang w:val="en-US" w:eastAsia="zh-CN"/>
              </w:rPr>
              <w:t xml:space="preserve"> </w:t>
            </w:r>
          </w:p>
          <w:p>
            <w:pPr>
              <w:pStyle w:val="27"/>
              <w:numPr>
                <w:ilvl w:val="0"/>
                <w:numId w:val="0"/>
              </w:numPr>
              <w:snapToGrid w:val="0"/>
              <w:spacing w:line="460" w:lineRule="exact"/>
              <w:ind w:firstLine="480" w:firstLineChars="200"/>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eastAsia="zh-CN"/>
              </w:rPr>
              <w:t>中小企业划分标准具体根据工信部联企业【2011】300号文规定执行。</w:t>
            </w:r>
          </w:p>
          <w:p>
            <w:pPr>
              <w:pStyle w:val="27"/>
              <w:numPr>
                <w:ilvl w:val="0"/>
                <w:numId w:val="3"/>
              </w:numPr>
              <w:snapToGrid w:val="0"/>
              <w:spacing w:line="460" w:lineRule="exact"/>
              <w:ind w:firstLine="480" w:firstLineChars="200"/>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eastAsia="zh-CN"/>
              </w:rPr>
              <w:t>采购标的：交通设施养护，所属行业：</w:t>
            </w:r>
            <w:r>
              <w:rPr>
                <w:rFonts w:hint="eastAsia" w:ascii="仿宋" w:hAnsi="仿宋" w:eastAsia="仿宋"/>
                <w:b w:val="0"/>
                <w:bCs/>
                <w:color w:val="auto"/>
                <w:sz w:val="24"/>
                <w:szCs w:val="24"/>
                <w:highlight w:val="none"/>
                <w:lang w:val="en-US" w:eastAsia="zh-CN"/>
              </w:rPr>
              <w:t>其他未列明行业。</w:t>
            </w:r>
          </w:p>
          <w:p>
            <w:pPr>
              <w:pStyle w:val="27"/>
              <w:numPr>
                <w:ilvl w:val="0"/>
                <w:numId w:val="0"/>
              </w:numPr>
              <w:snapToGrid w:val="0"/>
              <w:spacing w:line="460" w:lineRule="exact"/>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lang w:val="en-US" w:eastAsia="zh-CN"/>
              </w:rPr>
              <w:t>3</w:t>
            </w:r>
            <w:r>
              <w:rPr>
                <w:rFonts w:hint="eastAsia" w:ascii="仿宋" w:hAnsi="仿宋" w:eastAsia="仿宋"/>
                <w:b w:val="0"/>
                <w:bCs/>
                <w:color w:val="auto"/>
                <w:sz w:val="24"/>
                <w:szCs w:val="24"/>
                <w:highlight w:val="none"/>
                <w:lang w:eastAsia="zh-CN"/>
              </w:rPr>
              <w:t>）</w:t>
            </w:r>
            <w:r>
              <w:rPr>
                <w:rFonts w:hint="eastAsia" w:ascii="仿宋" w:hAnsi="仿宋" w:eastAsia="仿宋"/>
                <w:b/>
                <w:color w:val="auto"/>
                <w:sz w:val="24"/>
                <w:szCs w:val="24"/>
                <w:highlight w:val="none"/>
              </w:rPr>
              <w:t>本项目属于</w:t>
            </w:r>
            <w:r>
              <w:rPr>
                <w:rFonts w:hint="eastAsia" w:ascii="仿宋" w:hAnsi="仿宋" w:eastAsia="仿宋"/>
                <w:b/>
                <w:color w:val="auto"/>
                <w:sz w:val="24"/>
                <w:szCs w:val="24"/>
                <w:highlight w:val="none"/>
                <w:lang w:val="en-US" w:eastAsia="zh-CN"/>
              </w:rPr>
              <w:t>非</w:t>
            </w:r>
            <w:r>
              <w:rPr>
                <w:rFonts w:hint="eastAsia" w:ascii="仿宋" w:hAnsi="仿宋" w:eastAsia="仿宋"/>
                <w:b/>
                <w:color w:val="auto"/>
                <w:sz w:val="24"/>
                <w:szCs w:val="24"/>
                <w:highlight w:val="none"/>
              </w:rPr>
              <w:t>专门</w:t>
            </w:r>
            <w:bookmarkStart w:id="435" w:name="_GoBack"/>
            <w:bookmarkEnd w:id="435"/>
            <w:r>
              <w:rPr>
                <w:rFonts w:hint="eastAsia" w:ascii="仿宋" w:hAnsi="仿宋" w:eastAsia="仿宋"/>
                <w:b/>
                <w:color w:val="auto"/>
                <w:sz w:val="24"/>
                <w:szCs w:val="24"/>
                <w:highlight w:val="none"/>
              </w:rPr>
              <w:t>面向中小企业采购的项目</w:t>
            </w:r>
            <w:r>
              <w:rPr>
                <w:rFonts w:hint="eastAsia" w:ascii="仿宋" w:hAnsi="仿宋" w:eastAsia="仿宋"/>
                <w:b/>
                <w:color w:val="auto"/>
                <w:sz w:val="24"/>
                <w:szCs w:val="24"/>
                <w:highlight w:val="none"/>
                <w:lang w:eastAsia="zh-CN"/>
              </w:rPr>
              <w:t>，</w:t>
            </w:r>
            <w:r>
              <w:rPr>
                <w:rFonts w:hint="eastAsia" w:ascii="仿宋" w:hAnsi="仿宋" w:eastAsia="仿宋"/>
                <w:b w:val="0"/>
                <w:bCs/>
                <w:color w:val="auto"/>
                <w:sz w:val="24"/>
                <w:szCs w:val="24"/>
                <w:highlight w:val="none"/>
                <w:lang w:eastAsia="zh-CN"/>
              </w:rPr>
              <w:t>对符合财库〔2020〕46号文件规定的供应商的投标报价给予</w:t>
            </w:r>
            <w:r>
              <w:rPr>
                <w:rFonts w:hint="eastAsia" w:ascii="仿宋" w:hAnsi="仿宋" w:eastAsia="仿宋"/>
                <w:b w:val="0"/>
                <w:bCs/>
                <w:color w:val="auto"/>
                <w:sz w:val="24"/>
                <w:szCs w:val="24"/>
                <w:highlight w:val="none"/>
                <w:lang w:val="en-US" w:eastAsia="zh-CN"/>
              </w:rPr>
              <w:t>6</w:t>
            </w:r>
            <w:r>
              <w:rPr>
                <w:rFonts w:hint="eastAsia" w:ascii="仿宋" w:hAnsi="仿宋" w:eastAsia="仿宋"/>
                <w:b w:val="0"/>
                <w:bCs/>
                <w:color w:val="auto"/>
                <w:sz w:val="24"/>
                <w:szCs w:val="24"/>
                <w:highlight w:val="none"/>
                <w:lang w:eastAsia="zh-CN"/>
              </w:rPr>
              <w:t>%的扣除，并用扣除后的价格计算价格评分</w:t>
            </w:r>
            <w:r>
              <w:rPr>
                <w:rFonts w:hint="eastAsia" w:ascii="仿宋" w:hAnsi="仿宋" w:eastAsia="仿宋"/>
                <w:b w:val="0"/>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color w:val="auto"/>
                <w:highlight w:val="none"/>
                <w:lang w:val="zh-CN"/>
              </w:rPr>
            </w:pPr>
            <w:r>
              <w:rPr>
                <w:rFonts w:hint="eastAsia" w:ascii="仿宋" w:hAnsi="仿宋" w:eastAsia="仿宋"/>
                <w:color w:val="auto"/>
                <w:kern w:val="0"/>
                <w:sz w:val="24"/>
                <w:highlight w:val="none"/>
                <w:lang w:val="zh-CN"/>
              </w:rPr>
              <w:t>有关本项目开展所需的费用均计入报价。</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ind w:firstLine="482" w:firstLineChars="200"/>
              <w:jc w:val="left"/>
              <w:rPr>
                <w:rFonts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ind w:firstLine="482" w:firstLineChars="200"/>
              <w:jc w:val="left"/>
              <w:rPr>
                <w:rFonts w:ascii="仿宋" w:hAnsi="仿宋" w:eastAsia="仿宋" w:cs="仿宋_GB2312"/>
                <w:b/>
                <w:color w:val="auto"/>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投标报价高于本项目最高限价的;</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报价明显低于其他通过符合性审查投标人的报价，有可能影响产品质量或者不能诚信履约的，未能按要求提供书面说明或者提交相关证明材料（如成本测算资料），不能证明其报价合理性的；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▲《投标报价明细表》填写不完整或字迹不能辨认或有漏项的；</w:t>
            </w:r>
          </w:p>
          <w:p>
            <w:pPr>
              <w:spacing w:line="360" w:lineRule="auto"/>
              <w:ind w:firstLine="482" w:firstLineChars="200"/>
              <w:rPr>
                <w:rFonts w:hint="eastAsia" w:ascii="仿宋" w:hAnsi="仿宋" w:eastAsia="仿宋" w:cstheme="minorBidi"/>
                <w:b/>
                <w:color w:val="auto"/>
                <w:kern w:val="2"/>
                <w:sz w:val="24"/>
                <w:szCs w:val="24"/>
                <w:highlight w:val="none"/>
                <w:lang w:val="en-US" w:eastAsia="zh-CN" w:bidi="ar-SA"/>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（1）本项目不得</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包。</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（1）资格证明文件：见招标文件第二部分</w:t>
            </w:r>
            <w:r>
              <w:rPr>
                <w:rFonts w:hint="eastAsia" w:ascii="仿宋" w:hAnsi="仿宋" w:eastAsia="仿宋" w:cs="仿宋_GB2312"/>
                <w:color w:val="auto"/>
                <w:sz w:val="24"/>
                <w:highlight w:val="none"/>
              </w:rPr>
              <w:t>11.1。</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（2）资信证明文件：根据招标文件第四部分具体评标标准提供。</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投标文件的组成、递交、接受和解密</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投标文件的组成：</w:t>
            </w:r>
            <w:r>
              <w:rPr>
                <w:rFonts w:hint="eastAsia" w:ascii="仿宋" w:hAnsi="仿宋" w:eastAsia="仿宋" w:cs="仿宋_GB2312"/>
                <w:color w:val="auto"/>
                <w:sz w:val="24"/>
                <w:highlight w:val="none"/>
              </w:rPr>
              <w:t>投标文件均由资格文件、报价文件及商务技术文件组成。</w:t>
            </w:r>
            <w:r>
              <w:rPr>
                <w:rFonts w:hint="eastAsia" w:ascii="仿宋" w:hAnsi="仿宋" w:eastAsia="仿宋" w:cs="仿宋_GB2312"/>
                <w:color w:val="auto"/>
                <w:sz w:val="24"/>
                <w:highlight w:val="none"/>
              </w:rPr>
              <w:cr/>
            </w:r>
            <w:r>
              <w:rPr>
                <w:rFonts w:hint="eastAsia" w:ascii="仿宋" w:hAnsi="仿宋" w:eastAsia="仿宋" w:cs="仿宋_GB2312"/>
                <w:color w:val="auto"/>
                <w:sz w:val="24"/>
                <w:highlight w:val="none"/>
              </w:rPr>
              <w:t xml:space="preserve">    </w:t>
            </w:r>
            <w:r>
              <w:rPr>
                <w:rFonts w:hint="eastAsia" w:ascii="仿宋" w:hAnsi="仿宋" w:eastAsia="仿宋" w:cs="仿宋_GB2312"/>
                <w:b/>
                <w:bCs/>
                <w:color w:val="auto"/>
                <w:sz w:val="24"/>
                <w:highlight w:val="none"/>
              </w:rPr>
              <w:t>投标文件的递交：</w:t>
            </w:r>
            <w:r>
              <w:rPr>
                <w:rFonts w:hint="eastAsia" w:ascii="仿宋" w:hAnsi="仿宋" w:eastAsia="仿宋" w:cs="仿宋_GB2312"/>
                <w:color w:val="auto"/>
                <w:sz w:val="24"/>
                <w:highlight w:val="none"/>
              </w:rPr>
              <w:t>目前政府采购全流程电子化交易，供应商应准备电子投标文件。电子投标文件按政采云平台项目采购-电子招投标操作指南及本招标文件要求递交。</w:t>
            </w:r>
            <w:r>
              <w:rPr>
                <w:rFonts w:hint="eastAsia" w:ascii="仿宋" w:hAnsi="仿宋" w:eastAsia="仿宋" w:cs="仿宋_GB2312"/>
                <w:color w:val="auto"/>
                <w:sz w:val="24"/>
                <w:highlight w:val="none"/>
              </w:rPr>
              <w:cr/>
            </w:r>
            <w:r>
              <w:rPr>
                <w:rFonts w:hint="eastAsia" w:ascii="仿宋" w:hAnsi="仿宋" w:eastAsia="仿宋" w:cs="仿宋_GB2312"/>
                <w:color w:val="auto"/>
                <w:sz w:val="24"/>
                <w:highlight w:val="none"/>
              </w:rPr>
              <w:t xml:space="preserve">    </w:t>
            </w:r>
            <w:r>
              <w:rPr>
                <w:rFonts w:hint="eastAsia" w:ascii="仿宋" w:hAnsi="仿宋" w:eastAsia="仿宋" w:cs="仿宋_GB2312"/>
                <w:b/>
                <w:bCs/>
                <w:color w:val="auto"/>
                <w:sz w:val="24"/>
                <w:highlight w:val="none"/>
              </w:rPr>
              <w:t>投标文件的接受：</w:t>
            </w:r>
            <w:r>
              <w:rPr>
                <w:rFonts w:hint="eastAsia" w:ascii="仿宋" w:hAnsi="仿宋" w:eastAsia="仿宋" w:cs="仿宋_GB2312"/>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bCs/>
                <w:color w:val="auto"/>
                <w:sz w:val="24"/>
                <w:highlight w:val="none"/>
              </w:rPr>
              <w:t>投标文件的解密：</w:t>
            </w:r>
            <w:r>
              <w:rPr>
                <w:rFonts w:hint="eastAsia" w:ascii="仿宋" w:hAnsi="仿宋" w:eastAsia="仿宋" w:cs="仿宋_GB2312"/>
                <w:color w:val="auto"/>
                <w:sz w:val="24"/>
                <w:highlight w:val="none"/>
              </w:rPr>
              <w:t>投标人务必按时自行解密，规定时间内未解密或解密失败者作无效响应处理</w:t>
            </w:r>
          </w:p>
          <w:p>
            <w:pPr>
              <w:spacing w:line="360" w:lineRule="auto"/>
              <w:ind w:firstLine="482" w:firstLineChars="200"/>
              <w:rPr>
                <w:color w:val="auto"/>
                <w:highlight w:val="none"/>
              </w:rPr>
            </w:pPr>
            <w:r>
              <w:rPr>
                <w:rFonts w:hint="eastAsia" w:ascii="仿宋" w:hAnsi="仿宋" w:eastAsia="仿宋" w:cs="仿宋_GB2312"/>
                <w:b/>
                <w:bCs/>
                <w:i/>
                <w:color w:val="auto"/>
                <w:sz w:val="24"/>
                <w:highlight w:val="none"/>
                <w:lang w:eastAsia="zh-TW"/>
              </w:rPr>
              <w:t>本项目共分</w:t>
            </w:r>
            <w:r>
              <w:rPr>
                <w:rFonts w:hint="eastAsia" w:ascii="仿宋" w:hAnsi="仿宋" w:eastAsia="仿宋" w:cs="仿宋_GB2312"/>
                <w:b/>
                <w:bCs/>
                <w:i/>
                <w:color w:val="auto"/>
                <w:sz w:val="24"/>
                <w:highlight w:val="none"/>
                <w:lang w:eastAsia="zh-CN"/>
              </w:rPr>
              <w:t>二</w:t>
            </w:r>
            <w:r>
              <w:rPr>
                <w:rFonts w:hint="eastAsia" w:ascii="仿宋" w:hAnsi="仿宋" w:eastAsia="仿宋" w:cs="仿宋_GB2312"/>
                <w:b/>
                <w:bCs/>
                <w:i/>
                <w:color w:val="auto"/>
                <w:sz w:val="24"/>
                <w:highlight w:val="none"/>
                <w:lang w:eastAsia="zh-TW"/>
              </w:rPr>
              <w:t>个标</w:t>
            </w:r>
            <w:r>
              <w:rPr>
                <w:rFonts w:hint="eastAsia" w:ascii="仿宋" w:hAnsi="仿宋" w:eastAsia="仿宋" w:cs="仿宋_GB2312"/>
                <w:b/>
                <w:bCs/>
                <w:i/>
                <w:color w:val="auto"/>
                <w:sz w:val="24"/>
                <w:highlight w:val="none"/>
                <w:lang w:val="en-US" w:eastAsia="zh-CN"/>
              </w:rPr>
              <w:t>项</w:t>
            </w:r>
            <w:r>
              <w:rPr>
                <w:rFonts w:hint="eastAsia" w:ascii="仿宋" w:hAnsi="仿宋" w:eastAsia="仿宋" w:cs="仿宋_GB2312"/>
                <w:b/>
                <w:bCs/>
                <w:i/>
                <w:color w:val="auto"/>
                <w:sz w:val="24"/>
                <w:highlight w:val="none"/>
                <w:lang w:eastAsia="zh-TW"/>
              </w:rPr>
              <w:t>，</w:t>
            </w:r>
            <w:r>
              <w:rPr>
                <w:rFonts w:hint="eastAsia" w:ascii="仿宋" w:hAnsi="仿宋" w:eastAsia="仿宋" w:cs="仿宋_GB2312"/>
                <w:b/>
                <w:bCs/>
                <w:i/>
                <w:color w:val="auto"/>
                <w:sz w:val="24"/>
                <w:highlight w:val="none"/>
              </w:rPr>
              <w:t>不同标项需分别制作投标文件，所有投标人可同时参加</w:t>
            </w:r>
            <w:r>
              <w:rPr>
                <w:rFonts w:hint="eastAsia" w:ascii="仿宋" w:hAnsi="仿宋" w:eastAsia="仿宋" w:cs="仿宋_GB2312"/>
                <w:b/>
                <w:bCs/>
                <w:i/>
                <w:color w:val="auto"/>
                <w:sz w:val="24"/>
                <w:highlight w:val="none"/>
                <w:lang w:val="en-US" w:eastAsia="zh-CN"/>
              </w:rPr>
              <w:t>二</w:t>
            </w:r>
            <w:r>
              <w:rPr>
                <w:rFonts w:hint="eastAsia" w:ascii="仿宋" w:hAnsi="仿宋" w:eastAsia="仿宋" w:cs="仿宋_GB2312"/>
                <w:b/>
                <w:bCs/>
                <w:i/>
                <w:color w:val="auto"/>
                <w:sz w:val="24"/>
                <w:highlight w:val="none"/>
              </w:rPr>
              <w:t>个标项的投标，但是不能重复中标。</w:t>
            </w:r>
            <w:r>
              <w:rPr>
                <w:rFonts w:hint="eastAsia" w:ascii="仿宋" w:hAnsi="仿宋" w:eastAsia="仿宋" w:cs="仿宋_GB2312"/>
                <w:b/>
                <w:bCs/>
                <w:i/>
                <w:color w:val="auto"/>
                <w:sz w:val="24"/>
                <w:highlight w:val="none"/>
                <w:lang w:val="en-US" w:eastAsia="zh-CN"/>
              </w:rPr>
              <w:t>评审小组按标项一、二依次分别评审。</w:t>
            </w:r>
            <w:r>
              <w:rPr>
                <w:rFonts w:hint="eastAsia" w:ascii="仿宋" w:hAnsi="仿宋" w:eastAsia="仿宋" w:cs="仿宋_GB2312"/>
                <w:b/>
                <w:bCs/>
                <w:i/>
                <w:color w:val="auto"/>
                <w:sz w:val="24"/>
                <w:highlight w:val="none"/>
                <w:lang w:eastAsia="zh-TW"/>
              </w:rPr>
              <w:t>标</w:t>
            </w:r>
            <w:r>
              <w:rPr>
                <w:rFonts w:hint="eastAsia" w:ascii="仿宋" w:hAnsi="仿宋" w:eastAsia="仿宋" w:cs="仿宋_GB2312"/>
                <w:b/>
                <w:bCs/>
                <w:i/>
                <w:color w:val="auto"/>
                <w:sz w:val="24"/>
                <w:highlight w:val="none"/>
                <w:lang w:val="en-US" w:eastAsia="zh-CN"/>
              </w:rPr>
              <w:t>项一</w:t>
            </w:r>
            <w:r>
              <w:rPr>
                <w:rFonts w:hint="eastAsia" w:ascii="仿宋" w:hAnsi="仿宋" w:eastAsia="仿宋" w:cs="仿宋_GB2312"/>
                <w:b/>
                <w:bCs/>
                <w:i/>
                <w:color w:val="auto"/>
                <w:sz w:val="24"/>
                <w:highlight w:val="none"/>
                <w:lang w:eastAsia="zh-TW"/>
              </w:rPr>
              <w:t>的中标候选人不再推荐为标段二的中标候选人。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ascii="仿宋" w:hAnsi="仿宋" w:eastAsia="仿宋" w:cs="Times New Roman"/>
                <w:bCs/>
                <w:color w:val="auto"/>
                <w:sz w:val="24"/>
                <w:szCs w:val="20"/>
                <w:highlight w:val="none"/>
              </w:rPr>
            </w:pPr>
            <w:r>
              <w:rPr>
                <w:rFonts w:hint="eastAsia" w:ascii="仿宋" w:hAnsi="仿宋" w:eastAsia="仿宋" w:cs="仿宋_GB2312"/>
                <w:bCs/>
                <w:color w:val="auto"/>
                <w:kern w:val="0"/>
                <w:sz w:val="24"/>
                <w:highlight w:val="none"/>
                <w:lang w:val="zh-CN"/>
              </w:rPr>
              <w:t>不组织，</w:t>
            </w:r>
            <w:r>
              <w:rPr>
                <w:rFonts w:hint="eastAsia" w:ascii="仿宋" w:hAnsi="仿宋" w:eastAsia="仿宋" w:cs="仿宋_GB2312"/>
                <w:bCs/>
                <w:color w:val="auto"/>
                <w:kern w:val="0"/>
                <w:sz w:val="24"/>
                <w:highlight w:val="none"/>
              </w:rPr>
              <w:t>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11"/>
              <w:jc w:val="left"/>
              <w:rPr>
                <w:rFonts w:ascii="仿宋" w:hAnsi="仿宋" w:eastAsia="仿宋"/>
                <w:bCs/>
                <w:color w:val="auto"/>
                <w:sz w:val="24"/>
                <w:highlight w:val="none"/>
              </w:rPr>
            </w:pPr>
            <w:r>
              <w:rPr>
                <w:rFonts w:hint="eastAsia" w:ascii="仿宋" w:hAnsi="仿宋" w:eastAsia="仿宋"/>
                <w:bCs/>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11"/>
              <w:jc w:val="left"/>
              <w:rPr>
                <w:rFonts w:ascii="仿宋" w:hAnsi="仿宋" w:eastAsia="仿宋"/>
                <w:bCs/>
                <w:color w:val="auto"/>
                <w:sz w:val="24"/>
                <w:highlight w:val="none"/>
              </w:rPr>
            </w:pPr>
            <w:r>
              <w:rPr>
                <w:rFonts w:hint="eastAsia" w:ascii="仿宋" w:hAnsi="仿宋" w:eastAsia="仿宋"/>
                <w:bCs/>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收取标准：</w:t>
            </w:r>
            <w:r>
              <w:rPr>
                <w:rFonts w:hint="eastAsia" w:ascii="仿宋" w:hAnsi="仿宋" w:eastAsia="仿宋"/>
                <w:color w:val="auto"/>
                <w:sz w:val="24"/>
                <w:highlight w:val="none"/>
                <w:lang w:val="zh-TW" w:eastAsia="zh-TW"/>
              </w:rPr>
              <w:t>以中标金额为计费基准，按参照国家计价格[2002]1980号文件规定标准</w:t>
            </w:r>
            <w:r>
              <w:rPr>
                <w:rFonts w:hint="eastAsia" w:ascii="仿宋" w:hAnsi="仿宋" w:eastAsia="仿宋"/>
                <w:color w:val="auto"/>
                <w:sz w:val="24"/>
                <w:highlight w:val="none"/>
                <w:lang w:val="zh-TW" w:eastAsia="zh-CN"/>
              </w:rPr>
              <w:t>、</w:t>
            </w:r>
            <w:r>
              <w:rPr>
                <w:rFonts w:hint="eastAsia" w:ascii="仿宋" w:hAnsi="仿宋" w:eastAsia="仿宋"/>
                <w:color w:val="auto"/>
                <w:sz w:val="24"/>
                <w:highlight w:val="none"/>
                <w:lang w:val="zh-TW" w:eastAsia="zh-TW"/>
              </w:rPr>
              <w:t>《发改价格[2011]534号》文件规定的收费标准</w:t>
            </w:r>
            <w:r>
              <w:rPr>
                <w:rFonts w:hint="eastAsia" w:ascii="仿宋" w:hAnsi="仿宋" w:eastAsia="仿宋"/>
                <w:color w:val="auto"/>
                <w:sz w:val="24"/>
                <w:highlight w:val="none"/>
                <w:lang w:val="en-US" w:eastAsia="zh-CN"/>
              </w:rPr>
              <w:t>按70％</w:t>
            </w:r>
            <w:r>
              <w:rPr>
                <w:rFonts w:hint="eastAsia" w:ascii="仿宋" w:hAnsi="仿宋" w:eastAsia="仿宋"/>
                <w:color w:val="auto"/>
                <w:sz w:val="24"/>
                <w:highlight w:val="none"/>
                <w:lang w:val="zh-TW" w:eastAsia="zh-CN"/>
              </w:rPr>
              <w:t>收费，招标代理费</w:t>
            </w:r>
            <w:r>
              <w:rPr>
                <w:rFonts w:hint="eastAsia" w:ascii="仿宋" w:hAnsi="仿宋" w:eastAsia="仿宋"/>
                <w:color w:val="auto"/>
                <w:sz w:val="24"/>
                <w:highlight w:val="none"/>
                <w:lang w:val="zh-TW" w:eastAsia="zh-TW"/>
              </w:rPr>
              <w:t>不足人民币</w:t>
            </w:r>
            <w:r>
              <w:rPr>
                <w:rFonts w:hint="eastAsia" w:ascii="仿宋" w:hAnsi="仿宋" w:eastAsia="仿宋"/>
                <w:color w:val="auto"/>
                <w:sz w:val="24"/>
                <w:highlight w:val="none"/>
                <w:lang w:val="en-US" w:eastAsia="zh-CN"/>
              </w:rPr>
              <w:t>叁</w:t>
            </w:r>
            <w:r>
              <w:rPr>
                <w:rFonts w:hint="eastAsia" w:ascii="仿宋" w:hAnsi="仿宋" w:eastAsia="仿宋"/>
                <w:color w:val="auto"/>
                <w:sz w:val="24"/>
                <w:highlight w:val="none"/>
                <w:lang w:val="zh-TW" w:eastAsia="zh-TW"/>
              </w:rPr>
              <w:t>仟元按</w:t>
            </w:r>
            <w:r>
              <w:rPr>
                <w:rFonts w:hint="eastAsia" w:ascii="仿宋" w:hAnsi="仿宋" w:eastAsia="仿宋"/>
                <w:color w:val="auto"/>
                <w:sz w:val="24"/>
                <w:highlight w:val="none"/>
                <w:lang w:val="en-US" w:eastAsia="zh-CN"/>
              </w:rPr>
              <w:t>叁</w:t>
            </w:r>
            <w:r>
              <w:rPr>
                <w:rFonts w:hint="eastAsia" w:ascii="仿宋" w:hAnsi="仿宋" w:eastAsia="仿宋"/>
                <w:color w:val="auto"/>
                <w:sz w:val="24"/>
                <w:highlight w:val="none"/>
                <w:lang w:val="zh-TW" w:eastAsia="zh-TW"/>
              </w:rPr>
              <w:t>仟元计取。</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收取方式：本项目的代理费由中标人支付。在中标结果公告发出后由中标人一次性向采购代理机构付清。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政府采购信用融资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bl>
    <w:p>
      <w:pPr>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spacing w:line="360" w:lineRule="auto"/>
        <w:ind w:firstLine="482" w:firstLineChars="200"/>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2.5“公章”系指单位法定名称章。</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系指实质性要求条款，“★”系产品采购项目中单一产品或核心产品，“※”系指重要技术指标。</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3.</w:t>
      </w:r>
      <w:r>
        <w:rPr>
          <w:rFonts w:hint="eastAsia"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3.2 节能环保要求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 w:hAnsi="仿宋" w:eastAsia="仿宋"/>
          <w:color w:val="auto"/>
          <w:sz w:val="24"/>
          <w:highlight w:val="none"/>
          <w:lang w:val="en-US" w:eastAsia="zh-CN"/>
        </w:rPr>
        <w:t>中</w:t>
      </w:r>
      <w:r>
        <w:rPr>
          <w:rFonts w:hint="eastAsia" w:ascii="仿宋" w:hAnsi="仿宋" w:eastAsia="仿宋"/>
          <w:bCs/>
          <w:color w:val="auto"/>
          <w:sz w:val="24"/>
          <w:highlight w:val="none"/>
        </w:rPr>
        <w:t>小型</w:t>
      </w:r>
      <w:r>
        <w:rPr>
          <w:rFonts w:hint="eastAsia" w:ascii="仿宋" w:hAnsi="仿宋" w:eastAsia="仿宋"/>
          <w:color w:val="auto"/>
          <w:sz w:val="24"/>
          <w:highlight w:val="none"/>
        </w:rPr>
        <w:t>企业</w:t>
      </w:r>
      <w:r>
        <w:rPr>
          <w:rFonts w:hint="eastAsia" w:ascii="仿宋" w:hAnsi="仿宋" w:eastAsia="仿宋"/>
          <w:color w:val="auto"/>
          <w:sz w:val="24"/>
          <w:highlight w:val="none"/>
          <w:lang w:val="en-US" w:eastAsia="zh-CN"/>
        </w:rPr>
        <w:t>认定</w:t>
      </w:r>
      <w:r>
        <w:rPr>
          <w:rFonts w:hint="eastAsia" w:ascii="仿宋" w:hAnsi="仿宋" w:eastAsia="仿宋"/>
          <w:color w:val="auto"/>
          <w:sz w:val="24"/>
          <w:highlight w:val="none"/>
        </w:rPr>
        <w:t>。</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3.3.1</w:t>
      </w:r>
      <w:r>
        <w:rPr>
          <w:rFonts w:hint="eastAsia" w:ascii="仿宋" w:hAnsi="仿宋" w:eastAsia="仿宋"/>
          <w:color w:val="auto"/>
          <w:sz w:val="24"/>
          <w:highlight w:val="none"/>
          <w:lang w:val="en-US" w:eastAsia="zh-CN"/>
        </w:rPr>
        <w:t>根据财库【2020】46号文《政府采购促进中小企业发展管理办法中</w:t>
      </w:r>
      <w:r>
        <w:rPr>
          <w:rFonts w:hint="eastAsia" w:ascii="仿宋" w:hAnsi="仿宋" w:eastAsia="仿宋"/>
          <w:bCs/>
          <w:color w:val="auto"/>
          <w:sz w:val="24"/>
          <w:highlight w:val="none"/>
        </w:rPr>
        <w:t>小型</w:t>
      </w:r>
      <w:r>
        <w:rPr>
          <w:rFonts w:hint="eastAsia" w:ascii="仿宋" w:hAnsi="仿宋" w:eastAsia="仿宋"/>
          <w:color w:val="auto"/>
          <w:sz w:val="24"/>
          <w:highlight w:val="none"/>
        </w:rPr>
        <w:t>企业</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中规定，</w:t>
      </w:r>
      <w:r>
        <w:rPr>
          <w:rFonts w:hint="eastAsia" w:ascii="仿宋" w:hAnsi="仿宋" w:eastAsia="仿宋"/>
          <w:color w:val="auto"/>
          <w:sz w:val="24"/>
          <w:highlight w:val="none"/>
        </w:rPr>
        <w:t>应当符合以下条件：</w:t>
      </w:r>
      <w:r>
        <w:rPr>
          <w:rFonts w:hint="eastAsia" w:ascii="仿宋" w:hAnsi="仿宋" w:eastAsia="仿宋"/>
          <w:color w:val="auto"/>
          <w:sz w:val="24"/>
          <w:highlight w:val="none"/>
        </w:rPr>
        <w:br w:type="textWrapping"/>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（一）在货物采购项目中，货物由中小企业制造，即货物由中小企业生产且使用该中小企业商号或者注册商标；</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（二）在工程采购项目中，工程由中小企业承建，即工程施工单位为中小企业；</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（三）在服务采购项目中，服务由中小企业承接，即提供服务的人员为中小企业依照《中华人民共和国劳动合同法》订立劳动合同的从业人员。 </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r>
        <w:rPr>
          <w:rFonts w:hint="eastAsia" w:ascii="仿宋" w:hAnsi="仿宋" w:eastAsia="仿宋"/>
          <w:bCs/>
          <w:color w:val="auto"/>
          <w:sz w:val="24"/>
          <w:highlight w:val="none"/>
        </w:rPr>
        <w:br w:type="textWrapping"/>
      </w:r>
      <w:r>
        <w:rPr>
          <w:rFonts w:hint="eastAsia" w:ascii="仿宋" w:hAnsi="仿宋" w:eastAsia="仿宋"/>
          <w:color w:val="auto"/>
          <w:sz w:val="24"/>
          <w:highlight w:val="none"/>
        </w:rPr>
        <w:t xml:space="preserve">    3.3.2</w:t>
      </w:r>
      <w:r>
        <w:rPr>
          <w:rFonts w:hint="eastAsia" w:ascii="仿宋" w:hAnsi="仿宋" w:eastAsia="仿宋"/>
          <w:color w:val="auto"/>
          <w:sz w:val="24"/>
          <w:highlight w:val="none"/>
          <w:lang w:val="en-US" w:eastAsia="zh-CN"/>
        </w:rPr>
        <w:t>中小</w:t>
      </w:r>
      <w:r>
        <w:rPr>
          <w:rFonts w:hint="eastAsia" w:ascii="仿宋" w:hAnsi="仿宋" w:eastAsia="仿宋"/>
          <w:color w:val="auto"/>
          <w:sz w:val="24"/>
          <w:highlight w:val="none"/>
        </w:rPr>
        <w:t>企业应按照招标文件格式要求提供《</w:t>
      </w:r>
      <w:r>
        <w:rPr>
          <w:rFonts w:hint="eastAsia" w:ascii="仿宋" w:hAnsi="仿宋" w:eastAsia="仿宋"/>
          <w:color w:val="auto"/>
          <w:sz w:val="24"/>
          <w:highlight w:val="none"/>
          <w:lang w:val="en-US" w:eastAsia="zh-CN"/>
        </w:rPr>
        <w:t>中小</w:t>
      </w:r>
      <w:r>
        <w:rPr>
          <w:rFonts w:hint="eastAsia" w:ascii="仿宋" w:hAnsi="仿宋" w:eastAsia="仿宋"/>
          <w:color w:val="auto"/>
          <w:sz w:val="24"/>
          <w:highlight w:val="none"/>
        </w:rPr>
        <w:t>企业声明函》。</w:t>
      </w:r>
    </w:p>
    <w:p>
      <w:pPr>
        <w:spacing w:line="36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3.3.3对于经主管预算单位统筹后未预留份额专门面向中小企业采购的采购项目，以及预留份额项目中的非预留部分采购包，采购人、采购代理机构应当对符合本办法规定的小微企业报价给予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r>
        <w:rPr>
          <w:rFonts w:hint="eastAsia" w:ascii="仿宋" w:hAnsi="仿宋" w:eastAsia="仿宋" w:cs="Times New Roman"/>
          <w:color w:val="auto"/>
          <w:sz w:val="24"/>
          <w:szCs w:val="24"/>
          <w:highlight w:val="none"/>
          <w:lang w:val="en-US" w:eastAsia="zh-CN"/>
        </w:rPr>
        <w:br w:type="textWrapping"/>
      </w:r>
      <w:r>
        <w:rPr>
          <w:rFonts w:hint="eastAsia" w:ascii="仿宋" w:hAnsi="仿宋" w:eastAsia="仿宋" w:cs="Times New Roman"/>
          <w:color w:val="auto"/>
          <w:sz w:val="24"/>
          <w:szCs w:val="24"/>
          <w:highlight w:val="none"/>
          <w:lang w:val="en-US" w:eastAsia="zh-CN"/>
        </w:rPr>
        <w:t xml:space="preserve">    3.3.4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2%-3%（工程项目为 1%—2%）的扣除，用扣除后的价格参加评审。</w:t>
      </w:r>
    </w:p>
    <w:p>
      <w:pPr>
        <w:keepNext w:val="0"/>
        <w:keepLines w:val="0"/>
        <w:widowControl/>
        <w:suppressLineNumbers w:val="0"/>
        <w:spacing w:line="360" w:lineRule="auto"/>
        <w:ind w:firstLine="480" w:firstLineChars="200"/>
        <w:jc w:val="both"/>
        <w:rPr>
          <w:rFonts w:ascii="仿宋" w:hAnsi="仿宋" w:eastAsia="仿宋"/>
          <w:color w:val="auto"/>
          <w:sz w:val="24"/>
          <w:highlight w:val="none"/>
        </w:rPr>
      </w:pPr>
      <w:r>
        <w:rPr>
          <w:rFonts w:hint="eastAsia" w:ascii="仿宋" w:hAnsi="仿宋" w:eastAsia="仿宋" w:cs="仿宋"/>
          <w:color w:val="auto"/>
          <w:kern w:val="0"/>
          <w:sz w:val="24"/>
          <w:szCs w:val="24"/>
          <w:highlight w:val="none"/>
          <w:lang w:val="en-US" w:eastAsia="zh-CN" w:bidi="ar"/>
        </w:rPr>
        <w:t>3.3.5</w:t>
      </w:r>
      <w:r>
        <w:rPr>
          <w:rFonts w:ascii="仿宋" w:hAnsi="仿宋" w:eastAsia="仿宋" w:cs="仿宋"/>
          <w:color w:val="auto"/>
          <w:kern w:val="0"/>
          <w:sz w:val="24"/>
          <w:szCs w:val="24"/>
          <w:highlight w:val="none"/>
          <w:lang w:val="en-US" w:eastAsia="zh-CN" w:bidi="ar"/>
        </w:rPr>
        <w:t>价格扣除比例对小型企业和微型</w:t>
      </w:r>
      <w:r>
        <w:rPr>
          <w:rFonts w:hint="eastAsia" w:ascii="仿宋" w:hAnsi="仿宋" w:eastAsia="仿宋" w:cs="仿宋"/>
          <w:color w:val="auto"/>
          <w:kern w:val="0"/>
          <w:sz w:val="24"/>
          <w:szCs w:val="24"/>
          <w:highlight w:val="none"/>
          <w:lang w:val="en-US" w:eastAsia="zh-CN" w:bidi="ar"/>
        </w:rPr>
        <w:t>企业同等对待，不作区分。具体采购项目的价格扣除比例，由采购人根据采购标的相关行业平均利润率、市场竞争状况等，在《政府采购促进中小企业发展管理办法》规定的幅度内确定。</w:t>
      </w:r>
      <w:r>
        <w:rPr>
          <w:rFonts w:hint="eastAsia" w:ascii="仿宋" w:hAnsi="仿宋" w:eastAsia="仿宋" w:cs="仿宋"/>
          <w:b/>
          <w:bCs/>
          <w:color w:val="auto"/>
          <w:kern w:val="0"/>
          <w:sz w:val="24"/>
          <w:szCs w:val="24"/>
          <w:highlight w:val="none"/>
          <w:lang w:val="en-US" w:eastAsia="zh-CN" w:bidi="ar"/>
        </w:rPr>
        <w:t>具体扣除比例详见前附表。</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 xml:space="preserve">    3.3.</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符合《关于促进残疾人就业政府采购政策的通知》（财库〔2017〕141号）规定的条件并提供《残疾人福利性单位声明函》（附件1）的残疾人福利性单位视同</w:t>
      </w:r>
      <w:r>
        <w:rPr>
          <w:rFonts w:hint="eastAsia" w:ascii="仿宋" w:hAnsi="仿宋" w:eastAsia="仿宋"/>
          <w:color w:val="auto"/>
          <w:sz w:val="24"/>
          <w:highlight w:val="none"/>
          <w:lang w:val="en-US" w:eastAsia="zh-CN"/>
        </w:rPr>
        <w:t>中小</w:t>
      </w:r>
      <w:r>
        <w:rPr>
          <w:rFonts w:hint="eastAsia" w:ascii="仿宋" w:hAnsi="仿宋" w:eastAsia="仿宋"/>
          <w:color w:val="auto"/>
          <w:sz w:val="24"/>
          <w:highlight w:val="none"/>
        </w:rPr>
        <w:t>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w:t>
      </w:r>
      <w:r>
        <w:rPr>
          <w:rFonts w:hint="eastAsia" w:ascii="仿宋" w:hAnsi="仿宋" w:eastAsia="仿宋"/>
          <w:color w:val="auto"/>
          <w:sz w:val="24"/>
          <w:highlight w:val="none"/>
          <w:lang w:val="en-US" w:eastAsia="zh-CN"/>
        </w:rPr>
        <w:t>中小</w:t>
      </w:r>
      <w:r>
        <w:rPr>
          <w:rFonts w:hint="eastAsia" w:ascii="仿宋" w:hAnsi="仿宋" w:eastAsia="仿宋"/>
          <w:color w:val="auto"/>
          <w:sz w:val="24"/>
          <w:highlight w:val="none"/>
        </w:rPr>
        <w:t>企业。</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4.1供应商询问</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（3）对采购结果提出质疑的，质疑期限自采购结果公告期限届满之日起计算。对采购结果提出质疑的，采购代理机构负责答复。</w:t>
      </w:r>
    </w:p>
    <w:p>
      <w:pPr>
        <w:pStyle w:val="11"/>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4.2.3</w:t>
      </w:r>
      <w:r>
        <w:rPr>
          <w:rFonts w:ascii="仿宋" w:hAnsi="仿宋" w:eastAsia="仿宋"/>
          <w:color w:val="auto"/>
          <w:sz w:val="24"/>
          <w:highlight w:val="none"/>
        </w:rPr>
        <w:t>供应商提出质疑应当提交质疑函和必要的证明材料。质疑函应当包括下列内容：</w:t>
      </w:r>
    </w:p>
    <w:p>
      <w:pPr>
        <w:pStyle w:val="28"/>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4.2.3.1</w:t>
      </w:r>
      <w:r>
        <w:rPr>
          <w:rFonts w:ascii="仿宋" w:hAnsi="仿宋" w:eastAsia="仿宋" w:cs="Arial"/>
          <w:snapToGrid w:val="0"/>
          <w:color w:val="auto"/>
          <w:kern w:val="2"/>
          <w:szCs w:val="21"/>
          <w:highlight w:val="none"/>
        </w:rPr>
        <w:t>供应商的姓名或者名称、地址、邮编、联系人及联系电话；</w:t>
      </w:r>
    </w:p>
    <w:p>
      <w:pPr>
        <w:pStyle w:val="28"/>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4.2.3.2</w:t>
      </w:r>
      <w:r>
        <w:rPr>
          <w:rFonts w:ascii="仿宋" w:hAnsi="仿宋" w:eastAsia="仿宋" w:cs="Arial"/>
          <w:snapToGrid w:val="0"/>
          <w:color w:val="auto"/>
          <w:kern w:val="2"/>
          <w:szCs w:val="21"/>
          <w:highlight w:val="none"/>
        </w:rPr>
        <w:t>质疑项目的名称、编号；</w:t>
      </w:r>
    </w:p>
    <w:p>
      <w:pPr>
        <w:pStyle w:val="28"/>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4.2.3.3</w:t>
      </w:r>
      <w:r>
        <w:rPr>
          <w:rFonts w:ascii="仿宋" w:hAnsi="仿宋" w:eastAsia="仿宋" w:cs="Arial"/>
          <w:snapToGrid w:val="0"/>
          <w:color w:val="auto"/>
          <w:kern w:val="2"/>
          <w:szCs w:val="21"/>
          <w:highlight w:val="none"/>
        </w:rPr>
        <w:t>具体、明确的质疑事项和与质疑事项相关的请求；</w:t>
      </w:r>
    </w:p>
    <w:p>
      <w:pPr>
        <w:pStyle w:val="28"/>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4.2.3.4</w:t>
      </w:r>
      <w:r>
        <w:rPr>
          <w:rFonts w:ascii="仿宋" w:hAnsi="仿宋" w:eastAsia="仿宋" w:cs="Arial"/>
          <w:snapToGrid w:val="0"/>
          <w:color w:val="auto"/>
          <w:kern w:val="2"/>
          <w:szCs w:val="21"/>
          <w:highlight w:val="none"/>
        </w:rPr>
        <w:t>事实依据；</w:t>
      </w:r>
    </w:p>
    <w:p>
      <w:pPr>
        <w:pStyle w:val="28"/>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4.2.3.5</w:t>
      </w:r>
      <w:r>
        <w:rPr>
          <w:rFonts w:ascii="仿宋" w:hAnsi="仿宋" w:eastAsia="仿宋" w:cs="Arial"/>
          <w:snapToGrid w:val="0"/>
          <w:color w:val="auto"/>
          <w:kern w:val="2"/>
          <w:szCs w:val="21"/>
          <w:highlight w:val="none"/>
        </w:rPr>
        <w:t>必要的法律依据；</w:t>
      </w:r>
    </w:p>
    <w:p>
      <w:pPr>
        <w:pStyle w:val="28"/>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4.2.3.6</w:t>
      </w:r>
      <w:r>
        <w:rPr>
          <w:rFonts w:ascii="仿宋" w:hAnsi="仿宋" w:eastAsia="仿宋" w:cs="Arial"/>
          <w:snapToGrid w:val="0"/>
          <w:color w:val="auto"/>
          <w:kern w:val="2"/>
          <w:szCs w:val="21"/>
          <w:highlight w:val="none"/>
        </w:rPr>
        <w:t>提出质疑的日期。</w:t>
      </w:r>
    </w:p>
    <w:p>
      <w:pPr>
        <w:pStyle w:val="28"/>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28"/>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pPr>
        <w:pStyle w:val="28"/>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8"/>
        <w:shd w:val="clear" w:color="auto" w:fill="FFFFFF"/>
        <w:snapToGrid w:val="0"/>
        <w:spacing w:before="0" w:beforeAutospacing="0" w:after="0" w:afterAutospacing="0" w:line="360" w:lineRule="auto"/>
        <w:ind w:firstLine="480" w:firstLineChars="200"/>
        <w:contextualSpacing/>
        <w:rPr>
          <w:rFonts w:ascii="仿宋" w:hAnsi="仿宋" w:eastAsia="仿宋"/>
          <w:color w:val="auto"/>
          <w:kern w:val="2"/>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28"/>
        <w:shd w:val="clear" w:color="auto" w:fill="FFFFFF"/>
        <w:snapToGrid w:val="0"/>
        <w:spacing w:before="0" w:beforeAutospacing="0" w:after="0" w:afterAutospacing="0" w:line="360" w:lineRule="auto"/>
        <w:ind w:firstLine="482" w:firstLineChars="200"/>
        <w:contextualSpacing/>
        <w:rPr>
          <w:rFonts w:ascii="仿宋" w:hAnsi="仿宋" w:eastAsia="仿宋"/>
          <w:b/>
          <w:bCs/>
          <w:color w:val="auto"/>
          <w:kern w:val="2"/>
          <w:highlight w:val="none"/>
        </w:rPr>
      </w:pPr>
      <w:r>
        <w:rPr>
          <w:rFonts w:hint="eastAsia" w:ascii="仿宋" w:hAnsi="仿宋" w:eastAsia="仿宋"/>
          <w:b/>
          <w:bCs/>
          <w:color w:val="auto"/>
          <w:kern w:val="2"/>
          <w:highlight w:val="none"/>
        </w:rPr>
        <w:t>4.2.6质疑接收人：</w:t>
      </w:r>
      <w:r>
        <w:rPr>
          <w:rFonts w:hint="eastAsia" w:ascii="仿宋" w:hAnsi="仿宋" w:eastAsia="仿宋"/>
          <w:b/>
          <w:bCs/>
          <w:color w:val="auto"/>
          <w:kern w:val="2"/>
          <w:highlight w:val="none"/>
          <w:lang w:val="en-US" w:eastAsia="zh-CN"/>
        </w:rPr>
        <w:t>周</w:t>
      </w:r>
      <w:r>
        <w:rPr>
          <w:rFonts w:hint="eastAsia" w:ascii="仿宋" w:hAnsi="仿宋" w:eastAsia="仿宋"/>
          <w:b/>
          <w:bCs/>
          <w:color w:val="auto"/>
          <w:kern w:val="2"/>
          <w:highlight w:val="none"/>
        </w:rPr>
        <w:t>工；联系电话：0571-</w:t>
      </w:r>
      <w:r>
        <w:rPr>
          <w:rFonts w:hint="eastAsia" w:ascii="仿宋" w:hAnsi="仿宋" w:eastAsia="仿宋"/>
          <w:b/>
          <w:bCs/>
          <w:color w:val="auto"/>
          <w:kern w:val="2"/>
          <w:highlight w:val="none"/>
          <w:lang w:val="en-US" w:eastAsia="zh-CN"/>
        </w:rPr>
        <w:t>87831518</w:t>
      </w:r>
      <w:r>
        <w:rPr>
          <w:rFonts w:hint="eastAsia" w:ascii="仿宋" w:hAnsi="仿宋" w:eastAsia="仿宋"/>
          <w:b/>
          <w:bCs/>
          <w:color w:val="auto"/>
          <w:kern w:val="2"/>
          <w:highlight w:val="none"/>
        </w:rPr>
        <w:t>；地址：</w:t>
      </w:r>
      <w:r>
        <w:rPr>
          <w:rFonts w:hint="eastAsia" w:ascii="仿宋" w:hAnsi="仿宋" w:eastAsia="仿宋"/>
          <w:b/>
          <w:bCs/>
          <w:color w:val="auto"/>
          <w:kern w:val="2"/>
          <w:highlight w:val="none"/>
          <w:lang w:eastAsia="zh-CN"/>
        </w:rPr>
        <w:t>杭州建设工程造价咨询有限公司</w:t>
      </w:r>
      <w:r>
        <w:rPr>
          <w:rFonts w:hint="eastAsia" w:ascii="仿宋" w:hAnsi="仿宋" w:eastAsia="仿宋"/>
          <w:b/>
          <w:bCs/>
          <w:color w:val="auto"/>
          <w:kern w:val="2"/>
          <w:highlight w:val="none"/>
        </w:rPr>
        <w:t>（杭州</w:t>
      </w:r>
      <w:r>
        <w:rPr>
          <w:rFonts w:hint="eastAsia" w:ascii="仿宋" w:hAnsi="仿宋" w:eastAsia="仿宋"/>
          <w:b/>
          <w:bCs/>
          <w:color w:val="auto"/>
          <w:kern w:val="2"/>
          <w:highlight w:val="none"/>
          <w:lang w:val="en-US" w:eastAsia="zh-CN"/>
        </w:rPr>
        <w:t>市萧山区联合中心D座4楼代理部2</w:t>
      </w:r>
      <w:r>
        <w:rPr>
          <w:rFonts w:hint="eastAsia" w:ascii="仿宋" w:hAnsi="仿宋" w:eastAsia="仿宋"/>
          <w:b/>
          <w:bCs/>
          <w:color w:val="auto"/>
          <w:kern w:val="2"/>
          <w:highlight w:val="none"/>
        </w:rPr>
        <w:t>）。</w:t>
      </w:r>
    </w:p>
    <w:p>
      <w:pPr>
        <w:pStyle w:val="28"/>
        <w:shd w:val="clear" w:color="auto" w:fill="FFFFFF"/>
        <w:snapToGrid w:val="0"/>
        <w:spacing w:after="240" w:afterAutospacing="0" w:line="360" w:lineRule="auto"/>
        <w:ind w:firstLine="480" w:firstLineChars="20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4.3供应商投诉</w:t>
      </w:r>
    </w:p>
    <w:p>
      <w:pPr>
        <w:pStyle w:val="28"/>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28"/>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28"/>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.3供应商投诉应当有明确的请求和必要的证明材料。</w:t>
      </w:r>
    </w:p>
    <w:p>
      <w:pPr>
        <w:pStyle w:val="28"/>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.5 以联合体形式参加政府采购活动的，其投诉应当由组成联合体的所有供应商共同提出。</w:t>
      </w:r>
    </w:p>
    <w:p>
      <w:pPr>
        <w:pStyle w:val="28"/>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28"/>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p>
    <w:p>
      <w:pPr>
        <w:spacing w:line="360" w:lineRule="auto"/>
        <w:jc w:val="center"/>
        <w:outlineLvl w:val="0"/>
        <w:rPr>
          <w:rFonts w:ascii="仿宋" w:hAnsi="仿宋" w:eastAsia="仿宋" w:cs="仿宋_GB2312"/>
          <w:b/>
          <w:color w:val="auto"/>
          <w:sz w:val="32"/>
          <w:szCs w:val="20"/>
          <w:highlight w:val="none"/>
        </w:rPr>
      </w:pPr>
      <w:bookmarkStart w:id="31" w:name="_Hlt74707468"/>
      <w:bookmarkEnd w:id="31"/>
      <w:bookmarkStart w:id="32" w:name="_Hlt75236290"/>
      <w:bookmarkEnd w:id="32"/>
      <w:bookmarkStart w:id="33" w:name="_Hlt68072990"/>
      <w:bookmarkEnd w:id="33"/>
      <w:bookmarkStart w:id="34" w:name="_Hlt74714665"/>
      <w:bookmarkEnd w:id="34"/>
      <w:bookmarkStart w:id="35" w:name="_Hlt74729768"/>
      <w:bookmarkEnd w:id="35"/>
      <w:bookmarkStart w:id="36" w:name="_Hlt68057669"/>
      <w:bookmarkEnd w:id="36"/>
      <w:bookmarkStart w:id="37" w:name="_Hlt74730295"/>
      <w:bookmarkEnd w:id="37"/>
      <w:bookmarkStart w:id="38" w:name="_Toc91899879"/>
      <w:r>
        <w:rPr>
          <w:rFonts w:hint="eastAsia" w:ascii="仿宋" w:hAnsi="仿宋" w:eastAsia="仿宋" w:cs="仿宋_GB2312"/>
          <w:b/>
          <w:color w:val="auto"/>
          <w:sz w:val="32"/>
          <w:szCs w:val="20"/>
          <w:highlight w:val="none"/>
        </w:rPr>
        <w:t>二、招标文件</w:t>
      </w:r>
      <w:bookmarkEnd w:id="38"/>
      <w:r>
        <w:rPr>
          <w:rFonts w:hint="eastAsia" w:ascii="仿宋" w:hAnsi="仿宋" w:eastAsia="仿宋" w:cs="仿宋_GB2312"/>
          <w:b/>
          <w:color w:val="auto"/>
          <w:sz w:val="32"/>
          <w:szCs w:val="20"/>
          <w:highlight w:val="none"/>
        </w:rPr>
        <w:t>的构成、澄清、修改</w:t>
      </w:r>
    </w:p>
    <w:p>
      <w:pPr>
        <w:pStyle w:val="11"/>
        <w:spacing w:line="360" w:lineRule="auto"/>
        <w:ind w:firstLine="482" w:firstLineChars="200"/>
        <w:rPr>
          <w:rFonts w:ascii="仿宋" w:hAnsi="仿宋" w:eastAsia="仿宋" w:cs="仿宋_GB2312"/>
          <w:b/>
          <w:color w:val="auto"/>
          <w:sz w:val="24"/>
          <w:szCs w:val="24"/>
          <w:highlight w:val="none"/>
        </w:rPr>
      </w:pPr>
      <w:bookmarkStart w:id="39" w:name="_Toc91899880"/>
      <w:bookmarkStart w:id="40" w:name="_Hlt74730307"/>
      <w:r>
        <w:rPr>
          <w:rFonts w:hint="eastAsia" w:ascii="仿宋" w:hAnsi="仿宋" w:eastAsia="仿宋" w:cs="仿宋_GB2312"/>
          <w:b/>
          <w:color w:val="auto"/>
          <w:sz w:val="24"/>
          <w:szCs w:val="24"/>
          <w:highlight w:val="none"/>
        </w:rPr>
        <w:t>5．招标文件的构成</w:t>
      </w:r>
      <w:bookmarkEnd w:id="39"/>
    </w:p>
    <w:bookmarkEnd w:id="40"/>
    <w:p>
      <w:pPr>
        <w:pStyle w:val="11"/>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11"/>
        <w:numPr>
          <w:ilvl w:val="0"/>
          <w:numId w:val="4"/>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29"/>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9"/>
        <w:snapToGrid w:val="0"/>
        <w:ind w:firstLine="480"/>
        <w:rPr>
          <w:rFonts w:ascii="仿宋" w:hAnsi="仿宋" w:eastAsia="仿宋"/>
          <w:color w:val="auto"/>
          <w:highlight w:val="none"/>
        </w:rPr>
      </w:pPr>
      <w:r>
        <w:rPr>
          <w:rFonts w:hint="eastAsia" w:ascii="仿宋" w:hAnsi="仿宋" w:eastAsia="仿宋"/>
          <w:color w:val="auto"/>
          <w:highlight w:val="none"/>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投标文件未按招标文件的澄清、修改的内容编制，又不符合实质性要求的，投标无效。</w:t>
      </w:r>
    </w:p>
    <w:p>
      <w:pPr>
        <w:spacing w:line="360" w:lineRule="auto"/>
        <w:ind w:firstLine="482" w:firstLineChars="200"/>
        <w:rPr>
          <w:rFonts w:ascii="仿宋" w:hAnsi="仿宋" w:eastAsia="仿宋" w:cs="仿宋_GB2312"/>
          <w:b/>
          <w:color w:val="auto"/>
          <w:sz w:val="24"/>
          <w:szCs w:val="21"/>
          <w:highlight w:val="none"/>
        </w:rPr>
      </w:pPr>
    </w:p>
    <w:p>
      <w:pPr>
        <w:spacing w:line="360" w:lineRule="auto"/>
        <w:jc w:val="center"/>
        <w:outlineLvl w:val="0"/>
        <w:rPr>
          <w:rFonts w:ascii="仿宋" w:hAnsi="仿宋" w:eastAsia="仿宋" w:cs="仿宋_GB2312"/>
          <w:b/>
          <w:color w:val="auto"/>
          <w:sz w:val="30"/>
          <w:szCs w:val="20"/>
          <w:highlight w:val="none"/>
        </w:rPr>
      </w:pPr>
      <w:bookmarkStart w:id="41" w:name="_Hlt75236011"/>
      <w:bookmarkEnd w:id="41"/>
      <w:bookmarkStart w:id="42" w:name="_Toc91899884"/>
      <w:r>
        <w:rPr>
          <w:rFonts w:hint="eastAsia" w:ascii="仿宋" w:hAnsi="仿宋" w:eastAsia="仿宋" w:cs="仿宋_GB2312"/>
          <w:b/>
          <w:color w:val="auto"/>
          <w:sz w:val="32"/>
          <w:szCs w:val="20"/>
          <w:highlight w:val="none"/>
        </w:rPr>
        <w:t>三、投标</w:t>
      </w:r>
      <w:bookmarkEnd w:id="42"/>
    </w:p>
    <w:p>
      <w:pPr>
        <w:pStyle w:val="11"/>
        <w:spacing w:line="360" w:lineRule="auto"/>
        <w:ind w:firstLine="482" w:firstLineChars="200"/>
        <w:rPr>
          <w:rFonts w:ascii="仿宋" w:hAnsi="仿宋" w:eastAsia="仿宋" w:cs="仿宋_GB2312"/>
          <w:b/>
          <w:color w:val="auto"/>
          <w:sz w:val="24"/>
          <w:szCs w:val="24"/>
          <w:highlight w:val="none"/>
        </w:rPr>
      </w:pPr>
      <w:bookmarkStart w:id="43" w:name="_Toc91899892"/>
      <w:bookmarkStart w:id="44" w:name="_Toc86216991"/>
      <w:r>
        <w:rPr>
          <w:rFonts w:hint="eastAsia" w:ascii="仿宋" w:hAnsi="仿宋" w:eastAsia="仿宋" w:cs="仿宋_GB2312"/>
          <w:b/>
          <w:color w:val="auto"/>
          <w:sz w:val="24"/>
          <w:szCs w:val="24"/>
          <w:highlight w:val="none"/>
        </w:rPr>
        <w:t>7. 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w:t>
      </w:r>
    </w:p>
    <w:p>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11"/>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auto"/>
          <w:sz w:val="24"/>
          <w:szCs w:val="24"/>
          <w:highlight w:val="none"/>
        </w:rPr>
        <w:t>采购人不单独或分别组织只有一个供应商参加的现场考察和答疑会。</w:t>
      </w:r>
    </w:p>
    <w:p>
      <w:pPr>
        <w:pStyle w:val="11"/>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pPr>
        <w:pStyle w:val="29"/>
        <w:ind w:firstLine="480"/>
        <w:rPr>
          <w:rFonts w:ascii="仿宋" w:hAnsi="仿宋" w:eastAsia="仿宋"/>
          <w:color w:val="auto"/>
          <w:szCs w:val="24"/>
          <w:highlight w:val="none"/>
        </w:rPr>
      </w:pPr>
      <w:r>
        <w:rPr>
          <w:rFonts w:hint="eastAsia" w:ascii="仿宋" w:hAnsi="仿宋" w:eastAsia="仿宋" w:cs="仿宋_GB2312"/>
          <w:color w:val="auto"/>
          <w:highlight w:val="none"/>
        </w:rPr>
        <w:t>本项目不需要交纳投标保证金</w:t>
      </w:r>
      <w:r>
        <w:rPr>
          <w:rFonts w:hint="eastAsia" w:ascii="仿宋" w:hAnsi="仿宋" w:eastAsia="仿宋"/>
          <w:color w:val="auto"/>
          <w:szCs w:val="24"/>
          <w:highlight w:val="none"/>
        </w:rPr>
        <w:t>。</w:t>
      </w:r>
    </w:p>
    <w:p>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11"/>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资格文件、报价文件、商务技术文件</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pPr>
        <w:pStyle w:val="11"/>
        <w:spacing w:line="360" w:lineRule="auto"/>
        <w:ind w:firstLine="480" w:firstLineChars="200"/>
        <w:rPr>
          <w:rFonts w:ascii="仿宋" w:hAnsi="仿宋" w:eastAsia="仿宋"/>
          <w:color w:val="auto"/>
          <w:sz w:val="24"/>
          <w:highlight w:val="none"/>
        </w:rPr>
      </w:pPr>
      <w:bookmarkStart w:id="45" w:name="_Hlt68073093"/>
      <w:bookmarkEnd w:id="45"/>
      <w:bookmarkStart w:id="46" w:name="_Hlt68403820"/>
      <w:bookmarkEnd w:id="46"/>
      <w:bookmarkStart w:id="47" w:name="_Hlt68072998"/>
      <w:bookmarkEnd w:id="47"/>
      <w:r>
        <w:rPr>
          <w:rFonts w:hint="eastAsia" w:ascii="仿宋" w:hAnsi="仿宋" w:eastAsia="仿宋" w:cs="仿宋_GB2312"/>
          <w:color w:val="auto"/>
          <w:sz w:val="24"/>
          <w:highlight w:val="none"/>
        </w:rPr>
        <w:t>11.1.1</w:t>
      </w:r>
      <w:r>
        <w:rPr>
          <w:rFonts w:hint="eastAsia" w:ascii="仿宋" w:hAnsi="仿宋" w:eastAsia="仿宋"/>
          <w:color w:val="auto"/>
          <w:sz w:val="24"/>
          <w:highlight w:val="none"/>
        </w:rPr>
        <w:t>营业执照(或事业法人登记证或其他工商等登记证明材料)扫描件（投标人为自然人的，提供</w:t>
      </w:r>
      <w:r>
        <w:rPr>
          <w:rFonts w:hint="eastAsia" w:ascii="仿宋" w:hAnsi="仿宋" w:eastAsia="仿宋" w:cs="Helvetica"/>
          <w:color w:val="auto"/>
          <w:kern w:val="0"/>
          <w:sz w:val="24"/>
          <w:highlight w:val="none"/>
        </w:rPr>
        <w:t>自然人的身份证明</w:t>
      </w:r>
      <w:r>
        <w:rPr>
          <w:rFonts w:hint="eastAsia" w:ascii="仿宋" w:hAnsi="仿宋" w:eastAsia="仿宋"/>
          <w:color w:val="auto"/>
          <w:sz w:val="24"/>
          <w:highlight w:val="none"/>
        </w:rPr>
        <w:t>）、税务登记证(</w:t>
      </w:r>
      <w:r>
        <w:rPr>
          <w:rFonts w:hint="eastAsia" w:ascii="仿宋" w:hAnsi="仿宋" w:eastAsia="仿宋" w:cs="Helvetica"/>
          <w:color w:val="auto"/>
          <w:kern w:val="0"/>
          <w:sz w:val="24"/>
          <w:highlight w:val="none"/>
        </w:rPr>
        <w:t>或其它依法缴纳税收的相关材料</w:t>
      </w:r>
      <w:r>
        <w:rPr>
          <w:rFonts w:hint="eastAsia" w:ascii="仿宋" w:hAnsi="仿宋" w:eastAsia="仿宋"/>
          <w:color w:val="auto"/>
          <w:sz w:val="24"/>
          <w:highlight w:val="none"/>
        </w:rPr>
        <w:t>)扫描件、社保登记证（</w:t>
      </w:r>
      <w:r>
        <w:rPr>
          <w:rFonts w:hint="eastAsia" w:ascii="仿宋" w:hAnsi="仿宋" w:eastAsia="仿宋" w:cs="Helvetica"/>
          <w:color w:val="auto"/>
          <w:kern w:val="0"/>
          <w:sz w:val="24"/>
          <w:highlight w:val="none"/>
        </w:rPr>
        <w:t>或其它依法缴纳社会保障资金的相关材料</w:t>
      </w:r>
      <w:r>
        <w:rPr>
          <w:rFonts w:hint="eastAsia" w:ascii="仿宋" w:hAnsi="仿宋" w:eastAsia="仿宋"/>
          <w:color w:val="auto"/>
          <w:sz w:val="24"/>
          <w:highlight w:val="none"/>
        </w:rPr>
        <w:t>）扫描件；实施“多证合一、一照一码”登记制度改革的，只需提供改革后取得的营业执照扫描件；</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11.1.2 </w:t>
      </w:r>
      <w:r>
        <w:rPr>
          <w:rFonts w:hint="eastAsia" w:ascii="仿宋" w:hAnsi="仿宋" w:eastAsia="仿宋" w:cs="仿宋"/>
          <w:color w:val="auto"/>
          <w:sz w:val="24"/>
          <w:szCs w:val="24"/>
          <w:highlight w:val="none"/>
        </w:rPr>
        <w:t>2020年度财务报告（如2020年财务报告未出的则提供2019年度的）</w:t>
      </w:r>
      <w:r>
        <w:rPr>
          <w:rFonts w:hint="eastAsia" w:ascii="仿宋" w:hAnsi="仿宋" w:eastAsia="仿宋" w:cs="仿宋_GB2312"/>
          <w:color w:val="auto"/>
          <w:sz w:val="24"/>
          <w:highlight w:val="none"/>
        </w:rPr>
        <w:t>（或其它财务状况报告，新成立的公司，必须提供情况说明）；</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11.1.3具有履行合同所必需的设备和专业技术能力的承诺函；</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11.1.4参加政府采购活动前三年内，在经营活动中没有重大违法记录的声明；</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11.1.5具有良好商业信誉的特别声明； </w:t>
      </w:r>
    </w:p>
    <w:p>
      <w:pPr>
        <w:pStyle w:val="11"/>
        <w:spacing w:line="360" w:lineRule="auto"/>
        <w:ind w:firstLine="480" w:firstLineChars="200"/>
        <w:rPr>
          <w:rFonts w:hint="eastAsia" w:ascii="仿宋" w:hAnsi="仿宋" w:eastAsia="仿宋"/>
          <w:color w:val="auto"/>
          <w:sz w:val="24"/>
          <w:highlight w:val="none"/>
        </w:rPr>
      </w:pPr>
      <w:r>
        <w:rPr>
          <w:rFonts w:hint="eastAsia" w:ascii="仿宋" w:hAnsi="仿宋" w:eastAsia="仿宋" w:cs="仿宋_GB2312"/>
          <w:color w:val="auto"/>
          <w:sz w:val="24"/>
          <w:highlight w:val="none"/>
        </w:rPr>
        <w:t>11.1.6</w:t>
      </w:r>
      <w:r>
        <w:rPr>
          <w:rFonts w:hint="eastAsia" w:ascii="仿宋" w:hAnsi="仿宋" w:eastAsia="仿宋"/>
          <w:color w:val="auto"/>
          <w:sz w:val="24"/>
          <w:highlight w:val="none"/>
        </w:rPr>
        <w:t>未被“信用中国”（www.creditchina.gov.cn）、中国政府采购网（www.ccgp.gov.cn）列入失信被执行人、重大税收违法案件当事人名单、政府采购严重违法失信行为记录名单的声明或查询截图；</w:t>
      </w:r>
    </w:p>
    <w:p>
      <w:pPr>
        <w:pStyle w:val="11"/>
        <w:spacing w:line="360" w:lineRule="auto"/>
        <w:ind w:firstLine="480" w:firstLineChars="200"/>
        <w:rPr>
          <w:rFonts w:hint="eastAsia" w:ascii="仿宋" w:hAnsi="仿宋" w:eastAsia="仿宋"/>
          <w:color w:val="auto"/>
          <w:sz w:val="24"/>
          <w:highlight w:val="none"/>
        </w:rPr>
      </w:pPr>
      <w:r>
        <w:rPr>
          <w:rFonts w:hint="eastAsia" w:ascii="仿宋" w:hAnsi="仿宋" w:eastAsia="仿宋" w:cs="仿宋"/>
          <w:color w:val="auto"/>
          <w:sz w:val="24"/>
          <w:szCs w:val="24"/>
          <w:highlight w:val="none"/>
          <w:lang w:val="en-US" w:eastAsia="zh-CN"/>
        </w:rPr>
        <w:t>11.1.7中小企业声明函；</w:t>
      </w:r>
    </w:p>
    <w:p>
      <w:pPr>
        <w:pStyle w:val="1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符合特定资格条件（如果项目要求）的有关证明材料（扫描件）；</w:t>
      </w:r>
    </w:p>
    <w:p>
      <w:pPr>
        <w:pStyle w:val="11"/>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11.2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11.2.1</w:t>
      </w:r>
      <w:r>
        <w:rPr>
          <w:rFonts w:hint="eastAsia" w:ascii="仿宋" w:hAnsi="仿宋" w:eastAsia="仿宋" w:cs="仿宋_GB2312"/>
          <w:color w:val="auto"/>
          <w:kern w:val="0"/>
          <w:sz w:val="24"/>
          <w:highlight w:val="none"/>
        </w:rPr>
        <w:t>投标响应函</w:t>
      </w:r>
      <w:r>
        <w:rPr>
          <w:rFonts w:hint="eastAsia" w:ascii="仿宋" w:hAnsi="仿宋" w:eastAsia="仿宋" w:cs="仿宋_GB2312"/>
          <w:color w:val="auto"/>
          <w:sz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11.2.2投标(开标)一览表；</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_GB2312"/>
          <w:color w:val="auto"/>
          <w:sz w:val="24"/>
          <w:szCs w:val="24"/>
          <w:highlight w:val="none"/>
          <w:lang w:eastAsia="zh-CN"/>
        </w:rPr>
      </w:pPr>
      <w:r>
        <w:rPr>
          <w:rFonts w:hint="eastAsia" w:ascii="仿宋" w:hAnsi="仿宋" w:eastAsia="仿宋" w:cs="仿宋_GB2312"/>
          <w:color w:val="auto"/>
          <w:sz w:val="24"/>
          <w:szCs w:val="24"/>
          <w:highlight w:val="none"/>
        </w:rPr>
        <w:t>11.2.3投标报价明细表</w:t>
      </w:r>
      <w:r>
        <w:rPr>
          <w:rFonts w:hint="eastAsia" w:ascii="仿宋" w:hAnsi="仿宋" w:eastAsia="仿宋" w:cs="仿宋_GB2312"/>
          <w:color w:val="auto"/>
          <w:sz w:val="24"/>
          <w:szCs w:val="24"/>
          <w:highlight w:val="none"/>
          <w:lang w:eastAsia="zh-CN"/>
        </w:rPr>
        <w:t>。</w:t>
      </w:r>
    </w:p>
    <w:p>
      <w:pPr>
        <w:pStyle w:val="11"/>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仿宋" w:hAnsi="仿宋" w:eastAsia="仿宋" w:cs="仿宋_GB2312"/>
          <w:color w:val="auto"/>
          <w:sz w:val="24"/>
          <w:szCs w:val="24"/>
          <w:highlight w:val="none"/>
          <w:lang w:val="zh-CN"/>
        </w:rPr>
      </w:pPr>
      <w:r>
        <w:rPr>
          <w:rFonts w:hint="eastAsia" w:ascii="仿宋" w:hAnsi="仿宋" w:eastAsia="仿宋" w:cs="仿宋_GB2312"/>
          <w:color w:val="auto"/>
          <w:kern w:val="0"/>
          <w:sz w:val="24"/>
          <w:szCs w:val="24"/>
          <w:highlight w:val="none"/>
          <w:lang w:val="zh-CN"/>
        </w:rPr>
        <w:t>11.3  投标人的</w:t>
      </w:r>
      <w:r>
        <w:rPr>
          <w:rFonts w:hint="eastAsia" w:ascii="仿宋" w:hAnsi="仿宋" w:eastAsia="仿宋" w:cs="仿宋_GB2312"/>
          <w:b/>
          <w:color w:val="auto"/>
          <w:sz w:val="24"/>
          <w:szCs w:val="24"/>
          <w:highlight w:val="none"/>
        </w:rPr>
        <w:t>商务技术</w:t>
      </w:r>
      <w:r>
        <w:rPr>
          <w:rFonts w:hint="eastAsia" w:ascii="仿宋" w:hAnsi="仿宋" w:eastAsia="仿宋" w:cs="仿宋_GB2312"/>
          <w:b/>
          <w:color w:val="auto"/>
          <w:kern w:val="0"/>
          <w:sz w:val="24"/>
          <w:szCs w:val="24"/>
          <w:highlight w:val="none"/>
          <w:lang w:val="zh-CN"/>
        </w:rPr>
        <w:t>文件应</w:t>
      </w:r>
      <w:r>
        <w:rPr>
          <w:rFonts w:hint="eastAsia" w:ascii="仿宋" w:hAnsi="仿宋" w:eastAsia="仿宋" w:cs="仿宋_GB2312"/>
          <w:color w:val="auto"/>
          <w:kern w:val="0"/>
          <w:sz w:val="24"/>
          <w:szCs w:val="24"/>
          <w:highlight w:val="none"/>
          <w:lang w:val="zh-CN"/>
        </w:rPr>
        <w:t>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kern w:val="0"/>
          <w:sz w:val="24"/>
          <w:szCs w:val="24"/>
          <w:highlight w:val="none"/>
          <w:lang w:val="zh-CN"/>
        </w:rPr>
        <w:t>：</w:t>
      </w:r>
      <w:r>
        <w:rPr>
          <w:rFonts w:hint="eastAsia" w:ascii="仿宋" w:hAnsi="仿宋" w:eastAsia="仿宋" w:cs="仿宋_GB2312"/>
          <w:color w:val="auto"/>
          <w:sz w:val="24"/>
          <w:szCs w:val="24"/>
          <w:highlight w:val="none"/>
          <w:lang w:val="zh-CN"/>
        </w:rPr>
        <w:t xml:space="preserve"> </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11.3.1</w:t>
      </w:r>
      <w:r>
        <w:rPr>
          <w:rFonts w:hint="eastAsia" w:ascii="仿宋" w:hAnsi="仿宋" w:eastAsia="仿宋"/>
          <w:color w:val="auto"/>
          <w:sz w:val="24"/>
          <w:highlight w:val="none"/>
        </w:rPr>
        <w:t>营业执照(或事业法人登记证或其他工商等登记证明材料)复印件（投标人为自然人的，须提供</w:t>
      </w:r>
      <w:r>
        <w:rPr>
          <w:rFonts w:hint="eastAsia" w:ascii="仿宋" w:hAnsi="仿宋" w:eastAsia="仿宋" w:cs="Helvetica"/>
          <w:color w:val="auto"/>
          <w:kern w:val="0"/>
          <w:sz w:val="24"/>
          <w:highlight w:val="none"/>
        </w:rPr>
        <w:t>自然人的身份证明</w:t>
      </w:r>
      <w:r>
        <w:rPr>
          <w:rFonts w:hint="eastAsia" w:ascii="仿宋" w:hAnsi="仿宋" w:eastAsia="仿宋"/>
          <w:color w:val="auto"/>
          <w:sz w:val="24"/>
          <w:highlight w:val="none"/>
        </w:rPr>
        <w:t>）、企业资质证书或证明材料复印件</w:t>
      </w:r>
      <w:r>
        <w:rPr>
          <w:rFonts w:hint="eastAsia" w:ascii="仿宋" w:hAnsi="仿宋" w:eastAsia="仿宋" w:cs="仿宋_GB2312"/>
          <w:color w:val="auto"/>
          <w:sz w:val="24"/>
          <w:highlight w:val="none"/>
        </w:rPr>
        <w:t>；</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11.3.2</w:t>
      </w:r>
      <w:r>
        <w:rPr>
          <w:rFonts w:hint="eastAsia" w:ascii="仿宋" w:hAnsi="仿宋" w:eastAsia="仿宋" w:cs="仿宋_GB2312"/>
          <w:color w:val="auto"/>
          <w:sz w:val="24"/>
          <w:highlight w:val="none"/>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投标文件中法定代表人授权书所载内容与本项目内容有异的，投标无效。</w:t>
      </w:r>
    </w:p>
    <w:p>
      <w:pPr>
        <w:pStyle w:val="11"/>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s="仿宋_GB2312"/>
          <w:color w:val="auto"/>
          <w:sz w:val="24"/>
          <w:highlight w:val="none"/>
          <w:lang w:val="zh-CN"/>
        </w:rPr>
        <w:t>11.3.3</w:t>
      </w:r>
      <w:r>
        <w:rPr>
          <w:rFonts w:hint="eastAsia" w:ascii="仿宋" w:hAnsi="仿宋" w:eastAsia="仿宋"/>
          <w:color w:val="auto"/>
          <w:sz w:val="24"/>
          <w:highlight w:val="none"/>
        </w:rPr>
        <w:t>如以联合体形式参加政府采购活动的，</w:t>
      </w:r>
      <w:r>
        <w:rPr>
          <w:rFonts w:hint="eastAsia" w:ascii="仿宋" w:hAnsi="仿宋" w:eastAsia="仿宋"/>
          <w:color w:val="auto"/>
          <w:sz w:val="24"/>
          <w:szCs w:val="24"/>
          <w:highlight w:val="none"/>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color w:val="auto"/>
          <w:sz w:val="24"/>
          <w:highlight w:val="none"/>
        </w:rPr>
        <w:t>▲如以联合体形式参加政府采购活动的，联合体协议不符合招标文件规定的联合体协议要求的，投标无效。</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theme="minorBidi"/>
          <w:color w:val="auto"/>
          <w:kern w:val="2"/>
          <w:sz w:val="24"/>
          <w:szCs w:val="22"/>
          <w:highlight w:val="none"/>
          <w:lang w:val="zh-CN" w:eastAsia="zh-CN" w:bidi="ar-SA"/>
        </w:rPr>
      </w:pPr>
      <w:r>
        <w:rPr>
          <w:rFonts w:hint="eastAsia" w:ascii="仿宋" w:hAnsi="仿宋" w:eastAsia="仿宋" w:cstheme="minorBidi"/>
          <w:color w:val="auto"/>
          <w:kern w:val="2"/>
          <w:sz w:val="24"/>
          <w:szCs w:val="22"/>
          <w:highlight w:val="none"/>
          <w:lang w:val="zh-CN" w:eastAsia="zh-CN" w:bidi="ar-SA"/>
        </w:rPr>
        <w:t>11.3.4资信文件：</w:t>
      </w:r>
      <w:r>
        <w:rPr>
          <w:rFonts w:hint="eastAsia" w:ascii="仿宋" w:hAnsi="仿宋" w:eastAsia="仿宋"/>
          <w:color w:val="auto"/>
          <w:sz w:val="24"/>
          <w:highlight w:val="none"/>
        </w:rPr>
        <w:t>根据招标文件第四部分具体评</w:t>
      </w:r>
      <w:r>
        <w:rPr>
          <w:rFonts w:hint="eastAsia" w:ascii="仿宋" w:hAnsi="仿宋" w:eastAsia="仿宋"/>
          <w:color w:val="auto"/>
          <w:sz w:val="24"/>
          <w:highlight w:val="none"/>
          <w:lang w:eastAsia="zh-CN"/>
        </w:rPr>
        <w:t>分</w:t>
      </w:r>
      <w:r>
        <w:rPr>
          <w:rFonts w:hint="eastAsia" w:ascii="仿宋" w:hAnsi="仿宋" w:eastAsia="仿宋"/>
          <w:color w:val="auto"/>
          <w:sz w:val="24"/>
          <w:highlight w:val="none"/>
        </w:rPr>
        <w:t>标准提供</w:t>
      </w:r>
      <w:r>
        <w:rPr>
          <w:rFonts w:hint="eastAsia" w:ascii="仿宋" w:hAnsi="仿宋" w:eastAsia="仿宋" w:cstheme="minorBidi"/>
          <w:color w:val="auto"/>
          <w:kern w:val="2"/>
          <w:sz w:val="24"/>
          <w:szCs w:val="22"/>
          <w:highlight w:val="none"/>
          <w:lang w:val="zh-CN" w:eastAsia="zh-CN" w:bidi="ar-SA"/>
        </w:rPr>
        <w:t>；</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theme="minorBidi"/>
          <w:color w:val="auto"/>
          <w:kern w:val="2"/>
          <w:sz w:val="24"/>
          <w:szCs w:val="22"/>
          <w:highlight w:val="none"/>
          <w:lang w:val="zh-CN" w:eastAsia="zh-CN" w:bidi="ar-SA"/>
        </w:rPr>
      </w:pPr>
      <w:r>
        <w:rPr>
          <w:rFonts w:hint="eastAsia" w:ascii="仿宋" w:hAnsi="仿宋" w:eastAsia="仿宋" w:cstheme="minorBidi"/>
          <w:color w:val="auto"/>
          <w:kern w:val="2"/>
          <w:sz w:val="24"/>
          <w:szCs w:val="22"/>
          <w:highlight w:val="none"/>
          <w:lang w:val="zh-CN" w:eastAsia="zh-CN" w:bidi="ar-SA"/>
        </w:rPr>
        <w:t>11.3.5主要业绩证明材料，包括：企业业绩和人员业绩；</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theme="minorBidi"/>
          <w:color w:val="auto"/>
          <w:kern w:val="2"/>
          <w:sz w:val="24"/>
          <w:szCs w:val="22"/>
          <w:highlight w:val="none"/>
          <w:lang w:val="zh-CN" w:eastAsia="zh-CN" w:bidi="ar-SA"/>
        </w:rPr>
      </w:pPr>
      <w:r>
        <w:rPr>
          <w:rFonts w:hint="eastAsia" w:ascii="仿宋" w:hAnsi="仿宋" w:eastAsia="仿宋" w:cstheme="minorBidi"/>
          <w:color w:val="auto"/>
          <w:kern w:val="2"/>
          <w:sz w:val="24"/>
          <w:szCs w:val="22"/>
          <w:highlight w:val="none"/>
          <w:lang w:val="zh-CN" w:eastAsia="zh-CN" w:bidi="ar-SA"/>
        </w:rPr>
        <w:t>如以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val="zh-CN"/>
        </w:rPr>
        <w:t xml:space="preserve">投标人认为需要的其他商务文件或说明，包括（但不限于）以下内容：交货期、地点、付款方式等的响应情况； </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lang w:val="en-US" w:eastAsia="zh-CN"/>
        </w:rPr>
        <w:t>7</w:t>
      </w:r>
      <w:r>
        <w:rPr>
          <w:rFonts w:hint="eastAsia" w:ascii="仿宋" w:hAnsi="仿宋" w:eastAsia="仿宋" w:cs="仿宋"/>
          <w:bCs/>
          <w:color w:val="auto"/>
          <w:kern w:val="0"/>
          <w:sz w:val="24"/>
          <w:highlight w:val="none"/>
          <w:lang w:val="en-US" w:eastAsia="zh-CN"/>
        </w:rPr>
        <w:t>技术方案，包括</w:t>
      </w:r>
      <w:r>
        <w:rPr>
          <w:rFonts w:hint="eastAsia" w:ascii="仿宋" w:hAnsi="仿宋" w:eastAsia="仿宋" w:cs="仿宋_GB2312"/>
          <w:color w:val="auto"/>
          <w:sz w:val="24"/>
          <w:highlight w:val="none"/>
          <w:lang w:val="zh-CN"/>
        </w:rPr>
        <w:t>：实施方案，检测方法，拟投入的设备等；</w:t>
      </w:r>
    </w:p>
    <w:p>
      <w:pPr>
        <w:pStyle w:val="11"/>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所有表述均应采用中文，如当前公布的技术指标只有英文表述的，必须由投标人作出中文注释（评审时以中文注释为准</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cs="仿宋_GB2312"/>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评标委员会技术扣分直至认定为投标无效都将是投标人的责任</w:t>
      </w:r>
      <w:r>
        <w:rPr>
          <w:rFonts w:hint="eastAsia" w:ascii="仿宋" w:hAnsi="仿宋" w:eastAsia="仿宋" w:cs="仿宋_GB2312"/>
          <w:color w:val="auto"/>
          <w:sz w:val="24"/>
          <w:highlight w:val="none"/>
        </w:rPr>
        <w:t>。</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11.3.8技术偏离说明表。投标人在投标文件技术偏离说明表中，应对采购需求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lang w:val="en-US" w:eastAsia="zh-CN"/>
        </w:rPr>
        <w:t>9</w:t>
      </w:r>
      <w:r>
        <w:rPr>
          <w:rFonts w:hint="eastAsia" w:ascii="仿宋" w:hAnsi="仿宋" w:eastAsia="仿宋" w:cs="仿宋_GB2312"/>
          <w:color w:val="auto"/>
          <w:sz w:val="24"/>
          <w:highlight w:val="none"/>
          <w:lang w:val="zh-CN"/>
        </w:rPr>
        <w:t>针对本项目的进度计划</w:t>
      </w:r>
      <w:r>
        <w:rPr>
          <w:rFonts w:hint="eastAsia" w:ascii="仿宋" w:hAnsi="仿宋" w:eastAsia="仿宋" w:cs="仿宋_GB2312"/>
          <w:color w:val="auto"/>
          <w:sz w:val="24"/>
          <w:highlight w:val="none"/>
          <w:lang w:val="zh-CN" w:eastAsia="zh-CN"/>
        </w:rPr>
        <w:t>及进度保障措施；</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lang w:val="zh-CN"/>
        </w:rPr>
        <w:t>针对本项目的服务质量的保证措施</w:t>
      </w:r>
      <w:r>
        <w:rPr>
          <w:rFonts w:hint="eastAsia" w:ascii="仿宋" w:hAnsi="仿宋" w:eastAsia="仿宋" w:cs="仿宋_GB2312"/>
          <w:color w:val="auto"/>
          <w:sz w:val="24"/>
          <w:highlight w:val="none"/>
          <w:lang w:val="zh-CN" w:eastAsia="zh-CN"/>
        </w:rPr>
        <w:t>；</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11.3.11针对本项目安全文明施工及保障措施，交通配合措施；</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11.3.12售后及质保；</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lang w:val="en-US" w:eastAsia="zh-CN"/>
        </w:rPr>
        <w:t>13</w:t>
      </w:r>
      <w:r>
        <w:rPr>
          <w:rFonts w:hint="eastAsia" w:ascii="仿宋" w:hAnsi="仿宋" w:eastAsia="仿宋" w:cs="仿宋_GB2312"/>
          <w:color w:val="auto"/>
          <w:sz w:val="24"/>
          <w:highlight w:val="none"/>
          <w:lang w:val="zh-CN"/>
        </w:rPr>
        <w:t>针对本项目的人员配置。每个专业人员的情况和人员数应该明确表示，明确各阶段投入人数，在提交的投标文件中安排的人员，须为公司的固定职员；</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11.3.1</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lang w:val="zh-CN"/>
        </w:rPr>
        <w:t>投标人认为需要的其他技术文件或说明；</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lang w:val="zh-CN"/>
        </w:rPr>
        <w:t>关于对招标文件商务、合同中有关条款的拒绝声明（如果有）；</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val="zh-CN"/>
        </w:rPr>
        <w:t>关于招标文件中有关无效标条款的声明。</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b/>
          <w:color w:val="auto"/>
          <w:sz w:val="24"/>
          <w:highlight w:val="none"/>
        </w:rPr>
      </w:pPr>
      <w:r>
        <w:rPr>
          <w:rFonts w:hint="eastAsia" w:ascii="仿宋" w:hAnsi="仿宋" w:eastAsia="仿宋"/>
          <w:b/>
          <w:color w:val="auto"/>
          <w:sz w:val="24"/>
          <w:highlight w:val="none"/>
        </w:rPr>
        <w:t>▲投标人提供虚假材料投标的，投标无效。</w:t>
      </w:r>
    </w:p>
    <w:p>
      <w:pPr>
        <w:pStyle w:val="29"/>
        <w:snapToGrid w:val="0"/>
        <w:ind w:firstLine="482"/>
        <w:outlineLvl w:val="0"/>
        <w:rPr>
          <w:rFonts w:ascii="仿宋" w:hAnsi="仿宋" w:eastAsia="仿宋" w:cs="仿宋_GB2312"/>
          <w:b/>
          <w:color w:val="auto"/>
          <w:szCs w:val="24"/>
          <w:highlight w:val="none"/>
        </w:rPr>
      </w:pPr>
      <w:bookmarkStart w:id="4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bookmarkEnd w:id="48"/>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投标文件为电子投标文件。按“政采云供应商项目采购-电子招投标操作指南”及本招标文件要求制作、加密并递交。</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13.投标文件的签署、盖章</w:t>
      </w:r>
    </w:p>
    <w:p>
      <w:pPr>
        <w:pStyle w:val="29"/>
        <w:snapToGrid w:val="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投标文件按照招标文件第六部分格式要</w:t>
      </w:r>
      <w:r>
        <w:rPr>
          <w:rFonts w:hint="eastAsia" w:ascii="仿宋" w:hAnsi="仿宋" w:eastAsia="仿宋" w:cs="仿宋_GB2312"/>
          <w:color w:val="auto"/>
          <w:highlight w:val="none"/>
        </w:rPr>
        <w:t>求进行签署、CA签章。</w:t>
      </w:r>
    </w:p>
    <w:p>
      <w:pPr>
        <w:pStyle w:val="29"/>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 投标文件的提交</w:t>
      </w:r>
    </w:p>
    <w:p>
      <w:pPr>
        <w:pStyle w:val="29"/>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14.1</w:t>
      </w:r>
      <w:r>
        <w:rPr>
          <w:rFonts w:hint="eastAsia" w:ascii="仿宋" w:hAnsi="仿宋" w:eastAsia="仿宋" w:cs="仿宋_GB2312"/>
          <w:color w:val="auto"/>
          <w:highlight w:val="none"/>
        </w:rPr>
        <w:t>投标人应按“招标公告”规定的时间、方式将投标文件提交给</w:t>
      </w:r>
      <w:r>
        <w:rPr>
          <w:rFonts w:hint="eastAsia" w:ascii="仿宋" w:hAnsi="仿宋" w:eastAsia="仿宋" w:cs="仿宋_GB2312"/>
          <w:color w:val="auto"/>
          <w:szCs w:val="24"/>
          <w:highlight w:val="none"/>
        </w:rPr>
        <w:t>采购代理机构</w:t>
      </w:r>
      <w:r>
        <w:rPr>
          <w:rFonts w:hint="eastAsia" w:ascii="仿宋" w:hAnsi="仿宋" w:eastAsia="仿宋" w:cs="仿宋_GB2312"/>
          <w:color w:val="auto"/>
          <w:highlight w:val="none"/>
        </w:rPr>
        <w:t>，</w:t>
      </w:r>
      <w:r>
        <w:rPr>
          <w:rFonts w:hint="eastAsia" w:ascii="仿宋" w:hAnsi="仿宋" w:eastAsia="仿宋" w:cs="仿宋_GB2312"/>
          <w:color w:val="auto"/>
          <w:szCs w:val="24"/>
          <w:highlight w:val="none"/>
        </w:rPr>
        <w:t>采购代理机构</w:t>
      </w:r>
      <w:r>
        <w:rPr>
          <w:rFonts w:hint="eastAsia" w:ascii="仿宋" w:hAnsi="仿宋" w:eastAsia="仿宋" w:cs="仿宋_GB2312"/>
          <w:color w:val="auto"/>
          <w:highlight w:val="none"/>
        </w:rPr>
        <w:t>将拒绝接受逾期送达的投标文件。目前政府采购全流程电子化交易，供应商应准备电子投标文件。电子投标文件按政采云平台项目采购-电子招投标操作指南及本招标文件要求递交。</w:t>
      </w:r>
    </w:p>
    <w:p>
      <w:pPr>
        <w:pStyle w:val="29"/>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14.2采购代理机构可以视情况延长投标文件提交的截止时间。在上述情况下，采购代理机构与投标人以前在投标截止期方面的全部权利、责任和义务，将适用于延长至新的投标截止期。</w:t>
      </w:r>
    </w:p>
    <w:bookmarkEnd w:id="43"/>
    <w:bookmarkEnd w:id="44"/>
    <w:p>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15. 投标文件的补充、修改、撤回</w:t>
      </w:r>
    </w:p>
    <w:p>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9"/>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pPr>
        <w:pStyle w:val="1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第13项规定</w:t>
      </w:r>
      <w:r>
        <w:rPr>
          <w:rFonts w:hint="eastAsia" w:ascii="仿宋" w:hAnsi="仿宋" w:eastAsia="仿宋" w:cs="仿宋_GB2312"/>
          <w:color w:val="auto"/>
          <w:szCs w:val="21"/>
          <w:highlight w:val="none"/>
        </w:rPr>
        <w:t>的情形之一的，投标无效：</w:t>
      </w:r>
    </w:p>
    <w:p>
      <w:pPr>
        <w:pStyle w:val="29"/>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17.1投标有效期为从提交投标文件的截止之日起90天。▲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29"/>
        <w:ind w:firstLine="480"/>
        <w:rPr>
          <w:rFonts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w:t>
      </w:r>
    </w:p>
    <w:p>
      <w:pPr>
        <w:pStyle w:val="29"/>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9"/>
        <w:ind w:firstLine="480"/>
        <w:rPr>
          <w:rFonts w:ascii="仿宋" w:hAnsi="仿宋" w:eastAsia="仿宋" w:cs="仿宋_GB2312"/>
          <w:color w:val="auto"/>
          <w:highlight w:val="none"/>
        </w:rPr>
      </w:pPr>
    </w:p>
    <w:p>
      <w:pPr>
        <w:pStyle w:val="29"/>
        <w:ind w:firstLine="0" w:firstLineChars="0"/>
        <w:jc w:val="center"/>
        <w:rPr>
          <w:rFonts w:ascii="仿宋" w:hAnsi="仿宋" w:eastAsia="仿宋" w:cs="仿宋_GB2312"/>
          <w:b/>
          <w:color w:val="auto"/>
          <w:sz w:val="32"/>
          <w:highlight w:val="none"/>
        </w:rPr>
      </w:pPr>
      <w:bookmarkStart w:id="49" w:name="_Toc91899897"/>
      <w:r>
        <w:rPr>
          <w:rFonts w:hint="eastAsia" w:ascii="仿宋" w:hAnsi="仿宋" w:eastAsia="仿宋" w:cs="仿宋_GB2312"/>
          <w:b/>
          <w:color w:val="auto"/>
          <w:sz w:val="32"/>
          <w:highlight w:val="none"/>
        </w:rPr>
        <w:t>四、开评标</w:t>
      </w:r>
      <w:bookmarkEnd w:id="49"/>
      <w:r>
        <w:rPr>
          <w:rFonts w:hint="eastAsia" w:ascii="仿宋" w:hAnsi="仿宋" w:eastAsia="仿宋" w:cs="仿宋_GB2312"/>
          <w:b/>
          <w:color w:val="auto"/>
          <w:sz w:val="32"/>
          <w:highlight w:val="none"/>
        </w:rPr>
        <w:t>程序</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18.组织开标程序</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招标方将按照招标文件规定的时间、地点和程序组织开标，各投标人无须参加现场开标会议，请自行登录政采云平台关注开标信息。</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18.1.开标会由招标方主持，主持人介绍开标现场的人员情况，宣读递交投标文件的投标人名单、开标纪律、应当回避的情形等注意事项。</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18.2.电子招投标开标及评审程序</w:t>
      </w:r>
    </w:p>
    <w:p>
      <w:pPr>
        <w:pStyle w:val="30"/>
        <w:spacing w:before="0" w:line="360" w:lineRule="auto"/>
        <w:ind w:left="0" w:firstLine="482" w:firstLineChars="200"/>
        <w:contextualSpacing/>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18.2.1投标截止时间后，投标人登录政采云平台，用“项目采购-开标评标”功能对电子投标文件进行在线解密。在线解密电子投标文件时间为开标时间起半个小时内。</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18.2.2采购人或代理机构对资格文件进行评审；</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18.2.3评标委员会对商务技术文件进行评审；</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18.2.4在系统上公开资格和商务技术评审结果；</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18.2.5在系统上公开报价开标情况；</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18.2.6评标委员会对报价情况进行评审；</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18.2.7在系统上公布评审结果。</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18.3.特别说明：</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18.3.1政采云公司如对电子化开标及评审程序有调整的，按调整后的程序操作。</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18.3.2目前政府采购全流程电子化交易，投标人须在规定时间内自行解密。</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18.3.3本项目原则上采用政采云电子招投标开标及评审程序，但有下情形之一的，按以下情况处理：</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18.3.3.1若个别投标人在规定时间内无法解密或解密失败的作无效投标处理。解密成功的投标人不足三家的，本项目流标重新组织采购活动。</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18.3.3.2若因政采云平台原因无法读取或电子开评标无法正常进行，</w:t>
      </w:r>
      <w:r>
        <w:rPr>
          <w:rFonts w:hint="eastAsia" w:ascii="仿宋" w:hAnsi="仿宋" w:eastAsia="仿宋" w:cs="仿宋_GB2312"/>
          <w:color w:val="auto"/>
          <w:sz w:val="24"/>
          <w:highlight w:val="none"/>
          <w:lang w:val="en-US" w:eastAsia="zh-CN"/>
        </w:rPr>
        <w:t>招标代理机构</w:t>
      </w:r>
      <w:r>
        <w:rPr>
          <w:rFonts w:hint="eastAsia" w:ascii="仿宋" w:hAnsi="仿宋" w:eastAsia="仿宋" w:cs="仿宋_GB2312"/>
          <w:color w:val="auto"/>
          <w:sz w:val="24"/>
          <w:highlight w:val="none"/>
        </w:rPr>
        <w:t>将情况上报行业监管部门同意后，重新组织采购活动。</w:t>
      </w:r>
    </w:p>
    <w:p>
      <w:pPr>
        <w:pStyle w:val="30"/>
        <w:spacing w:before="0" w:line="360" w:lineRule="auto"/>
        <w:ind w:left="0" w:firstLine="480" w:firstLineChars="200"/>
        <w:contextualSpacing/>
        <w:rPr>
          <w:rFonts w:ascii="仿宋" w:hAnsi="仿宋" w:eastAsia="仿宋" w:cs="仿宋_GB2312"/>
          <w:color w:val="auto"/>
          <w:sz w:val="24"/>
          <w:highlight w:val="none"/>
        </w:rPr>
      </w:pPr>
    </w:p>
    <w:p>
      <w:pPr>
        <w:snapToGrid w:val="0"/>
        <w:spacing w:line="360" w:lineRule="auto"/>
        <w:jc w:val="center"/>
        <w:outlineLvl w:val="0"/>
        <w:rPr>
          <w:rFonts w:ascii="仿宋" w:hAnsi="仿宋" w:eastAsia="仿宋" w:cs="仿宋_GB2312"/>
          <w:b/>
          <w:color w:val="auto"/>
          <w:sz w:val="32"/>
          <w:szCs w:val="32"/>
          <w:highlight w:val="none"/>
        </w:rPr>
      </w:pPr>
      <w:bookmarkStart w:id="50" w:name="_Hlt75236101"/>
      <w:bookmarkEnd w:id="50"/>
      <w:bookmarkStart w:id="51" w:name="_Toc91899902"/>
      <w:r>
        <w:rPr>
          <w:rFonts w:hint="eastAsia" w:ascii="仿宋" w:hAnsi="仿宋" w:eastAsia="仿宋" w:cs="仿宋_GB2312"/>
          <w:b/>
          <w:color w:val="auto"/>
          <w:sz w:val="32"/>
          <w:szCs w:val="32"/>
          <w:highlight w:val="none"/>
        </w:rPr>
        <w:t>五、评标</w:t>
      </w:r>
      <w:bookmarkEnd w:id="51"/>
    </w:p>
    <w:p>
      <w:pPr>
        <w:spacing w:line="360" w:lineRule="auto"/>
        <w:ind w:firstLine="482" w:firstLineChars="200"/>
        <w:rPr>
          <w:rFonts w:ascii="仿宋" w:hAnsi="仿宋" w:eastAsia="仿宋" w:cs="仿宋_GB2312"/>
          <w:b/>
          <w:color w:val="auto"/>
          <w:sz w:val="24"/>
          <w:highlight w:val="none"/>
        </w:rPr>
      </w:pPr>
      <w:bookmarkStart w:id="52" w:name="_Toc91899903"/>
      <w:r>
        <w:rPr>
          <w:rFonts w:hint="eastAsia" w:ascii="仿宋" w:hAnsi="仿宋" w:eastAsia="仿宋" w:cs="仿宋_GB2312"/>
          <w:b/>
          <w:color w:val="auto"/>
          <w:sz w:val="24"/>
          <w:highlight w:val="none"/>
        </w:rPr>
        <w:t>19.</w:t>
      </w:r>
      <w:r>
        <w:rPr>
          <w:rFonts w:hint="eastAsia"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详见招标文件第四部分“评标方法及评分标准”。</w:t>
      </w:r>
    </w:p>
    <w:p>
      <w:pPr>
        <w:spacing w:line="360" w:lineRule="auto"/>
        <w:ind w:firstLine="482" w:firstLineChars="200"/>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2"/>
          <w:szCs w:val="32"/>
          <w:highlight w:val="none"/>
        </w:rPr>
        <w:t>六、定 标</w:t>
      </w:r>
    </w:p>
    <w:p>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20. 确定中标供应商</w:t>
      </w:r>
    </w:p>
    <w:p>
      <w:pPr>
        <w:pStyle w:val="29"/>
        <w:snapToGrid w:val="0"/>
        <w:ind w:firstLine="480"/>
        <w:rPr>
          <w:rFonts w:ascii="仿宋" w:hAnsi="仿宋" w:eastAsia="仿宋" w:cs="仿宋_GB2312"/>
          <w:b/>
          <w:color w:val="auto"/>
          <w:spacing w:val="-6"/>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w:t>
      </w:r>
      <w:r>
        <w:rPr>
          <w:rFonts w:hint="eastAsia" w:ascii="仿宋" w:hAnsi="仿宋" w:eastAsia="仿宋" w:cs="仿宋_GB2312"/>
          <w:color w:val="auto"/>
          <w:spacing w:val="-6"/>
          <w:szCs w:val="24"/>
          <w:highlight w:val="none"/>
        </w:rPr>
        <w:t>收到评审报告之日起5个工作日内在评审报告推荐的中标候选人中按顺序确定中标供应商。</w:t>
      </w:r>
    </w:p>
    <w:p>
      <w:pPr>
        <w:pStyle w:val="29"/>
        <w:snapToGrid w:val="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中标通知与中标结果公告</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21.2</w:t>
      </w:r>
      <w:r>
        <w:rPr>
          <w:rFonts w:ascii="仿宋" w:hAnsi="仿宋" w:eastAsia="仿宋" w:cs="仿宋_GB2312"/>
          <w:color w:val="auto"/>
          <w:sz w:val="24"/>
          <w:highlight w:val="none"/>
        </w:rPr>
        <w:t>中标结果公告内容包括采购人及其委托的</w:t>
      </w:r>
      <w:r>
        <w:rPr>
          <w:rFonts w:hint="eastAsia" w:ascii="仿宋" w:hAnsi="仿宋" w:eastAsia="仿宋" w:cs="仿宋_GB2312"/>
          <w:color w:val="auto"/>
          <w:sz w:val="24"/>
          <w:highlight w:val="none"/>
        </w:rPr>
        <w:t>采购代理机构</w:t>
      </w:r>
      <w:r>
        <w:rPr>
          <w:rFonts w:ascii="仿宋" w:hAnsi="仿宋" w:eastAsia="仿宋" w:cs="仿宋_GB2312"/>
          <w:color w:val="auto"/>
          <w:sz w:val="24"/>
          <w:highlight w:val="none"/>
        </w:rPr>
        <w:t>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21.3</w:t>
      </w:r>
      <w:r>
        <w:rPr>
          <w:rFonts w:ascii="仿宋" w:hAnsi="仿宋" w:eastAsia="仿宋" w:cs="仿宋_GB2312"/>
          <w:color w:val="auto"/>
          <w:sz w:val="24"/>
          <w:highlight w:val="none"/>
        </w:rPr>
        <w:t>公告期限为1个工作日。</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22. </w:t>
      </w:r>
      <w:r>
        <w:rPr>
          <w:rFonts w:hint="eastAsia" w:ascii="仿宋" w:hAnsi="仿宋" w:eastAsia="仿宋" w:cs="仿宋_GB2312"/>
          <w:color w:val="auto"/>
          <w:highlight w:val="none"/>
        </w:rPr>
        <w:t>合同主要条款详见第五部分拟签订的合同文本。</w:t>
      </w:r>
    </w:p>
    <w:p>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23. 合同的签订</w:t>
      </w:r>
    </w:p>
    <w:p>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23.1</w:t>
      </w:r>
      <w:r>
        <w:rPr>
          <w:rFonts w:hint="eastAsia" w:ascii="仿宋" w:hAnsi="仿宋" w:eastAsia="仿宋" w:cs="Arial"/>
          <w:color w:val="auto"/>
          <w:kern w:val="0"/>
          <w:sz w:val="24"/>
          <w:highlight w:val="none"/>
        </w:rPr>
        <w:t xml:space="preserve"> 采购人与中标人应当在中标通知书发出之日起三十日内，按照招标文件确定的事项签订政府采购合同。</w:t>
      </w:r>
    </w:p>
    <w:p>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
          <w:color w:val="auto"/>
          <w:sz w:val="24"/>
          <w:highlight w:val="none"/>
          <w:shd w:val="clear" w:color="auto" w:fill="FFFFFF"/>
        </w:rPr>
        <w:t>采购人应当自政府采购合同签订之日起</w:t>
      </w:r>
      <w:r>
        <w:rPr>
          <w:rFonts w:ascii="仿宋" w:hAnsi="仿宋" w:eastAsia="仿宋" w:cs="仿宋"/>
          <w:color w:val="auto"/>
          <w:sz w:val="24"/>
          <w:highlight w:val="none"/>
          <w:shd w:val="clear" w:color="auto" w:fill="FFFFFF"/>
        </w:rPr>
        <w:t>2</w:t>
      </w:r>
      <w:r>
        <w:rPr>
          <w:rFonts w:hint="eastAsia" w:ascii="仿宋" w:hAnsi="仿宋" w:eastAsia="仿宋" w:cs="仿宋"/>
          <w:color w:val="auto"/>
          <w:sz w:val="24"/>
          <w:highlight w:val="none"/>
          <w:shd w:val="clear" w:color="auto" w:fill="FFFFFF"/>
        </w:rPr>
        <w:t>个工作日内，将政府采购合同在省级以上人民政府财政部门指定的媒体上公告，但政府采购合同中涉及国家秘密、商业秘密的内容除外。</w:t>
      </w:r>
      <w:r>
        <w:rPr>
          <w:rFonts w:hint="eastAsia" w:ascii="仿宋" w:hAnsi="仿宋" w:eastAsia="仿宋" w:cs="仿宋"/>
          <w:color w:val="auto"/>
          <w:kern w:val="0"/>
          <w:sz w:val="24"/>
          <w:highlight w:val="none"/>
        </w:rPr>
        <w:t>政府采购项目的采购合同自签订之日起七个工作日内，采购人应当将合同副本报同级政府采购监督管理部门和有关部门备案。</w:t>
      </w:r>
    </w:p>
    <w:p>
      <w:pPr>
        <w:pStyle w:val="29"/>
        <w:snapToGrid w:val="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w:t>
      </w:r>
      <w:r>
        <w:rPr>
          <w:rFonts w:hint="eastAsia" w:ascii="仿宋" w:hAnsi="仿宋" w:eastAsia="仿宋" w:cs="仿宋_GB2312"/>
          <w:color w:val="auto"/>
          <w:kern w:val="0"/>
          <w:highlight w:val="none"/>
        </w:rPr>
        <w:t>3</w:t>
      </w:r>
      <w:r>
        <w:rPr>
          <w:rFonts w:hint="eastAsia" w:ascii="仿宋" w:hAnsi="仿宋" w:eastAsia="仿宋" w:cs="仿宋_GB2312"/>
          <w:color w:val="auto"/>
          <w:kern w:val="0"/>
          <w:highlight w:val="none"/>
          <w:lang w:val="zh-CN"/>
        </w:rPr>
        <w:t>.2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9"/>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23.3如签订合同并生效后，供应商无故拒绝或延期，除按照合同条款处理外，列入不良行为记录一次，并给予通报。</w:t>
      </w:r>
    </w:p>
    <w:p>
      <w:pPr>
        <w:pStyle w:val="29"/>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23.4中标供应商拒绝与采购人签订合同的，采购人可以按照评审报告推荐的中标或者成交候选人名单排序，确定下一候选人为中标供应商，也可以重新开展政府采购活动。</w:t>
      </w:r>
    </w:p>
    <w:p>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24. 履约保证金</w:t>
      </w:r>
    </w:p>
    <w:p>
      <w:pPr>
        <w:tabs>
          <w:tab w:val="left" w:pos="0"/>
        </w:tabs>
        <w:spacing w:line="360" w:lineRule="auto"/>
        <w:ind w:firstLine="480" w:firstLineChars="200"/>
        <w:rPr>
          <w:rFonts w:ascii="仿宋" w:hAnsi="仿宋" w:eastAsia="仿宋"/>
          <w:b/>
          <w:bCs/>
          <w:color w:val="auto"/>
          <w:sz w:val="24"/>
          <w:highlight w:val="none"/>
        </w:rPr>
      </w:pPr>
      <w:r>
        <w:rPr>
          <w:rFonts w:hint="eastAsia" w:ascii="仿宋" w:hAnsi="仿宋" w:eastAsia="仿宋" w:cs="Helvetica"/>
          <w:color w:val="auto"/>
          <w:kern w:val="0"/>
          <w:sz w:val="24"/>
          <w:highlight w:val="none"/>
        </w:rPr>
        <w:t>拟签订的合同文本要求中标供应商提交履约保证金的，</w:t>
      </w:r>
      <w:r>
        <w:rPr>
          <w:rFonts w:hint="eastAsia" w:ascii="仿宋" w:hAnsi="仿宋" w:eastAsia="仿宋" w:cs="Helvetica"/>
          <w:b/>
          <w:bCs/>
          <w:color w:val="auto"/>
          <w:kern w:val="0"/>
          <w:sz w:val="24"/>
          <w:highlight w:val="none"/>
        </w:rPr>
        <w:t>供应商应当</w:t>
      </w:r>
      <w:r>
        <w:rPr>
          <w:rFonts w:hint="eastAsia" w:ascii="仿宋" w:hAnsi="仿宋" w:eastAsia="仿宋" w:cs="Helvetica"/>
          <w:b/>
          <w:bCs/>
          <w:color w:val="auto"/>
          <w:kern w:val="0"/>
          <w:sz w:val="24"/>
          <w:highlight w:val="none"/>
          <w:lang w:val="en-GB" w:eastAsia="zh-CN"/>
        </w:rPr>
        <w:t>以</w:t>
      </w:r>
      <w:r>
        <w:rPr>
          <w:rFonts w:hint="eastAsia" w:ascii="仿宋" w:hAnsi="仿宋" w:eastAsia="仿宋" w:cs="Helvetica"/>
          <w:b/>
          <w:bCs/>
          <w:color w:val="auto"/>
          <w:kern w:val="0"/>
          <w:sz w:val="24"/>
          <w:highlight w:val="none"/>
          <w:lang w:val="en-GB"/>
        </w:rPr>
        <w:t>现金、支票、汇票、转账、银行保函</w:t>
      </w:r>
      <w:r>
        <w:rPr>
          <w:rFonts w:hint="eastAsia" w:ascii="仿宋" w:hAnsi="仿宋" w:eastAsia="仿宋" w:cs="Helvetica"/>
          <w:b/>
          <w:bCs/>
          <w:color w:val="auto"/>
          <w:kern w:val="0"/>
          <w:sz w:val="24"/>
          <w:highlight w:val="none"/>
          <w:lang w:val="en-GB" w:eastAsia="zh-CN"/>
        </w:rPr>
        <w:t>形式缴纳</w:t>
      </w:r>
      <w:r>
        <w:rPr>
          <w:rFonts w:hint="eastAsia" w:ascii="仿宋" w:hAnsi="仿宋" w:eastAsia="仿宋" w:cs="Helvetica"/>
          <w:b/>
          <w:bCs/>
          <w:color w:val="auto"/>
          <w:kern w:val="0"/>
          <w:sz w:val="24"/>
          <w:highlight w:val="none"/>
          <w:lang w:val="en-GB"/>
        </w:rPr>
        <w:t>中标价</w:t>
      </w:r>
      <w:r>
        <w:rPr>
          <w:rFonts w:hint="eastAsia" w:ascii="仿宋" w:hAnsi="仿宋" w:eastAsia="仿宋" w:cs="Helvetica"/>
          <w:b/>
          <w:bCs/>
          <w:color w:val="auto"/>
          <w:kern w:val="0"/>
          <w:sz w:val="24"/>
          <w:highlight w:val="none"/>
          <w:lang w:val="en-GB" w:eastAsia="zh-CN"/>
        </w:rPr>
        <w:t>的</w:t>
      </w:r>
      <w:r>
        <w:rPr>
          <w:rFonts w:hint="eastAsia" w:ascii="仿宋" w:hAnsi="仿宋" w:eastAsia="仿宋" w:cs="Helvetica"/>
          <w:b/>
          <w:bCs/>
          <w:color w:val="auto"/>
          <w:kern w:val="0"/>
          <w:sz w:val="24"/>
          <w:highlight w:val="none"/>
          <w:lang w:val="en-US" w:eastAsia="zh-CN"/>
        </w:rPr>
        <w:t>5</w:t>
      </w:r>
      <w:r>
        <w:rPr>
          <w:rFonts w:hint="eastAsia" w:ascii="仿宋" w:hAnsi="仿宋" w:eastAsia="仿宋" w:cs="Helvetica"/>
          <w:b/>
          <w:bCs/>
          <w:color w:val="auto"/>
          <w:kern w:val="0"/>
          <w:sz w:val="24"/>
          <w:highlight w:val="none"/>
          <w:lang w:val="en-GB" w:eastAsia="zh-CN"/>
        </w:rPr>
        <w:t>%履约保证金</w:t>
      </w:r>
      <w:r>
        <w:rPr>
          <w:rFonts w:hint="eastAsia" w:ascii="仿宋" w:hAnsi="仿宋" w:eastAsia="仿宋" w:cs="Helvetica"/>
          <w:b/>
          <w:bCs/>
          <w:color w:val="auto"/>
          <w:kern w:val="0"/>
          <w:sz w:val="24"/>
          <w:highlight w:val="none"/>
        </w:rPr>
        <w:t>。</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八、验收</w:t>
      </w:r>
    </w:p>
    <w:p>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25.验收</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bookmarkEnd w:id="52"/>
    </w:p>
    <w:p>
      <w:pPr>
        <w:pStyle w:val="10"/>
        <w:numPr>
          <w:ilvl w:val="0"/>
          <w:numId w:val="5"/>
        </w:numPr>
        <w:jc w:val="center"/>
        <w:rPr>
          <w:rFonts w:hint="eastAsia" w:ascii="仿宋" w:hAnsi="仿宋" w:eastAsia="仿宋" w:cs="仿宋"/>
          <w:b/>
          <w:color w:val="auto"/>
          <w:sz w:val="32"/>
          <w:highlight w:val="none"/>
          <w:lang w:val="zh-CN"/>
        </w:rPr>
      </w:pPr>
      <w:r>
        <w:rPr>
          <w:rFonts w:hint="eastAsia" w:ascii="仿宋" w:hAnsi="仿宋" w:eastAsia="仿宋" w:cs="仿宋"/>
          <w:b/>
          <w:color w:val="auto"/>
          <w:sz w:val="32"/>
          <w:highlight w:val="none"/>
          <w:lang w:val="zh-CN"/>
        </w:rPr>
        <w:t>解释权</w:t>
      </w:r>
    </w:p>
    <w:p>
      <w:pPr>
        <w:pStyle w:val="10"/>
        <w:widowControl w:val="0"/>
        <w:numPr>
          <w:ilvl w:val="0"/>
          <w:numId w:val="0"/>
        </w:numPr>
        <w:spacing w:line="480" w:lineRule="exact"/>
        <w:jc w:val="both"/>
        <w:rPr>
          <w:rFonts w:hint="eastAsia" w:ascii="仿宋" w:hAnsi="仿宋" w:eastAsia="仿宋" w:cs="仿宋"/>
          <w:b/>
          <w:color w:val="auto"/>
          <w:sz w:val="32"/>
          <w:highlight w:val="none"/>
          <w:lang w:val="zh-CN"/>
        </w:rPr>
      </w:pPr>
    </w:p>
    <w:p>
      <w:pPr>
        <w:numPr>
          <w:ilvl w:val="0"/>
          <w:numId w:val="0"/>
        </w:num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lang w:val="zh-CN"/>
        </w:rPr>
        <w:t>.解释权</w:t>
      </w:r>
    </w:p>
    <w:p>
      <w:pPr>
        <w:pStyle w:val="10"/>
        <w:widowControl w:val="0"/>
        <w:numPr>
          <w:ilvl w:val="0"/>
          <w:numId w:val="0"/>
        </w:numPr>
        <w:spacing w:line="480" w:lineRule="exact"/>
        <w:ind w:firstLine="480" w:firstLineChars="200"/>
        <w:jc w:val="both"/>
        <w:rPr>
          <w:rFonts w:hint="eastAsia" w:ascii="仿宋" w:hAnsi="仿宋" w:eastAsia="仿宋" w:cs="Helvetica"/>
          <w:color w:val="auto"/>
          <w:kern w:val="0"/>
          <w:sz w:val="24"/>
          <w:szCs w:val="24"/>
          <w:highlight w:val="none"/>
          <w:lang w:val="zh-CN" w:eastAsia="zh-CN" w:bidi="ar-SA"/>
        </w:rPr>
        <w:sectPr>
          <w:footerReference r:id="rId7" w:type="default"/>
          <w:pgSz w:w="11906" w:h="16838"/>
          <w:pgMar w:top="1440" w:right="1274" w:bottom="1440" w:left="1560" w:header="930" w:footer="992" w:gutter="0"/>
          <w:pgNumType w:fmt="decimal"/>
          <w:cols w:space="425" w:num="1"/>
          <w:docGrid w:type="lines" w:linePitch="312" w:charSpace="0"/>
        </w:sectPr>
      </w:pPr>
      <w:r>
        <w:rPr>
          <w:rFonts w:hint="eastAsia" w:ascii="仿宋" w:hAnsi="仿宋" w:eastAsia="仿宋" w:cs="Helvetica"/>
          <w:color w:val="auto"/>
          <w:kern w:val="0"/>
          <w:sz w:val="24"/>
          <w:szCs w:val="24"/>
          <w:highlight w:val="none"/>
          <w:lang w:val="zh-CN" w:eastAsia="zh-CN" w:bidi="ar-SA"/>
        </w:rPr>
        <w:t>凡涉及本采购文件的解释权均属于杭州建设工程造价咨询有限公司和采购人。</w:t>
      </w:r>
    </w:p>
    <w:p>
      <w:pPr>
        <w:numPr>
          <w:ilvl w:val="0"/>
          <w:numId w:val="6"/>
        </w:numPr>
        <w:tabs>
          <w:tab w:val="left" w:pos="0"/>
        </w:tabs>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pPr>
        <w:spacing w:line="360" w:lineRule="auto"/>
        <w:rPr>
          <w:rFonts w:hint="eastAsia" w:ascii="仿宋" w:hAnsi="仿宋" w:eastAsia="仿宋" w:cs="仿宋"/>
          <w:b/>
          <w:color w:val="auto"/>
          <w:sz w:val="24"/>
          <w:szCs w:val="24"/>
          <w:highlight w:val="none"/>
        </w:rPr>
      </w:pPr>
      <w:bookmarkStart w:id="53" w:name="_Toc261948688"/>
      <w:bookmarkStart w:id="54" w:name="_Toc410993146"/>
      <w:bookmarkStart w:id="55" w:name="_Toc325717639"/>
      <w:bookmarkStart w:id="56" w:name="_Toc496604087"/>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采购资金的支付方式、时间、条件：</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履约（质量）保证金</w:t>
            </w:r>
          </w:p>
        </w:tc>
        <w:tc>
          <w:tcPr>
            <w:tcW w:w="7796"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中标人在签订合同时必须向采购人交纳中标总额</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5 </w:t>
            </w:r>
            <w:r>
              <w:rPr>
                <w:rFonts w:hint="eastAsia" w:ascii="仿宋" w:hAnsi="仿宋" w:eastAsia="仿宋" w:cs="仿宋"/>
                <w:color w:val="auto"/>
                <w:sz w:val="24"/>
                <w:szCs w:val="24"/>
                <w:highlight w:val="none"/>
              </w:rPr>
              <w:t>%</w:t>
            </w:r>
            <w:r>
              <w:rPr>
                <w:rFonts w:hint="eastAsia" w:ascii="仿宋" w:hAnsi="仿宋" w:eastAsia="仿宋" w:cs="仿宋"/>
                <w:snapToGrid w:val="0"/>
                <w:color w:val="auto"/>
                <w:sz w:val="24"/>
                <w:szCs w:val="24"/>
                <w:highlight w:val="none"/>
              </w:rPr>
              <w:t>的履约保证金。服务期满后，履约保证金自动转为质量保证金。质保期满后（服务期满后1年）无质量和服务问题，无息退还质量保证金（不计息）。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付款方式</w:t>
            </w:r>
          </w:p>
        </w:tc>
        <w:tc>
          <w:tcPr>
            <w:tcW w:w="7796" w:type="dxa"/>
            <w:tcBorders>
              <w:top w:val="single" w:color="auto" w:sz="4" w:space="0"/>
              <w:left w:val="single" w:color="auto" w:sz="4" w:space="0"/>
              <w:bottom w:val="single" w:color="auto" w:sz="4" w:space="0"/>
            </w:tcBorders>
            <w:noWrap w:val="0"/>
            <w:vAlign w:val="center"/>
          </w:tcPr>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付款方式：</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合同签订后30天内招标人向中标单位支付合同总价</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%的预付款；</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合同履约6个月，采购人支付至实际采购设施设备费用及应付巡查费总和的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0%（上述“实际采购设施设备费用及应付巡查费总和的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0%”包含提前支付的预付款）；</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合同履约12个月，采购人支付至实际采购设施设备费用及应付巡查费总和的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剩余费用待项目结束后由财政金融局进行审计后支付。</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除应急抢修任务（经招标同意后）以外，其它任务须在采购人任务书下达后方可施工，否则采购人有权拒绝支付工程款。</w:t>
            </w:r>
          </w:p>
          <w:p>
            <w:pPr>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项目在执行阶段结算费用不得超过中标单位的中标价，中标人有义务提醒采购人项目总价的实时统计情况，未尽到提醒义务的，若最终项目结束总价超过中标价的，多余费用由中标人自行承担。实际的工程量按实结算，最终以财政审计为准。</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、服务要求</w:t>
      </w:r>
      <w:r>
        <w:rPr>
          <w:rFonts w:hint="eastAsia" w:ascii="仿宋" w:hAnsi="仿宋" w:eastAsia="仿宋" w:cs="仿宋"/>
          <w:color w:val="auto"/>
          <w:spacing w:val="-6"/>
          <w:sz w:val="24"/>
          <w:szCs w:val="24"/>
          <w:highlight w:val="none"/>
        </w:rPr>
        <w:t>（技术要求里另有注明的以技术要求为准）</w:t>
      </w:r>
      <w:r>
        <w:rPr>
          <w:rFonts w:hint="eastAsia" w:ascii="仿宋" w:hAnsi="仿宋" w:eastAsia="仿宋" w:cs="仿宋"/>
          <w:color w:val="auto"/>
          <w:sz w:val="24"/>
          <w:szCs w:val="24"/>
          <w:highlight w:val="none"/>
        </w:rPr>
        <w:t>：</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服务期限</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货物质保期</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验收合格并交付使用后至少12个月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服务标准</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2.投标人应在杭州钱塘新区辖区内设有固定办公场所并配置至少1名管理人员（或承诺中标后设置），维修点须设在招标方附近，以处理所有的维修服务，须提供24小时服务。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3.如因产品质量不合格、放置、搬运、安装不到位、施工过程中、维护不到位等一切因中标人原因造成的人生或财产安全等所有后果与责任均由中标人承担。</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4．由于外力原因造成的损坏，需中标人负责维修，维修费用如发生重复索赔1次以上情况，一经发现中标人将赔付采购人索赔金额的2-5倍的罚款。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服务效率</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维修人员须在接到维修电话后1小时内赶到现场，提供不间断的服务直到结束。要求一般故障在2小时内、重大故障在24小时内修复。维修点须提供足够的备件以适应采购人维修需求（包括隔离护栏、警示桩、标志牌、锥桶等），投标人应在投标时明确维修点的人员配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交付时间和地点</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1、交货时间：合同签订后接到采购人《任务书》或通知后，在规定时间内完成安装、调试，并通过初验。不得在未接到采购人《任务书》或通知前进行安装施工，如若发现，采购人将不予支付货款。</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验收标准</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3.如中标人委托国内代理（或其他机构）负责安装或配合安装，应在签约时指明，但中标人仍要对合同货物及其安装质量负全部责任。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备品备件及耗材等要求</w:t>
            </w:r>
          </w:p>
        </w:tc>
        <w:tc>
          <w:tcPr>
            <w:tcW w:w="7797"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根据实际情况配备。</w:t>
            </w:r>
          </w:p>
        </w:tc>
      </w:tr>
    </w:tbl>
    <w:p>
      <w:pPr>
        <w:spacing w:line="360" w:lineRule="auto"/>
        <w:rPr>
          <w:rFonts w:hint="eastAsia" w:ascii="仿宋" w:hAnsi="仿宋" w:eastAsia="仿宋" w:cs="仿宋"/>
          <w:b/>
          <w:color w:val="auto"/>
          <w:sz w:val="24"/>
          <w:szCs w:val="24"/>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、技术要求（功能、目标、质量、安全、技术规格、物理特性等要求）</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1.项目名称：杭州钱塘新区综合行政执法局</w:t>
      </w:r>
      <w:r>
        <w:rPr>
          <w:rFonts w:hint="eastAsia" w:ascii="仿宋" w:hAnsi="仿宋" w:eastAsia="仿宋" w:cs="仿宋"/>
          <w:color w:val="auto"/>
          <w:sz w:val="24"/>
          <w:szCs w:val="24"/>
          <w:highlight w:val="none"/>
          <w:lang w:eastAsia="zh-CN"/>
        </w:rPr>
        <w:t>2021年钱塘新区</w:t>
      </w:r>
      <w:r>
        <w:rPr>
          <w:rFonts w:hint="eastAsia" w:ascii="仿宋" w:hAnsi="仿宋" w:eastAsia="仿宋" w:cs="仿宋"/>
          <w:color w:val="auto"/>
          <w:sz w:val="24"/>
          <w:szCs w:val="24"/>
          <w:highlight w:val="none"/>
        </w:rPr>
        <w:t>（下沙片区）交通设施养护服务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2.项目概况：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交通设施养护采用“巡查+零星工程”的模式。主要内容包括货款、完成施工、标准附件、备品备件、专用工具、包装、运输、装卸、保险、利润、税金、货到就位及安装、调试和试运行、保修、竣工验收、养护、设施保洁、巡查、备品备件、技术培训、售后服务及其他所需的一切等所有税金和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时，按招标文件提供的原材料清单中的最高限价的费率进行报价。如中标，项目最终实施的数量根据现场实际发生情况或采购人的需求进行确定,合同的最终结算金额按照最高限价*费率=每一项限价*实际的工程量*费率+巡查费*费率予以支付。付款规则详见招标文件中规定的付款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①最高限价包括完成所有产品供货及履行所有规定服务所产生的全部费用；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②投标采用费率（即1-投标优惠下浮百分比）报价；</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▲③投标报价采用统一费率（即所有货物费率均相同），报价出现不同费率，将被视为投标无效。</w:t>
      </w:r>
    </w:p>
    <w:p>
      <w:pPr>
        <w:numPr>
          <w:ilvl w:val="0"/>
          <w:numId w:val="7"/>
        </w:numPr>
        <w:spacing w:line="360" w:lineRule="auto"/>
        <w:rPr>
          <w:rFonts w:hint="eastAsia" w:ascii="仿宋" w:hAnsi="仿宋" w:eastAsia="仿宋" w:cs="仿宋"/>
          <w:b/>
          <w:color w:val="auto"/>
          <w:sz w:val="24"/>
          <w:szCs w:val="24"/>
          <w:highlight w:val="none"/>
        </w:rPr>
      </w:pPr>
      <w:bookmarkStart w:id="57" w:name="_Toc392016108"/>
      <w:r>
        <w:rPr>
          <w:rFonts w:hint="eastAsia" w:ascii="仿宋" w:hAnsi="仿宋" w:eastAsia="仿宋" w:cs="仿宋"/>
          <w:b/>
          <w:color w:val="auto"/>
          <w:sz w:val="24"/>
          <w:szCs w:val="24"/>
          <w:highlight w:val="none"/>
        </w:rPr>
        <w:t>原材料清单及常用货物清单</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标项1：原材料清单（详见Excel附表1）</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标项2：原材料清单（详见Excel附表2）</w:t>
      </w:r>
    </w:p>
    <w:p>
      <w:pPr>
        <w:spacing w:line="360" w:lineRule="auto"/>
        <w:rPr>
          <w:rFonts w:hint="eastAsia" w:ascii="仿宋" w:hAnsi="仿宋" w:eastAsia="仿宋" w:cs="仿宋"/>
          <w:b/>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（三）项目技术要求</w:t>
      </w:r>
      <w:bookmarkEnd w:id="57"/>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（一）技术规范包括但不限于以下规范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1）GB5768—2009《道路交通标志和标线》国家标准。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2）DB33/T 818—2010《城市道路交通标志和标线设置规范》省标。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3）GB/T16311—1996《道路交通标线质量要求和检测方法》国家标准。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4）JTJ001—2003《公路工程技术标准》行业标准。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5）JT/T279—1995《公路交通标志板技术条件》行业标准。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6）GB/T18833-2002《公路交通标志反光膜》行业标准。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7）GAT652—2007《公安交通管理外场设备》行业标准。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8）GB14887—2003《道路交通警示灯》国家标准。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9）GB7000.1—2003《灯具一般安全要求与试验》国家标准。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10）GB/T8417《灯光信号颜色》国家标准。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11）GB/T2423《电工电子产品环境试验》国家标准。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12）JT/T751-2009《翻板式可变标志》。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13）DBJ08-39-1994《道路交通管理设施设置技术规范》。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14）GB50009-2001《建筑结构荷载规范》。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15）GB50017《钢结构设计规范》。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16）J​T​G​_​F​4​0​-​2​0​0​4​《​公​路​沥​青​路​面​施​工​技​术​规​范​》。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17）GB2893-2008《安全色》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18）杭公交〔2010〕129号《杭州市城市道路交通设施设置细则》。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其他有效规范，上述规范如有更新按最新的规范执行。</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（二）主要原材料要求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中标人所用主要原材料均需提供质保单或产品质量合格证或权威机构的产品质量报告。</w:t>
      </w:r>
    </w:p>
    <w:p>
      <w:pPr>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2.如涉及</w:t>
      </w:r>
      <w:r>
        <w:rPr>
          <w:rFonts w:hint="eastAsia" w:ascii="仿宋" w:hAnsi="仿宋" w:eastAsia="仿宋" w:cs="仿宋"/>
          <w:color w:val="auto"/>
          <w:sz w:val="24"/>
          <w:szCs w:val="24"/>
          <w:highlight w:val="none"/>
          <w:shd w:val="clear" w:color="auto" w:fill="FFFFFF"/>
        </w:rPr>
        <w:t>交通部核发的</w:t>
      </w:r>
      <w:r>
        <w:rPr>
          <w:rFonts w:hint="eastAsia" w:ascii="仿宋" w:hAnsi="仿宋" w:eastAsia="仿宋" w:cs="仿宋"/>
          <w:b/>
          <w:color w:val="auto"/>
          <w:sz w:val="24"/>
          <w:szCs w:val="24"/>
          <w:highlight w:val="none"/>
          <w:u w:val="single"/>
          <w:shd w:val="clear" w:color="auto" w:fill="FFFFFF"/>
        </w:rPr>
        <w:t>交通工程产品批量生产安装准用证书</w:t>
      </w:r>
      <w:r>
        <w:rPr>
          <w:rFonts w:hint="eastAsia" w:ascii="仿宋" w:hAnsi="仿宋" w:eastAsia="仿宋" w:cs="仿宋"/>
          <w:color w:val="auto"/>
          <w:sz w:val="24"/>
          <w:szCs w:val="24"/>
          <w:highlight w:val="none"/>
          <w:shd w:val="clear" w:color="auto" w:fill="FFFFFF"/>
        </w:rPr>
        <w:t>或交通运输部颁发的</w:t>
      </w:r>
      <w:r>
        <w:rPr>
          <w:rFonts w:hint="eastAsia" w:ascii="仿宋" w:hAnsi="仿宋" w:eastAsia="仿宋" w:cs="仿宋"/>
          <w:b/>
          <w:color w:val="auto"/>
          <w:sz w:val="24"/>
          <w:szCs w:val="24"/>
          <w:highlight w:val="none"/>
          <w:u w:val="single"/>
          <w:shd w:val="clear" w:color="auto" w:fill="FFFFFF"/>
        </w:rPr>
        <w:t>交通工程施工质量合格证书</w:t>
      </w:r>
      <w:r>
        <w:rPr>
          <w:rFonts w:hint="eastAsia" w:ascii="仿宋" w:hAnsi="仿宋" w:eastAsia="仿宋" w:cs="仿宋"/>
          <w:color w:val="auto"/>
          <w:sz w:val="24"/>
          <w:szCs w:val="24"/>
          <w:highlight w:val="none"/>
          <w:shd w:val="clear" w:color="auto" w:fill="FFFFFF"/>
        </w:rPr>
        <w:t>的，必须无条件满足。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3、除清单项目特征所述外，按国标、省标，各设施至少有如下要求：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（1）标志材料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交通标志由标志板和支撑件两部分组成。标志板包括标志面、标志底板、滑槽和铆钉等部件，支撑件包括立柱、横梁、法兰盘、抱箍和紧固件等。交通标志及支撑件的技术要求及检测方法应符合《道路交通标志板及支撑件》（GB/T 23827）中相关规定。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B．无论内部照明、外部照明，标志钢构件、支撑灯具的构件等均应进行防腐处理；照明等器件应耐久可靠，性能优良，检修方便。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C．标志底板采用铝合金板材的性能应满足《一般工业用铝及铝合金板、带材第2部分：力学性能》(GB/T 3880.2)规定，采用薄钢板材质性能应符合《冷轧钢板和钢带的尺寸、外形、重量及允许偏差》(GB/T 708)、《连续热镀锌钢板及钢带》(GB/T 2518)、《碳素结构钢冷轧薄钢板及钢带》(GB/T 11253)等有关标准的规定。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D．交通标志立柱、H型钢、槽钢、钢管等钢构件材料，应符合现行《碳素结构钢》（GB/T 700）、《结构用无缝钢管》(GB/T 8162)、《直缝电焊钢管》(GB/T 13793)、《热轧H型钢和部分T型钢》(GB/T 11263)等规定的要求。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（2）标志配件材料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A．滑槽的材质应选择与标志底板性能相当的同类材料，铆钉材质和性能应符合《沉头铆钉》(GB/T 869)的有关要求，并尽可能与标志底板及滑槽的材质相匹配。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B．抱箍和紧固件应采用碳素结构钢或合金结构钢制作。紧固件的外形尺寸和机械性能应符合《紧固件螺栓、螺钉、螺柱和螺母通用技术条件》(GB/T 16938)、《紧固件机械性能》(GB/T 3098)等的规定。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C．交通标志配件应进行防腐处理，防腐层质量应符合《高速公路交通工程钢构件防腐技术条件》(GB/T 18226)的有关规定。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D．按照GB 5768.2规定，除另有规定的情况除外，标志面应采用逆反射材料制作或安装照明设施，也可根据地形、日照情况采用发光式。逆反射性能材料包括反光膜、反光涂料和反射器。标志面的逆反射材料主要为反光膜，反光膜的逆反射性能应符合现行《公路交通标志反光膜》(GB/T 18833)规定，并根据反射等级要求选择合适的反光膜颜色。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（3）标线材料</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A．道路交通标线应采用耐久性、反光性能良好的涂料，根据不同道路等级选取适当的标线材料。为预防交通事故的发生，采用反光标线。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B．路面交通标线涂料可分为溶剂型涂料标线、热熔型涂料标线、水性涂料标线、双组分涂料标线，各种涂料的性能应符合《路面标线涂料》(JT/T 280)规定。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C．路面采用彩色防滑标线时，标线涂料的色度性能应符合《安全色》(GB 2893)的要求，反光型路面标线涂料的逆反射系数应符合《道路交通标线质量要求和检测方法》(GB/T 16311)的规定。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D．预成型标线带（粘贴标线、雨夜防滑成型标线）材料由热塑性材料构成，热塑性材料一般为聚合材料、颜料及玻璃的均匀混合物，并在热塑性材料反光表面外嵌入玻璃珠层。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E．应在道路交通标线中添加玻璃微珠、雨夜反光陶瓷珠等填充材料，以提升道路安全等级，标线填充材料应符合《路面标线用玻璃珠》(JT 446)的要求。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（4）信号监控设施</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A．道路交通信号控制机能改变道路交通信号顺序、调节配时并控制道路交通信号灯运行，应具备完备的故障检测和自动诊断功能，发现故障后应采取适当措施以确保交通信号的安全，发出故障警示信号，信号机物理结构性能要求、电源电气装置要求及材料功能要求应符合《道路交通信号控制机》（GA 47）要求。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道路交通信号灯按照光源可分为白炽灯、低压卤钨灯、点阵式LED和大功率LED等几种规格类型，信号灯外壳一般采用铁、铝等金属材料或聚碳酸酯工程塑料、玻璃钢或其他工程塑料制成，信号灯的技术要求、试验方法、检验规则、安装要求应符合《道路交通信号灯》(GB14887)、《道路交通信号灯安装规范》(GB14886)规定。</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C．LED可变信息标志的技术要求、产品材质、实验方法等应符合《高速公路LED可变信息标志技术条件》(JT/T 431)、《高速公路LED可变信息标志》(GB/T 23823)的规定，可变信息标志的安装示例参考附录H。</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（5）防腐</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A．交通产品防腐技术主要有镀锌处理、纳米防腐处理、热喷铝（锌）复合涂层和喷塑等，防腐层厚度及规格要求满足《公路用防腐蚀粉末涂料及涂层》(JT 600.4）中的规定。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B．交通安全设施产品中，所有钢构件均应进行防腐处理，除满足《公路交通安全设施施工技术规范》 （JTG F71）的规定外，还应满足《高速公路交通工程钢构件防腐技术条件》（GBT18226）的规定。产品材质为薄钢板的，薄钢板表面的防腐处理应符合《高速公路交通工程钢构件防腐技术条件》(GB/T 18226)的要求。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（6）沥青</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沥青路面施工应确保安全，有良好的劳动保护。沥青拌和厂应具备防火设施，配制和使用液体石油沥青的全过程严禁烟火。使用煤沥青时应采取措施防止工作人员吸入煤沥青或避免皮肤直接接触煤沥青造成身体伤害。如发生安全事故的，由中标人承担责任。</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4、标准规范问题：</w:t>
      </w:r>
      <w:r>
        <w:rPr>
          <w:rFonts w:hint="eastAsia" w:ascii="仿宋" w:hAnsi="仿宋" w:eastAsia="仿宋" w:cs="仿宋"/>
          <w:color w:val="auto"/>
          <w:sz w:val="24"/>
          <w:szCs w:val="24"/>
          <w:highlight w:val="none"/>
        </w:rPr>
        <w:t>中标人所用</w:t>
      </w:r>
      <w:r>
        <w:rPr>
          <w:rFonts w:hint="eastAsia" w:ascii="仿宋" w:hAnsi="仿宋" w:eastAsia="仿宋" w:cs="仿宋"/>
          <w:bCs/>
          <w:color w:val="auto"/>
          <w:sz w:val="24"/>
          <w:szCs w:val="24"/>
          <w:highlight w:val="none"/>
        </w:rPr>
        <w:t>所有产品须符合国标标准（如标志、标牌字体等一切涉及国标的产品），如因不规范发生无法使用的情况，后期涉及拆除，修改，安装等所有费用由中标人承担。</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（三）保洁（费用包含在巡查费中）</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负责区域内所有交通设施保洁（含隔离设施等），一个月至少清洗一遍。</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b/>
          <w:bCs/>
          <w:color w:val="auto"/>
          <w:sz w:val="24"/>
          <w:szCs w:val="24"/>
          <w:highlight w:val="none"/>
        </w:rPr>
      </w:pPr>
      <w:bookmarkStart w:id="58" w:name="_Toc392016109"/>
      <w:r>
        <w:rPr>
          <w:rFonts w:hint="eastAsia" w:ascii="仿宋" w:hAnsi="仿宋" w:eastAsia="仿宋" w:cs="仿宋"/>
          <w:b/>
          <w:bCs/>
          <w:color w:val="auto"/>
          <w:sz w:val="24"/>
          <w:szCs w:val="24"/>
          <w:highlight w:val="none"/>
        </w:rPr>
        <w:t>（五）对投标人的要求</w:t>
      </w:r>
      <w:bookmarkEnd w:id="58"/>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1.采购人可以提</w:t>
      </w:r>
      <w:r>
        <w:rPr>
          <w:rFonts w:hint="eastAsia" w:ascii="仿宋" w:hAnsi="仿宋" w:eastAsia="仿宋" w:cs="仿宋"/>
          <w:bCs/>
          <w:color w:val="auto"/>
          <w:sz w:val="24"/>
          <w:szCs w:val="24"/>
          <w:highlight w:val="none"/>
        </w:rPr>
        <w:t>供的条件。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（1）负责提供有关资料，做好施工期间协调工作。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（2）按期付款，保证项目建设资金。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（3）提供有关技术规范及要求。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（4）按有关技术规范及要求对中标人施工的质量数量进行验收存档。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（5）如遇管理规定需要调整及设计更改项目，采购人均应以书面形式通知中标人。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（6）负责对开发区交通安全设施的新增、调整、规划设置的具体指导。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（7）负责对原有交通安全设施的维修工作进行具体业务指导。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（8）审核中标人每月的工程量、工作数据和经费决算。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（9）审核维护和更新设施材料。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（10）负责中标人施工质量安全监管。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（11）工程任务书的签发、回收、存档。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（12）组织每月工作例会，进行讲评。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（1）按采购人提供的交通设施新增、维护工作任务单及有关技术规范进行施工，确保项目质量。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（2）服从采购人、监理工作的进程安排，及时进场并保证工期。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（3）接到采购人更改通知时，按更改要求进行工程项目更改，并向监理报备。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（4）保证每日上路巡查交通安全设施，确保完好率达到95%以上，做好巡查记录，建立节假日及24小时值班制度。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（5）负责区域内所有t型路牌维护。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（6）应严格按本次招投标的规定要求履行并承担自己的职责。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（7）按采购人提供的任务要求、合同条款、技术规范和工程量清单和材料的要求，承担项目的设计施工、建成及其缺陷修复工作。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（8）所使用的主要原材料均需要提供检测报告或质量保证单。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（9）接受采购人的各项工作业务指导。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（10）负责施工场地的安全文明生产。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（11）建立项目施工的质量保证体系。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（12）负责交通安全设施施工场地、车辆、机械设备、原材料等的施工保障。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（13）每月向采购人上报当月的工作量、工作数据、工作小结等。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（14）对区内的交通安全设施无权自行增设与调整。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（15）负责对其管辖范围所有设施检查、维护，发现不安全因素和隐患须及时排除，确保管辖范围的所有设施的正常安全使用。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（16）接受采购人、监理对文明施工、安全施工、质量、施工时效等的监管。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（17）及时反馈联系单。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（18）参考《杭州市钱塘新区交通安全设施养护作业标准及考核办法》（杭经开城管[2014]80号）进行考核。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（19）安全检查职责。负责交通设施的安全检查，消除安全隐患。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（20）维护包括每日正常道路巡查、维护、保洁、中标区域内标志标杆标牌的安全检查、设施统计及登记造册，对存在安全隐患的设施提出书面建议及所有人工费、汽车台班费等；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（21）中标人应提供正常维护工作必须的所有人工（包括工种）、机械设备（包括汽车台班）、主要原材料等；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（22）中标人必须建立24小时值班制度，并配备相应的人员、车辆及必要的维护工具，接到采购人紧急抢修任务必须30分钟内至现场进行应急处置；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（23）中标人必须建立接报记录档案，一般抢修任务3小时内完成，特殊情况须报采购人并取得同意后采用先应急后修复的方式；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（24）新增、调整的设施，必须先行进行图纸设计，经采购人认可后，凭工程任务书实施；任务完成后需经采购人、监理验收后并在联系单上签字后生效，并负责对交通设施维护管理系统基础数据进行录入调整；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（25）中标人只承担日常维护、抢修及采购人的工程任务书下达的内容任务，中标人不得自行增设、调整各类交通安全设施，如发现上述情形采购人有权终止合同。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b/>
          <w:bCs/>
          <w:color w:val="auto"/>
          <w:sz w:val="24"/>
          <w:szCs w:val="24"/>
          <w:highlight w:val="none"/>
        </w:rPr>
        <w:t>任务书要求拆除的交通设施一律由投标人折价，抵扣项目实施过程中需要支付的费用，请投标人充分考虑投标报价，折价抵扣后的交通设施由中标人自行回收。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（27）中标人调整、更换整体材料需事先请示，经采购人、监理验证，同意后实施；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（28）采购人、监理在巡查过程中发现中标人在施工中不按国家有关标准设置，责令返工；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（29）施工工程施工结束后由中标人提供完工清单，并经采购人、监理人员验收签字；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（30）中标人有下列行为之一的，采购人有权终止合同。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A、不符合工程技术标准的；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B、施工人员不持证上岗（高空作业证、电工证等；包括但不仅限于，含适应岗位的各类证件）；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C、偷工减料的；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D、不按图施工的；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E、造成重特大责任事故的；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F、不文明安全施工的；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G、不服从现场民警指挥的；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H、擅自增设或变更交通安全设施的。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（31）中标人在施工工程中应先制定完善的施工方案，自行办理道路挖掘手续的审批（含相关费用），尽可能减小因施工对道路通行带来的影响，施工时应服从现场交警的管理及指挥；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（32）中标人在开发区内需有专门的工作场地、工作人员、车辆、设备及维护工具承担采购人下达的交通安全设施工程任务。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（33）对抢修、维修不及时造成后果除进行赔偿外，并根据产生的后果严重程度，承担相应的法律责任。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具有较强的本地化服务能力，非本地投标人必须在中标后7天内在下沙设立分公司或办事处作为常驻服务和技术支持机构(需提供本地工商部门注册或杭州经济合作办注册登记证明资料),并配有较强的专业技术队伍，提供快速的售后服务影响与处理能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▲（35）投标人请在服务投标方案内提供中标后购买险种名称（需包含价值人民币150万元第三者责任险、自身险等，如有其他险种请在</w:t>
      </w:r>
      <w:r>
        <w:rPr>
          <w:rFonts w:hint="eastAsia" w:ascii="仿宋" w:hAnsi="仿宋" w:eastAsia="仿宋" w:cs="仿宋"/>
          <w:bCs/>
          <w:color w:val="auto"/>
          <w:sz w:val="24"/>
          <w:szCs w:val="24"/>
          <w:highlight w:val="none"/>
        </w:rPr>
        <w:t>服务投标方案</w:t>
      </w:r>
      <w:r>
        <w:rPr>
          <w:rFonts w:hint="eastAsia" w:ascii="仿宋" w:hAnsi="仿宋" w:eastAsia="仿宋" w:cs="仿宋"/>
          <w:color w:val="auto"/>
          <w:sz w:val="24"/>
          <w:szCs w:val="24"/>
          <w:highlight w:val="none"/>
        </w:rPr>
        <w:t>内写明），保单复印件需在中标公告发出之日起7个工作日提交采购人。未见保单复印件前采购人将不予签订合同，如超过合同签订的时限，采购人有权选择第二名作为中标供应商。由于施工过程中或产品质量、安装、维护等中标人原因造成的一切人员伤亡、事故伤害，均由中标人承担。投标文件中提供中标后购买保险的承诺。</w:t>
      </w:r>
    </w:p>
    <w:p>
      <w:pPr>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设备工具：针对本项目投标人须提供包括吊车、登高车、货车、保洁所需清洗车、巡查车辆等，提供自有设备的（投标文件中需提供整套自有设备购买时发票复印件加盖单位公章），提供租赁设备的（投标文件中需提供以上车辆的租赁承诺书）。设备需在中标公告发出之日起7个工作日内准备到位。</w:t>
      </w:r>
    </w:p>
    <w:p>
      <w:pPr>
        <w:numPr>
          <w:ilvl w:val="0"/>
          <w:numId w:val="0"/>
        </w:numPr>
        <w:spacing w:line="360" w:lineRule="auto"/>
        <w:rPr>
          <w:rFonts w:hint="default" w:ascii="仿宋" w:hAnsi="仿宋" w:eastAsia="仿宋" w:cs="仿宋"/>
          <w:b/>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3.巡查部分</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3.1、标项1：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3.1.1人员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a、管理人员：1名，其中：项目负责人1名，要求具有交通设施养护或施工2年（含）及以上经历；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b、工勤人员：1名，资料整理、协同业务主管部门进行交通设施的监管。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C、技术人员：应急巡查处置人员4名（四班三运转）。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3.1.2、设备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巡查车1辆，中标人负责将巡查车安装GPS定位器，并在采购人处安装相应软件，以便采购人及时掌握巡查车的工作状况。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3.1.3、主要工作（巡查、应急措施等）</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24小时不间断巡查制度，巡查车1辆必须在早晚高峰（早7.00-9.00，16.00-18.00）必须落实巡查车在杭州钱塘新区（白杨街道）主干道进行巡查并及时处置交通设施类处置修复，每天巡查（已纳入养护的交通设施）覆盖率须达到100%；巡查覆盖率在80%（含）-99%之间，扣除当月巡查费的20%；巡查覆盖率在80%-60%（含）以下，扣除当月巡查费的50%；巡查覆盖率在60%以下，扣除当月巡查费的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实际检查道路范围：杭州钱塘新区（白杨街道）经移交的道路以及未移交但已建成通车的道路，具体以采购人提供的数据为准；（合同期内采购人任务书明确的道路及采购人要求的其他道路，新增量道路纳入巡查，费用不再增加，请投标人充分考虑在投标报价内，相关风险由投标人自行承担）。</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②巡查覆盖率=实际检查道路条数÷纳入管理道路条数×100%；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③每月巡查费用=每年巡查费用投标报价÷12个月；</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④当月巡查率未达到要求超过5天以上（包含5天）视为当月考核不合格。</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（2）接到紧急抢修任务必须30分钟内至现场进行应急处置，做好临时措施；一般抢修任务2小时内完成；</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（3）负责区域内所有交通设施保洁（含隔离设施等），一个月至少清洗一遍；</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（4）落实现有交通设施维护平台的保障工作，确保其正常运行；</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（5）负责区域内所有t型路牌维护；</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（6）其他招标人要求的其他事项。</w:t>
      </w: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3.1.4中</w:t>
      </w:r>
      <w:r>
        <w:rPr>
          <w:rFonts w:hint="eastAsia" w:ascii="仿宋" w:hAnsi="仿宋" w:eastAsia="仿宋" w:cs="仿宋"/>
          <w:b/>
          <w:bCs/>
          <w:color w:val="auto"/>
          <w:sz w:val="24"/>
          <w:szCs w:val="24"/>
          <w:highlight w:val="none"/>
        </w:rPr>
        <w:t>标人</w:t>
      </w:r>
      <w:r>
        <w:rPr>
          <w:rFonts w:hint="eastAsia" w:ascii="仿宋" w:hAnsi="仿宋" w:eastAsia="仿宋" w:cs="仿宋"/>
          <w:b/>
          <w:bCs/>
          <w:color w:val="auto"/>
          <w:sz w:val="24"/>
          <w:szCs w:val="24"/>
          <w:highlight w:val="none"/>
          <w:lang w:val="en-US" w:eastAsia="zh-CN"/>
        </w:rPr>
        <w:t>能提供1辆5座巡查车供招标人日常巡查所用。</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3.2、标项2：</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3.2.1人员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a、管理人员：1名，其中：项目负责人1名，要求具有交通设施养护或施工2年（含）及以上经历；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b、工勤人员：1名，资料整理、协同业务主管部门进行交通设施的监管。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C、技术人员：应急巡查处置人员4名（四班三运转）。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3.2.2、设备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巡查车1辆，中标人负责将巡查车安装GPS定位器，并在采购人处安装相应软件，以便采购人及时掌握巡查车的工作状况。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3.2.3、主要工作（巡查、应急措施等）</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24小时不间断巡查制度，巡查车1辆必须在早晚高峰（早7.00-9.00，16.00-18.00）必须落实巡查车在杭州钱塘新区（下沙街道）主干道进行巡查并及时处置交通设施类处置修复，每天巡查（已纳入养护的交通设施）覆盖率须达到100%；巡查覆盖率在80%（含）-99%之间，扣除当月巡查费的20%；巡查覆盖率在80%-60%（含）以下，扣除当月巡查费的50%；巡查覆盖率在60%以下，扣除当月巡查费的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实际检查道路范围：杭州钱塘新区（下沙街道）经移交的道路以及未移交但已建成通车的道路，具体以采购人提供的数据为准；（合同期内采购人任务书明确的道路及采购人要求的其他道路，新增量道路纳入巡查，费用不再增加，请投标人充分考虑在投标报价内，相关风险由投标人自行承担）。</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②巡查覆盖率=实际检查道路条数÷纳入管理道路条数×100%；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③每月巡查费用=每年巡查费用投标报价÷12个月；</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④当月巡查率未达到要求超过5天以上（包含5天）视为当月考核不合格。</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（2）接到紧急抢修任务必须30分钟内至现场进行应急处置，做好临时措施；一般抢修任务2小时内完成；</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（3）负责区域内所有交通设施保洁（含隔离设施等），一个月至少清洗一遍；</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（4）落实现有交通设施维护平台的保障工作，确保其正常运行；</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（5）负责区域内所有t型路牌维护；</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（6）其他招标人要求的其他事项。</w:t>
      </w:r>
    </w:p>
    <w:p>
      <w:pPr>
        <w:spacing w:line="360" w:lineRule="auto"/>
        <w:ind w:firstLine="482" w:firstLineChars="200"/>
        <w:rPr>
          <w:rFonts w:hint="eastAsia"/>
          <w:color w:val="auto"/>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3.2.4</w:t>
      </w:r>
      <w:r>
        <w:rPr>
          <w:rFonts w:hint="eastAsia" w:ascii="仿宋" w:hAnsi="仿宋" w:eastAsia="仿宋" w:cs="仿宋"/>
          <w:b/>
          <w:bCs/>
          <w:color w:val="auto"/>
          <w:sz w:val="24"/>
          <w:szCs w:val="24"/>
          <w:highlight w:val="none"/>
        </w:rPr>
        <w:t>中标人</w:t>
      </w:r>
      <w:r>
        <w:rPr>
          <w:rFonts w:hint="eastAsia" w:ascii="仿宋" w:hAnsi="仿宋" w:eastAsia="仿宋" w:cs="仿宋"/>
          <w:b/>
          <w:bCs/>
          <w:color w:val="auto"/>
          <w:sz w:val="24"/>
          <w:szCs w:val="24"/>
          <w:highlight w:val="none"/>
          <w:lang w:val="en-US" w:eastAsia="zh-CN"/>
        </w:rPr>
        <w:t>能提供1辆5座巡查车供招标人日常巡查所用。</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3.3、应急措施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如遇紧急故障问题（如信号灯故障、限高杆损坏、群众投诉等）须在0.5小时内赶到现场，及时采取临时措施消除安全隐患，同时要求在限定时间内完成故障排除（要求一般故障在2小时内、重大故障在24小时内修复）。其他相关要求见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恶劣天气应对方案；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投标人对台风、大雪、强暴雨等恶劣天气的维护工作进行方案制定，分别从事前、事中、事后三方面提供应对方案。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4.廉政承诺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投标人参加投标需作出廉政承诺并签定《廉政责任书》。</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（六）质量及安全责任</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1、质量责任</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施工质量必须达到合格标准。因中标人原因工程质量达不到本项目要求的合格标准，根据相关规定给予相应处罚。中标人须根据本项目要求进场施工。</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2、安全责任</w:t>
      </w:r>
    </w:p>
    <w:p>
      <w:pPr>
        <w:tabs>
          <w:tab w:val="left" w:pos="630"/>
        </w:tabs>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安全、文明施工，应该本着“安全第一，预防为主”的原则，中标人须建立安全管理组织体系；严格贯彻国家、省、市和劳动保护、安全生产部门颁发的有关安全生产、消防工作的方针、政策、法规、条例、规定等执行。</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期间，由于中标人安全措施不力、养护工作不到位、违反安全操作规程而导致责任事故或养护工作造成第三方人身财产损失或发生的所有与养护工作有关的安全事故，中标人应100%承担责任，所发生的费用均由中标人承担；所有采购人遭到第三方的起诉或索赔的，全部有中标人承担责任并赔偿，采购人保留追究责任的权利。</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（3）中标人必须按照规定办理自身及第三者责任险，承担养护期间所有的安全责任并承担相关赔款。</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（七）项目清单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实际施工时，施工按项目特征描述，且不得低于技术规范。</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（八）考核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采购人可参照《杭州市钱塘新区交通安全设施养护作业标准及考核办法》</w:t>
      </w:r>
      <w:r>
        <w:rPr>
          <w:rFonts w:hint="eastAsia" w:ascii="仿宋" w:hAnsi="仿宋" w:eastAsia="仿宋" w:cs="仿宋"/>
          <w:b/>
          <w:bCs/>
          <w:color w:val="auto"/>
          <w:sz w:val="24"/>
          <w:szCs w:val="24"/>
          <w:highlight w:val="none"/>
        </w:rPr>
        <w:t>（详见合同附件）</w:t>
      </w:r>
      <w:r>
        <w:rPr>
          <w:rFonts w:hint="eastAsia" w:ascii="仿宋" w:hAnsi="仿宋" w:eastAsia="仿宋" w:cs="仿宋"/>
          <w:color w:val="auto"/>
          <w:sz w:val="24"/>
          <w:szCs w:val="24"/>
          <w:highlight w:val="none"/>
        </w:rPr>
        <w:t>杭经开城管[2014]80号、招标文件相关条款及采购人规定的其他条款对中标人实施考核。</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（九）退出办法</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在合同期间，出现下列情况之一的予以退出，提前终止养护合同：</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1）组织管理机构、人员及机具配置等与投标承诺不符；</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2）同一合同期内累计2次月度考核“不合格”。</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（十）提前终止养护合同后的临时养护办法</w:t>
      </w:r>
    </w:p>
    <w:p>
      <w:pPr>
        <w:tabs>
          <w:tab w:val="left" w:pos="630"/>
        </w:tabs>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前终止养护合同需提前1个月告知现养护单位，同时重新组织政府采购，并办理交接手续或选择排名第二的候选供应商为中标供应商承担管养任务，费用以投标时的投标金额计算，临时养护期至重新采购完成时截止。</w:t>
      </w:r>
    </w:p>
    <w:p>
      <w:pPr>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（十一）其他重要事项：</w:t>
      </w:r>
    </w:p>
    <w:p>
      <w:pPr>
        <w:widowControl/>
        <w:spacing w:line="360" w:lineRule="auto"/>
        <w:ind w:right="60" w:firstLine="456"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该项目中标后，合同服务期间，日常管理单位为杭州市公安局钱塘新区分局，负责组织中标人进行施工，且及时监督中标人的施工质量和安全文明施工标准，审核施工项目的数量及金额；杭州钱塘新区综合行政执法局作为项目发包单位，负责按时支付工程款。</w:t>
      </w:r>
    </w:p>
    <w:p>
      <w:pPr>
        <w:widowControl/>
        <w:spacing w:line="360" w:lineRule="auto"/>
        <w:ind w:right="6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（十二）其他“图纸及释义”详见附件。</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1.除招标文件中所明确的技术规格和品牌外，欢迎其他能满足本项目技术需求且性能相当于或高于所明确品牌的产品参加投标报价。同时在需求偏离表中作出详细对比说明。</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2.如技术要求中未特别注明需执行的国家相关标准、行业标准、地方标准或者其他标准、规范，则统一执行最新标准、规范。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b/>
          <w:color w:val="auto"/>
          <w:sz w:val="24"/>
          <w:szCs w:val="24"/>
          <w:highlight w:val="none"/>
        </w:rPr>
        <w:t>3.上诉招标内容及需求中如无特别说明针对的是标项1还是标项2的，则同时适用于标项1和标项2。</w:t>
      </w:r>
    </w:p>
    <w:bookmarkEnd w:id="53"/>
    <w:bookmarkEnd w:id="54"/>
    <w:bookmarkEnd w:id="55"/>
    <w:bookmarkEnd w:id="56"/>
    <w:p>
      <w:pPr>
        <w:spacing w:line="360" w:lineRule="auto"/>
        <w:jc w:val="center"/>
        <w:rPr>
          <w:rFonts w:hint="eastAsia" w:ascii="仿宋" w:hAnsi="仿宋" w:eastAsia="仿宋" w:cs="仿宋_GB2312"/>
          <w:b/>
          <w:color w:val="auto"/>
          <w:sz w:val="36"/>
          <w:szCs w:val="36"/>
          <w:highlight w:val="none"/>
        </w:rPr>
      </w:pPr>
    </w:p>
    <w:p>
      <w:pPr>
        <w:spacing w:line="360" w:lineRule="auto"/>
        <w:jc w:val="center"/>
        <w:rPr>
          <w:rFonts w:hint="eastAsia" w:ascii="仿宋" w:hAnsi="仿宋" w:eastAsia="仿宋" w:cs="仿宋_GB2312"/>
          <w:b/>
          <w:color w:val="auto"/>
          <w:sz w:val="36"/>
          <w:szCs w:val="36"/>
          <w:highlight w:val="none"/>
        </w:rPr>
      </w:pPr>
    </w:p>
    <w:p>
      <w:pPr>
        <w:spacing w:line="360" w:lineRule="auto"/>
        <w:jc w:val="center"/>
        <w:rPr>
          <w:rFonts w:hint="eastAsia" w:ascii="仿宋" w:hAnsi="仿宋" w:eastAsia="仿宋" w:cs="仿宋_GB2312"/>
          <w:b/>
          <w:color w:val="auto"/>
          <w:sz w:val="36"/>
          <w:szCs w:val="36"/>
          <w:highlight w:val="none"/>
        </w:rPr>
      </w:pPr>
    </w:p>
    <w:p>
      <w:pPr>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59" w:name="_Toc184314416"/>
      <w:bookmarkEnd w:id="59"/>
      <w:bookmarkStart w:id="60" w:name="_Toc184313243"/>
      <w:bookmarkEnd w:id="60"/>
      <w:bookmarkStart w:id="61" w:name="_Toc184310309"/>
      <w:bookmarkEnd w:id="61"/>
      <w:bookmarkStart w:id="62" w:name="_Toc184310310"/>
      <w:bookmarkEnd w:id="62"/>
      <w:bookmarkStart w:id="63" w:name="_Toc184314420"/>
      <w:bookmarkEnd w:id="63"/>
      <w:bookmarkStart w:id="64" w:name="_Toc184314413"/>
      <w:bookmarkEnd w:id="64"/>
      <w:bookmarkStart w:id="65" w:name="_Toc184313301"/>
      <w:bookmarkEnd w:id="65"/>
      <w:bookmarkStart w:id="66" w:name="_Toc184313310"/>
      <w:bookmarkEnd w:id="66"/>
      <w:bookmarkStart w:id="67" w:name="_Toc184313296"/>
      <w:bookmarkEnd w:id="67"/>
      <w:bookmarkStart w:id="68" w:name="_Toc184310302"/>
      <w:bookmarkEnd w:id="68"/>
      <w:bookmarkStart w:id="69" w:name="_Toc184312097"/>
      <w:bookmarkEnd w:id="69"/>
      <w:bookmarkStart w:id="70" w:name="_Toc184310336"/>
      <w:bookmarkEnd w:id="70"/>
      <w:bookmarkStart w:id="71" w:name="_Toc184312094"/>
      <w:bookmarkEnd w:id="71"/>
      <w:bookmarkStart w:id="72" w:name="_Toc184310288"/>
      <w:bookmarkEnd w:id="72"/>
      <w:bookmarkStart w:id="73" w:name="_Toc184313269"/>
      <w:bookmarkEnd w:id="73"/>
      <w:bookmarkStart w:id="74" w:name="_Toc184312120"/>
      <w:bookmarkEnd w:id="74"/>
      <w:bookmarkStart w:id="75" w:name="_Toc184308036"/>
      <w:bookmarkEnd w:id="75"/>
      <w:bookmarkStart w:id="76" w:name="_Toc184314462"/>
      <w:bookmarkEnd w:id="76"/>
      <w:bookmarkStart w:id="77" w:name="_Toc184308059"/>
      <w:bookmarkEnd w:id="77"/>
      <w:bookmarkStart w:id="78" w:name="_Toc184313274"/>
      <w:bookmarkEnd w:id="78"/>
      <w:bookmarkStart w:id="79" w:name="_Toc184312110"/>
      <w:bookmarkEnd w:id="79"/>
      <w:bookmarkStart w:id="80" w:name="_Toc184314437"/>
      <w:bookmarkEnd w:id="80"/>
      <w:bookmarkStart w:id="81" w:name="_Toc184314435"/>
      <w:bookmarkEnd w:id="81"/>
      <w:bookmarkStart w:id="82" w:name="_Toc184314448"/>
      <w:bookmarkEnd w:id="82"/>
      <w:bookmarkStart w:id="83" w:name="_Toc184314426"/>
      <w:bookmarkEnd w:id="83"/>
      <w:bookmarkStart w:id="84" w:name="_Toc184313276"/>
      <w:bookmarkEnd w:id="84"/>
      <w:bookmarkStart w:id="85" w:name="_Toc184308092"/>
      <w:bookmarkEnd w:id="85"/>
      <w:bookmarkStart w:id="86" w:name="_Toc184312116"/>
      <w:bookmarkEnd w:id="86"/>
      <w:bookmarkStart w:id="87" w:name="_Toc184314414"/>
      <w:bookmarkEnd w:id="87"/>
      <w:bookmarkStart w:id="88" w:name="_Toc184312074"/>
      <w:bookmarkEnd w:id="88"/>
      <w:bookmarkStart w:id="89" w:name="_Toc184308099"/>
      <w:bookmarkEnd w:id="89"/>
      <w:bookmarkStart w:id="90" w:name="_Toc184312098"/>
      <w:bookmarkEnd w:id="90"/>
      <w:bookmarkStart w:id="91" w:name="_Toc184310279"/>
      <w:bookmarkEnd w:id="91"/>
      <w:bookmarkStart w:id="92" w:name="_Toc184310329"/>
      <w:bookmarkEnd w:id="92"/>
      <w:bookmarkStart w:id="93" w:name="_Toc184312111"/>
      <w:bookmarkEnd w:id="93"/>
      <w:bookmarkStart w:id="94" w:name="_Toc184308080"/>
      <w:bookmarkEnd w:id="94"/>
      <w:bookmarkStart w:id="95" w:name="_Toc184312104"/>
      <w:bookmarkEnd w:id="95"/>
      <w:bookmarkStart w:id="96" w:name="_Toc184312112"/>
      <w:bookmarkEnd w:id="96"/>
      <w:bookmarkStart w:id="97" w:name="_Toc184314422"/>
      <w:bookmarkEnd w:id="97"/>
      <w:bookmarkStart w:id="98" w:name="_Toc184312119"/>
      <w:bookmarkEnd w:id="98"/>
      <w:bookmarkStart w:id="99" w:name="_Toc184310313"/>
      <w:bookmarkEnd w:id="99"/>
      <w:bookmarkStart w:id="100" w:name="_Toc184310283"/>
      <w:bookmarkEnd w:id="100"/>
      <w:bookmarkStart w:id="101" w:name="_Toc184313266"/>
      <w:bookmarkEnd w:id="101"/>
      <w:bookmarkStart w:id="102" w:name="_Toc184314450"/>
      <w:bookmarkEnd w:id="102"/>
      <w:bookmarkStart w:id="103" w:name="_Toc184312070"/>
      <w:bookmarkEnd w:id="103"/>
      <w:bookmarkStart w:id="104" w:name="_Toc184310272"/>
      <w:bookmarkEnd w:id="104"/>
      <w:bookmarkStart w:id="105" w:name="_Toc184310331"/>
      <w:bookmarkEnd w:id="105"/>
      <w:bookmarkStart w:id="106" w:name="_Toc184312073"/>
      <w:bookmarkEnd w:id="106"/>
      <w:bookmarkStart w:id="107" w:name="_Toc184312103"/>
      <w:bookmarkEnd w:id="107"/>
      <w:bookmarkStart w:id="108" w:name="_Toc184312138"/>
      <w:bookmarkEnd w:id="108"/>
      <w:bookmarkStart w:id="109" w:name="_Toc184310281"/>
      <w:bookmarkEnd w:id="109"/>
      <w:bookmarkStart w:id="110" w:name="_Toc184312128"/>
      <w:bookmarkEnd w:id="110"/>
      <w:bookmarkStart w:id="111" w:name="_Toc184310294"/>
      <w:bookmarkEnd w:id="111"/>
      <w:bookmarkStart w:id="112" w:name="_Toc184312107"/>
      <w:bookmarkEnd w:id="112"/>
      <w:bookmarkStart w:id="113" w:name="_Toc184314479"/>
      <w:bookmarkEnd w:id="113"/>
      <w:bookmarkStart w:id="114" w:name="_Toc184312136"/>
      <w:bookmarkEnd w:id="114"/>
      <w:bookmarkStart w:id="115" w:name="_Toc184313302"/>
      <w:bookmarkEnd w:id="115"/>
      <w:bookmarkStart w:id="116" w:name="_Toc184310340"/>
      <w:bookmarkEnd w:id="116"/>
      <w:bookmarkStart w:id="117" w:name="_Toc184308073"/>
      <w:bookmarkEnd w:id="117"/>
      <w:bookmarkStart w:id="118" w:name="_Toc184312134"/>
      <w:bookmarkEnd w:id="118"/>
      <w:bookmarkStart w:id="119" w:name="_Toc184313247"/>
      <w:bookmarkEnd w:id="119"/>
      <w:bookmarkStart w:id="120" w:name="_Toc184312109"/>
      <w:bookmarkEnd w:id="120"/>
      <w:bookmarkStart w:id="121" w:name="_Toc184312127"/>
      <w:bookmarkEnd w:id="121"/>
      <w:bookmarkStart w:id="122" w:name="_Toc184314418"/>
      <w:bookmarkEnd w:id="122"/>
      <w:bookmarkStart w:id="123" w:name="_Toc184314475"/>
      <w:bookmarkEnd w:id="123"/>
      <w:bookmarkStart w:id="124" w:name="_Toc184313251"/>
      <w:bookmarkEnd w:id="124"/>
      <w:bookmarkStart w:id="125" w:name="_Toc184312115"/>
      <w:bookmarkEnd w:id="125"/>
      <w:bookmarkStart w:id="126" w:name="_Toc184313299"/>
      <w:bookmarkEnd w:id="126"/>
      <w:bookmarkStart w:id="127" w:name="_Toc184314433"/>
      <w:bookmarkEnd w:id="127"/>
      <w:bookmarkStart w:id="128" w:name="_Toc184308039"/>
      <w:bookmarkEnd w:id="128"/>
      <w:bookmarkStart w:id="129" w:name="_Toc184314446"/>
      <w:bookmarkEnd w:id="129"/>
      <w:bookmarkStart w:id="130" w:name="_Toc184308077"/>
      <w:bookmarkEnd w:id="130"/>
      <w:bookmarkStart w:id="131" w:name="_Toc184314465"/>
      <w:bookmarkEnd w:id="131"/>
      <w:bookmarkStart w:id="132" w:name="_Toc184310335"/>
      <w:bookmarkEnd w:id="132"/>
      <w:bookmarkStart w:id="133" w:name="_Toc184312105"/>
      <w:bookmarkEnd w:id="133"/>
      <w:bookmarkStart w:id="134" w:name="_Toc184313282"/>
      <w:bookmarkEnd w:id="134"/>
      <w:bookmarkStart w:id="135" w:name="_Toc184313291"/>
      <w:bookmarkEnd w:id="135"/>
      <w:bookmarkStart w:id="136" w:name="_Toc184314474"/>
      <w:bookmarkEnd w:id="136"/>
      <w:bookmarkStart w:id="137" w:name="_Toc184308085"/>
      <w:bookmarkEnd w:id="137"/>
      <w:bookmarkStart w:id="138" w:name="_Toc184310301"/>
      <w:bookmarkEnd w:id="138"/>
      <w:bookmarkStart w:id="139" w:name="_Toc184313303"/>
      <w:bookmarkEnd w:id="139"/>
      <w:bookmarkStart w:id="140" w:name="_Toc184310320"/>
      <w:bookmarkEnd w:id="140"/>
      <w:bookmarkStart w:id="141" w:name="_Toc184310327"/>
      <w:bookmarkEnd w:id="141"/>
      <w:bookmarkStart w:id="142" w:name="_Toc184310273"/>
      <w:bookmarkEnd w:id="142"/>
      <w:bookmarkStart w:id="143" w:name="_Toc184308078"/>
      <w:bookmarkEnd w:id="143"/>
      <w:bookmarkStart w:id="144" w:name="_Toc184313254"/>
      <w:bookmarkEnd w:id="144"/>
      <w:bookmarkStart w:id="145" w:name="_Toc184308037"/>
      <w:bookmarkEnd w:id="145"/>
      <w:bookmarkStart w:id="146" w:name="_Toc184310344"/>
      <w:bookmarkEnd w:id="146"/>
      <w:bookmarkStart w:id="147" w:name="_Toc184314459"/>
      <w:bookmarkEnd w:id="147"/>
      <w:bookmarkStart w:id="148" w:name="_Toc184312096"/>
      <w:bookmarkEnd w:id="148"/>
      <w:bookmarkStart w:id="149" w:name="_Toc184312091"/>
      <w:bookmarkEnd w:id="149"/>
      <w:bookmarkStart w:id="150" w:name="_Toc184308040"/>
      <w:bookmarkEnd w:id="150"/>
      <w:bookmarkStart w:id="151" w:name="_Toc184310338"/>
      <w:bookmarkEnd w:id="151"/>
      <w:bookmarkStart w:id="152" w:name="_Toc184310339"/>
      <w:bookmarkEnd w:id="152"/>
      <w:bookmarkStart w:id="153" w:name="_Toc184308102"/>
      <w:bookmarkEnd w:id="153"/>
      <w:bookmarkStart w:id="154" w:name="_Toc184310308"/>
      <w:bookmarkEnd w:id="154"/>
      <w:bookmarkStart w:id="155" w:name="_Toc184312117"/>
      <w:bookmarkEnd w:id="155"/>
      <w:bookmarkStart w:id="156" w:name="_Toc184313265"/>
      <w:bookmarkEnd w:id="156"/>
      <w:bookmarkStart w:id="157" w:name="_Toc184313285"/>
      <w:bookmarkEnd w:id="157"/>
      <w:bookmarkStart w:id="158" w:name="_Toc184310282"/>
      <w:bookmarkEnd w:id="158"/>
      <w:bookmarkStart w:id="159" w:name="_Toc184312135"/>
      <w:bookmarkEnd w:id="159"/>
      <w:bookmarkStart w:id="160" w:name="_Toc184308105"/>
      <w:bookmarkEnd w:id="160"/>
      <w:bookmarkStart w:id="161" w:name="_Toc184312137"/>
      <w:bookmarkEnd w:id="161"/>
      <w:bookmarkStart w:id="162" w:name="_Toc184308089"/>
      <w:bookmarkEnd w:id="162"/>
      <w:bookmarkStart w:id="163" w:name="_Toc184312124"/>
      <w:bookmarkEnd w:id="163"/>
      <w:bookmarkStart w:id="164" w:name="_Toc184313245"/>
      <w:bookmarkEnd w:id="164"/>
      <w:bookmarkStart w:id="165" w:name="_Toc184308079"/>
      <w:bookmarkEnd w:id="165"/>
      <w:bookmarkStart w:id="166" w:name="_Toc184313263"/>
      <w:bookmarkEnd w:id="166"/>
      <w:bookmarkStart w:id="167" w:name="_Toc184314417"/>
      <w:bookmarkEnd w:id="167"/>
      <w:bookmarkStart w:id="168" w:name="_Toc184310312"/>
      <w:bookmarkEnd w:id="168"/>
      <w:bookmarkStart w:id="169" w:name="_Toc184314431"/>
      <w:bookmarkEnd w:id="169"/>
      <w:bookmarkStart w:id="170" w:name="_Toc184310324"/>
      <w:bookmarkEnd w:id="170"/>
      <w:bookmarkStart w:id="171" w:name="_Toc184312072"/>
      <w:bookmarkEnd w:id="171"/>
      <w:bookmarkStart w:id="172" w:name="_Toc184312121"/>
      <w:bookmarkEnd w:id="172"/>
      <w:bookmarkStart w:id="173" w:name="_Toc184312088"/>
      <w:bookmarkEnd w:id="173"/>
      <w:bookmarkStart w:id="174" w:name="_Toc184308051"/>
      <w:bookmarkEnd w:id="174"/>
      <w:bookmarkStart w:id="175" w:name="_Toc184312118"/>
      <w:bookmarkEnd w:id="175"/>
      <w:bookmarkStart w:id="176" w:name="_Toc184314469"/>
      <w:bookmarkEnd w:id="176"/>
      <w:bookmarkStart w:id="177" w:name="_Toc184308056"/>
      <w:bookmarkEnd w:id="177"/>
      <w:bookmarkStart w:id="178" w:name="_Toc184310297"/>
      <w:bookmarkEnd w:id="178"/>
      <w:bookmarkStart w:id="179" w:name="_Toc184308046"/>
      <w:bookmarkEnd w:id="179"/>
      <w:bookmarkStart w:id="180" w:name="_Toc184308049"/>
      <w:bookmarkEnd w:id="180"/>
      <w:bookmarkStart w:id="181" w:name="_Toc184313262"/>
      <w:bookmarkEnd w:id="181"/>
      <w:bookmarkStart w:id="182" w:name="_Toc184313284"/>
      <w:bookmarkEnd w:id="182"/>
      <w:bookmarkStart w:id="183" w:name="_Toc184313305"/>
      <w:bookmarkEnd w:id="183"/>
      <w:bookmarkStart w:id="184" w:name="_Toc184312075"/>
      <w:bookmarkEnd w:id="184"/>
      <w:bookmarkStart w:id="185" w:name="_Toc184308106"/>
      <w:bookmarkEnd w:id="185"/>
      <w:bookmarkStart w:id="186" w:name="_Toc184312078"/>
      <w:bookmarkEnd w:id="186"/>
      <w:bookmarkStart w:id="187" w:name="_Toc184312133"/>
      <w:bookmarkEnd w:id="187"/>
      <w:bookmarkStart w:id="188" w:name="_Toc184314470"/>
      <w:bookmarkEnd w:id="188"/>
      <w:bookmarkStart w:id="189" w:name="_Toc184313267"/>
      <w:bookmarkEnd w:id="189"/>
      <w:bookmarkStart w:id="190" w:name="_Toc184312139"/>
      <w:bookmarkEnd w:id="190"/>
      <w:bookmarkStart w:id="191" w:name="_Toc184313252"/>
      <w:bookmarkEnd w:id="191"/>
      <w:bookmarkStart w:id="192" w:name="_Toc184310315"/>
      <w:bookmarkEnd w:id="192"/>
      <w:bookmarkStart w:id="193" w:name="_Toc184308068"/>
      <w:bookmarkEnd w:id="193"/>
      <w:bookmarkStart w:id="194" w:name="_Toc184313268"/>
      <w:bookmarkEnd w:id="194"/>
      <w:bookmarkStart w:id="195" w:name="_Toc184312084"/>
      <w:bookmarkEnd w:id="195"/>
      <w:bookmarkStart w:id="196" w:name="_Toc184312130"/>
      <w:bookmarkEnd w:id="196"/>
      <w:bookmarkStart w:id="197" w:name="_Toc184314456"/>
      <w:bookmarkEnd w:id="197"/>
      <w:bookmarkStart w:id="198" w:name="_Toc184314477"/>
      <w:bookmarkEnd w:id="198"/>
      <w:bookmarkStart w:id="199" w:name="_Toc184314442"/>
      <w:bookmarkEnd w:id="199"/>
      <w:bookmarkStart w:id="200" w:name="_Toc184308101"/>
      <w:bookmarkEnd w:id="200"/>
      <w:bookmarkStart w:id="201" w:name="_Toc184312069"/>
      <w:bookmarkEnd w:id="201"/>
      <w:bookmarkStart w:id="202" w:name="_Toc184308066"/>
      <w:bookmarkEnd w:id="202"/>
      <w:bookmarkStart w:id="203" w:name="_Toc184313244"/>
      <w:bookmarkEnd w:id="203"/>
      <w:bookmarkStart w:id="204" w:name="_Toc184308048"/>
      <w:bookmarkEnd w:id="204"/>
      <w:bookmarkStart w:id="205" w:name="_Toc184308070"/>
      <w:bookmarkEnd w:id="205"/>
      <w:bookmarkStart w:id="206" w:name="_Toc184314424"/>
      <w:bookmarkEnd w:id="206"/>
      <w:bookmarkStart w:id="207" w:name="_Toc184313256"/>
      <w:bookmarkEnd w:id="207"/>
      <w:bookmarkStart w:id="208" w:name="_Toc184308108"/>
      <w:bookmarkEnd w:id="208"/>
      <w:bookmarkStart w:id="209" w:name="_Toc184310295"/>
      <w:bookmarkEnd w:id="209"/>
      <w:bookmarkStart w:id="210" w:name="_Toc184308093"/>
      <w:bookmarkEnd w:id="210"/>
      <w:bookmarkStart w:id="211" w:name="_Toc184308076"/>
      <w:bookmarkEnd w:id="211"/>
      <w:bookmarkStart w:id="212" w:name="_Toc184312129"/>
      <w:bookmarkEnd w:id="212"/>
      <w:bookmarkStart w:id="213" w:name="_Toc184313260"/>
      <w:bookmarkEnd w:id="213"/>
      <w:bookmarkStart w:id="214" w:name="_Toc184313277"/>
      <w:bookmarkEnd w:id="214"/>
      <w:bookmarkStart w:id="215" w:name="_Toc184313304"/>
      <w:bookmarkEnd w:id="215"/>
      <w:bookmarkStart w:id="216" w:name="_Toc184308038"/>
      <w:bookmarkEnd w:id="216"/>
      <w:bookmarkStart w:id="217" w:name="_Toc184312082"/>
      <w:bookmarkEnd w:id="217"/>
      <w:bookmarkStart w:id="218" w:name="_Toc184312092"/>
      <w:bookmarkEnd w:id="218"/>
      <w:bookmarkStart w:id="219" w:name="_Toc184310290"/>
      <w:bookmarkEnd w:id="219"/>
      <w:bookmarkStart w:id="220" w:name="_Toc184313308"/>
      <w:bookmarkEnd w:id="220"/>
      <w:bookmarkStart w:id="221" w:name="_Toc184313289"/>
      <w:bookmarkEnd w:id="221"/>
      <w:bookmarkStart w:id="222" w:name="_Toc184312085"/>
      <w:bookmarkEnd w:id="222"/>
      <w:bookmarkStart w:id="223" w:name="_Toc184312126"/>
      <w:bookmarkEnd w:id="223"/>
      <w:bookmarkStart w:id="224" w:name="_Toc184314427"/>
      <w:bookmarkEnd w:id="224"/>
      <w:bookmarkStart w:id="225" w:name="_Toc184314441"/>
      <w:bookmarkEnd w:id="225"/>
      <w:bookmarkStart w:id="226" w:name="_Toc184312083"/>
      <w:bookmarkEnd w:id="226"/>
      <w:bookmarkStart w:id="227" w:name="_Toc184310306"/>
      <w:bookmarkEnd w:id="227"/>
      <w:bookmarkStart w:id="228" w:name="_Toc184314425"/>
      <w:bookmarkEnd w:id="228"/>
      <w:bookmarkStart w:id="229" w:name="_Toc184314481"/>
      <w:bookmarkEnd w:id="229"/>
      <w:bookmarkStart w:id="230" w:name="_Toc184313283"/>
      <w:bookmarkEnd w:id="230"/>
      <w:bookmarkStart w:id="231" w:name="_Toc184310293"/>
      <w:bookmarkEnd w:id="231"/>
      <w:bookmarkStart w:id="232" w:name="_Toc184314482"/>
      <w:bookmarkEnd w:id="232"/>
      <w:bookmarkStart w:id="233" w:name="_Toc184313253"/>
      <w:bookmarkEnd w:id="233"/>
      <w:bookmarkStart w:id="234" w:name="_Toc184312106"/>
      <w:bookmarkEnd w:id="234"/>
      <w:bookmarkStart w:id="235" w:name="_Toc184314436"/>
      <w:bookmarkEnd w:id="235"/>
      <w:bookmarkStart w:id="236" w:name="_Toc184310321"/>
      <w:bookmarkEnd w:id="236"/>
      <w:bookmarkStart w:id="237" w:name="_Toc184313278"/>
      <w:bookmarkEnd w:id="237"/>
      <w:bookmarkStart w:id="238" w:name="_Toc184312071"/>
      <w:bookmarkEnd w:id="238"/>
      <w:bookmarkStart w:id="239" w:name="_Toc184314455"/>
      <w:bookmarkEnd w:id="239"/>
      <w:bookmarkStart w:id="240" w:name="_Toc184314415"/>
      <w:bookmarkEnd w:id="240"/>
      <w:bookmarkStart w:id="241" w:name="_Toc184308097"/>
      <w:bookmarkEnd w:id="241"/>
      <w:bookmarkStart w:id="242" w:name="_Toc184308096"/>
      <w:bookmarkEnd w:id="242"/>
      <w:bookmarkStart w:id="243" w:name="_Toc184314439"/>
      <w:bookmarkEnd w:id="243"/>
      <w:bookmarkStart w:id="244" w:name="_Toc184314410"/>
      <w:bookmarkEnd w:id="244"/>
      <w:bookmarkStart w:id="245" w:name="_Toc184310300"/>
      <w:bookmarkEnd w:id="245"/>
      <w:bookmarkStart w:id="246" w:name="_Toc184308067"/>
      <w:bookmarkEnd w:id="246"/>
      <w:bookmarkStart w:id="247" w:name="_Toc184313240"/>
      <w:bookmarkEnd w:id="247"/>
      <w:bookmarkStart w:id="248" w:name="_Toc184314457"/>
      <w:bookmarkEnd w:id="248"/>
      <w:bookmarkStart w:id="249" w:name="_Toc184310274"/>
      <w:bookmarkEnd w:id="249"/>
      <w:bookmarkStart w:id="250" w:name="_Toc184308057"/>
      <w:bookmarkEnd w:id="250"/>
      <w:bookmarkStart w:id="251" w:name="_Toc184312086"/>
      <w:bookmarkEnd w:id="251"/>
      <w:bookmarkStart w:id="252" w:name="_Toc184310343"/>
      <w:bookmarkEnd w:id="252"/>
      <w:bookmarkStart w:id="253" w:name="_Toc184314429"/>
      <w:bookmarkEnd w:id="253"/>
      <w:bookmarkStart w:id="254" w:name="_Toc184314443"/>
      <w:bookmarkEnd w:id="254"/>
      <w:bookmarkStart w:id="255" w:name="_Toc184312125"/>
      <w:bookmarkEnd w:id="255"/>
      <w:bookmarkStart w:id="256" w:name="_Toc184313298"/>
      <w:bookmarkEnd w:id="256"/>
      <w:bookmarkStart w:id="257" w:name="_Toc184308052"/>
      <w:bookmarkEnd w:id="257"/>
      <w:bookmarkStart w:id="258" w:name="_Toc184310275"/>
      <w:bookmarkEnd w:id="258"/>
      <w:bookmarkStart w:id="259" w:name="_Toc184308062"/>
      <w:bookmarkEnd w:id="259"/>
      <w:bookmarkStart w:id="260" w:name="_Toc184310284"/>
      <w:bookmarkEnd w:id="260"/>
      <w:bookmarkStart w:id="261" w:name="_Toc184310304"/>
      <w:bookmarkEnd w:id="261"/>
      <w:bookmarkStart w:id="262" w:name="_Toc184314434"/>
      <w:bookmarkEnd w:id="262"/>
      <w:bookmarkStart w:id="263" w:name="_Toc184312122"/>
      <w:bookmarkEnd w:id="263"/>
      <w:bookmarkStart w:id="264" w:name="_Toc184308050"/>
      <w:bookmarkEnd w:id="264"/>
      <w:bookmarkStart w:id="265" w:name="_Toc184310341"/>
      <w:bookmarkEnd w:id="265"/>
      <w:bookmarkStart w:id="266" w:name="_Toc184308053"/>
      <w:bookmarkEnd w:id="266"/>
      <w:bookmarkStart w:id="267" w:name="_Toc184313257"/>
      <w:bookmarkEnd w:id="267"/>
      <w:bookmarkStart w:id="268" w:name="_Toc184313295"/>
      <w:bookmarkEnd w:id="268"/>
      <w:bookmarkStart w:id="269" w:name="_Toc184313300"/>
      <w:bookmarkEnd w:id="269"/>
      <w:bookmarkStart w:id="270" w:name="_Toc184314451"/>
      <w:bookmarkEnd w:id="270"/>
      <w:bookmarkStart w:id="271" w:name="_Toc184314478"/>
      <w:bookmarkEnd w:id="271"/>
      <w:bookmarkStart w:id="272" w:name="_Toc184314468"/>
      <w:bookmarkEnd w:id="272"/>
      <w:bookmarkStart w:id="273" w:name="_Toc184314438"/>
      <w:bookmarkEnd w:id="273"/>
      <w:bookmarkStart w:id="274" w:name="_Toc184313280"/>
      <w:bookmarkEnd w:id="274"/>
      <w:bookmarkStart w:id="275" w:name="_Toc184310333"/>
      <w:bookmarkEnd w:id="275"/>
      <w:bookmarkStart w:id="276" w:name="_Toc184314463"/>
      <w:bookmarkEnd w:id="276"/>
      <w:bookmarkStart w:id="277" w:name="_Toc184308075"/>
      <w:bookmarkEnd w:id="277"/>
      <w:bookmarkStart w:id="278" w:name="_Toc184313307"/>
      <w:bookmarkEnd w:id="278"/>
      <w:bookmarkStart w:id="279" w:name="_Toc184310277"/>
      <w:bookmarkEnd w:id="279"/>
      <w:bookmarkStart w:id="280" w:name="_Toc184314471"/>
      <w:bookmarkEnd w:id="280"/>
      <w:bookmarkStart w:id="281" w:name="_Toc184313281"/>
      <w:bookmarkEnd w:id="281"/>
      <w:bookmarkStart w:id="282" w:name="_Toc184308054"/>
      <w:bookmarkEnd w:id="282"/>
      <w:bookmarkStart w:id="283" w:name="_Toc184312090"/>
      <w:bookmarkEnd w:id="283"/>
      <w:bookmarkStart w:id="284" w:name="_Toc184310292"/>
      <w:bookmarkEnd w:id="284"/>
      <w:bookmarkStart w:id="285" w:name="_Toc184312114"/>
      <w:bookmarkEnd w:id="285"/>
      <w:bookmarkStart w:id="286" w:name="_Toc184310287"/>
      <w:bookmarkEnd w:id="286"/>
      <w:bookmarkStart w:id="287" w:name="_Toc184314447"/>
      <w:bookmarkEnd w:id="287"/>
      <w:bookmarkStart w:id="288" w:name="_Toc184314449"/>
      <w:bookmarkEnd w:id="288"/>
      <w:bookmarkStart w:id="289" w:name="_Toc184314430"/>
      <w:bookmarkEnd w:id="289"/>
      <w:bookmarkStart w:id="290" w:name="_Toc184313275"/>
      <w:bookmarkEnd w:id="290"/>
      <w:bookmarkStart w:id="291" w:name="_Toc184308064"/>
      <w:bookmarkEnd w:id="291"/>
      <w:bookmarkStart w:id="292" w:name="_Toc184314452"/>
      <w:bookmarkEnd w:id="292"/>
      <w:bookmarkStart w:id="293" w:name="_Toc184314428"/>
      <w:bookmarkEnd w:id="293"/>
      <w:bookmarkStart w:id="294" w:name="_Toc184310314"/>
      <w:bookmarkEnd w:id="294"/>
      <w:bookmarkStart w:id="295" w:name="_Toc184313292"/>
      <w:bookmarkEnd w:id="295"/>
      <w:bookmarkStart w:id="296" w:name="_Toc184314412"/>
      <w:bookmarkEnd w:id="296"/>
      <w:bookmarkStart w:id="297" w:name="_Toc184308047"/>
      <w:bookmarkEnd w:id="297"/>
      <w:bookmarkStart w:id="298" w:name="_Toc184312067"/>
      <w:bookmarkEnd w:id="298"/>
      <w:bookmarkStart w:id="299" w:name="_Toc184308091"/>
      <w:bookmarkEnd w:id="299"/>
      <w:bookmarkStart w:id="300" w:name="_Toc184310296"/>
      <w:bookmarkEnd w:id="300"/>
      <w:bookmarkStart w:id="301" w:name="_Toc184308042"/>
      <w:bookmarkEnd w:id="301"/>
      <w:bookmarkStart w:id="302" w:name="_Toc184312101"/>
      <w:bookmarkEnd w:id="302"/>
      <w:bookmarkStart w:id="303" w:name="_Toc184314461"/>
      <w:bookmarkEnd w:id="303"/>
      <w:bookmarkStart w:id="304" w:name="_Toc184314472"/>
      <w:bookmarkEnd w:id="304"/>
      <w:bookmarkStart w:id="305" w:name="_Toc184308058"/>
      <w:bookmarkEnd w:id="305"/>
      <w:bookmarkStart w:id="306" w:name="_Toc184313270"/>
      <w:bookmarkEnd w:id="306"/>
      <w:bookmarkStart w:id="307" w:name="_Toc184308071"/>
      <w:bookmarkEnd w:id="307"/>
      <w:bookmarkStart w:id="308" w:name="_Toc184308065"/>
      <w:bookmarkEnd w:id="308"/>
      <w:bookmarkStart w:id="309" w:name="_Toc184308095"/>
      <w:bookmarkEnd w:id="309"/>
      <w:bookmarkStart w:id="310" w:name="_Toc184313264"/>
      <w:bookmarkEnd w:id="310"/>
      <w:bookmarkStart w:id="311" w:name="_Toc184312099"/>
      <w:bookmarkEnd w:id="311"/>
      <w:bookmarkStart w:id="312" w:name="_Toc184312089"/>
      <w:bookmarkEnd w:id="312"/>
      <w:bookmarkStart w:id="313" w:name="_Toc184310323"/>
      <w:bookmarkEnd w:id="313"/>
      <w:bookmarkStart w:id="314" w:name="_Toc184308088"/>
      <w:bookmarkEnd w:id="314"/>
      <w:bookmarkStart w:id="315" w:name="_Toc184310328"/>
      <w:bookmarkEnd w:id="315"/>
      <w:bookmarkStart w:id="316" w:name="_Toc184312108"/>
      <w:bookmarkEnd w:id="316"/>
      <w:bookmarkStart w:id="317" w:name="_Toc184313293"/>
      <w:bookmarkEnd w:id="317"/>
      <w:bookmarkStart w:id="318" w:name="_Toc184313241"/>
      <w:bookmarkEnd w:id="318"/>
      <w:bookmarkStart w:id="319" w:name="_Toc184312095"/>
      <w:bookmarkEnd w:id="319"/>
      <w:bookmarkStart w:id="320" w:name="_Toc184314467"/>
      <w:bookmarkEnd w:id="320"/>
      <w:bookmarkStart w:id="321" w:name="_Toc184310291"/>
      <w:bookmarkEnd w:id="321"/>
      <w:bookmarkStart w:id="322" w:name="_Toc184310289"/>
      <w:bookmarkEnd w:id="322"/>
      <w:bookmarkStart w:id="323" w:name="_Toc184310316"/>
      <w:bookmarkEnd w:id="323"/>
      <w:bookmarkStart w:id="324" w:name="_Toc184310330"/>
      <w:bookmarkEnd w:id="324"/>
      <w:bookmarkStart w:id="325" w:name="_Toc184310319"/>
      <w:bookmarkEnd w:id="325"/>
      <w:bookmarkStart w:id="326" w:name="_Toc184308063"/>
      <w:bookmarkEnd w:id="326"/>
      <w:bookmarkStart w:id="327" w:name="_Toc184308107"/>
      <w:bookmarkEnd w:id="327"/>
      <w:bookmarkStart w:id="328" w:name="_Toc184314440"/>
      <w:bookmarkEnd w:id="328"/>
      <w:bookmarkStart w:id="329" w:name="_Toc184312113"/>
      <w:bookmarkEnd w:id="329"/>
      <w:bookmarkStart w:id="330" w:name="_Toc184313248"/>
      <w:bookmarkEnd w:id="330"/>
      <w:bookmarkStart w:id="331" w:name="_Toc184313242"/>
      <w:bookmarkEnd w:id="331"/>
      <w:bookmarkStart w:id="332" w:name="_Toc184313246"/>
      <w:bookmarkEnd w:id="332"/>
      <w:bookmarkStart w:id="333" w:name="_Toc184308074"/>
      <w:bookmarkEnd w:id="333"/>
      <w:bookmarkStart w:id="334" w:name="_Toc184308081"/>
      <w:bookmarkEnd w:id="334"/>
      <w:bookmarkStart w:id="335" w:name="_Toc184314454"/>
      <w:bookmarkEnd w:id="335"/>
      <w:bookmarkStart w:id="336" w:name="_Toc184313258"/>
      <w:bookmarkEnd w:id="336"/>
      <w:bookmarkStart w:id="337" w:name="_Toc184312081"/>
      <w:bookmarkEnd w:id="337"/>
      <w:bookmarkStart w:id="338" w:name="_Toc184310311"/>
      <w:bookmarkEnd w:id="338"/>
      <w:bookmarkStart w:id="339" w:name="_Toc184310305"/>
      <w:bookmarkEnd w:id="339"/>
      <w:bookmarkStart w:id="340" w:name="_Toc184308069"/>
      <w:bookmarkEnd w:id="340"/>
      <w:bookmarkStart w:id="341" w:name="_Toc184310322"/>
      <w:bookmarkEnd w:id="341"/>
      <w:bookmarkStart w:id="342" w:name="_Toc184310325"/>
      <w:bookmarkEnd w:id="342"/>
      <w:bookmarkStart w:id="343" w:name="_Toc184314419"/>
      <w:bookmarkEnd w:id="343"/>
      <w:bookmarkStart w:id="344" w:name="_Toc184308045"/>
      <w:bookmarkEnd w:id="344"/>
      <w:bookmarkStart w:id="345" w:name="_Toc184314476"/>
      <w:bookmarkEnd w:id="345"/>
      <w:bookmarkStart w:id="346" w:name="_Toc184313255"/>
      <w:bookmarkEnd w:id="346"/>
      <w:bookmarkStart w:id="347" w:name="_Toc184308043"/>
      <w:bookmarkEnd w:id="347"/>
      <w:bookmarkStart w:id="348" w:name="_Toc184310303"/>
      <w:bookmarkEnd w:id="348"/>
      <w:bookmarkStart w:id="349" w:name="_Toc184310278"/>
      <w:bookmarkEnd w:id="349"/>
      <w:bookmarkStart w:id="350" w:name="_Toc184314466"/>
      <w:bookmarkEnd w:id="350"/>
      <w:bookmarkStart w:id="351" w:name="_Toc184310332"/>
      <w:bookmarkEnd w:id="351"/>
      <w:bookmarkStart w:id="352" w:name="_Toc184314421"/>
      <w:bookmarkEnd w:id="352"/>
      <w:bookmarkStart w:id="353" w:name="_Toc184314458"/>
      <w:bookmarkEnd w:id="353"/>
      <w:bookmarkStart w:id="354" w:name="_Toc184308087"/>
      <w:bookmarkEnd w:id="354"/>
      <w:bookmarkStart w:id="355" w:name="_Toc184312093"/>
      <w:bookmarkEnd w:id="355"/>
      <w:bookmarkStart w:id="356" w:name="_Toc184312068"/>
      <w:bookmarkEnd w:id="356"/>
      <w:bookmarkStart w:id="357" w:name="_Toc184310318"/>
      <w:bookmarkEnd w:id="357"/>
      <w:bookmarkStart w:id="358" w:name="_Toc184312132"/>
      <w:bookmarkEnd w:id="358"/>
      <w:bookmarkStart w:id="359" w:name="_Toc184312102"/>
      <w:bookmarkEnd w:id="359"/>
      <w:bookmarkStart w:id="360" w:name="_Toc184308072"/>
      <w:bookmarkEnd w:id="360"/>
      <w:bookmarkStart w:id="361" w:name="_Toc184314480"/>
      <w:bookmarkEnd w:id="361"/>
      <w:bookmarkStart w:id="362" w:name="_Toc184312080"/>
      <w:bookmarkEnd w:id="362"/>
      <w:bookmarkStart w:id="363" w:name="_Toc184308094"/>
      <w:bookmarkEnd w:id="363"/>
      <w:bookmarkStart w:id="364" w:name="_Toc184312076"/>
      <w:bookmarkEnd w:id="364"/>
      <w:bookmarkStart w:id="365" w:name="_Toc184310342"/>
      <w:bookmarkEnd w:id="365"/>
      <w:bookmarkStart w:id="366" w:name="_Toc184313309"/>
      <w:bookmarkEnd w:id="366"/>
      <w:bookmarkStart w:id="367" w:name="_Toc184312100"/>
      <w:bookmarkEnd w:id="367"/>
      <w:bookmarkStart w:id="368" w:name="_Toc184313288"/>
      <w:bookmarkEnd w:id="368"/>
      <w:bookmarkStart w:id="369" w:name="_Toc184313286"/>
      <w:bookmarkEnd w:id="369"/>
      <w:bookmarkStart w:id="370" w:name="_Toc184308055"/>
      <w:bookmarkEnd w:id="370"/>
      <w:bookmarkStart w:id="371" w:name="_Toc184310334"/>
      <w:bookmarkEnd w:id="371"/>
      <w:bookmarkStart w:id="372" w:name="_Toc184313297"/>
      <w:bookmarkEnd w:id="372"/>
      <w:bookmarkStart w:id="373" w:name="_Toc184313261"/>
      <w:bookmarkEnd w:id="373"/>
      <w:bookmarkStart w:id="374" w:name="_Toc184308090"/>
      <w:bookmarkEnd w:id="374"/>
      <w:bookmarkStart w:id="375" w:name="_Toc184314453"/>
      <w:bookmarkEnd w:id="375"/>
      <w:bookmarkStart w:id="376" w:name="_Toc184312087"/>
      <w:bookmarkEnd w:id="376"/>
      <w:bookmarkStart w:id="377" w:name="_Toc184310307"/>
      <w:bookmarkEnd w:id="377"/>
      <w:bookmarkStart w:id="378" w:name="_Toc184313271"/>
      <w:bookmarkEnd w:id="378"/>
      <w:bookmarkStart w:id="379" w:name="_Toc184308044"/>
      <w:bookmarkEnd w:id="379"/>
      <w:bookmarkStart w:id="380" w:name="_Toc184313306"/>
      <w:bookmarkEnd w:id="380"/>
      <w:bookmarkStart w:id="381" w:name="_Toc184313249"/>
      <w:bookmarkEnd w:id="381"/>
      <w:bookmarkStart w:id="382" w:name="_Toc184313238"/>
      <w:bookmarkEnd w:id="382"/>
      <w:bookmarkStart w:id="383" w:name="_Toc184308104"/>
      <w:bookmarkEnd w:id="383"/>
      <w:bookmarkStart w:id="384" w:name="_Toc184313250"/>
      <w:bookmarkEnd w:id="384"/>
      <w:bookmarkStart w:id="385" w:name="_Toc184314444"/>
      <w:bookmarkEnd w:id="385"/>
      <w:bookmarkStart w:id="386" w:name="_Toc184312123"/>
      <w:bookmarkEnd w:id="386"/>
      <w:bookmarkStart w:id="387" w:name="_Toc184313294"/>
      <w:bookmarkEnd w:id="387"/>
      <w:bookmarkStart w:id="388" w:name="_Toc184308041"/>
      <w:bookmarkEnd w:id="388"/>
      <w:bookmarkStart w:id="389" w:name="_Toc184313279"/>
      <w:bookmarkEnd w:id="389"/>
      <w:bookmarkStart w:id="390" w:name="_Toc184308084"/>
      <w:bookmarkEnd w:id="390"/>
      <w:bookmarkStart w:id="391" w:name="_Toc184314460"/>
      <w:bookmarkEnd w:id="391"/>
      <w:bookmarkStart w:id="392" w:name="_Toc184314432"/>
      <w:bookmarkEnd w:id="392"/>
      <w:bookmarkStart w:id="393" w:name="_Toc184312079"/>
      <w:bookmarkEnd w:id="393"/>
      <w:bookmarkStart w:id="394" w:name="_Toc184310280"/>
      <w:bookmarkEnd w:id="394"/>
      <w:bookmarkStart w:id="395" w:name="_Toc184310317"/>
      <w:bookmarkEnd w:id="395"/>
      <w:bookmarkStart w:id="396" w:name="_Toc184310298"/>
      <w:bookmarkEnd w:id="396"/>
      <w:bookmarkStart w:id="397" w:name="_Toc184312131"/>
      <w:bookmarkEnd w:id="397"/>
      <w:bookmarkStart w:id="398" w:name="_Toc184314464"/>
      <w:bookmarkEnd w:id="398"/>
      <w:bookmarkStart w:id="399" w:name="_Toc184313273"/>
      <w:bookmarkEnd w:id="399"/>
      <w:bookmarkStart w:id="400" w:name="_Toc184308103"/>
      <w:bookmarkEnd w:id="400"/>
      <w:bookmarkStart w:id="401" w:name="_Toc184308082"/>
      <w:bookmarkEnd w:id="401"/>
      <w:bookmarkStart w:id="402" w:name="_Toc184312077"/>
      <w:bookmarkEnd w:id="402"/>
      <w:bookmarkStart w:id="403" w:name="_Toc184310286"/>
      <w:bookmarkEnd w:id="403"/>
      <w:bookmarkStart w:id="404" w:name="_Toc184308061"/>
      <w:bookmarkEnd w:id="404"/>
      <w:bookmarkStart w:id="405" w:name="_Toc184308060"/>
      <w:bookmarkEnd w:id="405"/>
      <w:bookmarkStart w:id="406" w:name="_Toc184313287"/>
      <w:bookmarkEnd w:id="406"/>
      <w:bookmarkStart w:id="407" w:name="_Toc184308083"/>
      <w:bookmarkEnd w:id="407"/>
      <w:bookmarkStart w:id="408" w:name="_Toc184310299"/>
      <w:bookmarkEnd w:id="408"/>
      <w:bookmarkStart w:id="409" w:name="_Toc184314445"/>
      <w:bookmarkEnd w:id="409"/>
      <w:bookmarkStart w:id="410" w:name="_Toc184313259"/>
      <w:bookmarkEnd w:id="410"/>
      <w:bookmarkStart w:id="411" w:name="_Toc184310285"/>
      <w:bookmarkEnd w:id="411"/>
      <w:bookmarkStart w:id="412" w:name="_Toc184308100"/>
      <w:bookmarkEnd w:id="412"/>
      <w:bookmarkStart w:id="413" w:name="_Toc184310337"/>
      <w:bookmarkEnd w:id="413"/>
      <w:bookmarkStart w:id="414" w:name="_Toc184314423"/>
      <w:bookmarkEnd w:id="414"/>
      <w:bookmarkStart w:id="415" w:name="_Toc184314411"/>
      <w:bookmarkEnd w:id="415"/>
      <w:bookmarkStart w:id="416" w:name="_Toc184310276"/>
      <w:bookmarkEnd w:id="416"/>
      <w:bookmarkStart w:id="417" w:name="_Toc184313290"/>
      <w:bookmarkEnd w:id="417"/>
      <w:bookmarkStart w:id="418" w:name="_Toc184313239"/>
      <w:bookmarkEnd w:id="418"/>
      <w:bookmarkStart w:id="419" w:name="_Toc184314473"/>
      <w:bookmarkEnd w:id="419"/>
      <w:bookmarkStart w:id="420" w:name="_Toc184308086"/>
      <w:bookmarkEnd w:id="420"/>
      <w:bookmarkStart w:id="421" w:name="_Toc184308098"/>
      <w:bookmarkEnd w:id="421"/>
      <w:bookmarkStart w:id="422" w:name="_Toc184310326"/>
      <w:bookmarkEnd w:id="422"/>
      <w:bookmarkStart w:id="423" w:name="_Toc184313272"/>
      <w:bookmarkEnd w:id="423"/>
      <w:r>
        <w:rPr>
          <w:rFonts w:hint="eastAsia" w:ascii="仿宋" w:hAnsi="仿宋" w:eastAsia="仿宋" w:cs="仿宋_GB2312"/>
          <w:b/>
          <w:color w:val="auto"/>
          <w:sz w:val="36"/>
          <w:szCs w:val="36"/>
          <w:highlight w:val="none"/>
        </w:rPr>
        <w:t>评标方法及评分标准</w:t>
      </w:r>
    </w:p>
    <w:p>
      <w:pP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w:t>
      </w:r>
      <w:r>
        <w:rPr>
          <w:rFonts w:hint="eastAsia" w:ascii="仿宋" w:hAnsi="仿宋" w:eastAsia="仿宋" w:cs="Arial"/>
          <w:color w:val="auto"/>
          <w:kern w:val="0"/>
          <w:sz w:val="24"/>
          <w:highlight w:val="none"/>
          <w:lang w:val="en-US" w:eastAsia="zh-CN"/>
        </w:rPr>
        <w:t>5</w:t>
      </w:r>
      <w:r>
        <w:rPr>
          <w:rFonts w:ascii="仿宋" w:hAnsi="仿宋" w:eastAsia="仿宋" w:cs="Arial"/>
          <w:color w:val="auto"/>
          <w:kern w:val="0"/>
          <w:sz w:val="24"/>
          <w:highlight w:val="none"/>
        </w:rPr>
        <w:t>人</w:t>
      </w:r>
      <w:r>
        <w:rPr>
          <w:rFonts w:hint="eastAsia" w:ascii="仿宋" w:hAnsi="仿宋" w:eastAsia="仿宋" w:cs="Arial"/>
          <w:color w:val="auto"/>
          <w:kern w:val="0"/>
          <w:sz w:val="24"/>
          <w:highlight w:val="none"/>
          <w:lang w:val="en-US" w:eastAsia="zh-CN"/>
        </w:rPr>
        <w:t>及</w:t>
      </w:r>
      <w:r>
        <w:rPr>
          <w:rFonts w:ascii="仿宋" w:hAnsi="仿宋" w:eastAsia="仿宋" w:cs="Arial"/>
          <w:color w:val="auto"/>
          <w:kern w:val="0"/>
          <w:sz w:val="24"/>
          <w:highlight w:val="none"/>
        </w:rPr>
        <w:t>以上单数，其中评审专家不少于成员总数的三分之二。</w:t>
      </w:r>
    </w:p>
    <w:p>
      <w:pPr>
        <w:pStyle w:val="29"/>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pPr>
        <w:pStyle w:val="29"/>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w:t>
      </w:r>
      <w:r>
        <w:rPr>
          <w:rFonts w:hint="eastAsia" w:ascii="仿宋" w:hAnsi="仿宋" w:eastAsia="仿宋" w:cs="Arial"/>
          <w:color w:val="auto"/>
          <w:kern w:val="0"/>
          <w:highlight w:val="none"/>
        </w:rPr>
        <w:t>采购代理机构</w:t>
      </w:r>
      <w:r>
        <w:rPr>
          <w:rFonts w:ascii="仿宋" w:hAnsi="仿宋" w:eastAsia="仿宋" w:cs="Arial"/>
          <w:color w:val="auto"/>
          <w:kern w:val="0"/>
          <w:highlight w:val="none"/>
        </w:rPr>
        <w:t>或者有关部门报告评标中发现的违法行为</w:t>
      </w:r>
      <w:r>
        <w:rPr>
          <w:rFonts w:hint="eastAsia" w:ascii="仿宋" w:hAnsi="仿宋" w:eastAsia="仿宋" w:cs="Arial"/>
          <w:color w:val="auto"/>
          <w:kern w:val="0"/>
          <w:highlight w:val="none"/>
        </w:rPr>
        <w:t>；</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9"/>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接受投标人提出的与投标文件不一致的澄清或者说明，本办法第五十一条规定的情形除外；</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29"/>
        <w:ind w:firstLine="480"/>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29"/>
        <w:ind w:firstLine="480"/>
        <w:rPr>
          <w:rFonts w:ascii="仿宋" w:hAnsi="仿宋" w:eastAsia="仿宋" w:cs="Arial"/>
          <w:color w:val="auto"/>
          <w:kern w:val="0"/>
          <w:highlight w:val="none"/>
        </w:rPr>
      </w:pPr>
      <w:r>
        <w:rPr>
          <w:rFonts w:ascii="仿宋" w:hAnsi="仿宋" w:eastAsia="仿宋" w:cs="Arial"/>
          <w:color w:val="auto"/>
          <w:kern w:val="0"/>
          <w:highlight w:val="none"/>
        </w:rPr>
        <w:t>评标委员会成员有</w:t>
      </w:r>
      <w:r>
        <w:rPr>
          <w:rFonts w:hint="eastAsia" w:ascii="仿宋" w:hAnsi="仿宋" w:eastAsia="仿宋" w:cs="Arial"/>
          <w:color w:val="auto"/>
          <w:kern w:val="0"/>
          <w:highlight w:val="none"/>
        </w:rPr>
        <w:t>5.1-5.5</w:t>
      </w:r>
      <w:r>
        <w:rPr>
          <w:rFonts w:ascii="仿宋" w:hAnsi="仿宋" w:eastAsia="仿宋" w:cs="Arial"/>
          <w:color w:val="auto"/>
          <w:kern w:val="0"/>
          <w:highlight w:val="none"/>
        </w:rPr>
        <w:t>行为之一的，其评审意见无效，并不得获取评审劳务报酬和报销异地评审差旅费。</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9"/>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9"/>
        <w:ind w:firstLine="482"/>
        <w:rPr>
          <w:rFonts w:ascii="仿宋" w:hAnsi="仿宋" w:eastAsia="仿宋" w:cs="Arial"/>
          <w:bCs/>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hint="eastAsia" w:ascii="仿宋" w:hAnsi="仿宋" w:eastAsia="仿宋" w:cs="Arial"/>
          <w:bCs/>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在规定时间内投标人如未作出相应的澄清、说明或者补正的，则视为放弃该项权利。投标人的澄清、说明或者补正不得超出投标文件的范围或者改变投标文件的实质性内容。</w:t>
      </w:r>
    </w:p>
    <w:p>
      <w:pPr>
        <w:pStyle w:val="29"/>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29"/>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9"/>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9"/>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9"/>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w:t>
      </w:r>
      <w:r>
        <w:rPr>
          <w:rFonts w:hint="eastAsia" w:ascii="仿宋" w:hAnsi="仿宋" w:eastAsia="仿宋" w:cs="Arial"/>
          <w:color w:val="auto"/>
          <w:kern w:val="0"/>
          <w:szCs w:val="24"/>
          <w:highlight w:val="none"/>
          <w:lang w:val="en-US" w:eastAsia="zh-CN"/>
        </w:rPr>
        <w:t>2</w:t>
      </w:r>
      <w:r>
        <w:rPr>
          <w:rFonts w:hint="eastAsia" w:ascii="仿宋" w:hAnsi="仿宋" w:eastAsia="仿宋" w:cs="Arial"/>
          <w:color w:val="auto"/>
          <w:kern w:val="0"/>
          <w:szCs w:val="24"/>
          <w:highlight w:val="none"/>
        </w:rPr>
        <w:t>投标价格的修正原则。投标文件报价出现前后不一致的，按照下列规定修正：</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w:t>
      </w:r>
      <w:r>
        <w:rPr>
          <w:rFonts w:hint="eastAsia" w:ascii="仿宋" w:hAnsi="仿宋" w:eastAsia="仿宋" w:cs="Arial"/>
          <w:color w:val="auto"/>
          <w:kern w:val="0"/>
          <w:sz w:val="24"/>
          <w:highlight w:val="none"/>
          <w:lang w:val="en-US" w:eastAsia="zh-CN"/>
        </w:rPr>
        <w:t>2</w:t>
      </w:r>
      <w:r>
        <w:rPr>
          <w:rFonts w:hint="eastAsia" w:ascii="仿宋" w:hAnsi="仿宋" w:eastAsia="仿宋" w:cs="Arial"/>
          <w:color w:val="auto"/>
          <w:kern w:val="0"/>
          <w:sz w:val="24"/>
          <w:highlight w:val="none"/>
        </w:rPr>
        <w:t>.1投标文件中报价明细表内容与投标文件中相应内容不一致的，以报价明细表为准；</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w:t>
      </w:r>
      <w:r>
        <w:rPr>
          <w:rFonts w:hint="eastAsia" w:ascii="仿宋" w:hAnsi="仿宋" w:eastAsia="仿宋" w:cs="Arial"/>
          <w:color w:val="auto"/>
          <w:kern w:val="0"/>
          <w:sz w:val="24"/>
          <w:highlight w:val="none"/>
          <w:lang w:val="en-US" w:eastAsia="zh-CN"/>
        </w:rPr>
        <w:t>2</w:t>
      </w:r>
      <w:r>
        <w:rPr>
          <w:rFonts w:hint="eastAsia" w:ascii="仿宋" w:hAnsi="仿宋" w:eastAsia="仿宋" w:cs="Arial"/>
          <w:color w:val="auto"/>
          <w:kern w:val="0"/>
          <w:sz w:val="24"/>
          <w:highlight w:val="none"/>
        </w:rPr>
        <w:t>.2大写金额和小写金额不一致的，以大写金额为准；</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w:t>
      </w:r>
      <w:r>
        <w:rPr>
          <w:rFonts w:hint="eastAsia" w:ascii="仿宋" w:hAnsi="仿宋" w:eastAsia="仿宋" w:cs="Arial"/>
          <w:color w:val="auto"/>
          <w:kern w:val="0"/>
          <w:sz w:val="24"/>
          <w:highlight w:val="none"/>
          <w:lang w:val="en-US" w:eastAsia="zh-CN"/>
        </w:rPr>
        <w:t>2</w:t>
      </w:r>
      <w:r>
        <w:rPr>
          <w:rFonts w:hint="eastAsia" w:ascii="仿宋" w:hAnsi="仿宋" w:eastAsia="仿宋" w:cs="Arial"/>
          <w:color w:val="auto"/>
          <w:kern w:val="0"/>
          <w:sz w:val="24"/>
          <w:highlight w:val="none"/>
        </w:rPr>
        <w:t>.3单价金额小数点或者百分比有明显错位的，以报价明细表的总价为准，并修改单价；</w:t>
      </w:r>
    </w:p>
    <w:p>
      <w:pPr>
        <w:pStyle w:val="29"/>
        <w:ind w:firstLine="480"/>
        <w:rPr>
          <w:rFonts w:ascii="仿宋" w:hAnsi="仿宋" w:eastAsia="仿宋" w:cs="Arial"/>
          <w:color w:val="auto"/>
          <w:kern w:val="0"/>
          <w:szCs w:val="24"/>
          <w:highlight w:val="none"/>
        </w:rPr>
      </w:pPr>
      <w:r>
        <w:rPr>
          <w:rFonts w:hint="eastAsia" w:ascii="仿宋" w:hAnsi="仿宋" w:eastAsia="仿宋" w:cs="Arial"/>
          <w:color w:val="auto"/>
          <w:kern w:val="0"/>
          <w:highlight w:val="none"/>
        </w:rPr>
        <w:t>10.</w:t>
      </w:r>
      <w:r>
        <w:rPr>
          <w:rFonts w:hint="eastAsia" w:ascii="仿宋" w:hAnsi="仿宋" w:eastAsia="仿宋" w:cs="Arial"/>
          <w:color w:val="auto"/>
          <w:kern w:val="0"/>
          <w:highlight w:val="none"/>
          <w:lang w:val="en-US" w:eastAsia="zh-CN"/>
        </w:rPr>
        <w:t>2</w:t>
      </w:r>
      <w:r>
        <w:rPr>
          <w:rFonts w:hint="eastAsia" w:ascii="仿宋" w:hAnsi="仿宋" w:eastAsia="仿宋" w:cs="Arial"/>
          <w:color w:val="auto"/>
          <w:kern w:val="0"/>
          <w:highlight w:val="none"/>
        </w:rPr>
        <w:t>.4总价金额与按单价汇总金额不一致的，以单价金额计算结果为准。</w:t>
      </w:r>
    </w:p>
    <w:p>
      <w:pPr>
        <w:pStyle w:val="29"/>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w:t>
      </w:r>
      <w:r>
        <w:rPr>
          <w:rFonts w:hint="eastAsia" w:ascii="仿宋" w:hAnsi="仿宋" w:eastAsia="仿宋" w:cs="Arial"/>
          <w:color w:val="auto"/>
          <w:kern w:val="0"/>
          <w:szCs w:val="24"/>
          <w:highlight w:val="none"/>
          <w:lang w:val="en-US" w:eastAsia="zh-CN"/>
        </w:rPr>
        <w:t>2</w:t>
      </w:r>
      <w:r>
        <w:rPr>
          <w:rFonts w:hint="eastAsia" w:ascii="仿宋" w:hAnsi="仿宋" w:eastAsia="仿宋" w:cs="Arial"/>
          <w:color w:val="auto"/>
          <w:kern w:val="0"/>
          <w:szCs w:val="24"/>
          <w:highlight w:val="none"/>
        </w:rPr>
        <w:t>.5同时出现两种以上不一致的，按照前款规定的顺序修正。修正后的报价按照财政部第87号令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顺序排列</w:t>
      </w:r>
      <w:r>
        <w:rPr>
          <w:rFonts w:hint="eastAsia" w:ascii="仿宋" w:hAnsi="仿宋" w:eastAsia="仿宋" w:cs="Arial"/>
          <w:b/>
          <w:color w:val="auto"/>
          <w:kern w:val="0"/>
          <w:sz w:val="24"/>
          <w:highlight w:val="none"/>
        </w:rPr>
        <w:t>与中标候选推荐。</w:t>
      </w:r>
    </w:p>
    <w:p>
      <w:pPr>
        <w:spacing w:line="360" w:lineRule="auto"/>
        <w:ind w:firstLine="480" w:firstLineChars="200"/>
        <w:rPr>
          <w:rFonts w:hint="eastAsia" w:ascii="仿宋" w:hAnsi="仿宋" w:eastAsia="仿宋" w:cs="仿宋_GB2312"/>
          <w:color w:val="auto"/>
          <w:sz w:val="24"/>
          <w:szCs w:val="21"/>
          <w:highlight w:val="none"/>
          <w:lang w:eastAsia="zh-TW"/>
        </w:rPr>
      </w:pPr>
      <w:r>
        <w:rPr>
          <w:rFonts w:hint="eastAsia" w:ascii="仿宋" w:hAnsi="仿宋" w:eastAsia="仿宋" w:cs="仿宋_GB2312"/>
          <w:color w:val="auto"/>
          <w:sz w:val="24"/>
          <w:szCs w:val="21"/>
          <w:highlight w:val="none"/>
        </w:rPr>
        <w:t>12.1</w:t>
      </w:r>
      <w:r>
        <w:rPr>
          <w:rFonts w:hint="eastAsia" w:ascii="仿宋" w:hAnsi="仿宋" w:eastAsia="仿宋" w:cs="仿宋_GB2312"/>
          <w:color w:val="auto"/>
          <w:sz w:val="24"/>
          <w:szCs w:val="21"/>
          <w:highlight w:val="none"/>
          <w:lang w:eastAsia="zh-TW"/>
        </w:rPr>
        <w:t>本项目共分</w:t>
      </w:r>
      <w:r>
        <w:rPr>
          <w:rFonts w:hint="eastAsia" w:ascii="仿宋" w:hAnsi="仿宋" w:eastAsia="仿宋" w:cs="仿宋_GB2312"/>
          <w:color w:val="auto"/>
          <w:sz w:val="24"/>
          <w:szCs w:val="21"/>
          <w:highlight w:val="none"/>
          <w:lang w:val="en-US" w:eastAsia="zh-CN"/>
        </w:rPr>
        <w:t>二</w:t>
      </w:r>
      <w:r>
        <w:rPr>
          <w:rFonts w:hint="eastAsia" w:ascii="仿宋" w:hAnsi="仿宋" w:eastAsia="仿宋" w:cs="仿宋_GB2312"/>
          <w:color w:val="auto"/>
          <w:sz w:val="24"/>
          <w:szCs w:val="21"/>
          <w:highlight w:val="none"/>
          <w:lang w:eastAsia="zh-TW"/>
        </w:rPr>
        <w:t>个标</w:t>
      </w:r>
      <w:r>
        <w:rPr>
          <w:rFonts w:hint="eastAsia" w:ascii="仿宋" w:hAnsi="仿宋" w:eastAsia="仿宋" w:cs="仿宋_GB2312"/>
          <w:color w:val="auto"/>
          <w:sz w:val="24"/>
          <w:szCs w:val="21"/>
          <w:highlight w:val="none"/>
          <w:lang w:val="en-US" w:eastAsia="zh-CN"/>
        </w:rPr>
        <w:t>项</w:t>
      </w:r>
      <w:r>
        <w:rPr>
          <w:rFonts w:hint="eastAsia" w:ascii="仿宋" w:hAnsi="仿宋" w:eastAsia="仿宋" w:cs="仿宋_GB2312"/>
          <w:color w:val="auto"/>
          <w:sz w:val="24"/>
          <w:szCs w:val="21"/>
          <w:highlight w:val="none"/>
          <w:lang w:eastAsia="zh-TW"/>
        </w:rPr>
        <w:t>，</w:t>
      </w:r>
      <w:r>
        <w:rPr>
          <w:rFonts w:hint="eastAsia" w:ascii="仿宋" w:hAnsi="仿宋" w:eastAsia="仿宋" w:cs="仿宋_GB2312"/>
          <w:color w:val="auto"/>
          <w:sz w:val="24"/>
          <w:szCs w:val="21"/>
          <w:highlight w:val="none"/>
        </w:rPr>
        <w:t>不同标项需分别制作投标文件，所有投标人可同时参加</w:t>
      </w:r>
      <w:r>
        <w:rPr>
          <w:rFonts w:hint="eastAsia" w:ascii="仿宋" w:hAnsi="仿宋" w:eastAsia="仿宋" w:cs="仿宋_GB2312"/>
          <w:color w:val="auto"/>
          <w:sz w:val="24"/>
          <w:szCs w:val="21"/>
          <w:highlight w:val="none"/>
          <w:lang w:val="en-US" w:eastAsia="zh-CN"/>
        </w:rPr>
        <w:t>二</w:t>
      </w:r>
      <w:r>
        <w:rPr>
          <w:rFonts w:hint="eastAsia" w:ascii="仿宋" w:hAnsi="仿宋" w:eastAsia="仿宋" w:cs="仿宋_GB2312"/>
          <w:color w:val="auto"/>
          <w:sz w:val="24"/>
          <w:szCs w:val="21"/>
          <w:highlight w:val="none"/>
        </w:rPr>
        <w:t>个标项的投标，但是不能重复中标。</w:t>
      </w:r>
      <w:r>
        <w:rPr>
          <w:rFonts w:hint="eastAsia" w:ascii="仿宋" w:hAnsi="仿宋" w:eastAsia="仿宋" w:cs="仿宋_GB2312"/>
          <w:color w:val="auto"/>
          <w:sz w:val="24"/>
          <w:szCs w:val="21"/>
          <w:highlight w:val="none"/>
          <w:lang w:val="en-US" w:eastAsia="zh-CN"/>
        </w:rPr>
        <w:t>评审小组按标项一、二依次分别评审。</w:t>
      </w:r>
      <w:r>
        <w:rPr>
          <w:rFonts w:hint="eastAsia" w:ascii="仿宋" w:hAnsi="仿宋" w:eastAsia="仿宋" w:cs="仿宋_GB2312"/>
          <w:color w:val="auto"/>
          <w:sz w:val="24"/>
          <w:szCs w:val="21"/>
          <w:highlight w:val="none"/>
          <w:lang w:eastAsia="zh-TW"/>
        </w:rPr>
        <w:t>标</w:t>
      </w:r>
      <w:r>
        <w:rPr>
          <w:rFonts w:hint="eastAsia" w:ascii="仿宋" w:hAnsi="仿宋" w:eastAsia="仿宋" w:cs="仿宋_GB2312"/>
          <w:color w:val="auto"/>
          <w:sz w:val="24"/>
          <w:szCs w:val="21"/>
          <w:highlight w:val="none"/>
          <w:lang w:val="en-US" w:eastAsia="zh-CN"/>
        </w:rPr>
        <w:t>项一</w:t>
      </w:r>
      <w:r>
        <w:rPr>
          <w:rFonts w:hint="eastAsia" w:ascii="仿宋" w:hAnsi="仿宋" w:eastAsia="仿宋" w:cs="仿宋_GB2312"/>
          <w:color w:val="auto"/>
          <w:sz w:val="24"/>
          <w:szCs w:val="21"/>
          <w:highlight w:val="none"/>
          <w:lang w:eastAsia="zh-TW"/>
        </w:rPr>
        <w:t>的中标候选人不再推荐为标段二的中标候选人；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lang w:val="en-US" w:eastAsia="zh-CN"/>
        </w:rPr>
        <w:t>12.2评标结果按评审后得分由高到低顺序排列，得分最高的投标人为排名第一的中标候选人。得分相同的，按照最后报价由低到高的顺序推荐，得分且最后报价相同的，按照技术指标优劣顺序推荐。报价和技术指标均相同的，采取随机抽取的方式确定。</w:t>
      </w:r>
    </w:p>
    <w:p>
      <w:pPr>
        <w:pStyle w:val="10"/>
        <w:spacing w:line="360" w:lineRule="auto"/>
        <w:ind w:firstLine="562"/>
        <w:rPr>
          <w:rFonts w:ascii="仿宋" w:hAnsi="仿宋" w:eastAsia="仿宋" w:cs="仿宋_GB2312"/>
          <w:color w:val="auto"/>
          <w:szCs w:val="21"/>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szCs w:val="21"/>
          <w:highlight w:val="none"/>
        </w:rPr>
        <w:t>有下列情况之一的，投标无效：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highlight w:val="none"/>
        </w:rPr>
        <w:t xml:space="preserve"> </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13.4</w:t>
      </w:r>
      <w:r>
        <w:rPr>
          <w:rFonts w:hint="eastAsia" w:ascii="仿宋" w:hAnsi="仿宋" w:eastAsia="仿宋" w:cs="仿宋_GB2312"/>
          <w:color w:val="auto"/>
          <w:sz w:val="24"/>
          <w:highlight w:val="none"/>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13.5</w:t>
      </w:r>
      <w:r>
        <w:rPr>
          <w:rFonts w:hint="eastAsia" w:ascii="仿宋" w:hAnsi="仿宋" w:eastAsia="仿宋" w:cs="仿宋_GB2312"/>
          <w:color w:val="auto"/>
          <w:sz w:val="24"/>
          <w:highlight w:val="none"/>
        </w:rPr>
        <w:t>投标文件未按招标文件的澄清、修改的内容编制，又不符合实质性要求的；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13.6</w:t>
      </w:r>
      <w:r>
        <w:rPr>
          <w:rFonts w:hint="eastAsia" w:ascii="仿宋" w:hAnsi="仿宋" w:eastAsia="仿宋" w:cs="仿宋_GB2312"/>
          <w:color w:val="auto"/>
          <w:sz w:val="24"/>
          <w:highlight w:val="none"/>
        </w:rPr>
        <w:t>投标文件中法定代表人授权书所载内容与本项目内容有异的；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13.7</w:t>
      </w:r>
      <w:r>
        <w:rPr>
          <w:rFonts w:hint="eastAsia" w:ascii="仿宋" w:hAnsi="仿宋" w:eastAsia="仿宋" w:cs="仿宋_GB2312"/>
          <w:color w:val="auto"/>
          <w:sz w:val="24"/>
          <w:highlight w:val="none"/>
        </w:rPr>
        <w:t>投标文件未按照招标文件要求签署、盖章（CA签章）的；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13.8未传输递交电子投标文件的或规定时间内未解密或解密失败的；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13.9采购</w:t>
      </w:r>
      <w:r>
        <w:rPr>
          <w:rFonts w:ascii="仿宋" w:hAnsi="仿宋" w:eastAsia="仿宋" w:cs="仿宋_GB2312"/>
          <w:color w:val="auto"/>
          <w:sz w:val="24"/>
          <w:highlight w:val="none"/>
        </w:rPr>
        <w:t>人拟采购的产品属于</w:t>
      </w:r>
      <w:r>
        <w:rPr>
          <w:rFonts w:hint="eastAsia" w:ascii="仿宋" w:hAnsi="仿宋" w:eastAsia="仿宋" w:cs="仿宋_GB2312"/>
          <w:color w:val="auto"/>
          <w:sz w:val="24"/>
          <w:highlight w:val="none"/>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szCs w:val="21"/>
          <w:highlight w:val="none"/>
        </w:rPr>
        <w:t>投标文件含有采购人不能接受的附加条件的；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13.11投标文件中承诺的投标有效期少于招标文件中载明的投标有效期的；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13.12投标人所投内容不符合采购需求中实质性要求的；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13.13投标文件出现不是唯一的、有选择性投标报价的;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13.14投标报价高于本项目采购预算或者最高限价的;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13.16《投标报价明细表》填写不完整或字迹不能辨认或有漏项的；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13.17投标人对根据修正原则修正后的报价不确认的；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13.18投标人提供虚假材料投标的（包括但不限于以下情节）；</w:t>
      </w:r>
    </w:p>
    <w:p>
      <w:pPr>
        <w:spacing w:line="360" w:lineRule="auto"/>
        <w:ind w:left="479" w:leftChars="228"/>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13.18.1使用伪造、变造的许可证件；</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13.18.2提供虚假的财务状况或者业绩；</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13.18.3提供虚假的项目负责人或者主要技术人员简历、劳动关系证明；</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13.18.4提供虚假的信用状况；</w:t>
      </w:r>
      <w:r>
        <w:rPr>
          <w:rFonts w:hint="eastAsia" w:ascii="仿宋" w:hAnsi="仿宋" w:eastAsia="仿宋" w:cs="仿宋_GB2312"/>
          <w:color w:val="auto"/>
          <w:sz w:val="24"/>
          <w:szCs w:val="21"/>
          <w:highlight w:val="none"/>
        </w:rPr>
        <w:br w:type="textWrapping"/>
      </w:r>
      <w:r>
        <w:rPr>
          <w:rFonts w:ascii="仿宋" w:hAnsi="仿宋" w:eastAsia="仿宋" w:cs="仿宋_GB2312"/>
          <w:color w:val="auto"/>
          <w:sz w:val="24"/>
          <w:szCs w:val="21"/>
          <w:highlight w:val="none"/>
        </w:rPr>
        <w:t>13.</w:t>
      </w:r>
      <w:r>
        <w:rPr>
          <w:rFonts w:hint="eastAsia" w:ascii="仿宋" w:hAnsi="仿宋" w:eastAsia="仿宋" w:cs="仿宋_GB2312"/>
          <w:color w:val="auto"/>
          <w:sz w:val="24"/>
          <w:szCs w:val="21"/>
          <w:highlight w:val="none"/>
        </w:rPr>
        <w:t>18</w:t>
      </w:r>
      <w:r>
        <w:rPr>
          <w:rFonts w:ascii="仿宋" w:hAnsi="仿宋" w:eastAsia="仿宋" w:cs="仿宋_GB2312"/>
          <w:color w:val="auto"/>
          <w:sz w:val="24"/>
          <w:szCs w:val="21"/>
          <w:highlight w:val="none"/>
        </w:rPr>
        <w:t>.</w:t>
      </w:r>
      <w:r>
        <w:rPr>
          <w:rFonts w:hint="eastAsia" w:ascii="仿宋" w:hAnsi="仿宋" w:eastAsia="仿宋" w:cs="仿宋_GB2312"/>
          <w:color w:val="auto"/>
          <w:sz w:val="24"/>
          <w:szCs w:val="21"/>
          <w:highlight w:val="none"/>
        </w:rPr>
        <w:t>5其他弄虚作假的行为。</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13.19投标人有恶意串通、妨碍其他投标人的竞争行为、损害采购人或者其</w:t>
      </w:r>
    </w:p>
    <w:p>
      <w:pPr>
        <w:spacing w:line="360" w:lineRule="auto"/>
        <w:rPr>
          <w:rFonts w:eastAsia="仿宋"/>
          <w:color w:val="auto"/>
          <w:highlight w:val="none"/>
        </w:rPr>
      </w:pPr>
      <w:r>
        <w:rPr>
          <w:rFonts w:hint="eastAsia" w:ascii="仿宋" w:hAnsi="仿宋" w:eastAsia="仿宋" w:cs="仿宋_GB2312"/>
          <w:color w:val="auto"/>
          <w:sz w:val="24"/>
          <w:szCs w:val="21"/>
          <w:highlight w:val="none"/>
        </w:rPr>
        <w:t>他投标人的合法权益情形的；有下列情形之一的，属于或视为恶意串通，其投标无效；</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13.19.2供应商按照采购人或者采购代理机构的授意撤换、修改投标文件或者响应文件；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13.19.3供应商之间协商报价、技术方案等投标文件或者响应文件的实质性内容；</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13.19.4属于同一集团、协会、商会等组织成员的供应商按照该组织要求协同参加政府采购活动；</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13.19.5供应商之间事先约定由某一特定供应商中标、成交；</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13.19.6供应商之间商定部分供应商放弃参加政府采购活动或者放弃中标、成交；</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13.19.8不同投标人的投标文件由同一单位或者个人编制；</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13.19.9不同投标人委托同一单位或者个人办理投标事宜；</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auto"/>
          <w:sz w:val="24"/>
          <w:szCs w:val="21"/>
          <w:highlight w:val="none"/>
          <w:lang w:eastAsia="zh-CN"/>
        </w:rPr>
      </w:pPr>
      <w:r>
        <w:rPr>
          <w:rFonts w:hint="eastAsia" w:ascii="仿宋" w:hAnsi="仿宋" w:eastAsia="仿宋" w:cs="仿宋_GB2312"/>
          <w:color w:val="auto"/>
          <w:sz w:val="24"/>
          <w:szCs w:val="21"/>
          <w:highlight w:val="none"/>
        </w:rPr>
        <w:t>13.19.11不同投标人的投标文件异常一致或者投标报价呈规律性差异</w:t>
      </w:r>
      <w:r>
        <w:rPr>
          <w:rFonts w:hint="eastAsia" w:ascii="仿宋" w:hAnsi="仿宋" w:eastAsia="仿宋" w:cs="仿宋_GB2312"/>
          <w:color w:val="auto"/>
          <w:sz w:val="24"/>
          <w:szCs w:val="21"/>
          <w:highlight w:val="none"/>
          <w:lang w:eastAsia="zh-CN"/>
        </w:rPr>
        <w:t>；</w:t>
      </w:r>
    </w:p>
    <w:p>
      <w:pPr>
        <w:pStyle w:val="8"/>
        <w:ind w:firstLine="480" w:firstLineChars="200"/>
        <w:rPr>
          <w:rFonts w:hint="default"/>
          <w:color w:val="auto"/>
          <w:highlight w:val="none"/>
          <w:lang w:val="en-US" w:eastAsia="zh-CN"/>
        </w:rPr>
      </w:pPr>
      <w:r>
        <w:rPr>
          <w:rFonts w:hint="eastAsia" w:ascii="仿宋" w:hAnsi="仿宋" w:eastAsia="仿宋" w:cs="仿宋_GB2312"/>
          <w:color w:val="auto"/>
          <w:sz w:val="24"/>
          <w:szCs w:val="21"/>
          <w:highlight w:val="none"/>
          <w:lang w:val="en-US" w:eastAsia="zh-CN"/>
        </w:rPr>
        <w:t>13.20已被推荐成为第一标项中标候选人的或者第二标项中标候选人的；</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13.2</w:t>
      </w:r>
      <w:r>
        <w:rPr>
          <w:rFonts w:hint="eastAsia" w:ascii="仿宋" w:hAnsi="仿宋" w:eastAsia="仿宋" w:cs="仿宋_GB2312"/>
          <w:color w:val="auto"/>
          <w:sz w:val="24"/>
          <w:szCs w:val="21"/>
          <w:highlight w:val="none"/>
          <w:lang w:val="en-US" w:eastAsia="zh-CN"/>
        </w:rPr>
        <w:t>1</w:t>
      </w:r>
      <w:r>
        <w:rPr>
          <w:rFonts w:hint="eastAsia" w:ascii="仿宋" w:hAnsi="仿宋" w:eastAsia="仿宋" w:cs="仿宋_GB2312"/>
          <w:color w:val="auto"/>
          <w:sz w:val="24"/>
          <w:szCs w:val="21"/>
          <w:highlight w:val="none"/>
        </w:rPr>
        <w:t>法律、法规、规章（适用本市的）及省级以上规范性文件（适用本市的）规定的其他无效情形。</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p>
    <w:p>
      <w:pPr>
        <w:pStyle w:val="29"/>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spacing w:before="100" w:beforeAutospacing="1" w:after="100" w:afterAutospacing="1" w:line="360" w:lineRule="auto"/>
        <w:ind w:firstLine="482" w:firstLineChars="200"/>
        <w:jc w:val="left"/>
        <w:rPr>
          <w:color w:val="auto"/>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10"/>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 重新组织采购</w:t>
      </w:r>
    </w:p>
    <w:p>
      <w:pPr>
        <w:pStyle w:val="10"/>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17.修改招标文件，重新组织采购活动。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0"/>
        <w:snapToGrid w:val="0"/>
        <w:spacing w:line="360" w:lineRule="auto"/>
        <w:ind w:firstLine="482"/>
        <w:rPr>
          <w:rFonts w:ascii="仿宋" w:hAnsi="仿宋" w:eastAsia="仿宋" w:cs="仿宋_GB2312"/>
          <w:color w:val="auto"/>
          <w:highlight w:val="none"/>
        </w:rPr>
      </w:pPr>
      <w:r>
        <w:rPr>
          <w:rFonts w:hint="eastAsia" w:ascii="仿宋" w:hAnsi="仿宋" w:eastAsia="仿宋" w:cs="Helvetica"/>
          <w:b/>
          <w:color w:val="auto"/>
          <w:kern w:val="0"/>
          <w:highlight w:val="none"/>
        </w:rPr>
        <w:t>18.重新开展采购。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18.1未确定中标或者成交供应商的，终止本次政府采购活动，重新开展政府采购活动。</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18.3政府采购合同已签订但尚未履行的，撤销合同，从合格的中标或者成交候选人中另行确定中标或者成交供应商；没有合格的中标或者成交候选人的，重新开展政府采购活动。</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18.4政府采购合同已经履行，给采购人、供应商造成损失的，由责任人承担赔偿责任。</w:t>
      </w:r>
    </w:p>
    <w:p>
      <w:pPr>
        <w:pStyle w:val="10"/>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八、评审过程的保密与录像</w:t>
      </w:r>
    </w:p>
    <w:p>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评审活动在严格保密的情况下进行。评审过程中凡是与采购响应文件评审和比较、中标成交供应商推荐等评审有关的情况，以及涉及国家秘密和商业秘密等信息，评审委员会成员、采购人和</w:t>
      </w:r>
      <w:r>
        <w:rPr>
          <w:rFonts w:hint="eastAsia" w:ascii="仿宋" w:hAnsi="仿宋" w:eastAsia="仿宋" w:cs="仿宋_GB2312"/>
          <w:color w:val="auto"/>
          <w:sz w:val="24"/>
          <w:highlight w:val="none"/>
        </w:rPr>
        <w:t>采购代理机构</w:t>
      </w:r>
      <w:r>
        <w:rPr>
          <w:rFonts w:ascii="仿宋" w:hAnsi="仿宋" w:eastAsia="仿宋" w:cs="仿宋_GB2312"/>
          <w:color w:val="auto"/>
          <w:sz w:val="24"/>
          <w:highlight w:val="none"/>
        </w:rPr>
        <w:t>工作人员、相关监督人员等与评审有关的人员应当予以保密。</w:t>
      </w:r>
    </w:p>
    <w:p>
      <w:pPr>
        <w:widowControl/>
        <w:spacing w:line="360" w:lineRule="auto"/>
        <w:ind w:firstLine="482" w:firstLineChars="200"/>
        <w:rPr>
          <w:color w:val="auto"/>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snapToGrid w:val="0"/>
        <w:spacing w:line="360" w:lineRule="auto"/>
        <w:jc w:val="center"/>
        <w:rPr>
          <w:rFonts w:ascii="仿宋" w:hAnsi="仿宋" w:eastAsia="仿宋" w:cs="仿宋_GB2312"/>
          <w:b/>
          <w:color w:val="auto"/>
          <w:sz w:val="32"/>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九、具体评标标准</w:t>
      </w:r>
    </w:p>
    <w:p>
      <w:pPr>
        <w:autoSpaceDE w:val="0"/>
        <w:autoSpaceDN w:val="0"/>
        <w:spacing w:line="460" w:lineRule="exact"/>
        <w:ind w:firstLine="482" w:firstLineChars="200"/>
        <w:rPr>
          <w:rFonts w:ascii="仿宋" w:hAnsi="仿宋" w:eastAsia="仿宋"/>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b/>
          <w:color w:val="auto"/>
          <w:sz w:val="24"/>
          <w:highlight w:val="none"/>
        </w:rPr>
        <w:t>本项目采用综合评分法</w:t>
      </w:r>
      <w:r>
        <w:rPr>
          <w:rFonts w:hint="eastAsia" w:ascii="仿宋" w:hAnsi="仿宋" w:eastAsia="仿宋"/>
          <w:color w:val="auto"/>
          <w:sz w:val="24"/>
          <w:highlight w:val="none"/>
        </w:rPr>
        <w:t>，各投标人的综合得分为：投标价格得分+商务技术得分之和，</w:t>
      </w:r>
      <w:r>
        <w:rPr>
          <w:rFonts w:hint="eastAsia" w:ascii="仿宋" w:hAnsi="仿宋" w:eastAsia="仿宋"/>
          <w:b/>
          <w:color w:val="auto"/>
          <w:sz w:val="24"/>
          <w:highlight w:val="none"/>
        </w:rPr>
        <w:t>总和为</w:t>
      </w:r>
      <w:r>
        <w:rPr>
          <w:rFonts w:hint="eastAsia" w:ascii="仿宋" w:hAnsi="仿宋" w:eastAsia="仿宋"/>
          <w:b/>
          <w:color w:val="auto"/>
          <w:sz w:val="24"/>
          <w:highlight w:val="none"/>
          <w:u w:val="single"/>
        </w:rPr>
        <w:t>100</w:t>
      </w:r>
      <w:r>
        <w:rPr>
          <w:rFonts w:hint="eastAsia" w:ascii="仿宋" w:hAnsi="仿宋" w:eastAsia="仿宋"/>
          <w:b/>
          <w:color w:val="auto"/>
          <w:sz w:val="24"/>
          <w:highlight w:val="none"/>
        </w:rPr>
        <w:t>分</w:t>
      </w:r>
      <w:r>
        <w:rPr>
          <w:rFonts w:hint="eastAsia" w:ascii="仿宋" w:hAnsi="仿宋" w:eastAsia="仿宋"/>
          <w:color w:val="auto"/>
          <w:sz w:val="24"/>
          <w:highlight w:val="none"/>
        </w:rPr>
        <w:t>，其中：</w:t>
      </w:r>
      <w:r>
        <w:rPr>
          <w:rFonts w:hint="eastAsia" w:ascii="仿宋" w:hAnsi="仿宋" w:eastAsia="仿宋"/>
          <w:b/>
          <w:color w:val="auto"/>
          <w:sz w:val="24"/>
          <w:highlight w:val="none"/>
        </w:rPr>
        <w:t>投标价格得分</w:t>
      </w:r>
      <w:r>
        <w:rPr>
          <w:rFonts w:hint="eastAsia" w:ascii="仿宋" w:hAnsi="仿宋" w:eastAsia="仿宋"/>
          <w:b/>
          <w:color w:val="auto"/>
          <w:sz w:val="24"/>
          <w:highlight w:val="none"/>
          <w:u w:val="single"/>
          <w:lang w:val="en-US" w:eastAsia="zh-CN"/>
        </w:rPr>
        <w:t>15</w:t>
      </w:r>
      <w:r>
        <w:rPr>
          <w:rFonts w:hint="eastAsia" w:ascii="仿宋" w:hAnsi="仿宋" w:eastAsia="仿宋"/>
          <w:b/>
          <w:color w:val="auto"/>
          <w:sz w:val="24"/>
          <w:highlight w:val="none"/>
        </w:rPr>
        <w:t>分，商务</w:t>
      </w:r>
      <w:r>
        <w:rPr>
          <w:rFonts w:hint="eastAsia" w:ascii="仿宋" w:hAnsi="仿宋" w:eastAsia="仿宋"/>
          <w:b/>
          <w:bCs/>
          <w:color w:val="auto"/>
          <w:sz w:val="24"/>
          <w:highlight w:val="none"/>
        </w:rPr>
        <w:t>技术得分</w:t>
      </w:r>
      <w:r>
        <w:rPr>
          <w:rFonts w:hint="eastAsia" w:ascii="仿宋" w:hAnsi="仿宋" w:eastAsia="仿宋"/>
          <w:b/>
          <w:bCs/>
          <w:color w:val="auto"/>
          <w:sz w:val="24"/>
          <w:highlight w:val="none"/>
          <w:u w:val="single"/>
          <w:lang w:val="en-US" w:eastAsia="zh-CN"/>
        </w:rPr>
        <w:t>85</w:t>
      </w:r>
      <w:r>
        <w:rPr>
          <w:rFonts w:hint="eastAsia" w:ascii="仿宋" w:hAnsi="仿宋" w:eastAsia="仿宋"/>
          <w:b/>
          <w:color w:val="auto"/>
          <w:sz w:val="24"/>
          <w:highlight w:val="none"/>
        </w:rPr>
        <w:t>分。</w:t>
      </w:r>
    </w:p>
    <w:p>
      <w:pPr>
        <w:tabs>
          <w:tab w:val="left" w:pos="0"/>
        </w:tabs>
        <w:spacing w:line="460" w:lineRule="exact"/>
        <w:ind w:firstLine="482" w:firstLineChars="200"/>
        <w:rPr>
          <w:rFonts w:ascii="仿宋" w:hAnsi="仿宋" w:eastAsia="仿宋"/>
          <w:b/>
          <w:color w:val="auto"/>
          <w:sz w:val="24"/>
          <w:highlight w:val="none"/>
        </w:rPr>
      </w:pPr>
      <w:r>
        <w:rPr>
          <w:rFonts w:hint="eastAsia" w:ascii="仿宋" w:hAnsi="仿宋" w:eastAsia="仿宋" w:cs="仿宋_GB2312"/>
          <w:b/>
          <w:color w:val="auto"/>
          <w:sz w:val="24"/>
          <w:highlight w:val="none"/>
        </w:rPr>
        <w:t>22.</w:t>
      </w:r>
      <w:r>
        <w:rPr>
          <w:rFonts w:hint="eastAsia" w:ascii="仿宋" w:hAnsi="仿宋" w:eastAsia="仿宋"/>
          <w:b/>
          <w:color w:val="auto"/>
          <w:sz w:val="24"/>
          <w:highlight w:val="none"/>
        </w:rPr>
        <w:t>各投标人的商务技术得分为：评标委员会各成员评分的算术平均值。各投标人的投标价格得分按投标价格评分</w:t>
      </w:r>
      <w:r>
        <w:rPr>
          <w:rFonts w:hint="eastAsia" w:ascii="仿宋" w:hAnsi="仿宋" w:eastAsia="仿宋" w:cs="宋体"/>
          <w:b/>
          <w:color w:val="auto"/>
          <w:kern w:val="0"/>
          <w:sz w:val="24"/>
          <w:highlight w:val="none"/>
        </w:rPr>
        <w:t>公式由采购代理机构计算，</w:t>
      </w:r>
      <w:r>
        <w:rPr>
          <w:rFonts w:hint="eastAsia" w:ascii="仿宋" w:hAnsi="仿宋" w:eastAsia="仿宋"/>
          <w:b/>
          <w:color w:val="auto"/>
          <w:sz w:val="24"/>
          <w:highlight w:val="none"/>
        </w:rPr>
        <w:t>评标委员会审核。</w:t>
      </w:r>
    </w:p>
    <w:p>
      <w:pPr>
        <w:tabs>
          <w:tab w:val="left" w:pos="0"/>
        </w:tabs>
        <w:spacing w:line="460" w:lineRule="exact"/>
        <w:ind w:firstLine="480" w:firstLineChars="200"/>
        <w:rPr>
          <w:color w:val="auto"/>
          <w:highlight w:val="none"/>
        </w:rPr>
      </w:pPr>
      <w:r>
        <w:rPr>
          <w:rFonts w:hint="eastAsia" w:ascii="仿宋" w:hAnsi="仿宋" w:eastAsia="仿宋"/>
          <w:color w:val="auto"/>
          <w:sz w:val="24"/>
          <w:highlight w:val="none"/>
        </w:rPr>
        <w:t>根据上述评标原则，分值安排如下：</w:t>
      </w:r>
    </w:p>
    <w:p>
      <w:pPr>
        <w:snapToGrid w:val="0"/>
        <w:spacing w:line="460" w:lineRule="exact"/>
        <w:ind w:firstLine="482" w:firstLineChars="200"/>
        <w:rPr>
          <w:rFonts w:ascii="仿宋" w:hAnsi="仿宋" w:eastAsia="仿宋"/>
          <w:color w:val="auto"/>
          <w:sz w:val="24"/>
          <w:highlight w:val="none"/>
        </w:rPr>
      </w:pPr>
      <w:bookmarkStart w:id="424" w:name="_Hlk497393397"/>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.商务技术（</w:t>
      </w:r>
      <w:r>
        <w:rPr>
          <w:rFonts w:hint="eastAsia" w:ascii="仿宋" w:hAnsi="仿宋" w:eastAsia="仿宋"/>
          <w:b/>
          <w:color w:val="auto"/>
          <w:sz w:val="24"/>
          <w:highlight w:val="none"/>
          <w:lang w:val="en-US" w:eastAsia="zh-CN"/>
        </w:rPr>
        <w:t>A</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85</w:t>
      </w:r>
      <w:r>
        <w:rPr>
          <w:rFonts w:hint="eastAsia" w:ascii="仿宋" w:hAnsi="仿宋" w:eastAsia="仿宋"/>
          <w:b/>
          <w:color w:val="auto"/>
          <w:sz w:val="24"/>
          <w:highlight w:val="none"/>
        </w:rPr>
        <w:t>分）</w:t>
      </w:r>
      <w:bookmarkEnd w:id="424"/>
      <w:r>
        <w:rPr>
          <w:rFonts w:hint="eastAsia" w:ascii="仿宋" w:hAnsi="仿宋" w:eastAsia="仿宋"/>
          <w:color w:val="auto"/>
          <w:sz w:val="24"/>
          <w:highlight w:val="none"/>
        </w:rPr>
        <w:t>：</w:t>
      </w:r>
    </w:p>
    <w:p>
      <w:pPr>
        <w:autoSpaceDE w:val="0"/>
        <w:autoSpaceDN w:val="0"/>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lang w:val="zh-CN"/>
        </w:rPr>
        <w:t>.1评分细则：</w:t>
      </w:r>
    </w:p>
    <w:tbl>
      <w:tblPr>
        <w:tblStyle w:val="2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134"/>
        <w:gridCol w:w="590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93" w:type="dxa"/>
            <w:vMerge w:val="restart"/>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rPr>
              <w:t>资信及商务部分（8分）</w:t>
            </w:r>
          </w:p>
        </w:tc>
        <w:tc>
          <w:tcPr>
            <w:tcW w:w="709"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134" w:type="dxa"/>
            <w:noWrap w:val="0"/>
            <w:vAlign w:val="center"/>
          </w:tcPr>
          <w:p>
            <w:pPr>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评审项</w:t>
            </w:r>
          </w:p>
        </w:tc>
        <w:tc>
          <w:tcPr>
            <w:tcW w:w="5906" w:type="dxa"/>
            <w:noWrap w:val="0"/>
            <w:vAlign w:val="center"/>
          </w:tcPr>
          <w:p>
            <w:pPr>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评分细则</w:t>
            </w:r>
          </w:p>
        </w:tc>
        <w:tc>
          <w:tcPr>
            <w:tcW w:w="756"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93" w:type="dxa"/>
            <w:vMerge w:val="continue"/>
            <w:noWrap w:val="0"/>
            <w:vAlign w:val="center"/>
          </w:tcPr>
          <w:p>
            <w:pPr>
              <w:widowControl/>
              <w:adjustRightInd w:val="0"/>
              <w:snapToGrid w:val="0"/>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
                <w:bCs/>
                <w:color w:val="auto"/>
                <w:kern w:val="0"/>
                <w:sz w:val="24"/>
                <w:szCs w:val="24"/>
                <w:highlight w:val="none"/>
              </w:rPr>
              <w:t>1</w:t>
            </w:r>
          </w:p>
        </w:tc>
        <w:tc>
          <w:tcPr>
            <w:tcW w:w="1134" w:type="dxa"/>
            <w:noWrap w:val="0"/>
            <w:vAlign w:val="center"/>
          </w:tcPr>
          <w:p>
            <w:pPr>
              <w:adjustRightInd w:val="0"/>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业绩</w:t>
            </w:r>
          </w:p>
        </w:tc>
        <w:tc>
          <w:tcPr>
            <w:tcW w:w="5906" w:type="dxa"/>
            <w:noWrap w:val="0"/>
            <w:vAlign w:val="center"/>
          </w:tcPr>
          <w:p>
            <w:pPr>
              <w:pStyle w:val="10"/>
              <w:spacing w:line="360" w:lineRule="auto"/>
              <w:ind w:firstLine="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投标人自2016年1月1日以来</w:t>
            </w:r>
            <w:r>
              <w:rPr>
                <w:rFonts w:hint="eastAsia" w:ascii="仿宋" w:hAnsi="仿宋" w:eastAsia="仿宋" w:cs="仿宋"/>
                <w:color w:val="auto"/>
                <w:spacing w:val="-6"/>
                <w:sz w:val="24"/>
                <w:szCs w:val="24"/>
                <w:highlight w:val="none"/>
              </w:rPr>
              <w:t>（以合同签订时间为准）</w:t>
            </w:r>
            <w:r>
              <w:rPr>
                <w:rFonts w:hint="eastAsia" w:ascii="仿宋" w:hAnsi="仿宋" w:eastAsia="仿宋" w:cs="仿宋"/>
                <w:bCs/>
                <w:color w:val="auto"/>
                <w:spacing w:val="-6"/>
                <w:sz w:val="24"/>
                <w:szCs w:val="24"/>
                <w:highlight w:val="none"/>
              </w:rPr>
              <w:t>同类项目业绩：（以提供的合同复印件为准）</w:t>
            </w:r>
            <w:r>
              <w:rPr>
                <w:rFonts w:hint="eastAsia" w:ascii="仿宋" w:hAnsi="仿宋" w:eastAsia="仿宋" w:cs="仿宋"/>
                <w:color w:val="auto"/>
                <w:spacing w:val="-6"/>
                <w:sz w:val="24"/>
                <w:szCs w:val="24"/>
                <w:highlight w:val="none"/>
              </w:rPr>
              <w:t>每提供一个年度服务合同得1分，最高得5分，未提供不得分；</w:t>
            </w:r>
          </w:p>
        </w:tc>
        <w:tc>
          <w:tcPr>
            <w:tcW w:w="756"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93" w:type="dxa"/>
            <w:vMerge w:val="continue"/>
            <w:noWrap w:val="0"/>
            <w:vAlign w:val="center"/>
          </w:tcPr>
          <w:p>
            <w:pPr>
              <w:widowControl/>
              <w:adjustRightInd w:val="0"/>
              <w:snapToGrid w:val="0"/>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1134" w:type="dxa"/>
            <w:noWrap w:val="0"/>
            <w:vAlign w:val="center"/>
          </w:tcPr>
          <w:p>
            <w:pPr>
              <w:adjustRightInd w:val="0"/>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体系认证</w:t>
            </w:r>
          </w:p>
        </w:tc>
        <w:tc>
          <w:tcPr>
            <w:tcW w:w="5906" w:type="dxa"/>
            <w:noWrap w:val="0"/>
            <w:vAlign w:val="center"/>
          </w:tcPr>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投标人同时具有有效的质量管理体系认证、 环境管理体系认证、职业健康安全管理体系认证的每提供1个得1分，否则不得分。</w:t>
            </w:r>
          </w:p>
          <w:p>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提供相关证明材料复印件并加盖公章，否则不予认可。</w:t>
            </w:r>
          </w:p>
        </w:tc>
        <w:tc>
          <w:tcPr>
            <w:tcW w:w="756"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Merge w:val="restart"/>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r>
              <w:rPr>
                <w:rFonts w:hint="eastAsia" w:ascii="仿宋" w:hAnsi="仿宋" w:eastAsia="仿宋" w:cs="仿宋"/>
                <w:b/>
                <w:color w:val="auto"/>
                <w:sz w:val="24"/>
                <w:szCs w:val="24"/>
                <w:highlight w:val="none"/>
                <w:u w:val="single"/>
                <w:lang w:val="en-US" w:eastAsia="zh-CN"/>
              </w:rPr>
              <w:t>77</w:t>
            </w:r>
            <w:r>
              <w:rPr>
                <w:rFonts w:hint="eastAsia" w:ascii="仿宋" w:hAnsi="仿宋" w:eastAsia="仿宋" w:cs="仿宋"/>
                <w:b/>
                <w:color w:val="auto"/>
                <w:sz w:val="24"/>
                <w:szCs w:val="24"/>
                <w:highlight w:val="none"/>
              </w:rPr>
              <w:t>分）</w:t>
            </w:r>
          </w:p>
        </w:tc>
        <w:tc>
          <w:tcPr>
            <w:tcW w:w="709"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134" w:type="dxa"/>
            <w:noWrap w:val="0"/>
            <w:vAlign w:val="center"/>
          </w:tcPr>
          <w:p>
            <w:pPr>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评审项</w:t>
            </w:r>
          </w:p>
        </w:tc>
        <w:tc>
          <w:tcPr>
            <w:tcW w:w="5906" w:type="dxa"/>
            <w:noWrap w:val="0"/>
            <w:vAlign w:val="center"/>
          </w:tcPr>
          <w:p>
            <w:pPr>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评分细则</w:t>
            </w:r>
          </w:p>
        </w:tc>
        <w:tc>
          <w:tcPr>
            <w:tcW w:w="756" w:type="dxa"/>
            <w:noWrap w:val="0"/>
            <w:vAlign w:val="center"/>
          </w:tcPr>
          <w:p>
            <w:pPr>
              <w:widowControl/>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服务应答</w:t>
            </w:r>
          </w:p>
        </w:tc>
        <w:tc>
          <w:tcPr>
            <w:tcW w:w="5906" w:type="dxa"/>
            <w:noWrap w:val="0"/>
            <w:vAlign w:val="center"/>
          </w:tcPr>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A.起评分：有效投标人的起评分为</w:t>
            </w:r>
            <w:r>
              <w:rPr>
                <w:rFonts w:hint="eastAsia" w:ascii="仿宋" w:hAnsi="仿宋" w:eastAsia="仿宋" w:cs="仿宋"/>
                <w:bCs/>
                <w:color w:val="auto"/>
                <w:spacing w:val="-6"/>
                <w:sz w:val="24"/>
                <w:szCs w:val="24"/>
                <w:highlight w:val="none"/>
                <w:lang w:val="en-US" w:eastAsia="zh-CN"/>
              </w:rPr>
              <w:t>20</w:t>
            </w:r>
            <w:r>
              <w:rPr>
                <w:rFonts w:hint="eastAsia" w:ascii="仿宋" w:hAnsi="仿宋" w:eastAsia="仿宋" w:cs="仿宋"/>
                <w:bCs/>
                <w:color w:val="auto"/>
                <w:spacing w:val="-6"/>
                <w:sz w:val="24"/>
                <w:szCs w:val="24"/>
                <w:highlight w:val="none"/>
              </w:rPr>
              <w:t>分。</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B.扣分条款：</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1、对招标文件第四章招标内容及需求中的技术服务参数带</w:t>
            </w:r>
            <w:r>
              <w:rPr>
                <w:rFonts w:hint="eastAsia" w:ascii="仿宋" w:hAnsi="仿宋" w:eastAsia="仿宋" w:cs="仿宋"/>
                <w:color w:val="auto"/>
                <w:sz w:val="24"/>
                <w:szCs w:val="24"/>
                <w:highlight w:val="none"/>
              </w:rPr>
              <w:t>▲</w:t>
            </w:r>
            <w:r>
              <w:rPr>
                <w:rFonts w:hint="eastAsia" w:ascii="仿宋" w:hAnsi="仿宋" w:eastAsia="仿宋" w:cs="仿宋"/>
                <w:bCs/>
                <w:color w:val="auto"/>
                <w:spacing w:val="-6"/>
                <w:sz w:val="24"/>
                <w:szCs w:val="24"/>
                <w:highlight w:val="none"/>
              </w:rPr>
              <w:t>条款有一条不满足的，其投标文件将被否决。</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2、一般技术参数（非</w:t>
            </w:r>
            <w:r>
              <w:rPr>
                <w:rFonts w:hint="eastAsia" w:ascii="仿宋" w:hAnsi="仿宋" w:eastAsia="仿宋" w:cs="仿宋"/>
                <w:color w:val="auto"/>
                <w:sz w:val="24"/>
                <w:szCs w:val="24"/>
                <w:highlight w:val="none"/>
              </w:rPr>
              <w:t>▲号条款）</w:t>
            </w:r>
            <w:r>
              <w:rPr>
                <w:rFonts w:hint="eastAsia" w:ascii="仿宋" w:hAnsi="仿宋" w:eastAsia="仿宋" w:cs="仿宋"/>
                <w:bCs/>
                <w:color w:val="auto"/>
                <w:spacing w:val="-6"/>
                <w:sz w:val="24"/>
                <w:szCs w:val="24"/>
                <w:highlight w:val="none"/>
              </w:rPr>
              <w:t>达不到招标文件要求的，每负偏离一条从起评分中扣除3分，扣完为止。</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color w:val="auto"/>
                <w:kern w:val="0"/>
                <w:sz w:val="24"/>
                <w:szCs w:val="24"/>
                <w:highlight w:val="none"/>
              </w:rPr>
              <w:t>项目服务方案</w:t>
            </w:r>
          </w:p>
        </w:tc>
        <w:tc>
          <w:tcPr>
            <w:tcW w:w="5906"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bCs/>
                <w:color w:val="auto"/>
                <w:spacing w:val="-6"/>
                <w:sz w:val="24"/>
                <w:szCs w:val="24"/>
                <w:highlight w:val="none"/>
              </w:rPr>
              <w:t>对项目背景、项目概况、项目总体目标了解充分，</w:t>
            </w:r>
            <w:r>
              <w:rPr>
                <w:rFonts w:hint="eastAsia" w:ascii="仿宋" w:hAnsi="仿宋" w:eastAsia="仿宋" w:cs="仿宋"/>
                <w:color w:val="auto"/>
                <w:spacing w:val="-6"/>
                <w:sz w:val="24"/>
                <w:szCs w:val="24"/>
                <w:highlight w:val="none"/>
              </w:rPr>
              <w:t>整体服务投标方案、投标人的人员特殊工种上岗证、承诺购买的保险情况、恶劣天气的应急措施等进行综合评价；</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整体服务投标方案、投标人的人员特殊工种上岗证、承诺购买的保险情况、恶劣天气的应急措施等的应答全面、合理，能很好保障项目实施的</w:t>
            </w:r>
            <w:r>
              <w:rPr>
                <w:rFonts w:hint="eastAsia" w:ascii="仿宋" w:hAnsi="仿宋" w:eastAsia="仿宋" w:cs="仿宋"/>
                <w:bCs/>
                <w:color w:val="auto"/>
                <w:spacing w:val="-6"/>
                <w:sz w:val="24"/>
                <w:szCs w:val="24"/>
                <w:highlight w:val="none"/>
              </w:rPr>
              <w:t>得</w:t>
            </w:r>
            <w:r>
              <w:rPr>
                <w:rFonts w:hint="eastAsia" w:ascii="仿宋" w:hAnsi="仿宋" w:eastAsia="仿宋" w:cs="仿宋"/>
                <w:bCs/>
                <w:color w:val="auto"/>
                <w:spacing w:val="-6"/>
                <w:sz w:val="24"/>
                <w:szCs w:val="24"/>
                <w:highlight w:val="none"/>
                <w:lang w:val="en-US" w:eastAsia="zh-CN"/>
              </w:rPr>
              <w:t>9-12</w:t>
            </w:r>
            <w:r>
              <w:rPr>
                <w:rFonts w:hint="eastAsia" w:ascii="仿宋" w:hAnsi="仿宋" w:eastAsia="仿宋" w:cs="仿宋"/>
                <w:bCs/>
                <w:color w:val="auto"/>
                <w:spacing w:val="-6"/>
                <w:sz w:val="24"/>
                <w:szCs w:val="24"/>
                <w:highlight w:val="none"/>
              </w:rPr>
              <w:t>分；</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整体服务投标方案、投标人的人员特殊工种上岗证、承诺购买的保险情况、恶劣天气的应急措施等的应答较为全面、合理，能较好保障项目实施的</w:t>
            </w:r>
            <w:r>
              <w:rPr>
                <w:rFonts w:hint="eastAsia" w:ascii="仿宋" w:hAnsi="仿宋" w:eastAsia="仿宋" w:cs="仿宋"/>
                <w:bCs/>
                <w:color w:val="auto"/>
                <w:spacing w:val="-6"/>
                <w:sz w:val="24"/>
                <w:szCs w:val="24"/>
                <w:highlight w:val="none"/>
              </w:rPr>
              <w:t>得5-</w:t>
            </w:r>
            <w:r>
              <w:rPr>
                <w:rFonts w:hint="eastAsia" w:ascii="仿宋" w:hAnsi="仿宋" w:eastAsia="仿宋" w:cs="仿宋"/>
                <w:bCs/>
                <w:color w:val="auto"/>
                <w:spacing w:val="-6"/>
                <w:sz w:val="24"/>
                <w:szCs w:val="24"/>
                <w:highlight w:val="none"/>
                <w:lang w:val="en-US" w:eastAsia="zh-CN"/>
              </w:rPr>
              <w:t>8</w:t>
            </w:r>
            <w:r>
              <w:rPr>
                <w:rFonts w:hint="eastAsia" w:ascii="仿宋" w:hAnsi="仿宋" w:eastAsia="仿宋" w:cs="仿宋"/>
                <w:bCs/>
                <w:color w:val="auto"/>
                <w:spacing w:val="-6"/>
                <w:sz w:val="24"/>
                <w:szCs w:val="24"/>
                <w:highlight w:val="none"/>
              </w:rPr>
              <w:t>分；</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整体服务投标方案、投标人的人员特殊工种上岗证、承诺购买的保险情况、恶劣天气的应急措施等的应答一般，不能较好保障项目实施的</w:t>
            </w:r>
            <w:r>
              <w:rPr>
                <w:rFonts w:hint="eastAsia" w:ascii="仿宋" w:hAnsi="仿宋" w:eastAsia="仿宋" w:cs="仿宋"/>
                <w:bCs/>
                <w:color w:val="auto"/>
                <w:spacing w:val="-6"/>
                <w:sz w:val="24"/>
                <w:szCs w:val="24"/>
                <w:highlight w:val="none"/>
              </w:rPr>
              <w:t>得</w:t>
            </w:r>
            <w:r>
              <w:rPr>
                <w:rFonts w:hint="eastAsia" w:ascii="仿宋" w:hAnsi="仿宋" w:eastAsia="仿宋" w:cs="仿宋"/>
                <w:bCs/>
                <w:color w:val="auto"/>
                <w:spacing w:val="-6"/>
                <w:sz w:val="24"/>
                <w:szCs w:val="24"/>
                <w:highlight w:val="none"/>
                <w:lang w:val="en-US" w:eastAsia="zh-CN"/>
              </w:rPr>
              <w:t>1</w:t>
            </w:r>
            <w:r>
              <w:rPr>
                <w:rFonts w:hint="eastAsia" w:ascii="仿宋" w:hAnsi="仿宋" w:eastAsia="仿宋" w:cs="仿宋"/>
                <w:bCs/>
                <w:color w:val="auto"/>
                <w:spacing w:val="-6"/>
                <w:sz w:val="24"/>
                <w:szCs w:val="24"/>
                <w:highlight w:val="none"/>
              </w:rPr>
              <w:t>-4分；</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提供资料差或不提供方案的不得分。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施工方案</w:t>
            </w:r>
          </w:p>
        </w:tc>
        <w:tc>
          <w:tcPr>
            <w:tcW w:w="590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由评标委员会对施工方案（如安装工艺、人员组织措施等）的安全性、合理性、针对性等综合评价，施工方案针对性强、组织合理的</w:t>
            </w:r>
            <w:r>
              <w:rPr>
                <w:rFonts w:hint="eastAsia" w:ascii="仿宋" w:hAnsi="仿宋" w:eastAsia="仿宋" w:cs="仿宋"/>
                <w:color w:val="auto"/>
                <w:sz w:val="24"/>
                <w:szCs w:val="24"/>
                <w:highlight w:val="none"/>
              </w:rPr>
              <w:t>得5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施工方案针对性较强、组织较为合理的</w:t>
            </w:r>
            <w:r>
              <w:rPr>
                <w:rFonts w:hint="eastAsia" w:ascii="仿宋" w:hAnsi="仿宋" w:eastAsia="仿宋" w:cs="仿宋"/>
                <w:color w:val="auto"/>
                <w:sz w:val="24"/>
                <w:szCs w:val="24"/>
                <w:highlight w:val="none"/>
              </w:rPr>
              <w:t>得3-4分；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施工方案针对性不强、组织不太合理的</w:t>
            </w:r>
            <w:r>
              <w:rPr>
                <w:rFonts w:hint="eastAsia" w:ascii="仿宋" w:hAnsi="仿宋" w:eastAsia="仿宋" w:cs="仿宋"/>
                <w:color w:val="auto"/>
                <w:sz w:val="24"/>
                <w:szCs w:val="24"/>
                <w:highlight w:val="none"/>
              </w:rPr>
              <w:t>得1-2分；</w:t>
            </w:r>
          </w:p>
          <w:p>
            <w:pPr>
              <w:spacing w:line="360" w:lineRule="auto"/>
              <w:rPr>
                <w:rFonts w:hint="eastAsia" w:ascii="仿宋" w:hAnsi="仿宋" w:eastAsia="仿宋" w:cs="仿宋"/>
                <w:bCs/>
                <w:color w:val="auto"/>
                <w:spacing w:val="-6"/>
                <w:sz w:val="24"/>
                <w:szCs w:val="24"/>
                <w:highlight w:val="none"/>
              </w:rPr>
            </w:pPr>
            <w:r>
              <w:rPr>
                <w:rFonts w:hint="eastAsia" w:ascii="仿宋" w:hAnsi="仿宋" w:eastAsia="仿宋" w:cs="仿宋"/>
                <w:color w:val="auto"/>
                <w:sz w:val="24"/>
                <w:szCs w:val="24"/>
                <w:highlight w:val="none"/>
              </w:rPr>
              <w:t>施工方案差或</w:t>
            </w:r>
            <w:r>
              <w:rPr>
                <w:rFonts w:hint="eastAsia" w:ascii="仿宋" w:hAnsi="仿宋" w:eastAsia="仿宋" w:cs="仿宋"/>
                <w:bCs/>
                <w:color w:val="auto"/>
                <w:spacing w:val="-6"/>
                <w:sz w:val="24"/>
                <w:szCs w:val="24"/>
                <w:highlight w:val="none"/>
              </w:rPr>
              <w:t>未提供的得0分。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针对本项目拟派成员情况</w:t>
            </w:r>
          </w:p>
        </w:tc>
        <w:tc>
          <w:tcPr>
            <w:tcW w:w="5906"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项目班子成员专业素质、人员结构、特殊工种人员配备、专业配备情况等进行综合评价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项目组人员专业素质高、人员结构合理、经验丰富的</w:t>
            </w:r>
            <w:r>
              <w:rPr>
                <w:rFonts w:hint="eastAsia" w:ascii="仿宋" w:hAnsi="仿宋" w:eastAsia="仿宋" w:cs="仿宋"/>
                <w:color w:val="auto"/>
                <w:sz w:val="24"/>
                <w:szCs w:val="24"/>
                <w:highlight w:val="none"/>
              </w:rPr>
              <w:t>得5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项目组人员专业素质较高、人员结构较为合理、经验较为丰富的得3-4分；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项目组人员专业素质一般、人员结构不太合理、经验一般的得1-2分；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项目组人员专业素质差、人员结构不合理或</w:t>
            </w:r>
            <w:r>
              <w:rPr>
                <w:rFonts w:hint="eastAsia" w:ascii="仿宋" w:hAnsi="仿宋" w:eastAsia="仿宋" w:cs="仿宋"/>
                <w:bCs/>
                <w:color w:val="auto"/>
                <w:spacing w:val="-6"/>
                <w:sz w:val="24"/>
                <w:szCs w:val="24"/>
                <w:highlight w:val="none"/>
              </w:rPr>
              <w:t>未提供的得0分。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维护及巡查车辆</w:t>
            </w:r>
          </w:p>
        </w:tc>
        <w:tc>
          <w:tcPr>
            <w:tcW w:w="5906" w:type="dxa"/>
            <w:noWrap w:val="0"/>
            <w:vAlign w:val="center"/>
          </w:tcPr>
          <w:p>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施工维护车辆安排：包括</w:t>
            </w:r>
            <w:r>
              <w:rPr>
                <w:rFonts w:hint="eastAsia" w:ascii="仿宋" w:hAnsi="仿宋" w:eastAsia="仿宋" w:cs="仿宋"/>
                <w:color w:val="auto"/>
                <w:spacing w:val="-6"/>
                <w:sz w:val="24"/>
                <w:szCs w:val="24"/>
                <w:highlight w:val="none"/>
                <w:lang w:val="en-US" w:eastAsia="zh-CN"/>
              </w:rPr>
              <w:t>吊臂</w:t>
            </w:r>
            <w:r>
              <w:rPr>
                <w:rFonts w:hint="eastAsia" w:ascii="仿宋" w:hAnsi="仿宋" w:eastAsia="仿宋" w:cs="仿宋"/>
                <w:color w:val="auto"/>
                <w:spacing w:val="-6"/>
                <w:sz w:val="24"/>
                <w:szCs w:val="24"/>
                <w:highlight w:val="none"/>
              </w:rPr>
              <w:t>登高车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须为专项作业车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、货车</w:t>
            </w:r>
            <w:r>
              <w:rPr>
                <w:rFonts w:hint="eastAsia" w:ascii="仿宋" w:hAnsi="仿宋" w:eastAsia="仿宋" w:cs="仿宋"/>
                <w:color w:val="auto"/>
                <w:spacing w:val="-6"/>
                <w:sz w:val="24"/>
                <w:szCs w:val="24"/>
                <w:highlight w:val="none"/>
                <w:lang w:val="en-US" w:eastAsia="zh-CN"/>
              </w:rPr>
              <w:t>及其他工厂作业车辆等</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工程车及货车每辆得1分，最多得6分；吊臂登高车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须为专项作业车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每辆得1分，最多得4分</w:t>
            </w:r>
            <w:r>
              <w:rPr>
                <w:rFonts w:hint="eastAsia" w:ascii="仿宋" w:hAnsi="仿宋" w:eastAsia="仿宋" w:cs="仿宋"/>
                <w:color w:val="auto"/>
                <w:spacing w:val="-6"/>
                <w:sz w:val="24"/>
                <w:szCs w:val="24"/>
                <w:highlight w:val="none"/>
              </w:rPr>
              <w:t>（需提供车辆购买时发票复印件或租赁凭证</w:t>
            </w:r>
            <w:r>
              <w:rPr>
                <w:rFonts w:hint="eastAsia" w:ascii="仿宋" w:hAnsi="仿宋" w:eastAsia="仿宋" w:cs="仿宋"/>
                <w:color w:val="auto"/>
                <w:spacing w:val="-6"/>
                <w:sz w:val="24"/>
                <w:szCs w:val="24"/>
                <w:highlight w:val="none"/>
                <w:lang w:val="en-US" w:eastAsia="zh-CN"/>
              </w:rPr>
              <w:t>或其他证明材料</w:t>
            </w:r>
            <w:r>
              <w:rPr>
                <w:rFonts w:hint="eastAsia" w:ascii="仿宋" w:hAnsi="仿宋" w:eastAsia="仿宋" w:cs="仿宋"/>
                <w:color w:val="auto"/>
                <w:spacing w:val="-6"/>
                <w:sz w:val="24"/>
                <w:szCs w:val="24"/>
                <w:highlight w:val="none"/>
              </w:rPr>
              <w:t>，未提供的或提供不全的不得分）</w:t>
            </w:r>
            <w:r>
              <w:rPr>
                <w:rFonts w:hint="eastAsia" w:ascii="仿宋" w:hAnsi="仿宋" w:eastAsia="仿宋" w:cs="仿宋"/>
                <w:color w:val="auto"/>
                <w:spacing w:val="-6"/>
                <w:sz w:val="24"/>
                <w:szCs w:val="24"/>
                <w:highlight w:val="none"/>
                <w:lang w:val="en-US" w:eastAsia="zh-CN"/>
              </w:rPr>
              <w:t>。</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以上车辆</w:t>
            </w:r>
            <w:r>
              <w:rPr>
                <w:rFonts w:hint="eastAsia" w:ascii="仿宋" w:hAnsi="仿宋" w:eastAsia="仿宋" w:cs="仿宋"/>
                <w:color w:val="auto"/>
                <w:spacing w:val="-6"/>
                <w:sz w:val="24"/>
                <w:szCs w:val="24"/>
                <w:highlight w:val="none"/>
                <w:lang w:val="en-US" w:eastAsia="zh-CN"/>
              </w:rPr>
              <w:t>部分或全部</w:t>
            </w:r>
            <w:r>
              <w:rPr>
                <w:rFonts w:hint="eastAsia" w:ascii="仿宋" w:hAnsi="仿宋" w:eastAsia="仿宋" w:cs="仿宋"/>
                <w:color w:val="auto"/>
                <w:spacing w:val="-6"/>
                <w:sz w:val="24"/>
                <w:szCs w:val="24"/>
                <w:highlight w:val="none"/>
              </w:rPr>
              <w:t>租赁的</w:t>
            </w:r>
            <w:r>
              <w:rPr>
                <w:rFonts w:hint="eastAsia" w:ascii="仿宋" w:hAnsi="仿宋" w:eastAsia="仿宋" w:cs="仿宋"/>
                <w:color w:val="auto"/>
                <w:spacing w:val="-6"/>
                <w:sz w:val="24"/>
                <w:szCs w:val="24"/>
                <w:highlight w:val="none"/>
                <w:lang w:val="en-US" w:eastAsia="zh-CN"/>
              </w:rPr>
              <w:t>扣2</w:t>
            </w:r>
            <w:r>
              <w:rPr>
                <w:rFonts w:hint="eastAsia" w:ascii="仿宋" w:hAnsi="仿宋" w:eastAsia="仿宋" w:cs="仿宋"/>
                <w:color w:val="auto"/>
                <w:spacing w:val="-6"/>
                <w:sz w:val="24"/>
                <w:szCs w:val="24"/>
                <w:highlight w:val="none"/>
              </w:rPr>
              <w:t>分</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最低得0分</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以上车辆全部自有的</w:t>
            </w:r>
            <w:r>
              <w:rPr>
                <w:rFonts w:hint="eastAsia" w:ascii="仿宋" w:hAnsi="仿宋" w:eastAsia="仿宋" w:cs="仿宋"/>
                <w:color w:val="auto"/>
                <w:spacing w:val="-6"/>
                <w:sz w:val="24"/>
                <w:szCs w:val="24"/>
                <w:highlight w:val="none"/>
                <w:lang w:val="en-US" w:eastAsia="zh-CN"/>
              </w:rPr>
              <w:t>不扣分</w:t>
            </w:r>
            <w:r>
              <w:rPr>
                <w:rFonts w:hint="eastAsia" w:ascii="仿宋" w:hAnsi="仿宋" w:eastAsia="仿宋" w:cs="仿宋"/>
                <w:color w:val="auto"/>
                <w:spacing w:val="-6"/>
                <w:sz w:val="24"/>
                <w:szCs w:val="24"/>
                <w:highlight w:val="none"/>
              </w:rPr>
              <w:t>。</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134" w:type="dxa"/>
            <w:noWrap w:val="0"/>
            <w:vAlign w:val="center"/>
          </w:tcPr>
          <w:p>
            <w:pPr>
              <w:adjustRightInd w:val="0"/>
              <w:snapToGrid w:val="0"/>
              <w:spacing w:line="36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巡查方案</w:t>
            </w:r>
          </w:p>
        </w:tc>
        <w:tc>
          <w:tcPr>
            <w:tcW w:w="5906"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巡查方案覆盖率、合理性及是否满足招标文件要求，</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巡查方案完全响应招标文件，且巡查方案完善、合理得5</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巡查方案完全响应招标文件，且巡查方案较为完善、合理得3-4分；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巡查方案不能完全响应招标文件，巡查方案不完善、不合理得1-2分；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巡查方案不能完全响应招标文件，巡查方案差或未提供的</w:t>
            </w:r>
            <w:r>
              <w:rPr>
                <w:rFonts w:hint="eastAsia" w:ascii="仿宋" w:hAnsi="仿宋" w:eastAsia="仿宋" w:cs="仿宋"/>
                <w:bCs/>
                <w:color w:val="auto"/>
                <w:spacing w:val="-6"/>
                <w:sz w:val="24"/>
                <w:szCs w:val="24"/>
                <w:highlight w:val="none"/>
              </w:rPr>
              <w:t>得0分。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1134" w:type="dxa"/>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w:t>
            </w:r>
          </w:p>
        </w:tc>
        <w:tc>
          <w:tcPr>
            <w:tcW w:w="5906"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安全保障专项方案的专业性、合理性进行综合评审。</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安全保障专项方案的专业、合理，能很好保障项目实施全程安全的得5</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安全保障专项方案的较为专业、合理，能较好保障项目实施全程安全的得3-4分；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安全保障专项方案的不太专业、合理，不能较好保障项目实施全程安全的得1-2分；</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安全保障专项方案较差或未提供的</w:t>
            </w:r>
            <w:r>
              <w:rPr>
                <w:rFonts w:hint="eastAsia" w:ascii="仿宋" w:hAnsi="仿宋" w:eastAsia="仿宋" w:cs="仿宋"/>
                <w:bCs/>
                <w:color w:val="auto"/>
                <w:spacing w:val="-6"/>
                <w:sz w:val="24"/>
                <w:szCs w:val="24"/>
                <w:highlight w:val="none"/>
              </w:rPr>
              <w:t>得0分。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p>
        </w:tc>
        <w:tc>
          <w:tcPr>
            <w:tcW w:w="1134" w:type="dxa"/>
            <w:noWrap w:val="0"/>
            <w:vAlign w:val="center"/>
          </w:tcPr>
          <w:p>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服务要求</w:t>
            </w:r>
          </w:p>
        </w:tc>
        <w:tc>
          <w:tcPr>
            <w:tcW w:w="5906" w:type="dxa"/>
            <w:noWrap w:val="0"/>
            <w:vAlign w:val="center"/>
          </w:tcPr>
          <w:p>
            <w:pPr>
              <w:pStyle w:val="56"/>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依据投标人的售后服务体系情况，是否配有较强的专业技术队伍，提供快速的售后服务响应。在投标文件中提供服务维修机构的地址、人员状况、维修能力及联系方式等，是否能够快速提供良好的售后服务支持能力。</w:t>
            </w:r>
          </w:p>
          <w:p>
            <w:pPr>
              <w:pStyle w:val="5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完全响应招标文件要求并能很好提供售后服务支持</w:t>
            </w:r>
            <w:r>
              <w:rPr>
                <w:rFonts w:hint="eastAsia" w:ascii="仿宋" w:hAnsi="仿宋" w:eastAsia="仿宋" w:cs="仿宋"/>
                <w:color w:val="auto"/>
                <w:sz w:val="24"/>
                <w:szCs w:val="24"/>
                <w:highlight w:val="none"/>
              </w:rPr>
              <w:t>的得5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pStyle w:val="5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完全响应招标文件要求并能较好提供售后服务支持</w:t>
            </w:r>
            <w:r>
              <w:rPr>
                <w:rFonts w:hint="eastAsia" w:ascii="仿宋" w:hAnsi="仿宋" w:eastAsia="仿宋" w:cs="仿宋"/>
                <w:color w:val="auto"/>
                <w:sz w:val="24"/>
                <w:szCs w:val="24"/>
                <w:highlight w:val="none"/>
              </w:rPr>
              <w:t>的得3-4分；</w:t>
            </w:r>
          </w:p>
          <w:p>
            <w:pPr>
              <w:pStyle w:val="5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不能完全响应招标文件要求且售后服务支持力度一般</w:t>
            </w:r>
            <w:r>
              <w:rPr>
                <w:rFonts w:hint="eastAsia" w:ascii="仿宋" w:hAnsi="仿宋" w:eastAsia="仿宋" w:cs="仿宋"/>
                <w:color w:val="auto"/>
                <w:sz w:val="24"/>
                <w:szCs w:val="24"/>
                <w:highlight w:val="none"/>
              </w:rPr>
              <w:t>的得1-2分；</w:t>
            </w:r>
          </w:p>
          <w:p>
            <w:pPr>
              <w:pStyle w:val="56"/>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不完全响应招标文件要求支持力度差或未提供的</w:t>
            </w:r>
            <w:r>
              <w:rPr>
                <w:rFonts w:hint="eastAsia" w:ascii="仿宋" w:hAnsi="仿宋" w:eastAsia="仿宋" w:cs="仿宋"/>
                <w:color w:val="auto"/>
                <w:sz w:val="24"/>
                <w:szCs w:val="24"/>
                <w:highlight w:val="none"/>
              </w:rPr>
              <w:t>得0分；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p>
        </w:tc>
        <w:tc>
          <w:tcPr>
            <w:tcW w:w="1134" w:type="dxa"/>
            <w:noWrap w:val="0"/>
            <w:vAlign w:val="center"/>
          </w:tcPr>
          <w:p>
            <w:pPr>
              <w:adjustRightInd w:val="0"/>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优惠条件</w:t>
            </w:r>
          </w:p>
        </w:tc>
        <w:tc>
          <w:tcPr>
            <w:tcW w:w="5906" w:type="dxa"/>
            <w:noWrap w:val="0"/>
            <w:vAlign w:val="center"/>
          </w:tcPr>
          <w:p>
            <w:pPr>
              <w:pStyle w:val="10"/>
              <w:spacing w:line="360" w:lineRule="auto"/>
              <w:ind w:firstLine="0"/>
              <w:rPr>
                <w:rFonts w:hint="eastAsia" w:ascii="仿宋" w:hAnsi="仿宋" w:eastAsia="仿宋" w:cs="仿宋"/>
                <w:bCs/>
                <w:color w:val="auto"/>
                <w:spacing w:val="-6"/>
                <w:sz w:val="24"/>
                <w:szCs w:val="24"/>
                <w:highlight w:val="none"/>
              </w:rPr>
            </w:pPr>
            <w:r>
              <w:rPr>
                <w:rFonts w:hint="eastAsia" w:ascii="仿宋" w:hAnsi="仿宋" w:eastAsia="仿宋" w:cs="仿宋"/>
                <w:color w:val="auto"/>
                <w:spacing w:val="-6"/>
                <w:sz w:val="24"/>
                <w:szCs w:val="24"/>
                <w:highlight w:val="none"/>
              </w:rPr>
              <w:t>投标人提供的维修、保修、保养等方面的优惠措施和优惠条件情况，程度如何；以及针对本次采购的其他特殊优惠承诺等情况。</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r>
              <w:rPr>
                <w:rFonts w:hint="eastAsia" w:ascii="仿宋" w:hAnsi="仿宋" w:eastAsia="仿宋" w:cs="仿宋"/>
                <w:bCs/>
                <w:color w:val="auto"/>
                <w:spacing w:val="-6"/>
                <w:sz w:val="24"/>
                <w:szCs w:val="24"/>
                <w:highlight w:val="none"/>
              </w:rPr>
              <w:t>。</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vMerge w:val="continue"/>
            <w:noWrap w:val="0"/>
            <w:vAlign w:val="center"/>
          </w:tcPr>
          <w:p>
            <w:pPr>
              <w:widowControl/>
              <w:spacing w:line="360" w:lineRule="auto"/>
              <w:jc w:val="center"/>
              <w:rPr>
                <w:rFonts w:hint="eastAsia" w:ascii="仿宋" w:hAnsi="仿宋" w:eastAsia="仿宋" w:cs="仿宋"/>
                <w:b/>
                <w:color w:val="auto"/>
                <w:sz w:val="24"/>
                <w:szCs w:val="24"/>
                <w:highlight w:val="none"/>
              </w:rPr>
            </w:pPr>
          </w:p>
        </w:tc>
        <w:tc>
          <w:tcPr>
            <w:tcW w:w="709"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p>
        </w:tc>
        <w:tc>
          <w:tcPr>
            <w:tcW w:w="1134" w:type="dxa"/>
            <w:noWrap w:val="0"/>
            <w:vAlign w:val="center"/>
          </w:tcPr>
          <w:p>
            <w:pPr>
              <w:adjustRightInd w:val="0"/>
              <w:snapToGri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政府采购政策</w:t>
            </w:r>
          </w:p>
        </w:tc>
        <w:tc>
          <w:tcPr>
            <w:tcW w:w="5906" w:type="dxa"/>
            <w:noWrap w:val="0"/>
            <w:vAlign w:val="center"/>
          </w:tcPr>
          <w:p>
            <w:pPr>
              <w:pStyle w:val="10"/>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任一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pStyle w:val="10"/>
              <w:spacing w:line="360" w:lineRule="auto"/>
              <w:ind w:firstLine="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投标任一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756" w:type="dxa"/>
            <w:noWrap w:val="0"/>
            <w:vAlign w:val="center"/>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2分</w:t>
            </w: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.2上述内容，商务技术文件未涉及的得0分。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.3投标文件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.4投标人应提供权威部门认定的各类有效证明文件及资料,未提供或者资料无效不得分，凡由采购人提出的有关供应商条件和采购项目对供应商的特定要求，由采购人负责查验材料的真伪。</w:t>
      </w:r>
    </w:p>
    <w:p>
      <w:pPr>
        <w:spacing w:line="460" w:lineRule="exact"/>
        <w:ind w:firstLine="482" w:firstLineChars="200"/>
        <w:rPr>
          <w:rFonts w:ascii="仿宋" w:hAnsi="仿宋" w:eastAsia="仿宋"/>
          <w:b/>
          <w:color w:val="auto"/>
          <w:sz w:val="24"/>
          <w:highlight w:val="none"/>
        </w:rPr>
      </w:pPr>
      <w:r>
        <w:rPr>
          <w:rFonts w:hint="eastAsia" w:ascii="仿宋" w:hAnsi="仿宋" w:eastAsia="仿宋"/>
          <w:b/>
          <w:bCs/>
          <w:color w:val="auto"/>
          <w:sz w:val="24"/>
          <w:highlight w:val="none"/>
        </w:rPr>
        <w:t>2</w:t>
      </w:r>
      <w:r>
        <w:rPr>
          <w:rFonts w:hint="eastAsia" w:ascii="仿宋" w:hAnsi="仿宋" w:eastAsia="仿宋"/>
          <w:b/>
          <w:bCs/>
          <w:color w:val="auto"/>
          <w:sz w:val="24"/>
          <w:highlight w:val="none"/>
          <w:lang w:val="en-US" w:eastAsia="zh-CN"/>
        </w:rPr>
        <w:t>4</w:t>
      </w:r>
      <w:r>
        <w:rPr>
          <w:rFonts w:hint="eastAsia" w:ascii="仿宋" w:hAnsi="仿宋" w:eastAsia="仿宋"/>
          <w:b/>
          <w:bCs/>
          <w:color w:val="auto"/>
          <w:sz w:val="24"/>
          <w:highlight w:val="none"/>
        </w:rPr>
        <w:t>.</w:t>
      </w:r>
      <w:r>
        <w:rPr>
          <w:rFonts w:hint="eastAsia" w:ascii="仿宋" w:hAnsi="仿宋" w:eastAsia="仿宋"/>
          <w:b/>
          <w:color w:val="auto"/>
          <w:sz w:val="24"/>
          <w:highlight w:val="none"/>
        </w:rPr>
        <w:t>投标价格（</w:t>
      </w:r>
      <w:r>
        <w:rPr>
          <w:rFonts w:hint="eastAsia" w:ascii="仿宋" w:hAnsi="仿宋" w:eastAsia="仿宋"/>
          <w:b/>
          <w:color w:val="auto"/>
          <w:sz w:val="24"/>
          <w:highlight w:val="none"/>
          <w:lang w:val="en-US" w:eastAsia="zh-CN"/>
        </w:rPr>
        <w:t>B</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15</w:t>
      </w:r>
      <w:r>
        <w:rPr>
          <w:rFonts w:hint="eastAsia" w:ascii="仿宋" w:hAnsi="仿宋" w:eastAsia="仿宋"/>
          <w:b/>
          <w:color w:val="auto"/>
          <w:sz w:val="24"/>
          <w:highlight w:val="none"/>
        </w:rPr>
        <w:t>分）：</w:t>
      </w:r>
    </w:p>
    <w:p>
      <w:pPr>
        <w:autoSpaceDE w:val="0"/>
        <w:autoSpaceDN w:val="0"/>
        <w:spacing w:line="460" w:lineRule="exact"/>
        <w:ind w:firstLine="482" w:firstLineChars="200"/>
        <w:rPr>
          <w:rFonts w:ascii="仿宋" w:hAnsi="仿宋" w:eastAsia="仿宋" w:cs="仿宋_GB2312"/>
          <w:color w:val="auto"/>
          <w:sz w:val="24"/>
          <w:highlight w:val="none"/>
          <w:lang w:val="zh-CN"/>
        </w:rPr>
      </w:pPr>
      <w:r>
        <w:rPr>
          <w:rFonts w:hint="eastAsia" w:ascii="仿宋" w:hAnsi="仿宋" w:eastAsia="仿宋" w:cs="仿宋_GB2312"/>
          <w:b/>
          <w:bCs/>
          <w:color w:val="auto"/>
          <w:sz w:val="24"/>
          <w:highlight w:val="none"/>
        </w:rPr>
        <w:t>2</w:t>
      </w:r>
      <w:r>
        <w:rPr>
          <w:rFonts w:hint="eastAsia" w:ascii="仿宋" w:hAnsi="仿宋" w:eastAsia="仿宋" w:cs="仿宋_GB2312"/>
          <w:b/>
          <w:bCs/>
          <w:color w:val="auto"/>
          <w:sz w:val="24"/>
          <w:highlight w:val="none"/>
          <w:lang w:val="en-US" w:eastAsia="zh-CN"/>
        </w:rPr>
        <w:t>4</w:t>
      </w:r>
      <w:r>
        <w:rPr>
          <w:rFonts w:hint="eastAsia" w:ascii="仿宋" w:hAnsi="仿宋" w:eastAsia="仿宋" w:cs="仿宋_GB2312"/>
          <w:b/>
          <w:bCs/>
          <w:color w:val="auto"/>
          <w:sz w:val="24"/>
          <w:highlight w:val="none"/>
        </w:rPr>
        <w:t>.1</w:t>
      </w:r>
      <w:r>
        <w:rPr>
          <w:rFonts w:hint="eastAsia" w:ascii="仿宋" w:hAnsi="仿宋" w:eastAsia="仿宋" w:cs="仿宋_GB2312"/>
          <w:b/>
          <w:bCs/>
          <w:color w:val="auto"/>
          <w:sz w:val="24"/>
          <w:highlight w:val="none"/>
          <w:lang w:val="zh-CN"/>
        </w:rPr>
        <w:t>报价的合理性：</w:t>
      </w:r>
      <w:r>
        <w:rPr>
          <w:rFonts w:hint="eastAsia" w:ascii="仿宋" w:hAnsi="仿宋" w:eastAsia="仿宋" w:cs="仿宋_GB2312"/>
          <w:color w:val="auto"/>
          <w:sz w:val="24"/>
          <w:highlight w:val="none"/>
          <w:lang w:val="zh-CN"/>
        </w:rPr>
        <w:t>分析总报价及各个分项报价是否合理，报价范围是否完整，有否重大错漏项</w:t>
      </w:r>
      <w:r>
        <w:rPr>
          <w:rFonts w:hint="eastAsia" w:ascii="仿宋" w:hAnsi="仿宋" w:eastAsia="仿宋"/>
          <w:color w:val="auto"/>
          <w:sz w:val="24"/>
          <w:highlight w:val="none"/>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color w:val="auto"/>
          <w:sz w:val="24"/>
          <w:highlight w:val="none"/>
          <w:lang w:val="zh-CN"/>
        </w:rPr>
        <w:t>。</w:t>
      </w:r>
    </w:p>
    <w:p>
      <w:pPr>
        <w:spacing w:line="460" w:lineRule="exact"/>
        <w:ind w:firstLine="482" w:firstLineChars="200"/>
        <w:rPr>
          <w:rFonts w:hint="eastAsia" w:ascii="仿宋" w:hAnsi="仿宋" w:eastAsia="仿宋" w:cs="仿宋_GB2312"/>
          <w:color w:val="auto"/>
          <w:sz w:val="24"/>
          <w:highlight w:val="none"/>
          <w:lang w:val="zh-CN"/>
        </w:rPr>
      </w:pPr>
      <w:r>
        <w:rPr>
          <w:rFonts w:hint="eastAsia" w:ascii="仿宋" w:hAnsi="仿宋" w:eastAsia="仿宋" w:cs="仿宋_GB2312"/>
          <w:b/>
          <w:bCs/>
          <w:color w:val="auto"/>
          <w:sz w:val="24"/>
          <w:highlight w:val="none"/>
        </w:rPr>
        <w:t>2</w:t>
      </w:r>
      <w:r>
        <w:rPr>
          <w:rFonts w:hint="eastAsia" w:ascii="仿宋" w:hAnsi="仿宋" w:eastAsia="仿宋" w:cs="仿宋_GB2312"/>
          <w:b/>
          <w:bCs/>
          <w:color w:val="auto"/>
          <w:sz w:val="24"/>
          <w:highlight w:val="none"/>
          <w:lang w:val="en-US" w:eastAsia="zh-CN"/>
        </w:rPr>
        <w:t>4</w:t>
      </w:r>
      <w:r>
        <w:rPr>
          <w:rFonts w:hint="eastAsia" w:ascii="仿宋" w:hAnsi="仿宋" w:eastAsia="仿宋" w:cs="仿宋_GB2312"/>
          <w:b/>
          <w:bCs/>
          <w:color w:val="auto"/>
          <w:sz w:val="24"/>
          <w:highlight w:val="none"/>
        </w:rPr>
        <w:t>.2</w:t>
      </w:r>
      <w:r>
        <w:rPr>
          <w:rFonts w:hint="eastAsia" w:ascii="仿宋" w:hAnsi="仿宋" w:eastAsia="仿宋" w:cs="仿宋_GB2312"/>
          <w:b/>
          <w:bCs/>
          <w:color w:val="auto"/>
          <w:sz w:val="24"/>
          <w:highlight w:val="none"/>
          <w:lang w:val="zh-CN"/>
        </w:rPr>
        <w:t>报价分计算方法：</w:t>
      </w:r>
      <w:r>
        <w:rPr>
          <w:rFonts w:hint="eastAsia" w:ascii="仿宋" w:hAnsi="仿宋" w:eastAsia="仿宋" w:cs="仿宋_GB2312"/>
          <w:color w:val="auto"/>
          <w:sz w:val="24"/>
          <w:highlight w:val="none"/>
          <w:lang w:val="zh-CN"/>
        </w:rPr>
        <w:t>根据各投标人的有效投标报价，以满足招标文件要求且评审价最低的评审价为评标基准价，其价格分为</w:t>
      </w:r>
      <w:r>
        <w:rPr>
          <w:rFonts w:hint="eastAsia" w:ascii="仿宋" w:hAnsi="仿宋" w:eastAsia="仿宋" w:cs="仿宋_GB2312"/>
          <w:color w:val="auto"/>
          <w:sz w:val="24"/>
          <w:highlight w:val="none"/>
          <w:lang w:val="en-US" w:eastAsia="zh-CN"/>
        </w:rPr>
        <w:t>15</w:t>
      </w:r>
      <w:r>
        <w:rPr>
          <w:rFonts w:hint="eastAsia" w:ascii="仿宋" w:hAnsi="仿宋" w:eastAsia="仿宋" w:cs="仿宋_GB2312"/>
          <w:color w:val="auto"/>
          <w:sz w:val="24"/>
          <w:highlight w:val="none"/>
          <w:lang w:val="zh-CN"/>
        </w:rPr>
        <w:t>分。其他投标人的价格分统一按照下列公式计算：投标报价得分＝(评标基准价/投标人评审价)</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价格权值</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100(精确到小数点后二位，由采购代理机构当场统一计算)。</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根据《政府采购促进中小企业发展暂行办法》（财库[2011]181号），对小型或微型企业参加投标且投标货物/工程/服务为小型或微型企业生产/提供的，价格给予</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val="zh-CN"/>
        </w:rPr>
        <w:t>%的扣除，用扣除后的价格参与价格评分。</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小型、微型企业以联合体参加投标的，联合体协议中约定，小型、微型企业产品的协议合同金额占到联合体协议合同总金额30%以上的，投标报价给予3的扣除，并用扣除后的价格计算价格评分。组成联合体的大中型企业和其他自然人、法人或者其他组织，与小型、微型企业之间不得存在投资关系，否则不予价格扣除。</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投标文件中提供的《中小企业声明函》是评标委员会的评标依据。</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残疾人福利性单位视同小微企业，其产品参加本项目投标的，享受小微企业同等的价格扣除。</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残疾人福利性单位应当同时满足以下条件：</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① 安置的残疾人占本单位在职职工人数的比例不低于25%（含25%），并且安置的残疾人人数不少于10人（含10人）；</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② 依法与安置的每位残疾人签订了一年以上（含一年）的劳动合同或服务协议；</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③ 为安置的每位残疾人按月足额缴纳了基本养老保险、基本医疗保险、失业保险、工伤保险和生育保险等社会保险费；</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④ 通过银行等金融机构向安置的每位残疾人，按月支付了不低于单位所在区县适用的经省级人民政府批准的月最低工资标准的工资；</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⑤ 提供本单位制造的货物、承担的工程或者服务（以下简称产品），或者提供其他残疾人福利性单位制造的货物（不包括使用非残疾人福利性单位注册商标的货物）。</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提供《残疾人福利性单位声明函》的投标人被认定为残疾人福利性单位。</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监狱企业视同小微企业，其产品参加本项目投标的，享受小微企业同等的价格扣除。</w:t>
      </w:r>
    </w:p>
    <w:p>
      <w:pPr>
        <w:spacing w:line="460" w:lineRule="exact"/>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提供以下证明材料的投标人被认定为监狱企业：</w:t>
      </w:r>
    </w:p>
    <w:p>
      <w:pPr>
        <w:spacing w:line="460" w:lineRule="exact"/>
        <w:ind w:firstLine="480" w:firstLineChars="200"/>
        <w:rPr>
          <w:color w:val="auto"/>
          <w:highlight w:val="none"/>
        </w:rPr>
      </w:pPr>
      <w:r>
        <w:rPr>
          <w:rFonts w:hint="eastAsia" w:ascii="仿宋" w:hAnsi="仿宋" w:eastAsia="仿宋" w:cs="仿宋_GB2312"/>
          <w:color w:val="auto"/>
          <w:sz w:val="24"/>
          <w:highlight w:val="none"/>
          <w:lang w:val="zh-CN"/>
        </w:rPr>
        <w:t>省级以上监狱管理局、戒毒管理局（含新疆生产建设兵团）出具的属于监狱企业的证明文件。</w:t>
      </w:r>
    </w:p>
    <w:p>
      <w:pPr>
        <w:spacing w:line="360" w:lineRule="auto"/>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rPr>
        <w:t>25.综合得分=A+B</w:t>
      </w:r>
    </w:p>
    <w:p>
      <w:pPr>
        <w:spacing w:line="360" w:lineRule="auto"/>
        <w:ind w:firstLine="482" w:firstLineChars="200"/>
        <w:jc w:val="left"/>
        <w:rPr>
          <w:rFonts w:ascii="仿宋" w:hAnsi="仿宋" w:eastAsia="仿宋" w:cs="仿宋"/>
          <w:color w:val="auto"/>
          <w:sz w:val="24"/>
          <w:highlight w:val="none"/>
        </w:rPr>
        <w:sectPr>
          <w:pgSz w:w="11906" w:h="16838"/>
          <w:pgMar w:top="1440" w:right="1416" w:bottom="1440" w:left="1560" w:header="930" w:footer="992" w:gutter="0"/>
          <w:pgNumType w:fmt="decimal"/>
          <w:cols w:space="425" w:num="1"/>
          <w:docGrid w:type="lines" w:linePitch="312" w:charSpace="0"/>
        </w:sectPr>
      </w:pPr>
      <w:r>
        <w:rPr>
          <w:rFonts w:hint="eastAsia" w:ascii="仿宋" w:hAnsi="仿宋" w:eastAsia="仿宋" w:cs="仿宋"/>
          <w:b/>
          <w:bCs/>
          <w:color w:val="auto"/>
          <w:sz w:val="24"/>
          <w:highlight w:val="none"/>
        </w:rPr>
        <w:t>26.</w:t>
      </w:r>
      <w:r>
        <w:rPr>
          <w:rFonts w:hint="eastAsia" w:ascii="仿宋" w:hAnsi="仿宋" w:eastAsia="仿宋" w:cs="仿宋"/>
          <w:color w:val="auto"/>
          <w:sz w:val="24"/>
          <w:highlight w:val="none"/>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jc w:val="center"/>
        <w:outlineLvl w:val="0"/>
        <w:rPr>
          <w:rFonts w:ascii="仿宋" w:hAnsi="仿宋" w:eastAsia="仿宋" w:cs="仿宋_GB2312"/>
          <w:b/>
          <w:color w:val="auto"/>
          <w:sz w:val="36"/>
          <w:szCs w:val="36"/>
          <w:highlight w:val="none"/>
        </w:rPr>
      </w:pPr>
    </w:p>
    <w:p>
      <w:pPr>
        <w:spacing w:line="360" w:lineRule="auto"/>
        <w:jc w:val="center"/>
        <w:outlineLvl w:val="0"/>
        <w:rPr>
          <w:rFonts w:ascii="Times New Roman" w:hAnsi="Times New Roman"/>
          <w:color w:val="auto"/>
          <w:sz w:val="24"/>
          <w:szCs w:val="24"/>
          <w:highlight w:val="none"/>
        </w:rPr>
      </w:pPr>
      <w:r>
        <w:rPr>
          <w:rFonts w:hint="eastAsia" w:ascii="仿宋" w:hAnsi="仿宋" w:eastAsia="仿宋" w:cs="仿宋_GB2312"/>
          <w:b/>
          <w:color w:val="auto"/>
          <w:sz w:val="36"/>
          <w:szCs w:val="36"/>
          <w:highlight w:val="none"/>
        </w:rPr>
        <w:t>第五部分 拟签订的合同文本</w:t>
      </w:r>
    </w:p>
    <w:p>
      <w:pPr>
        <w:adjustRightInd w:val="0"/>
        <w:snapToGrid w:val="0"/>
        <w:spacing w:line="360" w:lineRule="auto"/>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合同将由杭州钱塘新区综合行政执法局（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pPr>
        <w:adjustRightInd w:val="0"/>
        <w:snapToGrid w:val="0"/>
        <w:spacing w:line="360" w:lineRule="auto"/>
        <w:rPr>
          <w:rFonts w:hint="eastAsia" w:ascii="仿宋" w:hAnsi="仿宋" w:eastAsia="仿宋" w:cs="仿宋"/>
          <w:snapToGrid w:val="0"/>
          <w:color w:val="auto"/>
          <w:kern w:val="0"/>
          <w:sz w:val="24"/>
          <w:szCs w:val="24"/>
          <w:highlight w:val="none"/>
        </w:rPr>
      </w:pPr>
    </w:p>
    <w:p>
      <w:pPr>
        <w:adjustRightInd w:val="0"/>
        <w:snapToGrid w:val="0"/>
        <w:spacing w:line="360" w:lineRule="auto"/>
        <w:rPr>
          <w:rFonts w:hint="eastAsia" w:ascii="仿宋" w:hAnsi="仿宋" w:eastAsia="仿宋" w:cs="仿宋"/>
          <w:snapToGrid w:val="0"/>
          <w:color w:val="auto"/>
          <w:sz w:val="24"/>
          <w:szCs w:val="24"/>
          <w:highlight w:val="none"/>
          <w:u w:val="single"/>
        </w:rPr>
      </w:pPr>
      <w:r>
        <w:rPr>
          <w:rFonts w:hint="eastAsia" w:ascii="仿宋" w:hAnsi="仿宋" w:eastAsia="仿宋" w:cs="仿宋"/>
          <w:snapToGrid w:val="0"/>
          <w:color w:val="auto"/>
          <w:sz w:val="24"/>
          <w:szCs w:val="24"/>
          <w:highlight w:val="none"/>
        </w:rPr>
        <w:t>发包方（以下简称甲方）：</w:t>
      </w:r>
      <w:r>
        <w:rPr>
          <w:rFonts w:hint="eastAsia" w:ascii="仿宋" w:hAnsi="仿宋" w:eastAsia="仿宋" w:cs="仿宋"/>
          <w:snapToGrid w:val="0"/>
          <w:color w:val="auto"/>
          <w:sz w:val="24"/>
          <w:szCs w:val="24"/>
          <w:highlight w:val="none"/>
          <w:u w:val="single"/>
        </w:rPr>
        <w:t xml:space="preserve">  杭州钱塘新区综合行政执法局  </w:t>
      </w:r>
    </w:p>
    <w:p>
      <w:pPr>
        <w:adjustRightInd w:val="0"/>
        <w:snapToGrid w:val="0"/>
        <w:spacing w:line="360" w:lineRule="auto"/>
        <w:rPr>
          <w:rFonts w:hint="eastAsia" w:ascii="仿宋" w:hAnsi="仿宋" w:eastAsia="仿宋" w:cs="仿宋"/>
          <w:snapToGrid w:val="0"/>
          <w:color w:val="auto"/>
          <w:sz w:val="24"/>
          <w:szCs w:val="24"/>
          <w:highlight w:val="none"/>
          <w:u w:val="single"/>
        </w:rPr>
      </w:pPr>
      <w:r>
        <w:rPr>
          <w:rFonts w:hint="eastAsia" w:ascii="仿宋" w:hAnsi="仿宋" w:eastAsia="仿宋" w:cs="仿宋"/>
          <w:snapToGrid w:val="0"/>
          <w:color w:val="auto"/>
          <w:sz w:val="24"/>
          <w:szCs w:val="24"/>
          <w:highlight w:val="none"/>
        </w:rPr>
        <w:t xml:space="preserve">承包方（以下简称乙方）： </w:t>
      </w:r>
      <w:r>
        <w:rPr>
          <w:rFonts w:hint="eastAsia" w:ascii="仿宋" w:hAnsi="仿宋" w:eastAsia="仿宋" w:cs="仿宋"/>
          <w:snapToGrid w:val="0"/>
          <w:color w:val="auto"/>
          <w:sz w:val="24"/>
          <w:szCs w:val="24"/>
          <w:highlight w:val="none"/>
          <w:u w:val="single"/>
        </w:rPr>
        <w:t xml:space="preserve">                             </w:t>
      </w:r>
    </w:p>
    <w:p>
      <w:pPr>
        <w:adjustRightInd w:val="0"/>
        <w:snapToGrid w:val="0"/>
        <w:spacing w:line="360" w:lineRule="auto"/>
        <w:rPr>
          <w:rFonts w:hint="eastAsia" w:ascii="仿宋" w:hAnsi="仿宋" w:eastAsia="仿宋" w:cs="仿宋"/>
          <w:snapToGrid w:val="0"/>
          <w:color w:val="auto"/>
          <w:sz w:val="24"/>
          <w:szCs w:val="24"/>
          <w:highlight w:val="none"/>
          <w:u w:val="single"/>
        </w:rPr>
      </w:pPr>
      <w:r>
        <w:rPr>
          <w:rFonts w:hint="eastAsia" w:ascii="仿宋" w:hAnsi="仿宋" w:eastAsia="仿宋" w:cs="仿宋"/>
          <w:color w:val="auto"/>
          <w:spacing w:val="-6"/>
          <w:sz w:val="24"/>
          <w:szCs w:val="24"/>
          <w:highlight w:val="none"/>
        </w:rPr>
        <w:t>使用方（</w:t>
      </w:r>
      <w:r>
        <w:rPr>
          <w:rFonts w:hint="eastAsia" w:ascii="仿宋" w:hAnsi="仿宋" w:eastAsia="仿宋" w:cs="仿宋"/>
          <w:snapToGrid w:val="0"/>
          <w:color w:val="auto"/>
          <w:sz w:val="24"/>
          <w:szCs w:val="24"/>
          <w:highlight w:val="none"/>
        </w:rPr>
        <w:t>以下简</w:t>
      </w:r>
      <w:r>
        <w:rPr>
          <w:rFonts w:hint="eastAsia" w:ascii="仿宋" w:hAnsi="仿宋" w:eastAsia="仿宋" w:cs="仿宋"/>
          <w:color w:val="auto"/>
          <w:spacing w:val="-6"/>
          <w:sz w:val="24"/>
          <w:szCs w:val="24"/>
          <w:highlight w:val="none"/>
        </w:rPr>
        <w:t>丙方）：</w:t>
      </w:r>
      <w:r>
        <w:rPr>
          <w:rFonts w:hint="eastAsia" w:ascii="仿宋" w:hAnsi="仿宋" w:eastAsia="仿宋" w:cs="仿宋"/>
          <w:snapToGrid w:val="0"/>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一、合同内容</w:t>
      </w:r>
    </w:p>
    <w:p>
      <w:pPr>
        <w:pStyle w:val="11"/>
        <w:spacing w:beforeLines="0" w:afterLines="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杭州钱塘新区综合行政执法局202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年钱塘新区交通设施养护服务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 xml:space="preserve">标项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二、服务期限</w:t>
      </w:r>
    </w:p>
    <w:p>
      <w:pPr>
        <w:pStyle w:val="11"/>
        <w:spacing w:beforeLines="0" w:after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u w:val="single"/>
        </w:rPr>
        <w:t xml:space="preserve">合同签订之日起1年。  </w:t>
      </w:r>
      <w:r>
        <w:rPr>
          <w:rFonts w:hint="eastAsia" w:ascii="仿宋" w:hAnsi="仿宋" w:eastAsia="仿宋" w:cs="仿宋"/>
          <w:bCs/>
          <w:color w:val="auto"/>
          <w:sz w:val="24"/>
          <w:szCs w:val="24"/>
          <w:highlight w:val="none"/>
          <w:u w:val="single"/>
        </w:rPr>
        <w:t xml:space="preserve"> </w:t>
      </w:r>
    </w:p>
    <w:p>
      <w:pPr>
        <w:pStyle w:val="11"/>
        <w:spacing w:beforeLines="0" w:after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价格与支付：</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（一）本次投标采用费率（即1-投标优惠下浮百分比）报价；</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（二）合同总价</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项目总价=最高限价（详见附表1）*</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费率。</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项目最终实施的数量根据现场实际发生情况或甲方的需求进行确定,合同的最终结算金额按照每一项限价*实际的工程量*费率+巡查费*费率予以支付。付款规则详见付款方式。</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本项目总价不得高于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元（标项  ）</w:t>
      </w:r>
      <w:r>
        <w:rPr>
          <w:rFonts w:hint="eastAsia" w:ascii="仿宋" w:hAnsi="仿宋" w:eastAsia="仿宋" w:cs="仿宋"/>
          <w:color w:val="auto"/>
          <w:sz w:val="24"/>
          <w:szCs w:val="24"/>
          <w:highlight w:val="none"/>
        </w:rPr>
        <w:t>，乙方有义务提醒甲方项目总价的实时统计情况,未尽到提醒义务的，若最终项目总价超过中标价的,多余费用由乙方自行承担。</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本合同暂定金额为（大写）</w:t>
      </w:r>
      <w:r>
        <w:rPr>
          <w:rFonts w:hint="eastAsia" w:ascii="仿宋" w:hAnsi="仿宋" w:eastAsia="仿宋" w:cs="仿宋"/>
          <w:color w:val="auto"/>
          <w:sz w:val="24"/>
          <w:szCs w:val="24"/>
          <w:highlight w:val="none"/>
          <w:u w:val="single"/>
        </w:rPr>
        <w:t xml:space="preserve"> 人民币           </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single"/>
        </w:rPr>
        <w:t>（￥     元）</w:t>
      </w:r>
      <w:r>
        <w:rPr>
          <w:rFonts w:hint="eastAsia" w:ascii="仿宋" w:hAnsi="仿宋" w:eastAsia="仿宋" w:cs="仿宋"/>
          <w:color w:val="auto"/>
          <w:sz w:val="24"/>
          <w:szCs w:val="24"/>
          <w:highlight w:val="none"/>
        </w:rPr>
        <w:t>，实际以</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的工程量按实结算，最终以财政审计为准。</w:t>
      </w:r>
      <w:r>
        <w:rPr>
          <w:rFonts w:hint="eastAsia" w:ascii="仿宋" w:hAnsi="仿宋" w:eastAsia="仿宋" w:cs="仿宋"/>
          <w:snapToGrid/>
          <w:color w:val="auto"/>
          <w:kern w:val="2"/>
          <w:sz w:val="24"/>
          <w:szCs w:val="24"/>
          <w:highlight w:val="none"/>
          <w:lang w:val="en-US" w:eastAsia="zh-CN" w:bidi="ar-SA"/>
        </w:rPr>
        <w:t>本项目</w:t>
      </w:r>
      <w:r>
        <w:rPr>
          <w:rFonts w:hint="eastAsia" w:ascii="仿宋" w:hAnsi="仿宋" w:eastAsia="仿宋" w:cs="仿宋"/>
          <w:snapToGrid/>
          <w:color w:val="auto"/>
          <w:kern w:val="2"/>
          <w:sz w:val="24"/>
          <w:szCs w:val="24"/>
          <w:highlight w:val="none"/>
          <w:lang w:val="en-GB" w:eastAsia="zh-CN" w:bidi="ar-SA"/>
        </w:rPr>
        <w:t>竣工结算审定价原则</w:t>
      </w:r>
      <w:r>
        <w:rPr>
          <w:rFonts w:hint="eastAsia" w:ascii="仿宋" w:hAnsi="仿宋" w:eastAsia="仿宋" w:cs="仿宋"/>
          <w:snapToGrid/>
          <w:color w:val="auto"/>
          <w:kern w:val="2"/>
          <w:sz w:val="24"/>
          <w:szCs w:val="24"/>
          <w:highlight w:val="none"/>
          <w:lang w:val="en-US" w:eastAsia="zh-CN" w:bidi="ar-SA"/>
        </w:rPr>
        <w:t>不得超过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元（标项  ）</w:t>
      </w:r>
      <w:r>
        <w:rPr>
          <w:rFonts w:hint="eastAsia" w:ascii="仿宋" w:hAnsi="仿宋" w:eastAsia="仿宋" w:cs="仿宋"/>
          <w:snapToGrid/>
          <w:color w:val="auto"/>
          <w:kern w:val="2"/>
          <w:sz w:val="24"/>
          <w:szCs w:val="24"/>
          <w:highlight w:val="none"/>
          <w:lang w:val="en-US" w:eastAsia="zh-CN" w:bidi="ar-SA"/>
        </w:rPr>
        <w:t>。但涉及项目内容调整的，则按补充协议规定执行，不包含在上述规定之内。</w:t>
      </w:r>
    </w:p>
    <w:p>
      <w:pPr>
        <w:tabs>
          <w:tab w:val="left" w:pos="63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优惠下浮率为：</w:t>
      </w:r>
      <w:r>
        <w:rPr>
          <w:rFonts w:hint="eastAsia" w:ascii="仿宋" w:hAnsi="仿宋" w:eastAsia="仿宋" w:cs="仿宋"/>
          <w:color w:val="auto"/>
          <w:sz w:val="24"/>
          <w:szCs w:val="24"/>
          <w:highlight w:val="none"/>
          <w:u w:val="single"/>
        </w:rPr>
        <w:t>百分之    ，（%）；</w:t>
      </w:r>
      <w:r>
        <w:rPr>
          <w:rFonts w:hint="eastAsia" w:ascii="仿宋" w:hAnsi="仿宋" w:eastAsia="仿宋" w:cs="仿宋"/>
          <w:color w:val="auto"/>
          <w:sz w:val="24"/>
          <w:szCs w:val="24"/>
          <w:highlight w:val="none"/>
        </w:rPr>
        <w:t xml:space="preserve"> 费率（1-优惠下浮率）为：</w:t>
      </w:r>
      <w:r>
        <w:rPr>
          <w:rFonts w:hint="eastAsia" w:ascii="仿宋" w:hAnsi="仿宋" w:eastAsia="仿宋" w:cs="仿宋"/>
          <w:color w:val="auto"/>
          <w:sz w:val="24"/>
          <w:szCs w:val="24"/>
          <w:highlight w:val="none"/>
          <w:u w:val="single"/>
        </w:rPr>
        <w:t xml:space="preserve"> 百分之    ，（%）。</w:t>
      </w:r>
    </w:p>
    <w:p>
      <w:pPr>
        <w:tabs>
          <w:tab w:val="left" w:pos="630"/>
        </w:tabs>
        <w:spacing w:line="360" w:lineRule="auto"/>
        <w:rPr>
          <w:rFonts w:hint="eastAsia" w:ascii="仿宋" w:hAnsi="仿宋" w:eastAsia="仿宋" w:cs="仿宋"/>
          <w:color w:val="auto"/>
          <w:sz w:val="24"/>
          <w:szCs w:val="24"/>
          <w:highlight w:val="none"/>
        </w:rPr>
      </w:pP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四、服务要求及技术要求和规范</w:t>
      </w:r>
    </w:p>
    <w:p>
      <w:pPr>
        <w:numPr>
          <w:ilvl w:val="0"/>
          <w:numId w:val="9"/>
        </w:num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标准规范问题：乙方所用所有产品须符合国标标准（如标志、标牌字体等一切涉及国标的产品），如因不规范发生无法使用的情况，后期涉及拆除，修改，安装等所有费用由乙方承担；</w:t>
      </w:r>
    </w:p>
    <w:p>
      <w:pPr>
        <w:numPr>
          <w:ilvl w:val="0"/>
          <w:numId w:val="9"/>
        </w:num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乙方施工人员持证上岗（高空作业证、电工证等；包括但不仅限于，含适应岗位的各类证件）；</w:t>
      </w:r>
    </w:p>
    <w:p>
      <w:pPr>
        <w:numPr>
          <w:ilvl w:val="0"/>
          <w:numId w:val="9"/>
        </w:num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乙方主要工作（巡查、应急措施等）</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24小时不间断巡查制度，每天巡查（已纳入养护的交通设施）覆盖率须达到100%；巡查覆盖率在80%（含）-99%之间，扣除当月巡查费的20%；巡查覆盖率在80%-60%（含）以下，扣除当月巡查费的50%；巡查覆盖率在60%以下，扣除当月巡查费的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①实际检查道路范围：杭州钱塘新区（下沙片区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街道）已经移交的道路以及未移交但已建成通车的道路，具体以甲方提供的数据为准；（合同期内甲方任务书明确的道路及甲方要求的其他道路，新增量纳入巡查，费用不再增加）；</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②巡查覆盖率=实际检查道路条数÷纳入管理道路条数×100%；</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③每月巡查费用=每年巡查费用投标报价÷12个月；</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④当月巡查率未达到要求超过5天以上（包含5天）视为当月考核不合格。</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（2）接到紧急抢修任务必须30分钟内至现场进行应急处置，做好临时措施；一般抢修任务2小时内完成；</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（3）负责区域内所有交通设施保洁清洗（包含隔离设施），一个月至少清洗一遍；</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（4）落实现有交通设施维护平台的保障工作，确保其正常运行。</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（5）t型路名牌维修维护和错误整改。</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（6）甲方交代的其他事项。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4、应急措施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如遇紧急故障问题（如信号灯故障、限高杆损坏、群众投诉等）须在0.5小时内赶到现场，及时采取临时措施消除安全隐患，同时要求在限定时间内完成故障排除（要求一般故障在2小时内、重大故障在24小时内修复）。其他相关要求见招标文件。</w:t>
      </w:r>
    </w:p>
    <w:p>
      <w:pPr>
        <w:tabs>
          <w:tab w:val="left" w:pos="63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pPr>
        <w:tabs>
          <w:tab w:val="left" w:pos="63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1、甲、乙、丙三方应将采购文件、投标文件及评标委员会确认的招标要求、质量标准、数量和工期等做为本合同的附件，三方应严格遵守。</w:t>
      </w:r>
    </w:p>
    <w:p>
      <w:pPr>
        <w:tabs>
          <w:tab w:val="left" w:pos="63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2.若技术规范中无相应说明，则以国家有关部门最新颁布的相应标准及规范为准。</w:t>
      </w:r>
    </w:p>
    <w:p>
      <w:pPr>
        <w:tabs>
          <w:tab w:val="left" w:pos="630"/>
        </w:tab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五、质保期</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验收合格并交付使用后12个月为质保期。质保期内因工程质量问题需维修的，乙方须负责免费维修。</w:t>
      </w:r>
    </w:p>
    <w:p>
      <w:pPr>
        <w:tabs>
          <w:tab w:val="left" w:pos="630"/>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六、质量及安全责任</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1、质量责任</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施工质量必须达到合格标准。因乙方原因工程质量达不到本项目要求的合格标准，根据相关规定给予相应处罚。乙方须根据本项目要求进场施工。</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2、安全责任</w:t>
      </w:r>
    </w:p>
    <w:p>
      <w:pPr>
        <w:tabs>
          <w:tab w:val="left" w:pos="630"/>
        </w:tabs>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安全、文明施工，应该本着“安全第一，预防为主”的原则，乙方须建立安全管理组织体系；严格贯彻国家、省、市和劳动保护、安全生产部门颁发的有关安全生产、消防工作的方针、政策、法规、条例、规定等执行。</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期间，由于乙方安全措施不力、养护工作不到位、违反安全操作规程而导致责任事故或养护工作造成第三方人身财产损失或发生的所有与养护工作有关的安全事故，乙方应100%承担责任，所发生的费用均由乙方承担；所有甲方遭到第三方的起诉或索赔的，全部有乙方承担责任并赔偿，甲方保留追究责任的权利。</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（3）乙方必须按照规定办理自身及第三者责任险，承担养护期间所有的安全责任并承担相关赔款。</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七、服务要求</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1、质保期内因不能排除的故障而影响工作的情况每发生一次，其质保期相应延长60天，质保期内因货物本身缺陷造成各种故障应由乙方免费予以更换，否则将扣除履约保证金作为对甲方的补偿。</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在杭州市钱塘新区辖区内设有固定办公场所并配置至少1名管理人员，维修点须设在甲方附近，以处理所有的维修服务，须提供24小时服务，乙方维修人员须在接到维修电话后2小时内赶到现场，提供不间断的服务直到结束。要求一般故障在2小时内、重大故障在48小时内修复。维修点须提供足够的备件以适应买方维修需求，乙方应在投标时明确维修点的人员配置情况。</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3、如因产品质量不合格、安装不到位、施工过程中、后期维护不到位等一切因乙方原因造成的人生或财产安全等所有后果与责任均由乙方承担。</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4、由于外力原因造成的损坏，需乙方负责维修，维修费用如发生重复索赔1次以上情况，一经发现乙方将赔付甲方索赔金额的2-5倍的罚款。</w:t>
      </w:r>
    </w:p>
    <w:p>
      <w:pPr>
        <w:tabs>
          <w:tab w:val="left" w:pos="630"/>
        </w:tabs>
        <w:spacing w:line="360" w:lineRule="auto"/>
        <w:ind w:firstLine="480" w:firstLineChars="200"/>
        <w:rPr>
          <w:rFonts w:hint="eastAsia" w:ascii="仿宋" w:hAnsi="仿宋" w:eastAsia="仿宋" w:cs="仿宋"/>
          <w:color w:val="auto"/>
          <w:sz w:val="24"/>
          <w:szCs w:val="24"/>
          <w:highlight w:val="none"/>
        </w:rPr>
      </w:pP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八、付款条件</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履约保证金及付款方式：</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sz w:val="24"/>
          <w:szCs w:val="24"/>
          <w:highlight w:val="none"/>
        </w:rPr>
        <w:t>乙方在签订合同时必须向甲方交纳中标总额</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5 </w:t>
      </w:r>
      <w:r>
        <w:rPr>
          <w:rFonts w:hint="eastAsia" w:ascii="仿宋" w:hAnsi="仿宋" w:eastAsia="仿宋" w:cs="仿宋"/>
          <w:color w:val="auto"/>
          <w:sz w:val="24"/>
          <w:szCs w:val="24"/>
          <w:highlight w:val="none"/>
        </w:rPr>
        <w:t>%</w:t>
      </w:r>
      <w:r>
        <w:rPr>
          <w:rFonts w:hint="eastAsia" w:ascii="仿宋" w:hAnsi="仿宋" w:eastAsia="仿宋" w:cs="仿宋"/>
          <w:snapToGrid w:val="0"/>
          <w:color w:val="auto"/>
          <w:sz w:val="24"/>
          <w:szCs w:val="24"/>
          <w:highlight w:val="none"/>
        </w:rPr>
        <w:t>的履约保证金。服务期满后履约保证金自动转为质量保证金。服务期满12个月后，产品无质量和服务问题，无息退还质量保证金（不计息）</w:t>
      </w:r>
      <w:r>
        <w:rPr>
          <w:rFonts w:hint="eastAsia" w:ascii="仿宋" w:hAnsi="仿宋" w:eastAsia="仿宋" w:cs="仿宋"/>
          <w:color w:val="auto"/>
          <w:sz w:val="24"/>
          <w:szCs w:val="24"/>
          <w:highlight w:val="none"/>
        </w:rPr>
        <w:t>；</w:t>
      </w:r>
    </w:p>
    <w:p>
      <w:pPr>
        <w:pStyle w:val="11"/>
        <w:spacing w:before="0" w:beforeLines="0" w:after="0" w:after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2．服务期限为1年，付款方式如下：</w:t>
      </w:r>
    </w:p>
    <w:p>
      <w:pPr>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（1）合同签订后30天内招标人向中标单位支付合同总价</w:t>
      </w:r>
      <w:r>
        <w:rPr>
          <w:rFonts w:hint="eastAsia" w:ascii="仿宋" w:hAnsi="仿宋" w:eastAsia="仿宋" w:cs="仿宋"/>
          <w:color w:val="auto"/>
          <w:spacing w:val="-6"/>
          <w:sz w:val="24"/>
          <w:szCs w:val="24"/>
          <w:highlight w:val="none"/>
          <w:lang w:val="en-US" w:eastAsia="zh-CN"/>
        </w:rPr>
        <w:t>30</w:t>
      </w:r>
      <w:r>
        <w:rPr>
          <w:rFonts w:hint="eastAsia" w:ascii="仿宋" w:hAnsi="仿宋" w:eastAsia="仿宋" w:cs="仿宋"/>
          <w:color w:val="auto"/>
          <w:spacing w:val="-6"/>
          <w:sz w:val="24"/>
          <w:szCs w:val="24"/>
          <w:highlight w:val="none"/>
        </w:rPr>
        <w:t>%的预付款；</w:t>
      </w:r>
    </w:p>
    <w:p>
      <w:pPr>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（2）合同履约6个月，采购人支付至实际采购设施设备费用及应付巡查费总和的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0%（上述“实际采购设施设备费用及应付巡查费总和的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0%”包含提前支付的预付款）；</w:t>
      </w:r>
    </w:p>
    <w:p>
      <w:pPr>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（3）合同履约12个月，采购人支付至实际采购设施设备费用及应付巡查费总和的</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0%；</w:t>
      </w:r>
    </w:p>
    <w:p>
      <w:pPr>
        <w:pStyle w:val="11"/>
        <w:spacing w:before="0" w:beforeLines="0" w:after="0" w:afterLines="0" w:line="360" w:lineRule="auto"/>
        <w:ind w:firstLine="456" w:firstLineChars="200"/>
        <w:rPr>
          <w:rFonts w:hint="eastAsia" w:ascii="仿宋" w:hAnsi="仿宋" w:eastAsia="仿宋" w:cs="仿宋"/>
          <w:color w:val="auto"/>
          <w:spacing w:val="-6"/>
          <w:kern w:val="2"/>
          <w:sz w:val="24"/>
          <w:szCs w:val="24"/>
          <w:highlight w:val="none"/>
          <w:lang w:val="en-US" w:eastAsia="zh-CN"/>
        </w:rPr>
      </w:pPr>
      <w:r>
        <w:rPr>
          <w:rFonts w:hint="eastAsia" w:ascii="仿宋" w:hAnsi="仿宋" w:eastAsia="仿宋" w:cs="仿宋"/>
          <w:color w:val="auto"/>
          <w:spacing w:val="-6"/>
          <w:sz w:val="24"/>
          <w:szCs w:val="24"/>
          <w:highlight w:val="none"/>
          <w:lang w:eastAsia="zh-CN"/>
        </w:rPr>
        <w:t>（4）</w:t>
      </w:r>
      <w:r>
        <w:rPr>
          <w:rFonts w:hint="eastAsia" w:ascii="仿宋" w:hAnsi="仿宋" w:eastAsia="仿宋" w:cs="仿宋"/>
          <w:color w:val="auto"/>
          <w:spacing w:val="-6"/>
          <w:sz w:val="24"/>
          <w:szCs w:val="24"/>
          <w:highlight w:val="none"/>
        </w:rPr>
        <w:t>剩余费用待项目结束后由财政金融局进行审计后支付。</w:t>
      </w:r>
    </w:p>
    <w:p>
      <w:pPr>
        <w:snapToGrid w:val="0"/>
        <w:spacing w:line="360" w:lineRule="auto"/>
        <w:ind w:firstLine="456" w:firstLineChars="200"/>
        <w:rPr>
          <w:rFonts w:hint="eastAsia" w:ascii="仿宋" w:hAnsi="仿宋" w:eastAsia="仿宋" w:cs="仿宋"/>
          <w:snapToGrid w:val="0"/>
          <w:color w:val="auto"/>
          <w:sz w:val="24"/>
          <w:szCs w:val="24"/>
          <w:highlight w:val="none"/>
        </w:rPr>
      </w:pPr>
      <w:r>
        <w:rPr>
          <w:rFonts w:hint="eastAsia" w:ascii="仿宋" w:hAnsi="仿宋" w:eastAsia="仿宋" w:cs="仿宋"/>
          <w:color w:val="auto"/>
          <w:spacing w:val="-6"/>
          <w:sz w:val="24"/>
          <w:szCs w:val="24"/>
          <w:highlight w:val="none"/>
        </w:rPr>
        <w:t>（5）除应急抢修任务（经招标同意后）以外，其它任务须在采购人任务书下达后方可施工，否则采购人有权拒绝支付工程款。</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九、交货时间</w:t>
      </w:r>
    </w:p>
    <w:p>
      <w:pPr>
        <w:tabs>
          <w:tab w:val="left" w:pos="63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合同签订后接到丙方《任务书》或通知后，在规定时间内完成安装、调试，不得在未接到丙方《任务书》或通知前进行安装施工，如若发现，甲方将不予支付货款。</w:t>
      </w:r>
    </w:p>
    <w:p>
      <w:pPr>
        <w:pStyle w:val="11"/>
        <w:spacing w:beforeLines="0" w:afterLines="0" w:line="360" w:lineRule="auto"/>
        <w:ind w:left="360" w:hanging="412" w:hangingChars="17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十、专利权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乙方应保护丙方在使用该货物或其任何一部分时不受第三方提出侵犯专利权、商标权或工业设计权的指控，如果任何第三方提出侵犯权指控，乙方须与第三方交涉并承担可能发生的一切法律责任和费用。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十一、转包或分包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1.本合同范围的本项目中任何施工内容和服务，应由乙方直接供应，不得转让他人供应；</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2.乙方不得将本合同范围的本项目中任何施工内容和服务全部或部分分包给他人供应；</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3.如有转让和未经甲、丙两方同意的分包行为，甲方有权解除合同，没收服务保证金并追究乙方的违约责任。</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十二、考核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甲、丙双方可参照《杭州市钱塘新区交通安全设施养护作业标准及考核办法》（附表2）、招标文件相关条款及甲方规定的其他条款对乙方实施考核。</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十三、退出办法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在合同期间，出现下列情况之一的予以退出，提前终止养护合同：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1）组织管理机构、人员及机具配置等与投标承诺不符；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2）同一合同期内累计2次月度考核“不合格”；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3）未按甲、丙双方要求开展各类工作，同一问题累计抄告2次或以上。</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十四、违约责任</w:t>
      </w:r>
    </w:p>
    <w:p>
      <w:pPr>
        <w:pStyle w:val="11"/>
        <w:spacing w:beforeLines="0" w:afterLines="0" w:line="360" w:lineRule="auto"/>
        <w:ind w:left="42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因乙方原因引起工期延误的，每延误一天，处以合同价1%处罚。</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十五、安全责任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间，由于乙方安全措施不力、养护工作不到位、违反安全操作规程而导致责任事故或养护工作造成第三方人身财产损失或发生的所有与养护工作有关的安全事故，乙方应100%承担责任，所发生的费用均由乙方承担；所有甲、丙双方遭到第三方的起诉或索赔的，全部有乙方承担责任并赔偿，甲、丙双方保留追究责任的权利。</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十六、不可抗力事件处理</w:t>
      </w:r>
    </w:p>
    <w:p>
      <w:pPr>
        <w:pStyle w:val="11"/>
        <w:spacing w:beforeLines="0" w:afterLines="0" w:line="360" w:lineRule="auto"/>
        <w:ind w:left="42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w:t>
      </w:r>
    </w:p>
    <w:p>
      <w:pPr>
        <w:pStyle w:val="11"/>
        <w:spacing w:beforeLines="0" w:afterLines="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期可延长，其延长期与不可抗力影响期相同。</w:t>
      </w:r>
    </w:p>
    <w:p>
      <w:pPr>
        <w:pStyle w:val="11"/>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pStyle w:val="11"/>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w:t>
      </w:r>
    </w:p>
    <w:p>
      <w:pPr>
        <w:pStyle w:val="11"/>
        <w:spacing w:beforeLines="0" w:afterLines="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十七、诉讼</w:t>
      </w:r>
    </w:p>
    <w:p>
      <w:pPr>
        <w:pStyle w:val="11"/>
        <w:spacing w:beforeLines="0" w:afterLines="0" w:line="360" w:lineRule="auto"/>
        <w:ind w:left="42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双方在执行合同中所发生的一切争议，应通过协商解决。如协商不成，可向甲</w:t>
      </w:r>
    </w:p>
    <w:p>
      <w:pPr>
        <w:pStyle w:val="11"/>
        <w:spacing w:beforeLines="0" w:afterLines="0" w:line="360" w:lineRule="auto"/>
        <w:ind w:left="480" w:leftChars="57"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方所在地法院起诉。</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十八、合同生效及其它</w:t>
      </w:r>
    </w:p>
    <w:p>
      <w:pPr>
        <w:pStyle w:val="11"/>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pPr>
        <w:pStyle w:val="11"/>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pPr>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 本合同一式六份，乙方、采购代理机构各执壹份，甲、丙两方各执贰份，经四方签字、盖公章并在乙方质量保证金到帐后生效。</w:t>
      </w:r>
    </w:p>
    <w:p>
      <w:pPr>
        <w:pStyle w:val="11"/>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十九、合同组成</w:t>
      </w:r>
    </w:p>
    <w:p>
      <w:pPr>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本合同、招标文件（答疑）、投标文件、询标纪要等是本项目最终执行合同组成部分，当本合同与上述文件不一致时，以本合同为准。</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1"/>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甲方（买方）：（公章）</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乙方（卖方）：（公章）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甲方代表：</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乙方代表：</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地址： </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地址：</w:t>
            </w:r>
            <w:r>
              <w:rPr>
                <w:rFonts w:hint="eastAsia" w:ascii="仿宋" w:hAnsi="仿宋" w:eastAsia="仿宋" w:cs="仿宋"/>
                <w:color w:val="auto"/>
                <w:spacing w:val="-6"/>
                <w:sz w:val="24"/>
                <w:szCs w:val="24"/>
                <w:highlight w:val="none"/>
              </w:rPr>
              <w:tab/>
            </w:r>
            <w:r>
              <w:rPr>
                <w:rFonts w:hint="eastAsia" w:ascii="仿宋" w:hAnsi="仿宋" w:eastAsia="仿宋" w:cs="仿宋"/>
                <w:color w:val="auto"/>
                <w:spacing w:val="-6"/>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邮编： </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邮编：</w:t>
            </w:r>
            <w:r>
              <w:rPr>
                <w:rFonts w:hint="eastAsia" w:ascii="仿宋" w:hAnsi="仿宋" w:eastAsia="仿宋" w:cs="仿宋"/>
                <w:color w:val="auto"/>
                <w:spacing w:val="-6"/>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电话： </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电话：</w:t>
            </w:r>
            <w:r>
              <w:rPr>
                <w:rFonts w:hint="eastAsia" w:ascii="仿宋" w:hAnsi="仿宋" w:eastAsia="仿宋" w:cs="仿宋"/>
                <w:color w:val="auto"/>
                <w:spacing w:val="-6"/>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传真： </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传真：</w:t>
            </w:r>
            <w:r>
              <w:rPr>
                <w:rFonts w:hint="eastAsia" w:ascii="仿宋" w:hAnsi="仿宋" w:eastAsia="仿宋" w:cs="仿宋"/>
                <w:color w:val="auto"/>
                <w:spacing w:val="-6"/>
                <w:sz w:val="24"/>
                <w:szCs w:val="24"/>
                <w:highlight w:val="none"/>
              </w:rPr>
              <w:tab/>
            </w:r>
            <w:r>
              <w:rPr>
                <w:rFonts w:hint="eastAsia" w:ascii="仿宋" w:hAnsi="仿宋" w:eastAsia="仿宋" w:cs="仿宋"/>
                <w:color w:val="auto"/>
                <w:spacing w:val="-6"/>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开户银行： </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开户银行：</w:t>
            </w:r>
            <w:r>
              <w:rPr>
                <w:rFonts w:hint="eastAsia" w:ascii="仿宋" w:hAnsi="仿宋" w:eastAsia="仿宋" w:cs="仿宋"/>
                <w:color w:val="auto"/>
                <w:spacing w:val="-6"/>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帐号：</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签字日期：      年  月  日</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丙方（使用方）：（公章）</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丙方代表：</w:t>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w:t>
            </w:r>
          </w:p>
        </w:tc>
        <w:tc>
          <w:tcPr>
            <w:tcW w:w="4817" w:type="dxa"/>
            <w:vMerge w:val="restart"/>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合同鉴证方：</w:t>
            </w:r>
            <w:r>
              <w:rPr>
                <w:rFonts w:hint="eastAsia" w:ascii="仿宋" w:hAnsi="仿宋" w:eastAsia="仿宋" w:cs="仿宋"/>
                <w:color w:val="auto"/>
                <w:spacing w:val="-6"/>
                <w:sz w:val="24"/>
                <w:szCs w:val="24"/>
                <w:highlight w:val="none"/>
                <w:lang w:eastAsia="zh-CN"/>
              </w:rPr>
              <w:t>杭州建设工程造价咨询有限公司</w:t>
            </w:r>
            <w:r>
              <w:rPr>
                <w:rFonts w:hint="eastAsia" w:ascii="仿宋" w:hAnsi="仿宋" w:eastAsia="仿宋" w:cs="仿宋"/>
                <w:color w:val="auto"/>
                <w:spacing w:val="-6"/>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地址： </w:t>
            </w:r>
          </w:p>
        </w:tc>
        <w:tc>
          <w:tcPr>
            <w:tcW w:w="4817" w:type="dxa"/>
            <w:vMerge w:val="continue"/>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邮编： </w:t>
            </w:r>
          </w:p>
        </w:tc>
        <w:tc>
          <w:tcPr>
            <w:tcW w:w="4817" w:type="dxa"/>
            <w:vMerge w:val="continue"/>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电话： </w:t>
            </w:r>
          </w:p>
        </w:tc>
        <w:tc>
          <w:tcPr>
            <w:tcW w:w="4817" w:type="dxa"/>
            <w:vMerge w:val="continue"/>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传真： </w:t>
            </w:r>
          </w:p>
        </w:tc>
        <w:tc>
          <w:tcPr>
            <w:tcW w:w="4817" w:type="dxa"/>
            <w:vMerge w:val="restart"/>
            <w:noWrap w:val="0"/>
            <w:vAlign w:val="center"/>
          </w:tcPr>
          <w:p>
            <w:pPr>
              <w:tabs>
                <w:tab w:val="left" w:pos="2880"/>
              </w:tabs>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法定代表人或主要负责人：</w:t>
            </w:r>
            <w:r>
              <w:rPr>
                <w:rFonts w:hint="eastAsia" w:ascii="仿宋" w:hAnsi="仿宋" w:eastAsia="仿宋" w:cs="仿宋"/>
                <w:color w:val="auto"/>
                <w:spacing w:val="-6"/>
                <w:sz w:val="24"/>
                <w:szCs w:val="24"/>
                <w:highlight w:val="none"/>
              </w:rPr>
              <w:tab/>
            </w: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开户银行： </w:t>
            </w:r>
          </w:p>
        </w:tc>
        <w:tc>
          <w:tcPr>
            <w:tcW w:w="4817" w:type="dxa"/>
            <w:vMerge w:val="continue"/>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帐号：</w:t>
            </w:r>
          </w:p>
        </w:tc>
        <w:tc>
          <w:tcPr>
            <w:tcW w:w="4817" w:type="dxa"/>
            <w:vMerge w:val="continue"/>
            <w:noWrap w:val="0"/>
            <w:vAlign w:val="center"/>
          </w:tcPr>
          <w:p>
            <w:pPr>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811"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签字日期：      年  月  日</w:t>
            </w:r>
          </w:p>
        </w:tc>
        <w:tc>
          <w:tcPr>
            <w:tcW w:w="4817" w:type="dxa"/>
            <w:noWrap w:val="0"/>
            <w:vAlign w:val="center"/>
          </w:tcPr>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鉴证日期：</w:t>
            </w:r>
          </w:p>
        </w:tc>
      </w:tr>
    </w:tbl>
    <w:p>
      <w:pPr>
        <w:spacing w:line="360" w:lineRule="auto"/>
        <w:ind w:firstLine="456" w:firstLineChars="200"/>
        <w:rPr>
          <w:rFonts w:hint="eastAsia" w:ascii="仿宋" w:hAnsi="仿宋" w:eastAsia="仿宋" w:cs="仿宋"/>
          <w:color w:val="auto"/>
          <w:spacing w:val="-6"/>
          <w:sz w:val="24"/>
          <w:szCs w:val="24"/>
          <w:highlight w:val="none"/>
        </w:rPr>
      </w:pPr>
    </w:p>
    <w:p>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附表1：</w:t>
      </w:r>
      <w:r>
        <w:rPr>
          <w:rFonts w:hint="eastAsia" w:ascii="仿宋" w:hAnsi="仿宋" w:eastAsia="仿宋" w:cs="仿宋"/>
          <w:color w:val="auto"/>
          <w:sz w:val="24"/>
          <w:szCs w:val="24"/>
          <w:highlight w:val="none"/>
        </w:rPr>
        <w:t>合同报价表</w:t>
      </w:r>
    </w:p>
    <w:p>
      <w:pPr>
        <w:spacing w:line="360" w:lineRule="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6"/>
          <w:sz w:val="24"/>
          <w:szCs w:val="24"/>
          <w:highlight w:val="none"/>
        </w:rPr>
        <w:t>附表2：杭州市钱塘新区交通安全设施养护作业标准及考核办法</w:t>
      </w:r>
    </w:p>
    <w:p>
      <w:pPr>
        <w:snapToGrid w:val="0"/>
        <w:spacing w:before="120" w:beforeLines="50" w:after="120" w:afterLines="50" w:line="360" w:lineRule="auto"/>
        <w:ind w:firstLine="480" w:firstLineChars="200"/>
        <w:jc w:val="center"/>
        <w:rPr>
          <w:rFonts w:hint="eastAsia" w:ascii="仿宋" w:hAnsi="仿宋" w:eastAsia="仿宋" w:cs="仿宋"/>
          <w:color w:val="auto"/>
          <w:sz w:val="24"/>
          <w:szCs w:val="24"/>
          <w:highlight w:val="none"/>
        </w:rPr>
      </w:pPr>
    </w:p>
    <w:p>
      <w:pPr>
        <w:snapToGrid w:val="0"/>
        <w:spacing w:before="120" w:beforeLines="50" w:after="120" w:afterLines="50" w:line="360" w:lineRule="auto"/>
        <w:ind w:firstLine="480" w:firstLineChars="200"/>
        <w:jc w:val="center"/>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注：各供应商应对招标文件《合同条款》中的条款全部响应，如有偏离需在商务条款偏离表中注明。</w:t>
      </w:r>
    </w:p>
    <w:p>
      <w:pPr>
        <w:pStyle w:val="4"/>
        <w:numPr>
          <w:ilvl w:val="0"/>
          <w:numId w:val="0"/>
        </w:numPr>
        <w:spacing w:line="440" w:lineRule="exact"/>
        <w:rPr>
          <w:rFonts w:hint="eastAsia"/>
          <w:color w:val="auto"/>
          <w:highlight w:val="none"/>
        </w:rPr>
      </w:pPr>
      <w:r>
        <w:rPr>
          <w:rFonts w:hint="eastAsia" w:ascii="仿宋" w:hAnsi="仿宋" w:eastAsia="仿宋" w:cs="仿宋"/>
          <w:b/>
          <w:bCs/>
          <w:color w:val="auto"/>
          <w:sz w:val="24"/>
          <w:szCs w:val="24"/>
          <w:highlight w:val="none"/>
        </w:rPr>
        <w:br w:type="page"/>
      </w:r>
    </w:p>
    <w:p>
      <w:pPr>
        <w:rPr>
          <w:rFonts w:hint="eastAsia"/>
          <w:b/>
          <w:bCs/>
          <w:color w:val="auto"/>
          <w:highlight w:val="none"/>
        </w:rPr>
      </w:pPr>
      <w:r>
        <w:rPr>
          <w:b/>
          <w:bCs/>
          <w:color w:val="auto"/>
          <w:highlight w:val="none"/>
        </w:rPr>
        <w:t>附件</w:t>
      </w:r>
      <w:r>
        <w:rPr>
          <w:rFonts w:hint="eastAsia"/>
          <w:b/>
          <w:bCs/>
          <w:color w:val="auto"/>
          <w:highlight w:val="none"/>
        </w:rPr>
        <w:t>：</w:t>
      </w:r>
    </w:p>
    <w:p>
      <w:pPr>
        <w:jc w:val="center"/>
        <w:rPr>
          <w:rFonts w:hint="eastAsia" w:ascii="黑体" w:hAnsi="黑体" w:eastAsia="黑体"/>
          <w:b/>
          <w:bCs/>
          <w:color w:val="auto"/>
          <w:sz w:val="36"/>
          <w:szCs w:val="36"/>
          <w:highlight w:val="none"/>
        </w:rPr>
      </w:pPr>
      <w:r>
        <w:rPr>
          <w:rFonts w:hint="eastAsia" w:ascii="黑体" w:hAnsi="黑体" w:eastAsia="黑体"/>
          <w:b/>
          <w:bCs/>
          <w:color w:val="auto"/>
          <w:sz w:val="36"/>
          <w:szCs w:val="36"/>
          <w:highlight w:val="none"/>
        </w:rPr>
        <w:t>钱塘新区道路交通安全设施维护项目</w:t>
      </w:r>
    </w:p>
    <w:p>
      <w:pPr>
        <w:jc w:val="center"/>
        <w:rPr>
          <w:rFonts w:hint="eastAsia" w:ascii="黑体" w:hAnsi="黑体" w:eastAsia="黑体"/>
          <w:b/>
          <w:bCs/>
          <w:color w:val="auto"/>
          <w:sz w:val="36"/>
          <w:szCs w:val="36"/>
          <w:highlight w:val="none"/>
        </w:rPr>
      </w:pPr>
      <w:r>
        <w:rPr>
          <w:rFonts w:hint="eastAsia" w:ascii="黑体" w:hAnsi="黑体" w:eastAsia="黑体"/>
          <w:b/>
          <w:bCs/>
          <w:color w:val="auto"/>
          <w:sz w:val="36"/>
          <w:szCs w:val="36"/>
          <w:highlight w:val="none"/>
        </w:rPr>
        <w:t>考核管理办法</w:t>
      </w:r>
    </w:p>
    <w:p>
      <w:pPr>
        <w:ind w:firstLine="440"/>
        <w:jc w:val="left"/>
        <w:rPr>
          <w:rFonts w:hint="eastAsia" w:ascii="仿宋_GB2312" w:hAnsi="仿宋_GB2312" w:eastAsia="仿宋_GB2312"/>
          <w:color w:val="auto"/>
          <w:sz w:val="32"/>
          <w:szCs w:val="22"/>
          <w:highlight w:val="none"/>
        </w:rPr>
      </w:pPr>
    </w:p>
    <w:p>
      <w:pPr>
        <w:spacing w:line="360" w:lineRule="auto"/>
        <w:ind w:firstLine="440"/>
        <w:jc w:val="left"/>
        <w:rPr>
          <w:color w:val="auto"/>
          <w:sz w:val="24"/>
          <w:highlight w:val="none"/>
        </w:rPr>
      </w:pPr>
      <w:r>
        <w:rPr>
          <w:rFonts w:hAnsi="宋体"/>
          <w:color w:val="auto"/>
          <w:sz w:val="24"/>
          <w:highlight w:val="none"/>
        </w:rPr>
        <w:t>根据《市区道路交通安全设施维护管理规定》（杭公交【</w:t>
      </w:r>
      <w:r>
        <w:rPr>
          <w:color w:val="auto"/>
          <w:sz w:val="24"/>
          <w:highlight w:val="none"/>
        </w:rPr>
        <w:t>2017</w:t>
      </w:r>
      <w:r>
        <w:rPr>
          <w:rFonts w:hAnsi="宋体"/>
          <w:color w:val="auto"/>
          <w:sz w:val="24"/>
          <w:highlight w:val="none"/>
        </w:rPr>
        <w:t>】</w:t>
      </w:r>
      <w:r>
        <w:rPr>
          <w:color w:val="auto"/>
          <w:sz w:val="24"/>
          <w:highlight w:val="none"/>
        </w:rPr>
        <w:t>46</w:t>
      </w:r>
      <w:r>
        <w:rPr>
          <w:rFonts w:hAnsi="宋体"/>
          <w:color w:val="auto"/>
          <w:sz w:val="24"/>
          <w:highlight w:val="none"/>
        </w:rPr>
        <w:t>号）精神，为进一步做好交通设施维护日常管理工作，特制订本考核管理办法。</w:t>
      </w:r>
    </w:p>
    <w:p>
      <w:pPr>
        <w:spacing w:line="360" w:lineRule="auto"/>
        <w:ind w:firstLine="440"/>
        <w:jc w:val="left"/>
        <w:rPr>
          <w:color w:val="auto"/>
          <w:sz w:val="24"/>
          <w:highlight w:val="none"/>
        </w:rPr>
      </w:pPr>
      <w:r>
        <w:rPr>
          <w:rFonts w:hAnsi="宋体"/>
          <w:color w:val="auto"/>
          <w:sz w:val="24"/>
          <w:highlight w:val="none"/>
        </w:rPr>
        <w:t>一、考核对象</w:t>
      </w:r>
      <w:r>
        <w:rPr>
          <w:rFonts w:hint="eastAsia"/>
          <w:color w:val="auto"/>
          <w:sz w:val="24"/>
          <w:highlight w:val="none"/>
        </w:rPr>
        <w:t>：</w:t>
      </w:r>
      <w:r>
        <w:rPr>
          <w:rFonts w:hAnsi="宋体"/>
          <w:color w:val="auto"/>
          <w:sz w:val="24"/>
          <w:highlight w:val="none"/>
        </w:rPr>
        <w:t>年度交通设施维护项目单位。</w:t>
      </w:r>
    </w:p>
    <w:p>
      <w:pPr>
        <w:spacing w:line="360" w:lineRule="auto"/>
        <w:ind w:firstLine="440"/>
        <w:jc w:val="left"/>
        <w:rPr>
          <w:color w:val="auto"/>
          <w:sz w:val="24"/>
          <w:highlight w:val="none"/>
        </w:rPr>
      </w:pPr>
      <w:r>
        <w:rPr>
          <w:rFonts w:hAnsi="宋体"/>
          <w:color w:val="auto"/>
          <w:sz w:val="24"/>
          <w:highlight w:val="none"/>
        </w:rPr>
        <w:t>二、总则</w:t>
      </w:r>
    </w:p>
    <w:p>
      <w:pPr>
        <w:spacing w:line="360" w:lineRule="auto"/>
        <w:ind w:firstLine="480"/>
        <w:jc w:val="left"/>
        <w:rPr>
          <w:color w:val="auto"/>
          <w:sz w:val="24"/>
          <w:highlight w:val="none"/>
        </w:rPr>
      </w:pPr>
      <w:r>
        <w:rPr>
          <w:rFonts w:hAnsi="宋体"/>
          <w:color w:val="auto"/>
          <w:sz w:val="24"/>
          <w:highlight w:val="none"/>
        </w:rPr>
        <w:t>为规范钱塘新区全区道路交通标志、标识、标线、标牌、隔离等设施和交通信号灯等设施的管理、维护、优化、更新工作，建立完善的交通安全设施维护管理工作流程及考核监督机制，特制定本办法。</w:t>
      </w:r>
    </w:p>
    <w:p>
      <w:pPr>
        <w:spacing w:line="360" w:lineRule="auto"/>
        <w:ind w:firstLine="480" w:firstLineChars="200"/>
        <w:jc w:val="left"/>
        <w:rPr>
          <w:bCs/>
          <w:color w:val="auto"/>
          <w:sz w:val="24"/>
          <w:highlight w:val="none"/>
        </w:rPr>
      </w:pPr>
      <w:r>
        <w:rPr>
          <w:rFonts w:hAnsi="宋体"/>
          <w:bCs/>
          <w:color w:val="auto"/>
          <w:sz w:val="24"/>
          <w:highlight w:val="none"/>
        </w:rPr>
        <w:t>三、维护及监理公司监督考核机制及原则</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由</w:t>
      </w:r>
      <w:r>
        <w:rPr>
          <w:rFonts w:hAnsi="宋体"/>
          <w:color w:val="auto"/>
          <w:sz w:val="24"/>
          <w:highlight w:val="none"/>
        </w:rPr>
        <w:t>钱塘新区综合行政执法局</w:t>
      </w:r>
      <w:r>
        <w:rPr>
          <w:rFonts w:hAnsi="宋体"/>
          <w:color w:val="auto"/>
          <w:kern w:val="0"/>
          <w:sz w:val="24"/>
          <w:highlight w:val="none"/>
        </w:rPr>
        <w:t>参与对设施维护单位、监理公司的管理指导、验收考核等职责，督促交通设施维护单位履行合同规定，确保交通设施维护工程按合同履行。</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维护单位应按规定配备车辆、人员，每天上路巡查，及时消除安全隐患并做好巡查记录。同时，每天（含双休日、节假日）须落实人员接听</w:t>
      </w:r>
      <w:r>
        <w:rPr>
          <w:color w:val="auto"/>
          <w:kern w:val="0"/>
          <w:sz w:val="24"/>
          <w:highlight w:val="none"/>
        </w:rPr>
        <w:t>24</w:t>
      </w:r>
      <w:r>
        <w:rPr>
          <w:rFonts w:hAnsi="宋体"/>
          <w:color w:val="auto"/>
          <w:kern w:val="0"/>
          <w:sz w:val="24"/>
          <w:highlight w:val="none"/>
        </w:rPr>
        <w:t>小时维护热线电话，落实</w:t>
      </w:r>
      <w:r>
        <w:rPr>
          <w:color w:val="auto"/>
          <w:kern w:val="0"/>
          <w:sz w:val="24"/>
          <w:highlight w:val="none"/>
        </w:rPr>
        <w:t>24</w:t>
      </w:r>
      <w:r>
        <w:rPr>
          <w:rFonts w:hAnsi="宋体"/>
          <w:color w:val="auto"/>
          <w:kern w:val="0"/>
          <w:sz w:val="24"/>
          <w:highlight w:val="none"/>
        </w:rPr>
        <w:t>小时值班制度，确保驻点人员相对固定、车辆到位，车辆需要安装</w:t>
      </w:r>
      <w:r>
        <w:rPr>
          <w:color w:val="auto"/>
          <w:kern w:val="0"/>
          <w:sz w:val="24"/>
          <w:highlight w:val="none"/>
        </w:rPr>
        <w:t>GPS</w:t>
      </w:r>
      <w:r>
        <w:rPr>
          <w:rFonts w:hAnsi="宋体"/>
          <w:color w:val="auto"/>
          <w:kern w:val="0"/>
          <w:sz w:val="24"/>
          <w:highlight w:val="none"/>
        </w:rPr>
        <w:t>定位系统，保持通信畅通。</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维护单位应按施工单内容、预算经费、交办期限等要求保质保量完成工作，不得擅自改变施工内容和数量。反馈情况真实，做到费用金额准确无差错。对维护中更换下来的旧件，维护单位需入库编号，统一存放，妥善保管，仓库要达到</w:t>
      </w:r>
      <w:r>
        <w:rPr>
          <w:color w:val="auto"/>
          <w:kern w:val="0"/>
          <w:sz w:val="24"/>
          <w:highlight w:val="none"/>
        </w:rPr>
        <w:t>100</w:t>
      </w:r>
      <w:r>
        <w:rPr>
          <w:rFonts w:hAnsi="宋体"/>
          <w:color w:val="auto"/>
          <w:kern w:val="0"/>
          <w:sz w:val="24"/>
          <w:highlight w:val="none"/>
        </w:rPr>
        <w:t>平方米以上。</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维护单位应每周上报巡查情况，每月</w:t>
      </w:r>
      <w:r>
        <w:rPr>
          <w:color w:val="auto"/>
          <w:kern w:val="0"/>
          <w:sz w:val="24"/>
          <w:highlight w:val="none"/>
        </w:rPr>
        <w:t>1</w:t>
      </w:r>
      <w:r>
        <w:rPr>
          <w:rFonts w:hAnsi="宋体"/>
          <w:color w:val="auto"/>
          <w:kern w:val="0"/>
          <w:sz w:val="24"/>
          <w:highlight w:val="none"/>
        </w:rPr>
        <w:t>日前上报月工作计划，当月进行工作小结、上报工作数据。遇节假日或重大活动需临时上报相关数据的，应在规定时限内上报。对辖区内全部交通设施至少每季度检查</w:t>
      </w:r>
      <w:r>
        <w:rPr>
          <w:color w:val="auto"/>
          <w:kern w:val="0"/>
          <w:sz w:val="24"/>
          <w:highlight w:val="none"/>
        </w:rPr>
        <w:t>1</w:t>
      </w:r>
      <w:r>
        <w:rPr>
          <w:rFonts w:hAnsi="宋体"/>
          <w:color w:val="auto"/>
          <w:kern w:val="0"/>
          <w:sz w:val="24"/>
          <w:highlight w:val="none"/>
        </w:rPr>
        <w:t>次，对检查中发现不安全因素和隐患及时排除。建立巡查台账，供</w:t>
      </w:r>
      <w:r>
        <w:rPr>
          <w:rFonts w:hint="eastAsia" w:hAnsi="宋体"/>
          <w:color w:val="auto"/>
          <w:kern w:val="0"/>
          <w:sz w:val="24"/>
          <w:highlight w:val="none"/>
          <w:lang w:val="en-US" w:eastAsia="zh-CN"/>
        </w:rPr>
        <w:t>执法局</w:t>
      </w:r>
      <w:r>
        <w:rPr>
          <w:rFonts w:hAnsi="宋体"/>
          <w:color w:val="auto"/>
          <w:kern w:val="0"/>
          <w:sz w:val="24"/>
          <w:highlight w:val="none"/>
        </w:rPr>
        <w:t>随时检查。</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对设施维护单位的管理考核，依据维护招标文件以及维护合同的约定进行。出现违约情况的，按照相关文件的违约责任进行处理。</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监理公司必须守法、诚信、公正、科学，努力为设施维护服务，维护各方合法权益；执行有关设施维护的法规、规范、标准和制度，履行监理合同规定的义务和职责，对施工项目进行全过程、全方位监理，严格把关；不收受维护公司的任何礼物、礼金，不接受可能导致判断不公的报酬。</w:t>
      </w:r>
    </w:p>
    <w:p>
      <w:pPr>
        <w:widowControl/>
        <w:snapToGrid w:val="0"/>
        <w:spacing w:line="360" w:lineRule="auto"/>
        <w:ind w:firstLine="480"/>
        <w:jc w:val="left"/>
        <w:rPr>
          <w:b/>
          <w:bCs/>
          <w:color w:val="auto"/>
          <w:sz w:val="24"/>
          <w:highlight w:val="none"/>
        </w:rPr>
      </w:pPr>
      <w:r>
        <w:rPr>
          <w:rFonts w:hAnsi="宋体"/>
          <w:color w:val="auto"/>
          <w:kern w:val="0"/>
          <w:sz w:val="24"/>
          <w:highlight w:val="none"/>
        </w:rPr>
        <w:t>监理公司需落实一名驻点人员及车辆，参加维护项目的审定工作，组织现场查验，施工工程量及经费审查，提出审查意见。根据施工情况及时向维护公司发布开工、停工、复工等指令。审签维护公司所递交的项目完工资料，再向</w:t>
      </w:r>
      <w:r>
        <w:rPr>
          <w:rFonts w:hint="eastAsia" w:hAnsi="宋体"/>
          <w:color w:val="auto"/>
          <w:kern w:val="0"/>
          <w:sz w:val="24"/>
          <w:highlight w:val="none"/>
          <w:lang w:val="en-US" w:eastAsia="zh-CN"/>
        </w:rPr>
        <w:t>执法局</w:t>
      </w:r>
      <w:r>
        <w:rPr>
          <w:rFonts w:hAnsi="宋体"/>
          <w:color w:val="auto"/>
          <w:kern w:val="0"/>
          <w:sz w:val="24"/>
          <w:highlight w:val="none"/>
        </w:rPr>
        <w:t>等审批责任人征求审批意见。</w:t>
      </w:r>
    </w:p>
    <w:p>
      <w:pPr>
        <w:spacing w:line="360" w:lineRule="auto"/>
        <w:ind w:firstLine="480" w:firstLineChars="200"/>
        <w:jc w:val="left"/>
        <w:rPr>
          <w:color w:val="auto"/>
          <w:sz w:val="24"/>
          <w:highlight w:val="none"/>
        </w:rPr>
      </w:pPr>
      <w:r>
        <w:rPr>
          <w:rFonts w:hAnsi="宋体"/>
          <w:color w:val="auto"/>
          <w:sz w:val="24"/>
          <w:highlight w:val="none"/>
        </w:rPr>
        <w:t>钱塘新区综合行政执法局通过月度计分制考核维护单位，计分考核以维护单位当月自主巡查维护情况为基础，结合实际，最终计分结果与当月维护经费挂钩。</w:t>
      </w:r>
    </w:p>
    <w:p>
      <w:pPr>
        <w:widowControl/>
        <w:snapToGrid w:val="0"/>
        <w:spacing w:line="360" w:lineRule="auto"/>
        <w:ind w:firstLine="480"/>
        <w:jc w:val="left"/>
        <w:rPr>
          <w:color w:val="auto"/>
          <w:kern w:val="0"/>
          <w:sz w:val="24"/>
          <w:highlight w:val="none"/>
        </w:rPr>
      </w:pPr>
      <w:r>
        <w:rPr>
          <w:rFonts w:hAnsi="宋体"/>
          <w:color w:val="auto"/>
          <w:kern w:val="0"/>
          <w:sz w:val="24"/>
          <w:highlight w:val="none"/>
        </w:rPr>
        <w:t>考核采取百分制的形式，时间为</w:t>
      </w:r>
      <w:r>
        <w:rPr>
          <w:rFonts w:hint="eastAsia" w:hAnsi="宋体"/>
          <w:color w:val="auto"/>
          <w:kern w:val="0"/>
          <w:sz w:val="24"/>
          <w:highlight w:val="none"/>
        </w:rPr>
        <w:t>一</w:t>
      </w:r>
      <w:r>
        <w:rPr>
          <w:rFonts w:hAnsi="宋体"/>
          <w:color w:val="auto"/>
          <w:kern w:val="0"/>
          <w:sz w:val="24"/>
          <w:highlight w:val="none"/>
        </w:rPr>
        <w:t>年合同期内。得分在</w:t>
      </w:r>
      <w:r>
        <w:rPr>
          <w:color w:val="auto"/>
          <w:kern w:val="0"/>
          <w:sz w:val="24"/>
          <w:highlight w:val="none"/>
        </w:rPr>
        <w:t>95</w:t>
      </w:r>
      <w:r>
        <w:rPr>
          <w:rFonts w:hAnsi="宋体"/>
          <w:color w:val="auto"/>
          <w:kern w:val="0"/>
          <w:sz w:val="24"/>
          <w:highlight w:val="none"/>
        </w:rPr>
        <w:t>分（含</w:t>
      </w:r>
      <w:r>
        <w:rPr>
          <w:color w:val="auto"/>
          <w:kern w:val="0"/>
          <w:sz w:val="24"/>
          <w:highlight w:val="none"/>
        </w:rPr>
        <w:t>95</w:t>
      </w:r>
      <w:r>
        <w:rPr>
          <w:rFonts w:hAnsi="宋体"/>
          <w:color w:val="auto"/>
          <w:kern w:val="0"/>
          <w:sz w:val="24"/>
          <w:highlight w:val="none"/>
        </w:rPr>
        <w:t>分）以上，可记取当月维护（监理）费；得分在</w:t>
      </w:r>
      <w:r>
        <w:rPr>
          <w:color w:val="auto"/>
          <w:kern w:val="0"/>
          <w:sz w:val="24"/>
          <w:highlight w:val="none"/>
        </w:rPr>
        <w:t>94</w:t>
      </w:r>
      <w:r>
        <w:rPr>
          <w:rFonts w:hAnsi="宋体"/>
          <w:color w:val="auto"/>
          <w:kern w:val="0"/>
          <w:sz w:val="24"/>
          <w:highlight w:val="none"/>
        </w:rPr>
        <w:t>分</w:t>
      </w:r>
      <w:r>
        <w:rPr>
          <w:color w:val="auto"/>
          <w:kern w:val="0"/>
          <w:sz w:val="24"/>
          <w:highlight w:val="none"/>
        </w:rPr>
        <w:t>—85</w:t>
      </w:r>
      <w:r>
        <w:rPr>
          <w:rFonts w:hAnsi="宋体"/>
          <w:color w:val="auto"/>
          <w:kern w:val="0"/>
          <w:sz w:val="24"/>
          <w:highlight w:val="none"/>
        </w:rPr>
        <w:t>分（含</w:t>
      </w:r>
      <w:r>
        <w:rPr>
          <w:color w:val="auto"/>
          <w:kern w:val="0"/>
          <w:sz w:val="24"/>
          <w:highlight w:val="none"/>
        </w:rPr>
        <w:t>85</w:t>
      </w:r>
      <w:r>
        <w:rPr>
          <w:rFonts w:hAnsi="宋体"/>
          <w:color w:val="auto"/>
          <w:kern w:val="0"/>
          <w:sz w:val="24"/>
          <w:highlight w:val="none"/>
        </w:rPr>
        <w:t>分）按所得分百分比支付维护（监理）费，得分在</w:t>
      </w:r>
      <w:r>
        <w:rPr>
          <w:color w:val="auto"/>
          <w:kern w:val="0"/>
          <w:sz w:val="24"/>
          <w:highlight w:val="none"/>
        </w:rPr>
        <w:t>85</w:t>
      </w:r>
      <w:r>
        <w:rPr>
          <w:rFonts w:hAnsi="宋体"/>
          <w:color w:val="auto"/>
          <w:kern w:val="0"/>
          <w:sz w:val="24"/>
          <w:highlight w:val="none"/>
        </w:rPr>
        <w:t>分以下，扣除当月维护（监理）费的一半；每月考核连续</w:t>
      </w:r>
      <w:r>
        <w:rPr>
          <w:color w:val="auto"/>
          <w:kern w:val="0"/>
          <w:sz w:val="24"/>
          <w:highlight w:val="none"/>
        </w:rPr>
        <w:t>2</w:t>
      </w:r>
      <w:r>
        <w:rPr>
          <w:rFonts w:hAnsi="宋体"/>
          <w:color w:val="auto"/>
          <w:kern w:val="0"/>
          <w:sz w:val="24"/>
          <w:highlight w:val="none"/>
        </w:rPr>
        <w:t>次在</w:t>
      </w:r>
      <w:r>
        <w:rPr>
          <w:color w:val="auto"/>
          <w:kern w:val="0"/>
          <w:sz w:val="24"/>
          <w:highlight w:val="none"/>
        </w:rPr>
        <w:t>85</w:t>
      </w:r>
      <w:r>
        <w:rPr>
          <w:rFonts w:hAnsi="宋体"/>
          <w:color w:val="auto"/>
          <w:kern w:val="0"/>
          <w:sz w:val="24"/>
          <w:highlight w:val="none"/>
        </w:rPr>
        <w:t>分以下，终止维护（监理）合同，并取消下年度维护（监理）工程投标的资格；得分低于</w:t>
      </w:r>
      <w:r>
        <w:rPr>
          <w:color w:val="auto"/>
          <w:kern w:val="0"/>
          <w:sz w:val="24"/>
          <w:highlight w:val="none"/>
        </w:rPr>
        <w:t>60</w:t>
      </w:r>
      <w:r>
        <w:rPr>
          <w:rFonts w:hAnsi="宋体"/>
          <w:color w:val="auto"/>
          <w:kern w:val="0"/>
          <w:sz w:val="24"/>
          <w:highlight w:val="none"/>
        </w:rPr>
        <w:t>分的单位，取消后</w:t>
      </w:r>
      <w:r>
        <w:rPr>
          <w:color w:val="auto"/>
          <w:kern w:val="0"/>
          <w:sz w:val="24"/>
          <w:highlight w:val="none"/>
        </w:rPr>
        <w:t>3</w:t>
      </w:r>
      <w:r>
        <w:rPr>
          <w:rFonts w:hAnsi="宋体"/>
          <w:color w:val="auto"/>
          <w:kern w:val="0"/>
          <w:sz w:val="24"/>
          <w:highlight w:val="none"/>
        </w:rPr>
        <w:t>年的维护（监理）投标资格。</w:t>
      </w:r>
    </w:p>
    <w:p>
      <w:pPr>
        <w:spacing w:line="360" w:lineRule="auto"/>
        <w:ind w:firstLine="326" w:firstLineChars="136"/>
        <w:jc w:val="left"/>
        <w:rPr>
          <w:color w:val="auto"/>
          <w:sz w:val="24"/>
          <w:highlight w:val="none"/>
        </w:rPr>
      </w:pPr>
      <w:r>
        <w:rPr>
          <w:rFonts w:hAnsi="宋体"/>
          <w:color w:val="auto"/>
          <w:sz w:val="24"/>
          <w:highlight w:val="none"/>
        </w:rPr>
        <w:t>四、自主巡查维护管理</w:t>
      </w:r>
    </w:p>
    <w:p>
      <w:pPr>
        <w:tabs>
          <w:tab w:val="left" w:pos="619"/>
        </w:tabs>
        <w:spacing w:line="360" w:lineRule="auto"/>
        <w:ind w:firstLine="360" w:firstLineChars="150"/>
        <w:jc w:val="left"/>
        <w:rPr>
          <w:color w:val="auto"/>
          <w:sz w:val="24"/>
          <w:highlight w:val="none"/>
        </w:rPr>
      </w:pPr>
      <w:r>
        <w:rPr>
          <w:rFonts w:hAnsi="宋体"/>
          <w:color w:val="auto"/>
          <w:sz w:val="24"/>
          <w:highlight w:val="none"/>
        </w:rPr>
        <w:t>钱塘新区综合行政执法局通过当月辖区数字城管抄送案卷情况，反映和衡量维护单位自主维护巡查（抢修</w:t>
      </w:r>
      <w:r>
        <w:rPr>
          <w:color w:val="auto"/>
          <w:sz w:val="24"/>
          <w:highlight w:val="none"/>
        </w:rPr>
        <w:t>+</w:t>
      </w:r>
      <w:r>
        <w:rPr>
          <w:rFonts w:hAnsi="宋体"/>
          <w:color w:val="auto"/>
          <w:sz w:val="24"/>
          <w:highlight w:val="none"/>
        </w:rPr>
        <w:t>维护）工作情况；当月自主巡查案卷占比数字城管抄送案卷达到</w:t>
      </w:r>
      <w:r>
        <w:rPr>
          <w:color w:val="auto"/>
          <w:sz w:val="24"/>
          <w:highlight w:val="none"/>
        </w:rPr>
        <w:t>60%</w:t>
      </w:r>
      <w:r>
        <w:rPr>
          <w:rFonts w:hAnsi="宋体"/>
          <w:color w:val="auto"/>
          <w:sz w:val="24"/>
          <w:highlight w:val="none"/>
        </w:rPr>
        <w:t>为优秀，达到</w:t>
      </w:r>
      <w:r>
        <w:rPr>
          <w:color w:val="auto"/>
          <w:sz w:val="24"/>
          <w:highlight w:val="none"/>
        </w:rPr>
        <w:t>50%</w:t>
      </w:r>
      <w:r>
        <w:rPr>
          <w:rFonts w:hAnsi="宋体"/>
          <w:color w:val="auto"/>
          <w:sz w:val="24"/>
          <w:highlight w:val="none"/>
        </w:rPr>
        <w:t>为良好，</w:t>
      </w:r>
      <w:r>
        <w:rPr>
          <w:color w:val="auto"/>
          <w:sz w:val="24"/>
          <w:highlight w:val="none"/>
        </w:rPr>
        <w:t>40%</w:t>
      </w:r>
      <w:r>
        <w:rPr>
          <w:rFonts w:hAnsi="宋体"/>
          <w:color w:val="auto"/>
          <w:sz w:val="24"/>
          <w:highlight w:val="none"/>
        </w:rPr>
        <w:t>为合格，未达</w:t>
      </w:r>
      <w:r>
        <w:rPr>
          <w:color w:val="auto"/>
          <w:sz w:val="24"/>
          <w:highlight w:val="none"/>
        </w:rPr>
        <w:t>40%</w:t>
      </w:r>
      <w:r>
        <w:rPr>
          <w:rFonts w:hAnsi="宋体"/>
          <w:color w:val="auto"/>
          <w:sz w:val="24"/>
          <w:highlight w:val="none"/>
        </w:rPr>
        <w:t>即为不合格。辖区交通设施维护单位通过</w:t>
      </w:r>
      <w:r>
        <w:rPr>
          <w:rFonts w:hint="eastAsia" w:hAnsi="宋体"/>
          <w:color w:val="auto"/>
          <w:kern w:val="0"/>
          <w:sz w:val="24"/>
          <w:highlight w:val="none"/>
          <w:lang w:val="en-US" w:eastAsia="zh-CN"/>
        </w:rPr>
        <w:t>执法局</w:t>
      </w:r>
      <w:r>
        <w:rPr>
          <w:rFonts w:hAnsi="宋体"/>
          <w:color w:val="auto"/>
          <w:sz w:val="24"/>
          <w:highlight w:val="none"/>
        </w:rPr>
        <w:t>当月巡查情况，反映和衡量维护单位自主维护巡查（抢修</w:t>
      </w:r>
      <w:r>
        <w:rPr>
          <w:color w:val="auto"/>
          <w:sz w:val="24"/>
          <w:highlight w:val="none"/>
        </w:rPr>
        <w:t>+</w:t>
      </w:r>
      <w:r>
        <w:rPr>
          <w:rFonts w:hAnsi="宋体"/>
          <w:color w:val="auto"/>
          <w:sz w:val="24"/>
          <w:highlight w:val="none"/>
        </w:rPr>
        <w:t>维护）工作情况；当月自主巡查维护占比达</w:t>
      </w:r>
      <w:r>
        <w:rPr>
          <w:color w:val="auto"/>
          <w:sz w:val="24"/>
          <w:highlight w:val="none"/>
        </w:rPr>
        <w:t>80%</w:t>
      </w:r>
      <w:r>
        <w:rPr>
          <w:rFonts w:hAnsi="宋体"/>
          <w:color w:val="auto"/>
          <w:sz w:val="24"/>
          <w:highlight w:val="none"/>
        </w:rPr>
        <w:t>为合格，未达</w:t>
      </w:r>
      <w:r>
        <w:rPr>
          <w:color w:val="auto"/>
          <w:sz w:val="24"/>
          <w:highlight w:val="none"/>
        </w:rPr>
        <w:t>80%</w:t>
      </w:r>
      <w:r>
        <w:rPr>
          <w:rFonts w:hAnsi="宋体"/>
          <w:color w:val="auto"/>
          <w:sz w:val="24"/>
          <w:highlight w:val="none"/>
        </w:rPr>
        <w:t>即为不合格。辖区监理标段通过各维护单位自主巡查情况，反映和衡量监理单位自主维护巡查工作情况，不定量考核自主巡查维护情况。</w:t>
      </w:r>
    </w:p>
    <w:p>
      <w:pPr>
        <w:spacing w:line="360" w:lineRule="auto"/>
        <w:ind w:firstLine="326" w:firstLineChars="136"/>
        <w:jc w:val="left"/>
        <w:rPr>
          <w:color w:val="auto"/>
          <w:sz w:val="24"/>
          <w:highlight w:val="none"/>
        </w:rPr>
      </w:pPr>
    </w:p>
    <w:p>
      <w:pPr>
        <w:spacing w:line="360" w:lineRule="auto"/>
        <w:ind w:firstLine="326" w:firstLineChars="136"/>
        <w:jc w:val="left"/>
        <w:rPr>
          <w:color w:val="auto"/>
          <w:sz w:val="24"/>
          <w:highlight w:val="none"/>
        </w:rPr>
      </w:pPr>
      <w:r>
        <w:rPr>
          <w:rFonts w:hAnsi="宋体"/>
          <w:color w:val="auto"/>
          <w:sz w:val="24"/>
          <w:highlight w:val="none"/>
        </w:rPr>
        <w:t>五、计分办法</w:t>
      </w:r>
    </w:p>
    <w:p>
      <w:pPr>
        <w:spacing w:line="360" w:lineRule="auto"/>
        <w:ind w:firstLine="480" w:firstLineChars="200"/>
        <w:jc w:val="left"/>
        <w:rPr>
          <w:color w:val="auto"/>
          <w:sz w:val="24"/>
          <w:highlight w:val="none"/>
        </w:rPr>
      </w:pPr>
      <w:r>
        <w:rPr>
          <w:rFonts w:hAnsi="宋体"/>
          <w:color w:val="auto"/>
          <w:sz w:val="24"/>
          <w:highlight w:val="none"/>
        </w:rPr>
        <w:t>月度计分考核办法采用实时计分。出现计分情况后，监理单位按照业主单位要求，对扣分情况立即发《问题抄告单》，维护单位应</w:t>
      </w:r>
      <w:r>
        <w:rPr>
          <w:color w:val="auto"/>
          <w:sz w:val="24"/>
          <w:highlight w:val="none"/>
        </w:rPr>
        <w:t>3</w:t>
      </w:r>
      <w:r>
        <w:rPr>
          <w:rFonts w:hAnsi="宋体"/>
          <w:color w:val="auto"/>
          <w:sz w:val="24"/>
          <w:highlight w:val="none"/>
        </w:rPr>
        <w:t>个工作日内至业主单位说明情况，经核实无误现场签字确认，业主单位、监理单位一并确认签字确认，完成扣分，同时监理单位将扣分情况以</w:t>
      </w:r>
      <w:r>
        <w:rPr>
          <w:rFonts w:hAnsi="宋体"/>
          <w:b/>
          <w:bCs/>
          <w:color w:val="auto"/>
          <w:sz w:val="24"/>
          <w:highlight w:val="none"/>
        </w:rPr>
        <w:t>微信方式公布</w:t>
      </w:r>
      <w:r>
        <w:rPr>
          <w:rFonts w:hAnsi="宋体"/>
          <w:color w:val="auto"/>
          <w:sz w:val="24"/>
          <w:highlight w:val="none"/>
        </w:rPr>
        <w:t>；对加分情况发出《表扬告知单》，并在</w:t>
      </w:r>
      <w:r>
        <w:rPr>
          <w:color w:val="auto"/>
          <w:sz w:val="24"/>
          <w:highlight w:val="none"/>
        </w:rPr>
        <w:t>3</w:t>
      </w:r>
      <w:r>
        <w:rPr>
          <w:rFonts w:hAnsi="宋体"/>
          <w:color w:val="auto"/>
          <w:sz w:val="24"/>
          <w:highlight w:val="none"/>
        </w:rPr>
        <w:t>个工作日内完成签字确认，同时监理单位将加分情况以</w:t>
      </w:r>
      <w:r>
        <w:rPr>
          <w:rFonts w:hAnsi="宋体"/>
          <w:b/>
          <w:bCs/>
          <w:color w:val="auto"/>
          <w:sz w:val="24"/>
          <w:highlight w:val="none"/>
        </w:rPr>
        <w:t>微信方式公布</w:t>
      </w:r>
      <w:r>
        <w:rPr>
          <w:rFonts w:hAnsi="宋体"/>
          <w:color w:val="auto"/>
          <w:sz w:val="24"/>
          <w:highlight w:val="none"/>
        </w:rPr>
        <w:t>。维护单位</w:t>
      </w:r>
      <w:r>
        <w:rPr>
          <w:color w:val="auto"/>
          <w:sz w:val="24"/>
          <w:highlight w:val="none"/>
        </w:rPr>
        <w:t>3</w:t>
      </w:r>
      <w:r>
        <w:rPr>
          <w:rFonts w:hAnsi="宋体"/>
          <w:color w:val="auto"/>
          <w:sz w:val="24"/>
          <w:highlight w:val="none"/>
        </w:rPr>
        <w:t>个工作日内未能完成签字，业主单位视其为默认，仍对其进行计分。任何单位如对计分情况有异议，应当自公布之日起</w:t>
      </w:r>
      <w:r>
        <w:rPr>
          <w:color w:val="auto"/>
          <w:sz w:val="24"/>
          <w:highlight w:val="none"/>
        </w:rPr>
        <w:t>3</w:t>
      </w:r>
      <w:r>
        <w:rPr>
          <w:rFonts w:hAnsi="宋体"/>
          <w:color w:val="auto"/>
          <w:sz w:val="24"/>
          <w:highlight w:val="none"/>
        </w:rPr>
        <w:t>个工作日内，以书面形式向钱塘新区综合行政执法局提出复查申请，钱塘新区综合行政执法局在接到申请之日起，</w:t>
      </w:r>
      <w:r>
        <w:rPr>
          <w:color w:val="auto"/>
          <w:sz w:val="24"/>
          <w:highlight w:val="none"/>
        </w:rPr>
        <w:t>3</w:t>
      </w:r>
      <w:r>
        <w:rPr>
          <w:rFonts w:hAnsi="宋体"/>
          <w:color w:val="auto"/>
          <w:sz w:val="24"/>
          <w:highlight w:val="none"/>
        </w:rPr>
        <w:t>个工作日内作出答复。每月</w:t>
      </w:r>
      <w:r>
        <w:rPr>
          <w:color w:val="auto"/>
          <w:sz w:val="24"/>
          <w:highlight w:val="none"/>
        </w:rPr>
        <w:t>5</w:t>
      </w:r>
      <w:r>
        <w:rPr>
          <w:rFonts w:hAnsi="宋体"/>
          <w:color w:val="auto"/>
          <w:sz w:val="24"/>
          <w:highlight w:val="none"/>
        </w:rPr>
        <w:t>日之前，监理单位将上月计分情况汇总公布，同时将计分情况作为工程管理资料专项建档，做为后续决算、审计依据。</w:t>
      </w:r>
    </w:p>
    <w:p>
      <w:pPr>
        <w:spacing w:line="360" w:lineRule="auto"/>
        <w:ind w:firstLine="326" w:firstLineChars="136"/>
        <w:jc w:val="left"/>
        <w:rPr>
          <w:color w:val="auto"/>
          <w:sz w:val="24"/>
          <w:highlight w:val="none"/>
        </w:rPr>
      </w:pPr>
      <w:r>
        <w:rPr>
          <w:rFonts w:hAnsi="宋体"/>
          <w:color w:val="auto"/>
          <w:sz w:val="24"/>
          <w:highlight w:val="none"/>
        </w:rPr>
        <w:t>六、月度维护经费决算</w:t>
      </w:r>
    </w:p>
    <w:p>
      <w:pPr>
        <w:spacing w:line="360" w:lineRule="auto"/>
        <w:ind w:firstLine="440"/>
        <w:jc w:val="left"/>
        <w:rPr>
          <w:color w:val="auto"/>
          <w:sz w:val="24"/>
          <w:highlight w:val="none"/>
        </w:rPr>
      </w:pPr>
      <w:r>
        <w:rPr>
          <w:rFonts w:hAnsi="宋体"/>
          <w:color w:val="auto"/>
          <w:sz w:val="24"/>
          <w:highlight w:val="none"/>
        </w:rPr>
        <w:t>在月度维护经费结报时，业主单位依据月度计分情况，在合同载明的月度维护经费中扣除相应经费，维护经费结报发票中载明实际款项与扣除款项。</w:t>
      </w:r>
    </w:p>
    <w:p>
      <w:pPr>
        <w:spacing w:line="360" w:lineRule="auto"/>
        <w:ind w:firstLine="326" w:firstLineChars="136"/>
        <w:jc w:val="left"/>
        <w:rPr>
          <w:color w:val="auto"/>
          <w:sz w:val="24"/>
          <w:highlight w:val="none"/>
        </w:rPr>
      </w:pPr>
      <w:r>
        <w:rPr>
          <w:rFonts w:hAnsi="宋体"/>
          <w:color w:val="auto"/>
          <w:sz w:val="24"/>
          <w:highlight w:val="none"/>
        </w:rPr>
        <w:t>七、考核扣分、加分</w:t>
      </w:r>
    </w:p>
    <w:p>
      <w:pPr>
        <w:spacing w:line="360" w:lineRule="auto"/>
        <w:ind w:right="-92" w:rightChars="-44" w:firstLine="480" w:firstLineChars="200"/>
        <w:jc w:val="left"/>
        <w:rPr>
          <w:color w:val="auto"/>
          <w:sz w:val="24"/>
          <w:highlight w:val="none"/>
        </w:rPr>
      </w:pPr>
      <w:r>
        <w:rPr>
          <w:rFonts w:hAnsi="宋体"/>
          <w:color w:val="auto"/>
          <w:sz w:val="24"/>
          <w:highlight w:val="none"/>
        </w:rPr>
        <w:t>当月交通设施自主巡查维护结果优秀的</w:t>
      </w:r>
      <w:r>
        <w:rPr>
          <w:b/>
          <w:bCs/>
          <w:color w:val="auto"/>
          <w:sz w:val="24"/>
          <w:highlight w:val="none"/>
        </w:rPr>
        <w:t>+2</w:t>
      </w:r>
      <w:r>
        <w:rPr>
          <w:rFonts w:hAnsi="宋体"/>
          <w:b/>
          <w:bCs/>
          <w:color w:val="auto"/>
          <w:sz w:val="24"/>
          <w:highlight w:val="none"/>
        </w:rPr>
        <w:t>分</w:t>
      </w:r>
      <w:r>
        <w:rPr>
          <w:rFonts w:hAnsi="宋体"/>
          <w:color w:val="auto"/>
          <w:sz w:val="24"/>
          <w:highlight w:val="none"/>
        </w:rPr>
        <w:t>；结果良好的</w:t>
      </w:r>
      <w:r>
        <w:rPr>
          <w:b/>
          <w:bCs/>
          <w:color w:val="auto"/>
          <w:sz w:val="24"/>
          <w:highlight w:val="none"/>
        </w:rPr>
        <w:t>+1</w:t>
      </w:r>
      <w:r>
        <w:rPr>
          <w:rFonts w:hAnsi="宋体"/>
          <w:color w:val="auto"/>
          <w:sz w:val="24"/>
          <w:highlight w:val="none"/>
        </w:rPr>
        <w:t>；结果合格的</w:t>
      </w:r>
      <w:r>
        <w:rPr>
          <w:b/>
          <w:bCs/>
          <w:color w:val="auto"/>
          <w:sz w:val="24"/>
          <w:highlight w:val="none"/>
        </w:rPr>
        <w:t>+0</w:t>
      </w:r>
      <w:r>
        <w:rPr>
          <w:rFonts w:hAnsi="宋体"/>
          <w:b/>
          <w:bCs/>
          <w:color w:val="auto"/>
          <w:sz w:val="24"/>
          <w:highlight w:val="none"/>
        </w:rPr>
        <w:t>分</w:t>
      </w:r>
      <w:r>
        <w:rPr>
          <w:rFonts w:hAnsi="宋体"/>
          <w:color w:val="auto"/>
          <w:sz w:val="24"/>
          <w:highlight w:val="none"/>
        </w:rPr>
        <w:t>；结果不合格的</w:t>
      </w:r>
      <w:r>
        <w:rPr>
          <w:b/>
          <w:bCs/>
          <w:color w:val="auto"/>
          <w:sz w:val="24"/>
          <w:highlight w:val="none"/>
        </w:rPr>
        <w:t>-5</w:t>
      </w:r>
      <w:r>
        <w:rPr>
          <w:rFonts w:hAnsi="宋体"/>
          <w:b/>
          <w:bCs/>
          <w:color w:val="auto"/>
          <w:sz w:val="24"/>
          <w:highlight w:val="none"/>
        </w:rPr>
        <w:t>分</w:t>
      </w:r>
      <w:r>
        <w:rPr>
          <w:rFonts w:hAnsi="宋体"/>
          <w:color w:val="auto"/>
          <w:sz w:val="24"/>
          <w:highlight w:val="none"/>
        </w:rPr>
        <w:t>；维护单位自主巡查维护考核结果为不合格，监理单位</w:t>
      </w:r>
      <w:r>
        <w:rPr>
          <w:b/>
          <w:bCs/>
          <w:color w:val="auto"/>
          <w:sz w:val="24"/>
          <w:highlight w:val="none"/>
        </w:rPr>
        <w:t>-2</w:t>
      </w:r>
      <w:r>
        <w:rPr>
          <w:rFonts w:hAnsi="宋体"/>
          <w:b/>
          <w:bCs/>
          <w:color w:val="auto"/>
          <w:sz w:val="24"/>
          <w:highlight w:val="none"/>
        </w:rPr>
        <w:t>分</w:t>
      </w:r>
      <w:r>
        <w:rPr>
          <w:rFonts w:hAnsi="宋体"/>
          <w:color w:val="auto"/>
          <w:sz w:val="24"/>
          <w:highlight w:val="none"/>
        </w:rPr>
        <w:t>，以此类推；所有计分情况均以书面为准；维护单位在工作中如遇特殊情况，应及时向业主单位报备，经业主单位同意后可不按本办法计分；同时业主单位对本办法有最终解释和决定权。</w:t>
      </w:r>
    </w:p>
    <w:p>
      <w:pPr>
        <w:numPr>
          <w:ilvl w:val="0"/>
          <w:numId w:val="10"/>
        </w:numPr>
        <w:spacing w:line="360" w:lineRule="auto"/>
        <w:ind w:firstLine="482" w:firstLineChars="200"/>
        <w:jc w:val="left"/>
        <w:rPr>
          <w:color w:val="auto"/>
          <w:sz w:val="24"/>
          <w:highlight w:val="none"/>
        </w:rPr>
      </w:pPr>
      <w:r>
        <w:rPr>
          <w:rFonts w:hAnsi="宋体"/>
          <w:b/>
          <w:bCs/>
          <w:color w:val="auto"/>
          <w:sz w:val="24"/>
          <w:highlight w:val="none"/>
        </w:rPr>
        <w:t>扣分管理</w:t>
      </w:r>
    </w:p>
    <w:p>
      <w:pPr>
        <w:spacing w:line="360" w:lineRule="auto"/>
        <w:ind w:left="420" w:leftChars="200" w:firstLine="240" w:firstLineChars="100"/>
        <w:jc w:val="left"/>
        <w:rPr>
          <w:color w:val="auto"/>
          <w:sz w:val="24"/>
          <w:highlight w:val="none"/>
        </w:rPr>
      </w:pPr>
      <w:r>
        <w:rPr>
          <w:color w:val="auto"/>
          <w:sz w:val="24"/>
          <w:highlight w:val="none"/>
        </w:rPr>
        <w:t>1</w:t>
      </w:r>
      <w:r>
        <w:rPr>
          <w:rFonts w:hAnsi="宋体"/>
          <w:color w:val="auto"/>
          <w:sz w:val="24"/>
          <w:highlight w:val="none"/>
        </w:rPr>
        <w:t>、维护单位每天按规定配备车辆、人员，开启车辆</w:t>
      </w:r>
    </w:p>
    <w:p>
      <w:pPr>
        <w:tabs>
          <w:tab w:val="left" w:pos="0"/>
        </w:tabs>
        <w:spacing w:line="360" w:lineRule="auto"/>
        <w:jc w:val="left"/>
        <w:rPr>
          <w:color w:val="auto"/>
          <w:sz w:val="24"/>
          <w:highlight w:val="none"/>
        </w:rPr>
      </w:pPr>
      <w:r>
        <w:rPr>
          <w:color w:val="auto"/>
          <w:sz w:val="24"/>
          <w:highlight w:val="none"/>
        </w:rPr>
        <w:t>GPS</w:t>
      </w:r>
      <w:r>
        <w:rPr>
          <w:rFonts w:hAnsi="宋体"/>
          <w:color w:val="auto"/>
          <w:sz w:val="24"/>
          <w:highlight w:val="none"/>
        </w:rPr>
        <w:t>系统上路工作，并每周上报巡查道路清单。未按规定配足车辆、人员、开启</w:t>
      </w:r>
      <w:r>
        <w:rPr>
          <w:color w:val="auto"/>
          <w:sz w:val="24"/>
          <w:highlight w:val="none"/>
        </w:rPr>
        <w:t>GPS</w:t>
      </w:r>
      <w:r>
        <w:rPr>
          <w:rFonts w:hAnsi="宋体"/>
          <w:color w:val="auto"/>
          <w:sz w:val="24"/>
          <w:highlight w:val="none"/>
        </w:rPr>
        <w:t>系统，或工作时间未在维护工作区域内，由公司分管领导说明情况并及时整改，同时业主单位对其予以警告，当月如再次出现，</w:t>
      </w:r>
      <w:r>
        <w:rPr>
          <w:rFonts w:hAnsi="宋体"/>
          <w:b/>
          <w:bCs/>
          <w:color w:val="auto"/>
          <w:sz w:val="24"/>
          <w:highlight w:val="none"/>
        </w:rPr>
        <w:t>每次</w:t>
      </w:r>
      <w:r>
        <w:rPr>
          <w:b/>
          <w:bCs/>
          <w:color w:val="auto"/>
          <w:sz w:val="24"/>
          <w:highlight w:val="none"/>
        </w:rPr>
        <w:t>-1</w:t>
      </w:r>
      <w:r>
        <w:rPr>
          <w:rFonts w:hAnsi="宋体"/>
          <w:b/>
          <w:bCs/>
          <w:color w:val="auto"/>
          <w:sz w:val="24"/>
          <w:highlight w:val="none"/>
        </w:rPr>
        <w:t>分，逐次累加</w:t>
      </w:r>
      <w:r>
        <w:rPr>
          <w:rFonts w:hAnsi="宋体"/>
          <w:color w:val="auto"/>
          <w:sz w:val="24"/>
          <w:highlight w:val="none"/>
        </w:rPr>
        <w:t>。（</w:t>
      </w:r>
      <w:r>
        <w:rPr>
          <w:color w:val="auto"/>
          <w:sz w:val="24"/>
          <w:highlight w:val="none"/>
        </w:rPr>
        <w:t>GPS</w:t>
      </w:r>
      <w:r>
        <w:rPr>
          <w:rFonts w:hAnsi="宋体"/>
          <w:color w:val="auto"/>
          <w:sz w:val="24"/>
          <w:highlight w:val="none"/>
        </w:rPr>
        <w:t>考核时间为：</w:t>
      </w:r>
      <w:r>
        <w:rPr>
          <w:color w:val="auto"/>
          <w:sz w:val="24"/>
          <w:highlight w:val="none"/>
        </w:rPr>
        <w:t>8:00-18:00</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2</w:t>
      </w:r>
      <w:r>
        <w:rPr>
          <w:rFonts w:hAnsi="宋体"/>
          <w:color w:val="auto"/>
          <w:sz w:val="24"/>
          <w:highlight w:val="none"/>
        </w:rPr>
        <w:t>、维护车辆未按要求配置齐全维护材料（包括护栏、护栏直档、护栏立柱、护栏底座、防眩档、</w:t>
      </w:r>
      <w:r>
        <w:rPr>
          <w:color w:val="auto"/>
          <w:sz w:val="24"/>
          <w:highlight w:val="none"/>
        </w:rPr>
        <w:t>PU</w:t>
      </w:r>
      <w:r>
        <w:rPr>
          <w:rFonts w:hAnsi="宋体"/>
          <w:color w:val="auto"/>
          <w:sz w:val="24"/>
          <w:highlight w:val="none"/>
        </w:rPr>
        <w:t>警示柱、抱箍、冷漆画线机等），巡查日志未及时填写或未带，</w:t>
      </w:r>
      <w:r>
        <w:rPr>
          <w:rFonts w:hAnsi="宋体"/>
          <w:b/>
          <w:bCs/>
          <w:color w:val="auto"/>
          <w:sz w:val="24"/>
          <w:highlight w:val="none"/>
        </w:rPr>
        <w:t>每次</w:t>
      </w:r>
      <w:r>
        <w:rPr>
          <w:b/>
          <w:bCs/>
          <w:color w:val="auto"/>
          <w:sz w:val="24"/>
          <w:highlight w:val="none"/>
        </w:rPr>
        <w:t>-1</w:t>
      </w:r>
      <w:r>
        <w:rPr>
          <w:rFonts w:hAnsi="宋体"/>
          <w:b/>
          <w:bCs/>
          <w:color w:val="auto"/>
          <w:sz w:val="24"/>
          <w:highlight w:val="none"/>
        </w:rPr>
        <w:t>分</w:t>
      </w:r>
      <w:r>
        <w:rPr>
          <w:rFonts w:hAnsi="宋体"/>
          <w:color w:val="auto"/>
          <w:sz w:val="24"/>
          <w:highlight w:val="none"/>
        </w:rPr>
        <w:t>；同时当月</w:t>
      </w:r>
      <w:r>
        <w:rPr>
          <w:color w:val="auto"/>
          <w:sz w:val="24"/>
          <w:highlight w:val="none"/>
        </w:rPr>
        <w:t>5</w:t>
      </w:r>
      <w:r>
        <w:rPr>
          <w:rFonts w:hAnsi="宋体"/>
          <w:color w:val="auto"/>
          <w:sz w:val="24"/>
          <w:highlight w:val="none"/>
        </w:rPr>
        <w:t>日前，应将上月维护车辆巡查日志上交监理单位，逾期未交予以警告，</w:t>
      </w:r>
      <w:r>
        <w:rPr>
          <w:color w:val="auto"/>
          <w:sz w:val="24"/>
          <w:highlight w:val="none"/>
        </w:rPr>
        <w:t>10</w:t>
      </w:r>
      <w:r>
        <w:rPr>
          <w:rFonts w:hAnsi="宋体"/>
          <w:color w:val="auto"/>
          <w:sz w:val="24"/>
          <w:highlight w:val="none"/>
        </w:rPr>
        <w:t>日前仍未上交，</w:t>
      </w:r>
      <w:r>
        <w:rPr>
          <w:b/>
          <w:bCs/>
          <w:color w:val="auto"/>
          <w:sz w:val="24"/>
          <w:highlight w:val="none"/>
        </w:rPr>
        <w:t>-1</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3</w:t>
      </w:r>
      <w:r>
        <w:rPr>
          <w:rFonts w:hAnsi="宋体"/>
          <w:color w:val="auto"/>
          <w:sz w:val="24"/>
          <w:highlight w:val="none"/>
        </w:rPr>
        <w:t>、维护车辆、设备、人员在维护区域内，做与</w:t>
      </w:r>
      <w:r>
        <w:rPr>
          <w:rFonts w:hint="eastAsia" w:hAnsi="宋体"/>
          <w:color w:val="auto"/>
          <w:kern w:val="0"/>
          <w:sz w:val="24"/>
          <w:highlight w:val="none"/>
          <w:lang w:val="en-US" w:eastAsia="zh-CN"/>
        </w:rPr>
        <w:t>执法局</w:t>
      </w:r>
      <w:r>
        <w:rPr>
          <w:rFonts w:hAnsi="宋体"/>
          <w:color w:val="auto"/>
          <w:sz w:val="24"/>
          <w:highlight w:val="none"/>
        </w:rPr>
        <w:t>维护项目无关工作，</w:t>
      </w:r>
      <w:r>
        <w:rPr>
          <w:rFonts w:hAnsi="宋体"/>
          <w:b/>
          <w:bCs/>
          <w:color w:val="auto"/>
          <w:sz w:val="24"/>
          <w:highlight w:val="none"/>
        </w:rPr>
        <w:t>每次</w:t>
      </w:r>
      <w:r>
        <w:rPr>
          <w:b/>
          <w:bCs/>
          <w:color w:val="auto"/>
          <w:sz w:val="24"/>
          <w:highlight w:val="none"/>
        </w:rPr>
        <w:t>-1</w:t>
      </w:r>
      <w:r>
        <w:rPr>
          <w:rFonts w:hAnsi="宋体"/>
          <w:b/>
          <w:bCs/>
          <w:color w:val="auto"/>
          <w:sz w:val="24"/>
          <w:highlight w:val="none"/>
        </w:rPr>
        <w:t>分、罚款</w:t>
      </w:r>
      <w:r>
        <w:rPr>
          <w:b/>
          <w:bCs/>
          <w:color w:val="auto"/>
          <w:sz w:val="24"/>
          <w:highlight w:val="none"/>
        </w:rPr>
        <w:t>500</w:t>
      </w:r>
      <w:r>
        <w:rPr>
          <w:rFonts w:hAnsi="宋体"/>
          <w:b/>
          <w:bCs/>
          <w:color w:val="auto"/>
          <w:sz w:val="24"/>
          <w:highlight w:val="none"/>
        </w:rPr>
        <w:t>元</w:t>
      </w:r>
      <w:r>
        <w:rPr>
          <w:rFonts w:hAnsi="宋体"/>
          <w:color w:val="auto"/>
          <w:sz w:val="24"/>
          <w:highlight w:val="none"/>
        </w:rPr>
        <w:t>；经纠正不及时改正，</w:t>
      </w:r>
      <w:r>
        <w:rPr>
          <w:b/>
          <w:bCs/>
          <w:color w:val="auto"/>
          <w:sz w:val="24"/>
          <w:highlight w:val="none"/>
        </w:rPr>
        <w:t>-5</w:t>
      </w:r>
      <w:r>
        <w:rPr>
          <w:rFonts w:hAnsi="宋体"/>
          <w:b/>
          <w:bCs/>
          <w:color w:val="auto"/>
          <w:sz w:val="24"/>
          <w:highlight w:val="none"/>
        </w:rPr>
        <w:t>分、罚款</w:t>
      </w:r>
      <w:r>
        <w:rPr>
          <w:b/>
          <w:bCs/>
          <w:color w:val="auto"/>
          <w:sz w:val="24"/>
          <w:highlight w:val="none"/>
        </w:rPr>
        <w:t>2000</w:t>
      </w:r>
      <w:r>
        <w:rPr>
          <w:rFonts w:hAnsi="宋体"/>
          <w:b/>
          <w:bCs/>
          <w:color w:val="auto"/>
          <w:sz w:val="24"/>
          <w:highlight w:val="none"/>
        </w:rPr>
        <w:t>元</w:t>
      </w:r>
      <w:r>
        <w:rPr>
          <w:rFonts w:hAnsi="宋体"/>
          <w:color w:val="auto"/>
          <w:sz w:val="24"/>
          <w:highlight w:val="none"/>
        </w:rPr>
        <w:t>。</w:t>
      </w:r>
    </w:p>
    <w:p>
      <w:pPr>
        <w:widowControl/>
        <w:snapToGrid w:val="0"/>
        <w:spacing w:line="360" w:lineRule="auto"/>
        <w:ind w:firstLine="480"/>
        <w:jc w:val="left"/>
        <w:rPr>
          <w:color w:val="auto"/>
          <w:sz w:val="24"/>
          <w:highlight w:val="none"/>
        </w:rPr>
      </w:pPr>
      <w:r>
        <w:rPr>
          <w:color w:val="auto"/>
          <w:sz w:val="24"/>
          <w:highlight w:val="none"/>
        </w:rPr>
        <w:t>4</w:t>
      </w:r>
      <w:r>
        <w:rPr>
          <w:rFonts w:hAnsi="宋体"/>
          <w:color w:val="auto"/>
          <w:sz w:val="24"/>
          <w:highlight w:val="none"/>
        </w:rPr>
        <w:t>、工作联系单系统上报填写不完整，规格错误，计量错误及资料不全的，每起</w:t>
      </w:r>
      <w:r>
        <w:rPr>
          <w:b/>
          <w:bCs/>
          <w:color w:val="auto"/>
          <w:sz w:val="24"/>
          <w:highlight w:val="none"/>
        </w:rPr>
        <w:t>-0.5</w:t>
      </w:r>
      <w:r>
        <w:rPr>
          <w:rFonts w:hAnsi="宋体"/>
          <w:b/>
          <w:bCs/>
          <w:color w:val="auto"/>
          <w:sz w:val="24"/>
          <w:highlight w:val="none"/>
        </w:rPr>
        <w:t>分</w:t>
      </w:r>
      <w:r>
        <w:rPr>
          <w:rFonts w:hAnsi="宋体"/>
          <w:color w:val="auto"/>
          <w:sz w:val="24"/>
          <w:highlight w:val="none"/>
        </w:rPr>
        <w:t>；联系单不按时上报的，每起</w:t>
      </w:r>
      <w:r>
        <w:rPr>
          <w:b/>
          <w:bCs/>
          <w:color w:val="auto"/>
          <w:sz w:val="24"/>
          <w:highlight w:val="none"/>
        </w:rPr>
        <w:t>-0.5</w:t>
      </w:r>
      <w:r>
        <w:rPr>
          <w:rFonts w:hAnsi="宋体"/>
          <w:b/>
          <w:bCs/>
          <w:color w:val="auto"/>
          <w:sz w:val="24"/>
          <w:highlight w:val="none"/>
        </w:rPr>
        <w:t>分</w:t>
      </w:r>
      <w:r>
        <w:rPr>
          <w:rFonts w:hAnsi="宋体"/>
          <w:color w:val="auto"/>
          <w:sz w:val="24"/>
          <w:highlight w:val="none"/>
        </w:rPr>
        <w:t>；联系单上报严重滞后，当月无法完成结算影响验收，每起</w:t>
      </w:r>
      <w:r>
        <w:rPr>
          <w:b/>
          <w:bCs/>
          <w:color w:val="auto"/>
          <w:sz w:val="24"/>
          <w:highlight w:val="none"/>
        </w:rPr>
        <w:t>-1</w:t>
      </w:r>
      <w:r>
        <w:rPr>
          <w:rFonts w:hAnsi="宋体"/>
          <w:b/>
          <w:bCs/>
          <w:color w:val="auto"/>
          <w:sz w:val="24"/>
          <w:highlight w:val="none"/>
        </w:rPr>
        <w:t>分</w:t>
      </w:r>
      <w:r>
        <w:rPr>
          <w:rFonts w:hAnsi="宋体"/>
          <w:color w:val="auto"/>
          <w:sz w:val="24"/>
          <w:highlight w:val="none"/>
        </w:rPr>
        <w:t>。每月联系单结算时超过规定时间，无法上报结算总册每起</w:t>
      </w:r>
      <w:r>
        <w:rPr>
          <w:b/>
          <w:bCs/>
          <w:color w:val="auto"/>
          <w:sz w:val="24"/>
          <w:highlight w:val="none"/>
        </w:rPr>
        <w:t>-2</w:t>
      </w:r>
      <w:r>
        <w:rPr>
          <w:rFonts w:hAnsi="宋体"/>
          <w:b/>
          <w:bCs/>
          <w:color w:val="auto"/>
          <w:sz w:val="24"/>
          <w:highlight w:val="none"/>
        </w:rPr>
        <w:t>分；</w:t>
      </w:r>
      <w:r>
        <w:rPr>
          <w:rFonts w:hAnsi="宋体"/>
          <w:color w:val="auto"/>
          <w:kern w:val="0"/>
          <w:sz w:val="24"/>
          <w:highlight w:val="none"/>
        </w:rPr>
        <w:t>发现弄虚作假，直接取消维护（监理）资格。</w:t>
      </w:r>
    </w:p>
    <w:p>
      <w:pPr>
        <w:spacing w:line="360" w:lineRule="auto"/>
        <w:ind w:firstLine="480" w:firstLineChars="200"/>
        <w:jc w:val="left"/>
        <w:rPr>
          <w:color w:val="auto"/>
          <w:sz w:val="24"/>
          <w:highlight w:val="none"/>
        </w:rPr>
      </w:pPr>
      <w:r>
        <w:rPr>
          <w:color w:val="auto"/>
          <w:sz w:val="24"/>
          <w:highlight w:val="none"/>
        </w:rPr>
        <w:t>5</w:t>
      </w:r>
      <w:r>
        <w:rPr>
          <w:rFonts w:hAnsi="宋体"/>
          <w:color w:val="auto"/>
          <w:sz w:val="24"/>
          <w:highlight w:val="none"/>
        </w:rPr>
        <w:t>、上报联系单内容与实际不符，或未按联系单最终意见要求办理，每起视情况</w:t>
      </w:r>
      <w:r>
        <w:rPr>
          <w:b/>
          <w:bCs/>
          <w:color w:val="auto"/>
          <w:sz w:val="24"/>
          <w:highlight w:val="none"/>
        </w:rPr>
        <w:t>-</w:t>
      </w:r>
      <w:r>
        <w:rPr>
          <w:rFonts w:hAnsi="宋体"/>
          <w:b/>
          <w:bCs/>
          <w:color w:val="auto"/>
          <w:sz w:val="24"/>
          <w:highlight w:val="none"/>
        </w:rPr>
        <w:t>（</w:t>
      </w:r>
      <w:r>
        <w:rPr>
          <w:b/>
          <w:bCs/>
          <w:color w:val="auto"/>
          <w:sz w:val="24"/>
          <w:highlight w:val="none"/>
        </w:rPr>
        <w:t>1—3</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6</w:t>
      </w:r>
      <w:r>
        <w:rPr>
          <w:rFonts w:hAnsi="宋体"/>
          <w:color w:val="auto"/>
          <w:sz w:val="24"/>
          <w:highlight w:val="none"/>
        </w:rPr>
        <w:t>、工作数据统计错误，工作信息不准确，资料流程存在缺失，每次</w:t>
      </w:r>
      <w:r>
        <w:rPr>
          <w:b/>
          <w:bCs/>
          <w:color w:val="auto"/>
          <w:sz w:val="24"/>
          <w:highlight w:val="none"/>
        </w:rPr>
        <w:t>-1</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b/>
          <w:bCs/>
          <w:color w:val="auto"/>
          <w:sz w:val="24"/>
          <w:highlight w:val="none"/>
        </w:rPr>
      </w:pPr>
      <w:r>
        <w:rPr>
          <w:color w:val="auto"/>
          <w:sz w:val="24"/>
          <w:highlight w:val="none"/>
        </w:rPr>
        <w:t>7</w:t>
      </w:r>
      <w:r>
        <w:rPr>
          <w:rFonts w:hAnsi="宋体"/>
          <w:color w:val="auto"/>
          <w:sz w:val="24"/>
          <w:highlight w:val="none"/>
        </w:rPr>
        <w:t>、施工中所用材料与招标文件不符，第一次参照合同规定</w:t>
      </w:r>
      <w:r>
        <w:rPr>
          <w:b/>
          <w:bCs/>
          <w:color w:val="auto"/>
          <w:sz w:val="24"/>
          <w:highlight w:val="none"/>
        </w:rPr>
        <w:t>-10</w:t>
      </w:r>
      <w:r>
        <w:rPr>
          <w:rFonts w:hAnsi="宋体"/>
          <w:b/>
          <w:bCs/>
          <w:color w:val="auto"/>
          <w:sz w:val="24"/>
          <w:highlight w:val="none"/>
        </w:rPr>
        <w:t>分、罚款</w:t>
      </w:r>
      <w:r>
        <w:rPr>
          <w:b/>
          <w:bCs/>
          <w:color w:val="auto"/>
          <w:sz w:val="24"/>
          <w:highlight w:val="none"/>
        </w:rPr>
        <w:t>2500</w:t>
      </w:r>
      <w:r>
        <w:rPr>
          <w:rFonts w:hAnsi="宋体"/>
          <w:b/>
          <w:bCs/>
          <w:color w:val="auto"/>
          <w:sz w:val="24"/>
          <w:highlight w:val="none"/>
        </w:rPr>
        <w:t>元</w:t>
      </w:r>
      <w:r>
        <w:rPr>
          <w:rFonts w:hAnsi="宋体"/>
          <w:color w:val="auto"/>
          <w:sz w:val="24"/>
          <w:highlight w:val="none"/>
        </w:rPr>
        <w:t>；第二次</w:t>
      </w:r>
      <w:r>
        <w:rPr>
          <w:b/>
          <w:bCs/>
          <w:color w:val="auto"/>
          <w:sz w:val="24"/>
          <w:highlight w:val="none"/>
        </w:rPr>
        <w:t>-20</w:t>
      </w:r>
      <w:r>
        <w:rPr>
          <w:rFonts w:hAnsi="宋体"/>
          <w:b/>
          <w:bCs/>
          <w:color w:val="auto"/>
          <w:sz w:val="24"/>
          <w:highlight w:val="none"/>
        </w:rPr>
        <w:t>分、罚款</w:t>
      </w:r>
      <w:r>
        <w:rPr>
          <w:b/>
          <w:bCs/>
          <w:color w:val="auto"/>
          <w:sz w:val="24"/>
          <w:highlight w:val="none"/>
        </w:rPr>
        <w:t>5000</w:t>
      </w:r>
      <w:r>
        <w:rPr>
          <w:rFonts w:hAnsi="宋体"/>
          <w:color w:val="auto"/>
          <w:sz w:val="24"/>
          <w:highlight w:val="none"/>
        </w:rPr>
        <w:t>；第三次罚款</w:t>
      </w:r>
      <w:r>
        <w:rPr>
          <w:b/>
          <w:bCs/>
          <w:color w:val="auto"/>
          <w:sz w:val="24"/>
          <w:highlight w:val="none"/>
        </w:rPr>
        <w:t>-40</w:t>
      </w:r>
      <w:r>
        <w:rPr>
          <w:rFonts w:hAnsi="宋体"/>
          <w:b/>
          <w:bCs/>
          <w:color w:val="auto"/>
          <w:sz w:val="24"/>
          <w:highlight w:val="none"/>
        </w:rPr>
        <w:t>分、</w:t>
      </w:r>
      <w:r>
        <w:rPr>
          <w:b/>
          <w:bCs/>
          <w:color w:val="auto"/>
          <w:sz w:val="24"/>
          <w:highlight w:val="none"/>
        </w:rPr>
        <w:t>10000</w:t>
      </w:r>
      <w:r>
        <w:rPr>
          <w:rFonts w:hAnsi="宋体"/>
          <w:b/>
          <w:bCs/>
          <w:color w:val="auto"/>
          <w:sz w:val="24"/>
          <w:highlight w:val="none"/>
        </w:rPr>
        <w:t>元</w:t>
      </w:r>
      <w:r>
        <w:rPr>
          <w:rFonts w:hAnsi="宋体"/>
          <w:color w:val="auto"/>
          <w:sz w:val="24"/>
          <w:highlight w:val="none"/>
        </w:rPr>
        <w:t>。</w:t>
      </w:r>
      <w:r>
        <w:rPr>
          <w:rFonts w:hAnsi="宋体"/>
          <w:b/>
          <w:bCs/>
          <w:color w:val="auto"/>
          <w:sz w:val="24"/>
          <w:highlight w:val="none"/>
        </w:rPr>
        <w:t>（本条款不得抵扣。）</w:t>
      </w:r>
    </w:p>
    <w:p>
      <w:pPr>
        <w:spacing w:line="360" w:lineRule="auto"/>
        <w:ind w:firstLine="480" w:firstLineChars="200"/>
        <w:jc w:val="left"/>
        <w:rPr>
          <w:color w:val="auto"/>
          <w:sz w:val="24"/>
          <w:highlight w:val="none"/>
        </w:rPr>
      </w:pPr>
      <w:r>
        <w:rPr>
          <w:color w:val="auto"/>
          <w:sz w:val="24"/>
          <w:highlight w:val="none"/>
        </w:rPr>
        <w:t>8</w:t>
      </w:r>
      <w:r>
        <w:rPr>
          <w:rFonts w:hAnsi="宋体"/>
          <w:color w:val="auto"/>
          <w:sz w:val="24"/>
          <w:highlight w:val="none"/>
        </w:rPr>
        <w:t>、施工工艺不规范，施工工序遗漏，工程质量未达要求，由业主单位、监理单位发现</w:t>
      </w:r>
      <w:r>
        <w:rPr>
          <w:rFonts w:hAnsi="宋体"/>
          <w:b/>
          <w:bCs/>
          <w:color w:val="auto"/>
          <w:sz w:val="24"/>
          <w:highlight w:val="none"/>
        </w:rPr>
        <w:t>每起</w:t>
      </w:r>
      <w:r>
        <w:rPr>
          <w:b/>
          <w:bCs/>
          <w:color w:val="auto"/>
          <w:sz w:val="24"/>
          <w:highlight w:val="none"/>
        </w:rPr>
        <w:t>-2</w:t>
      </w:r>
      <w:r>
        <w:rPr>
          <w:rFonts w:hAnsi="宋体"/>
          <w:b/>
          <w:bCs/>
          <w:color w:val="auto"/>
          <w:sz w:val="24"/>
          <w:highlight w:val="none"/>
        </w:rPr>
        <w:t>分</w:t>
      </w:r>
      <w:r>
        <w:rPr>
          <w:rFonts w:hAnsi="宋体"/>
          <w:color w:val="auto"/>
          <w:sz w:val="24"/>
          <w:highlight w:val="none"/>
        </w:rPr>
        <w:t>；由媒体、信访、投诉曝光，或由上级部门、</w:t>
      </w:r>
      <w:r>
        <w:rPr>
          <w:rFonts w:hint="eastAsia" w:hAnsi="宋体"/>
          <w:color w:val="auto"/>
          <w:kern w:val="0"/>
          <w:sz w:val="24"/>
          <w:highlight w:val="none"/>
          <w:lang w:val="en-US" w:eastAsia="zh-CN"/>
        </w:rPr>
        <w:t>执法局</w:t>
      </w:r>
      <w:r>
        <w:rPr>
          <w:rFonts w:hAnsi="宋体"/>
          <w:color w:val="auto"/>
          <w:sz w:val="24"/>
          <w:highlight w:val="none"/>
        </w:rPr>
        <w:t>领导、支队领导发现</w:t>
      </w:r>
      <w:r>
        <w:rPr>
          <w:rFonts w:hAnsi="宋体"/>
          <w:b/>
          <w:bCs/>
          <w:color w:val="auto"/>
          <w:sz w:val="24"/>
          <w:highlight w:val="none"/>
        </w:rPr>
        <w:t>每起</w:t>
      </w:r>
      <w:r>
        <w:rPr>
          <w:b/>
          <w:bCs/>
          <w:color w:val="auto"/>
          <w:sz w:val="24"/>
          <w:highlight w:val="none"/>
        </w:rPr>
        <w:t>-5</w:t>
      </w:r>
      <w:r>
        <w:rPr>
          <w:rFonts w:hAnsi="宋体"/>
          <w:b/>
          <w:bCs/>
          <w:color w:val="auto"/>
          <w:sz w:val="24"/>
          <w:highlight w:val="none"/>
        </w:rPr>
        <w:t>分</w:t>
      </w:r>
      <w:r>
        <w:rPr>
          <w:rFonts w:hAnsi="宋体"/>
          <w:color w:val="auto"/>
          <w:sz w:val="24"/>
          <w:highlight w:val="none"/>
        </w:rPr>
        <w:t>；造成社会不良影响</w:t>
      </w:r>
      <w:r>
        <w:rPr>
          <w:rFonts w:hAnsi="宋体"/>
          <w:b/>
          <w:bCs/>
          <w:color w:val="auto"/>
          <w:sz w:val="24"/>
          <w:highlight w:val="none"/>
        </w:rPr>
        <w:t>每起</w:t>
      </w:r>
      <w:r>
        <w:rPr>
          <w:b/>
          <w:bCs/>
          <w:color w:val="auto"/>
          <w:sz w:val="24"/>
          <w:highlight w:val="none"/>
        </w:rPr>
        <w:t>-10</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9</w:t>
      </w:r>
      <w:r>
        <w:rPr>
          <w:rFonts w:hAnsi="宋体"/>
          <w:color w:val="auto"/>
          <w:sz w:val="24"/>
          <w:highlight w:val="none"/>
        </w:rPr>
        <w:t>、抢修任务原则</w:t>
      </w:r>
      <w:r>
        <w:rPr>
          <w:color w:val="auto"/>
          <w:sz w:val="24"/>
          <w:highlight w:val="none"/>
        </w:rPr>
        <w:t>24</w:t>
      </w:r>
      <w:r>
        <w:rPr>
          <w:rFonts w:hAnsi="宋体"/>
          <w:color w:val="auto"/>
          <w:sz w:val="24"/>
          <w:highlight w:val="none"/>
        </w:rPr>
        <w:t>小时完成、维护任务原则</w:t>
      </w:r>
      <w:r>
        <w:rPr>
          <w:color w:val="auto"/>
          <w:sz w:val="24"/>
          <w:highlight w:val="none"/>
        </w:rPr>
        <w:t>3</w:t>
      </w:r>
      <w:r>
        <w:rPr>
          <w:rFonts w:hAnsi="宋体"/>
          <w:color w:val="auto"/>
          <w:sz w:val="24"/>
          <w:highlight w:val="none"/>
        </w:rPr>
        <w:t>个工作日完成、优化任务原则</w:t>
      </w:r>
      <w:r>
        <w:rPr>
          <w:color w:val="auto"/>
          <w:sz w:val="24"/>
          <w:highlight w:val="none"/>
        </w:rPr>
        <w:t>5</w:t>
      </w:r>
      <w:r>
        <w:rPr>
          <w:rFonts w:hAnsi="宋体"/>
          <w:color w:val="auto"/>
          <w:sz w:val="24"/>
          <w:highlight w:val="none"/>
        </w:rPr>
        <w:t>个工作日（具体以</w:t>
      </w:r>
      <w:r>
        <w:rPr>
          <w:rFonts w:hint="eastAsia" w:hAnsi="宋体"/>
          <w:color w:val="auto"/>
          <w:kern w:val="0"/>
          <w:sz w:val="24"/>
          <w:highlight w:val="none"/>
          <w:lang w:val="en-US" w:eastAsia="zh-CN"/>
        </w:rPr>
        <w:t>执法局</w:t>
      </w:r>
      <w:r>
        <w:rPr>
          <w:rFonts w:hAnsi="宋体"/>
          <w:color w:val="auto"/>
          <w:sz w:val="24"/>
          <w:highlight w:val="none"/>
        </w:rPr>
        <w:t>、监理单位、施工单位现场核准）。交办的工作不落实，未按要求时间完成，完成结果未达业主要求</w:t>
      </w:r>
      <w:r>
        <w:rPr>
          <w:rFonts w:hAnsi="宋体"/>
          <w:b/>
          <w:bCs/>
          <w:color w:val="auto"/>
          <w:sz w:val="24"/>
          <w:highlight w:val="none"/>
        </w:rPr>
        <w:t>每起</w:t>
      </w:r>
      <w:r>
        <w:rPr>
          <w:b/>
          <w:bCs/>
          <w:color w:val="auto"/>
          <w:sz w:val="24"/>
          <w:highlight w:val="none"/>
        </w:rPr>
        <w:t>-1</w:t>
      </w:r>
      <w:r>
        <w:rPr>
          <w:rFonts w:hAnsi="宋体"/>
          <w:b/>
          <w:bCs/>
          <w:color w:val="auto"/>
          <w:sz w:val="24"/>
          <w:highlight w:val="none"/>
        </w:rPr>
        <w:t>分、罚款</w:t>
      </w:r>
      <w:r>
        <w:rPr>
          <w:b/>
          <w:bCs/>
          <w:color w:val="auto"/>
          <w:sz w:val="24"/>
          <w:highlight w:val="none"/>
        </w:rPr>
        <w:t>100</w:t>
      </w:r>
      <w:r>
        <w:rPr>
          <w:rFonts w:hAnsi="宋体"/>
          <w:b/>
          <w:bCs/>
          <w:color w:val="auto"/>
          <w:sz w:val="24"/>
          <w:highlight w:val="none"/>
        </w:rPr>
        <w:t>元</w:t>
      </w:r>
      <w:r>
        <w:rPr>
          <w:rFonts w:hAnsi="宋体"/>
          <w:color w:val="auto"/>
          <w:sz w:val="24"/>
          <w:highlight w:val="none"/>
        </w:rPr>
        <w:t>；产生不良后果的</w:t>
      </w:r>
      <w:r>
        <w:rPr>
          <w:rFonts w:hAnsi="宋体"/>
          <w:b/>
          <w:bCs/>
          <w:color w:val="auto"/>
          <w:sz w:val="24"/>
          <w:highlight w:val="none"/>
        </w:rPr>
        <w:t>加倍处理、罚款</w:t>
      </w:r>
      <w:r>
        <w:rPr>
          <w:b/>
          <w:bCs/>
          <w:color w:val="auto"/>
          <w:sz w:val="24"/>
          <w:highlight w:val="none"/>
        </w:rPr>
        <w:t>500</w:t>
      </w:r>
      <w:r>
        <w:rPr>
          <w:rFonts w:hAnsi="宋体"/>
          <w:b/>
          <w:bCs/>
          <w:color w:val="auto"/>
          <w:sz w:val="24"/>
          <w:highlight w:val="none"/>
        </w:rPr>
        <w:t>元；</w:t>
      </w:r>
      <w:r>
        <w:rPr>
          <w:rFonts w:hAnsi="宋体"/>
          <w:color w:val="auto"/>
          <w:sz w:val="24"/>
          <w:highlight w:val="none"/>
        </w:rPr>
        <w:t>二次交办后任未按要求落实办理，</w:t>
      </w:r>
      <w:r>
        <w:rPr>
          <w:b/>
          <w:bCs/>
          <w:color w:val="auto"/>
          <w:sz w:val="24"/>
          <w:highlight w:val="none"/>
        </w:rPr>
        <w:t>-10</w:t>
      </w:r>
      <w:r>
        <w:rPr>
          <w:rFonts w:hAnsi="宋体"/>
          <w:b/>
          <w:bCs/>
          <w:color w:val="auto"/>
          <w:sz w:val="24"/>
          <w:highlight w:val="none"/>
        </w:rPr>
        <w:t>分、罚款</w:t>
      </w:r>
      <w:r>
        <w:rPr>
          <w:b/>
          <w:bCs/>
          <w:color w:val="auto"/>
          <w:sz w:val="24"/>
          <w:highlight w:val="none"/>
        </w:rPr>
        <w:t>2000</w:t>
      </w:r>
      <w:r>
        <w:rPr>
          <w:rFonts w:hAnsi="宋体"/>
          <w:b/>
          <w:bCs/>
          <w:color w:val="auto"/>
          <w:sz w:val="24"/>
          <w:highlight w:val="none"/>
        </w:rPr>
        <w:t>元</w:t>
      </w:r>
      <w:r>
        <w:rPr>
          <w:rFonts w:hAnsi="宋体"/>
          <w:color w:val="auto"/>
          <w:sz w:val="24"/>
          <w:highlight w:val="none"/>
        </w:rPr>
        <w:t>。</w:t>
      </w:r>
    </w:p>
    <w:p>
      <w:pPr>
        <w:widowControl/>
        <w:snapToGrid w:val="0"/>
        <w:spacing w:line="360" w:lineRule="auto"/>
        <w:ind w:firstLine="480"/>
        <w:jc w:val="left"/>
        <w:rPr>
          <w:color w:val="auto"/>
          <w:kern w:val="0"/>
          <w:sz w:val="24"/>
          <w:highlight w:val="none"/>
        </w:rPr>
      </w:pPr>
      <w:r>
        <w:rPr>
          <w:color w:val="auto"/>
          <w:sz w:val="24"/>
          <w:highlight w:val="none"/>
        </w:rPr>
        <w:t>10</w:t>
      </w:r>
      <w:r>
        <w:rPr>
          <w:rFonts w:hAnsi="宋体"/>
          <w:color w:val="auto"/>
          <w:sz w:val="24"/>
          <w:highlight w:val="none"/>
        </w:rPr>
        <w:t>、</w:t>
      </w:r>
      <w:r>
        <w:rPr>
          <w:color w:val="auto"/>
          <w:kern w:val="0"/>
          <w:sz w:val="24"/>
          <w:highlight w:val="none"/>
        </w:rPr>
        <w:t>24</w:t>
      </w:r>
      <w:r>
        <w:rPr>
          <w:rFonts w:hAnsi="宋体"/>
          <w:color w:val="auto"/>
          <w:kern w:val="0"/>
          <w:sz w:val="24"/>
          <w:highlight w:val="none"/>
        </w:rPr>
        <w:t>小时维护热线电话无人接听</w:t>
      </w:r>
      <w:r>
        <w:rPr>
          <w:rFonts w:hAnsi="宋体"/>
          <w:color w:val="auto"/>
          <w:sz w:val="24"/>
          <w:highlight w:val="none"/>
        </w:rPr>
        <w:t>，或突发紧急情况人员、车辆、设施未能按要求到达现场，每起</w:t>
      </w:r>
      <w:r>
        <w:rPr>
          <w:b/>
          <w:bCs/>
          <w:color w:val="auto"/>
          <w:sz w:val="24"/>
          <w:highlight w:val="none"/>
        </w:rPr>
        <w:t>-2</w:t>
      </w:r>
      <w:r>
        <w:rPr>
          <w:rFonts w:hAnsi="宋体"/>
          <w:b/>
          <w:bCs/>
          <w:color w:val="auto"/>
          <w:sz w:val="24"/>
          <w:highlight w:val="none"/>
        </w:rPr>
        <w:t>分、罚款</w:t>
      </w:r>
      <w:r>
        <w:rPr>
          <w:b/>
          <w:bCs/>
          <w:color w:val="auto"/>
          <w:sz w:val="24"/>
          <w:highlight w:val="none"/>
        </w:rPr>
        <w:t>200</w:t>
      </w:r>
      <w:r>
        <w:rPr>
          <w:rFonts w:hAnsi="宋体"/>
          <w:b/>
          <w:bCs/>
          <w:color w:val="auto"/>
          <w:sz w:val="24"/>
          <w:highlight w:val="none"/>
        </w:rPr>
        <w:t>元</w:t>
      </w:r>
      <w:r>
        <w:rPr>
          <w:rFonts w:hAnsi="宋体"/>
          <w:color w:val="auto"/>
          <w:sz w:val="24"/>
          <w:highlight w:val="none"/>
        </w:rPr>
        <w:t>，造成工作贻误每起</w:t>
      </w:r>
      <w:r>
        <w:rPr>
          <w:b/>
          <w:bCs/>
          <w:color w:val="auto"/>
          <w:sz w:val="24"/>
          <w:highlight w:val="none"/>
        </w:rPr>
        <w:t>-5</w:t>
      </w:r>
      <w:r>
        <w:rPr>
          <w:rFonts w:hAnsi="宋体"/>
          <w:b/>
          <w:bCs/>
          <w:color w:val="auto"/>
          <w:sz w:val="24"/>
          <w:highlight w:val="none"/>
        </w:rPr>
        <w:t>分、罚款</w:t>
      </w:r>
      <w:r>
        <w:rPr>
          <w:b/>
          <w:bCs/>
          <w:color w:val="auto"/>
          <w:sz w:val="24"/>
          <w:highlight w:val="none"/>
        </w:rPr>
        <w:t>500</w:t>
      </w:r>
      <w:r>
        <w:rPr>
          <w:rFonts w:hAnsi="宋体"/>
          <w:b/>
          <w:bCs/>
          <w:color w:val="auto"/>
          <w:sz w:val="24"/>
          <w:highlight w:val="none"/>
        </w:rPr>
        <w:t>元</w:t>
      </w:r>
      <w:r>
        <w:rPr>
          <w:rFonts w:hAnsi="宋体"/>
          <w:color w:val="auto"/>
          <w:sz w:val="24"/>
          <w:highlight w:val="none"/>
        </w:rPr>
        <w:t>；发生重大交通事故设施损坏未及时到达现场处理，导致引起二次事故，视情况</w:t>
      </w:r>
      <w:r>
        <w:rPr>
          <w:b/>
          <w:bCs/>
          <w:color w:val="auto"/>
          <w:sz w:val="24"/>
          <w:highlight w:val="none"/>
        </w:rPr>
        <w:t>-</w:t>
      </w:r>
      <w:r>
        <w:rPr>
          <w:rFonts w:hAnsi="宋体"/>
          <w:b/>
          <w:bCs/>
          <w:color w:val="auto"/>
          <w:sz w:val="24"/>
          <w:highlight w:val="none"/>
        </w:rPr>
        <w:t>（</w:t>
      </w:r>
      <w:r>
        <w:rPr>
          <w:b/>
          <w:bCs/>
          <w:color w:val="auto"/>
          <w:sz w:val="24"/>
          <w:highlight w:val="none"/>
        </w:rPr>
        <w:t>5—10</w:t>
      </w:r>
      <w:r>
        <w:rPr>
          <w:rFonts w:hAnsi="宋体"/>
          <w:b/>
          <w:bCs/>
          <w:color w:val="auto"/>
          <w:sz w:val="24"/>
          <w:highlight w:val="none"/>
        </w:rPr>
        <w:t>）分、罚款</w:t>
      </w:r>
      <w:r>
        <w:rPr>
          <w:b/>
          <w:bCs/>
          <w:color w:val="auto"/>
          <w:sz w:val="24"/>
          <w:highlight w:val="none"/>
        </w:rPr>
        <w:t>2000</w:t>
      </w:r>
      <w:r>
        <w:rPr>
          <w:rFonts w:hAnsi="宋体"/>
          <w:b/>
          <w:bCs/>
          <w:color w:val="auto"/>
          <w:sz w:val="24"/>
          <w:highlight w:val="none"/>
        </w:rPr>
        <w:t>元</w:t>
      </w:r>
      <w:r>
        <w:rPr>
          <w:rFonts w:hAnsi="宋体"/>
          <w:color w:val="auto"/>
          <w:sz w:val="24"/>
          <w:highlight w:val="none"/>
        </w:rPr>
        <w:t>。</w:t>
      </w:r>
      <w:r>
        <w:rPr>
          <w:rFonts w:hAnsi="宋体"/>
          <w:color w:val="auto"/>
          <w:kern w:val="0"/>
          <w:sz w:val="24"/>
          <w:highlight w:val="none"/>
        </w:rPr>
        <w:t>除扣分外，还需承担相应法律责任。</w:t>
      </w:r>
    </w:p>
    <w:p>
      <w:pPr>
        <w:widowControl/>
        <w:snapToGrid w:val="0"/>
        <w:spacing w:line="360" w:lineRule="auto"/>
        <w:ind w:firstLine="480"/>
        <w:jc w:val="left"/>
        <w:rPr>
          <w:color w:val="auto"/>
          <w:sz w:val="24"/>
          <w:highlight w:val="none"/>
        </w:rPr>
      </w:pPr>
      <w:r>
        <w:rPr>
          <w:color w:val="auto"/>
          <w:sz w:val="24"/>
          <w:highlight w:val="none"/>
        </w:rPr>
        <w:t>11</w:t>
      </w:r>
      <w:r>
        <w:rPr>
          <w:rFonts w:hAnsi="宋体"/>
          <w:color w:val="auto"/>
          <w:sz w:val="24"/>
          <w:highlight w:val="none"/>
        </w:rPr>
        <w:t>、</w:t>
      </w:r>
      <w:r>
        <w:rPr>
          <w:rFonts w:hAnsi="宋体"/>
          <w:color w:val="auto"/>
          <w:kern w:val="0"/>
          <w:sz w:val="24"/>
          <w:highlight w:val="none"/>
        </w:rPr>
        <w:t>维护区域内道路隔离带、信号灯等交通安全设施的破损率、数字城管案卷上报率、</w:t>
      </w:r>
      <w:r>
        <w:rPr>
          <w:rFonts w:hint="eastAsia" w:hAnsi="宋体"/>
          <w:color w:val="auto"/>
          <w:kern w:val="0"/>
          <w:sz w:val="24"/>
          <w:highlight w:val="none"/>
          <w:lang w:val="en-US" w:eastAsia="zh-CN"/>
        </w:rPr>
        <w:t>执法局</w:t>
      </w:r>
      <w:r>
        <w:rPr>
          <w:rFonts w:hAnsi="宋体"/>
          <w:color w:val="auto"/>
          <w:kern w:val="0"/>
          <w:sz w:val="24"/>
          <w:highlight w:val="none"/>
        </w:rPr>
        <w:t>的抢修维护上报率连续</w:t>
      </w:r>
      <w:r>
        <w:rPr>
          <w:color w:val="auto"/>
          <w:kern w:val="0"/>
          <w:sz w:val="24"/>
          <w:highlight w:val="none"/>
        </w:rPr>
        <w:t>2</w:t>
      </w:r>
      <w:r>
        <w:rPr>
          <w:rFonts w:hAnsi="宋体"/>
          <w:color w:val="auto"/>
          <w:kern w:val="0"/>
          <w:sz w:val="24"/>
          <w:highlight w:val="none"/>
        </w:rPr>
        <w:t>个月未下降甚至上升的，视情扣</w:t>
      </w:r>
      <w:r>
        <w:rPr>
          <w:color w:val="auto"/>
          <w:kern w:val="0"/>
          <w:sz w:val="24"/>
          <w:highlight w:val="none"/>
        </w:rPr>
        <w:t>1—2</w:t>
      </w:r>
      <w:r>
        <w:rPr>
          <w:rFonts w:hAnsi="宋体"/>
          <w:color w:val="auto"/>
          <w:kern w:val="0"/>
          <w:sz w:val="24"/>
          <w:highlight w:val="none"/>
        </w:rPr>
        <w:t>分。</w:t>
      </w:r>
    </w:p>
    <w:p>
      <w:pPr>
        <w:spacing w:line="360" w:lineRule="auto"/>
        <w:ind w:firstLine="480" w:firstLineChars="200"/>
        <w:jc w:val="left"/>
        <w:rPr>
          <w:b/>
          <w:bCs/>
          <w:color w:val="auto"/>
          <w:sz w:val="24"/>
          <w:highlight w:val="none"/>
        </w:rPr>
      </w:pPr>
      <w:r>
        <w:rPr>
          <w:color w:val="auto"/>
          <w:sz w:val="24"/>
          <w:highlight w:val="none"/>
        </w:rPr>
        <w:t>12</w:t>
      </w:r>
      <w:r>
        <w:rPr>
          <w:rFonts w:hAnsi="宋体"/>
          <w:color w:val="auto"/>
          <w:sz w:val="24"/>
          <w:highlight w:val="none"/>
        </w:rPr>
        <w:t>、未经钱塘新区综合行政执法局同意在辖区内增设、拆装、减少、变更、移位任何交通设施，视情况</w:t>
      </w:r>
      <w:r>
        <w:rPr>
          <w:b/>
          <w:bCs/>
          <w:color w:val="auto"/>
          <w:sz w:val="24"/>
          <w:highlight w:val="none"/>
        </w:rPr>
        <w:t>-</w:t>
      </w:r>
      <w:r>
        <w:rPr>
          <w:rFonts w:hAnsi="宋体"/>
          <w:b/>
          <w:bCs/>
          <w:color w:val="auto"/>
          <w:sz w:val="24"/>
          <w:highlight w:val="none"/>
        </w:rPr>
        <w:t>（</w:t>
      </w:r>
      <w:r>
        <w:rPr>
          <w:b/>
          <w:bCs/>
          <w:color w:val="auto"/>
          <w:sz w:val="24"/>
          <w:highlight w:val="none"/>
        </w:rPr>
        <w:t>1—3</w:t>
      </w:r>
      <w:r>
        <w:rPr>
          <w:rFonts w:hAnsi="宋体"/>
          <w:b/>
          <w:bCs/>
          <w:color w:val="auto"/>
          <w:sz w:val="24"/>
          <w:highlight w:val="none"/>
        </w:rPr>
        <w:t>）分、罚款</w:t>
      </w:r>
      <w:r>
        <w:rPr>
          <w:b/>
          <w:bCs/>
          <w:color w:val="auto"/>
          <w:sz w:val="24"/>
          <w:highlight w:val="none"/>
        </w:rPr>
        <w:t>1000-3000</w:t>
      </w:r>
      <w:r>
        <w:rPr>
          <w:rFonts w:hAnsi="宋体"/>
          <w:b/>
          <w:bCs/>
          <w:color w:val="auto"/>
          <w:sz w:val="24"/>
          <w:highlight w:val="none"/>
        </w:rPr>
        <w:t>元。（本条款不得抵扣）</w:t>
      </w:r>
    </w:p>
    <w:p>
      <w:pPr>
        <w:spacing w:line="360" w:lineRule="auto"/>
        <w:ind w:firstLine="480" w:firstLineChars="200"/>
        <w:jc w:val="left"/>
        <w:rPr>
          <w:color w:val="auto"/>
          <w:sz w:val="24"/>
          <w:highlight w:val="none"/>
        </w:rPr>
      </w:pPr>
      <w:r>
        <w:rPr>
          <w:color w:val="auto"/>
          <w:sz w:val="24"/>
          <w:highlight w:val="none"/>
        </w:rPr>
        <w:t>13</w:t>
      </w:r>
      <w:r>
        <w:rPr>
          <w:rFonts w:hAnsi="宋体"/>
          <w:color w:val="auto"/>
          <w:sz w:val="24"/>
          <w:highlight w:val="none"/>
        </w:rPr>
        <w:t>、对维护区域内交通设施情况不掌握，维护区域内出现交通设施变化、调整等情况发现不及时，或未及时上报</w:t>
      </w:r>
      <w:r>
        <w:rPr>
          <w:rFonts w:hint="eastAsia" w:hAnsi="宋体"/>
          <w:color w:val="auto"/>
          <w:kern w:val="0"/>
          <w:sz w:val="24"/>
          <w:highlight w:val="none"/>
          <w:lang w:val="en-US" w:eastAsia="zh-CN"/>
        </w:rPr>
        <w:t>执法局</w:t>
      </w:r>
      <w:r>
        <w:rPr>
          <w:rFonts w:hAnsi="宋体"/>
          <w:color w:val="auto"/>
          <w:sz w:val="24"/>
          <w:highlight w:val="none"/>
        </w:rPr>
        <w:t>，</w:t>
      </w:r>
      <w:r>
        <w:rPr>
          <w:rFonts w:hAnsi="宋体"/>
          <w:b/>
          <w:bCs/>
          <w:color w:val="auto"/>
          <w:sz w:val="24"/>
          <w:highlight w:val="none"/>
        </w:rPr>
        <w:t>每次</w:t>
      </w:r>
      <w:r>
        <w:rPr>
          <w:b/>
          <w:bCs/>
          <w:color w:val="auto"/>
          <w:sz w:val="24"/>
          <w:highlight w:val="none"/>
        </w:rPr>
        <w:t>-2</w:t>
      </w:r>
      <w:r>
        <w:rPr>
          <w:rFonts w:hAnsi="宋体"/>
          <w:b/>
          <w:bCs/>
          <w:color w:val="auto"/>
          <w:sz w:val="24"/>
          <w:highlight w:val="none"/>
        </w:rPr>
        <w:t>分</w:t>
      </w:r>
      <w:r>
        <w:rPr>
          <w:rFonts w:hAnsi="宋体"/>
          <w:color w:val="auto"/>
          <w:sz w:val="24"/>
          <w:highlight w:val="none"/>
        </w:rPr>
        <w:t>。</w:t>
      </w:r>
    </w:p>
    <w:p>
      <w:pPr>
        <w:spacing w:line="360" w:lineRule="auto"/>
        <w:ind w:left="420" w:leftChars="200"/>
        <w:jc w:val="left"/>
        <w:rPr>
          <w:color w:val="auto"/>
          <w:sz w:val="24"/>
          <w:highlight w:val="none"/>
        </w:rPr>
      </w:pPr>
      <w:r>
        <w:rPr>
          <w:color w:val="auto"/>
          <w:sz w:val="24"/>
          <w:highlight w:val="none"/>
        </w:rPr>
        <w:t>14</w:t>
      </w:r>
      <w:r>
        <w:rPr>
          <w:rFonts w:hAnsi="宋体"/>
          <w:color w:val="auto"/>
          <w:sz w:val="24"/>
          <w:highlight w:val="none"/>
        </w:rPr>
        <w:t>、施工现场不规范，安全措施不足，未做到文明施工</w:t>
      </w:r>
    </w:p>
    <w:p>
      <w:pPr>
        <w:spacing w:line="360" w:lineRule="auto"/>
        <w:jc w:val="left"/>
        <w:rPr>
          <w:color w:val="auto"/>
          <w:sz w:val="24"/>
          <w:highlight w:val="none"/>
        </w:rPr>
      </w:pPr>
      <w:r>
        <w:rPr>
          <w:rFonts w:hAnsi="宋体"/>
          <w:color w:val="auto"/>
          <w:sz w:val="24"/>
          <w:highlight w:val="none"/>
        </w:rPr>
        <w:t>每起</w:t>
      </w:r>
      <w:r>
        <w:rPr>
          <w:b/>
          <w:bCs/>
          <w:color w:val="auto"/>
          <w:sz w:val="24"/>
          <w:highlight w:val="none"/>
        </w:rPr>
        <w:t>-1</w:t>
      </w:r>
      <w:r>
        <w:rPr>
          <w:rFonts w:hAnsi="宋体"/>
          <w:b/>
          <w:bCs/>
          <w:color w:val="auto"/>
          <w:sz w:val="24"/>
          <w:highlight w:val="none"/>
        </w:rPr>
        <w:t>分</w:t>
      </w:r>
      <w:r>
        <w:rPr>
          <w:rFonts w:hAnsi="宋体"/>
          <w:color w:val="auto"/>
          <w:sz w:val="24"/>
          <w:highlight w:val="none"/>
        </w:rPr>
        <w:t>；引发交通拥堵或投诉，视情况</w:t>
      </w:r>
      <w:r>
        <w:rPr>
          <w:b/>
          <w:bCs/>
          <w:color w:val="auto"/>
          <w:sz w:val="24"/>
          <w:highlight w:val="none"/>
        </w:rPr>
        <w:t>-</w:t>
      </w:r>
      <w:r>
        <w:rPr>
          <w:rFonts w:hAnsi="宋体"/>
          <w:b/>
          <w:bCs/>
          <w:color w:val="auto"/>
          <w:sz w:val="24"/>
          <w:highlight w:val="none"/>
        </w:rPr>
        <w:t>（</w:t>
      </w:r>
      <w:r>
        <w:rPr>
          <w:b/>
          <w:bCs/>
          <w:color w:val="auto"/>
          <w:sz w:val="24"/>
          <w:highlight w:val="none"/>
        </w:rPr>
        <w:t>1—3</w:t>
      </w:r>
      <w:r>
        <w:rPr>
          <w:rFonts w:hAnsi="宋体"/>
          <w:b/>
          <w:bCs/>
          <w:color w:val="auto"/>
          <w:sz w:val="24"/>
          <w:highlight w:val="none"/>
        </w:rPr>
        <w:t>）分</w:t>
      </w:r>
      <w:r>
        <w:rPr>
          <w:rFonts w:hAnsi="宋体"/>
          <w:color w:val="auto"/>
          <w:sz w:val="24"/>
          <w:highlight w:val="none"/>
        </w:rPr>
        <w:t>。</w:t>
      </w:r>
    </w:p>
    <w:p>
      <w:pPr>
        <w:widowControl/>
        <w:numPr>
          <w:ilvl w:val="0"/>
          <w:numId w:val="11"/>
        </w:numPr>
        <w:snapToGrid w:val="0"/>
        <w:spacing w:line="360" w:lineRule="auto"/>
        <w:ind w:firstLine="480"/>
        <w:jc w:val="left"/>
        <w:rPr>
          <w:color w:val="auto"/>
          <w:kern w:val="0"/>
          <w:sz w:val="24"/>
          <w:highlight w:val="none"/>
        </w:rPr>
      </w:pPr>
      <w:r>
        <w:rPr>
          <w:rFonts w:hAnsi="宋体"/>
          <w:color w:val="auto"/>
          <w:kern w:val="0"/>
          <w:sz w:val="24"/>
          <w:highlight w:val="none"/>
        </w:rPr>
        <w:t>施工人员着装不规范、安全措施不到位、未按规定收发</w:t>
      </w:r>
      <w:r>
        <w:rPr>
          <w:color w:val="auto"/>
          <w:kern w:val="0"/>
          <w:sz w:val="24"/>
          <w:highlight w:val="none"/>
        </w:rPr>
        <w:t>“</w:t>
      </w:r>
      <w:r>
        <w:rPr>
          <w:rFonts w:hAnsi="宋体"/>
          <w:color w:val="auto"/>
          <w:kern w:val="0"/>
          <w:sz w:val="24"/>
          <w:highlight w:val="none"/>
        </w:rPr>
        <w:t>维护牌</w:t>
      </w:r>
      <w:r>
        <w:rPr>
          <w:color w:val="auto"/>
          <w:kern w:val="0"/>
          <w:sz w:val="24"/>
          <w:highlight w:val="none"/>
        </w:rPr>
        <w:t>”</w:t>
      </w:r>
      <w:r>
        <w:rPr>
          <w:rFonts w:hAnsi="宋体"/>
          <w:color w:val="auto"/>
          <w:kern w:val="0"/>
          <w:sz w:val="24"/>
          <w:highlight w:val="none"/>
        </w:rPr>
        <w:t>的，每次扣</w:t>
      </w:r>
      <w:r>
        <w:rPr>
          <w:color w:val="auto"/>
          <w:kern w:val="0"/>
          <w:sz w:val="24"/>
          <w:highlight w:val="none"/>
        </w:rPr>
        <w:t>0.5</w:t>
      </w:r>
      <w:r>
        <w:rPr>
          <w:rFonts w:hAnsi="宋体"/>
          <w:color w:val="auto"/>
          <w:kern w:val="0"/>
          <w:sz w:val="24"/>
          <w:highlight w:val="none"/>
        </w:rPr>
        <w:t>分。</w:t>
      </w:r>
    </w:p>
    <w:p>
      <w:pPr>
        <w:spacing w:line="360" w:lineRule="auto"/>
        <w:ind w:firstLine="480" w:firstLineChars="200"/>
        <w:jc w:val="left"/>
        <w:rPr>
          <w:color w:val="auto"/>
          <w:sz w:val="24"/>
          <w:highlight w:val="none"/>
        </w:rPr>
      </w:pPr>
      <w:r>
        <w:rPr>
          <w:color w:val="auto"/>
          <w:sz w:val="24"/>
          <w:highlight w:val="none"/>
        </w:rPr>
        <w:t>16</w:t>
      </w:r>
      <w:r>
        <w:rPr>
          <w:rFonts w:hAnsi="宋体"/>
          <w:color w:val="auto"/>
          <w:sz w:val="24"/>
          <w:highlight w:val="none"/>
        </w:rPr>
        <w:t>、工作中发现有其他影响维护工作正常开展，影响施工质量、进度、安全的情况，视情况给予扣分。</w:t>
      </w:r>
    </w:p>
    <w:p>
      <w:pPr>
        <w:spacing w:line="360" w:lineRule="auto"/>
        <w:ind w:firstLine="480" w:firstLineChars="200"/>
        <w:jc w:val="left"/>
        <w:rPr>
          <w:color w:val="auto"/>
          <w:sz w:val="24"/>
          <w:highlight w:val="none"/>
        </w:rPr>
      </w:pPr>
      <w:r>
        <w:rPr>
          <w:color w:val="auto"/>
          <w:sz w:val="24"/>
          <w:highlight w:val="none"/>
        </w:rPr>
        <w:t>17</w:t>
      </w:r>
      <w:r>
        <w:rPr>
          <w:rFonts w:hAnsi="宋体"/>
          <w:color w:val="auto"/>
          <w:sz w:val="24"/>
          <w:highlight w:val="none"/>
        </w:rPr>
        <w:t>、监理单位工作不积极、不作为、不认真，被业主单位点名批评，</w:t>
      </w:r>
      <w:r>
        <w:rPr>
          <w:rFonts w:hAnsi="宋体"/>
          <w:b/>
          <w:bCs/>
          <w:color w:val="auto"/>
          <w:sz w:val="24"/>
          <w:highlight w:val="none"/>
        </w:rPr>
        <w:t>每次</w:t>
      </w:r>
      <w:r>
        <w:rPr>
          <w:b/>
          <w:bCs/>
          <w:color w:val="auto"/>
          <w:sz w:val="24"/>
          <w:highlight w:val="none"/>
        </w:rPr>
        <w:t>—2</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18</w:t>
      </w:r>
      <w:r>
        <w:rPr>
          <w:rFonts w:hAnsi="宋体"/>
          <w:color w:val="auto"/>
          <w:sz w:val="24"/>
          <w:highlight w:val="none"/>
        </w:rPr>
        <w:t>、监理单位未尽到监理职责，</w:t>
      </w:r>
      <w:r>
        <w:rPr>
          <w:rFonts w:hAnsi="宋体"/>
          <w:b/>
          <w:bCs/>
          <w:color w:val="auto"/>
          <w:sz w:val="24"/>
          <w:highlight w:val="none"/>
        </w:rPr>
        <w:t>每次</w:t>
      </w:r>
      <w:r>
        <w:rPr>
          <w:b/>
          <w:bCs/>
          <w:color w:val="auto"/>
          <w:sz w:val="24"/>
          <w:highlight w:val="none"/>
        </w:rPr>
        <w:t>—2</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b/>
          <w:bCs/>
          <w:color w:val="auto"/>
          <w:sz w:val="24"/>
          <w:highlight w:val="none"/>
        </w:rPr>
      </w:pPr>
      <w:r>
        <w:rPr>
          <w:color w:val="auto"/>
          <w:sz w:val="24"/>
          <w:highlight w:val="none"/>
        </w:rPr>
        <w:t>19</w:t>
      </w:r>
      <w:r>
        <w:rPr>
          <w:rFonts w:hAnsi="宋体"/>
          <w:color w:val="auto"/>
          <w:sz w:val="24"/>
          <w:highlight w:val="none"/>
        </w:rPr>
        <w:t>、出现重大质量问题、施工安全、工程计量、费用审核问题监理单位</w:t>
      </w:r>
      <w:r>
        <w:rPr>
          <w:b/>
          <w:bCs/>
          <w:color w:val="auto"/>
          <w:sz w:val="24"/>
          <w:highlight w:val="none"/>
        </w:rPr>
        <w:t>-</w:t>
      </w:r>
      <w:r>
        <w:rPr>
          <w:rFonts w:hAnsi="宋体"/>
          <w:b/>
          <w:bCs/>
          <w:color w:val="auto"/>
          <w:sz w:val="24"/>
          <w:highlight w:val="none"/>
        </w:rPr>
        <w:t>（</w:t>
      </w:r>
      <w:r>
        <w:rPr>
          <w:b/>
          <w:bCs/>
          <w:color w:val="auto"/>
          <w:sz w:val="24"/>
          <w:highlight w:val="none"/>
        </w:rPr>
        <w:t>10—20</w:t>
      </w:r>
      <w:r>
        <w:rPr>
          <w:rFonts w:hAnsi="宋体"/>
          <w:b/>
          <w:bCs/>
          <w:color w:val="auto"/>
          <w:sz w:val="24"/>
          <w:highlight w:val="none"/>
        </w:rPr>
        <w:t>）分、罚款</w:t>
      </w:r>
      <w:r>
        <w:rPr>
          <w:b/>
          <w:bCs/>
          <w:color w:val="auto"/>
          <w:sz w:val="24"/>
          <w:highlight w:val="none"/>
        </w:rPr>
        <w:t>10000—30000</w:t>
      </w:r>
      <w:r>
        <w:rPr>
          <w:rFonts w:hAnsi="宋体"/>
          <w:b/>
          <w:bCs/>
          <w:color w:val="auto"/>
          <w:sz w:val="24"/>
          <w:highlight w:val="none"/>
        </w:rPr>
        <w:t>元。（本条款不得抵扣。）</w:t>
      </w:r>
    </w:p>
    <w:p>
      <w:pPr>
        <w:spacing w:line="360" w:lineRule="auto"/>
        <w:ind w:firstLine="600" w:firstLineChars="250"/>
        <w:jc w:val="left"/>
        <w:rPr>
          <w:b/>
          <w:bCs/>
          <w:color w:val="auto"/>
          <w:sz w:val="24"/>
          <w:highlight w:val="none"/>
        </w:rPr>
      </w:pPr>
      <w:r>
        <w:rPr>
          <w:color w:val="auto"/>
          <w:sz w:val="24"/>
          <w:highlight w:val="none"/>
        </w:rPr>
        <w:t>20</w:t>
      </w:r>
      <w:r>
        <w:rPr>
          <w:rFonts w:hAnsi="宋体"/>
          <w:color w:val="auto"/>
          <w:sz w:val="24"/>
          <w:highlight w:val="none"/>
        </w:rPr>
        <w:t>、项目完工未登记或者错误填报报修内容，发现一条扣</w:t>
      </w:r>
      <w:r>
        <w:rPr>
          <w:color w:val="auto"/>
          <w:sz w:val="24"/>
          <w:highlight w:val="none"/>
        </w:rPr>
        <w:t>0.5</w:t>
      </w:r>
      <w:r>
        <w:rPr>
          <w:rFonts w:hAnsi="宋体"/>
          <w:color w:val="auto"/>
          <w:sz w:val="24"/>
          <w:highlight w:val="none"/>
        </w:rPr>
        <w:t>分，当日维护情况未反馈相关中队，发现一次扣</w:t>
      </w:r>
      <w:r>
        <w:rPr>
          <w:color w:val="auto"/>
          <w:sz w:val="24"/>
          <w:highlight w:val="none"/>
        </w:rPr>
        <w:t>0.5</w:t>
      </w:r>
      <w:r>
        <w:rPr>
          <w:rFonts w:hAnsi="宋体"/>
          <w:color w:val="auto"/>
          <w:sz w:val="24"/>
          <w:highlight w:val="none"/>
        </w:rPr>
        <w:t>分，造成严重后果视情扣</w:t>
      </w:r>
      <w:r>
        <w:rPr>
          <w:color w:val="auto"/>
          <w:sz w:val="24"/>
          <w:highlight w:val="none"/>
        </w:rPr>
        <w:t>1-3</w:t>
      </w:r>
      <w:r>
        <w:rPr>
          <w:rFonts w:hAnsi="宋体"/>
          <w:color w:val="auto"/>
          <w:sz w:val="24"/>
          <w:highlight w:val="none"/>
        </w:rPr>
        <w:t>分。</w:t>
      </w:r>
    </w:p>
    <w:p>
      <w:pPr>
        <w:numPr>
          <w:ilvl w:val="0"/>
          <w:numId w:val="10"/>
        </w:numPr>
        <w:spacing w:line="360" w:lineRule="auto"/>
        <w:ind w:firstLine="482" w:firstLineChars="200"/>
        <w:jc w:val="left"/>
        <w:rPr>
          <w:color w:val="auto"/>
          <w:sz w:val="24"/>
          <w:highlight w:val="none"/>
        </w:rPr>
      </w:pPr>
      <w:r>
        <w:rPr>
          <w:rFonts w:hAnsi="宋体"/>
          <w:b/>
          <w:bCs/>
          <w:color w:val="auto"/>
          <w:sz w:val="24"/>
          <w:highlight w:val="none"/>
        </w:rPr>
        <w:t>加分管理</w:t>
      </w:r>
    </w:p>
    <w:p>
      <w:pPr>
        <w:widowControl/>
        <w:snapToGrid w:val="0"/>
        <w:spacing w:line="360" w:lineRule="auto"/>
        <w:ind w:firstLine="480" w:firstLineChars="200"/>
        <w:jc w:val="left"/>
        <w:rPr>
          <w:color w:val="auto"/>
          <w:sz w:val="24"/>
          <w:highlight w:val="none"/>
        </w:rPr>
      </w:pPr>
      <w:r>
        <w:rPr>
          <w:color w:val="auto"/>
          <w:kern w:val="0"/>
          <w:sz w:val="24"/>
          <w:highlight w:val="none"/>
        </w:rPr>
        <w:t>1</w:t>
      </w:r>
      <w:r>
        <w:rPr>
          <w:rFonts w:hAnsi="宋体"/>
          <w:color w:val="auto"/>
          <w:kern w:val="0"/>
          <w:sz w:val="24"/>
          <w:highlight w:val="none"/>
        </w:rPr>
        <w:t>、维护区域内道路隔离带、信号灯等交通安全设施的破损率、数字城管案卷上报率、</w:t>
      </w:r>
      <w:r>
        <w:rPr>
          <w:rFonts w:hint="eastAsia" w:hAnsi="宋体"/>
          <w:color w:val="auto"/>
          <w:kern w:val="0"/>
          <w:sz w:val="24"/>
          <w:highlight w:val="none"/>
          <w:lang w:val="en-US" w:eastAsia="zh-CN"/>
        </w:rPr>
        <w:t>执法局</w:t>
      </w:r>
      <w:r>
        <w:rPr>
          <w:rFonts w:hAnsi="宋体"/>
          <w:color w:val="auto"/>
          <w:kern w:val="0"/>
          <w:sz w:val="24"/>
          <w:highlight w:val="none"/>
        </w:rPr>
        <w:t>的抢修、维护上报率连续</w:t>
      </w:r>
      <w:r>
        <w:rPr>
          <w:color w:val="auto"/>
          <w:kern w:val="0"/>
          <w:sz w:val="24"/>
          <w:highlight w:val="none"/>
        </w:rPr>
        <w:t>2</w:t>
      </w:r>
      <w:r>
        <w:rPr>
          <w:rFonts w:hAnsi="宋体"/>
          <w:color w:val="auto"/>
          <w:kern w:val="0"/>
          <w:sz w:val="24"/>
          <w:highlight w:val="none"/>
        </w:rPr>
        <w:t>个月下降的，加</w:t>
      </w:r>
      <w:r>
        <w:rPr>
          <w:color w:val="auto"/>
          <w:kern w:val="0"/>
          <w:sz w:val="24"/>
          <w:highlight w:val="none"/>
        </w:rPr>
        <w:t>1</w:t>
      </w:r>
      <w:r>
        <w:rPr>
          <w:rFonts w:hAnsi="宋体"/>
          <w:color w:val="auto"/>
          <w:kern w:val="0"/>
          <w:sz w:val="24"/>
          <w:highlight w:val="none"/>
        </w:rPr>
        <w:t>分。</w:t>
      </w:r>
    </w:p>
    <w:p>
      <w:pPr>
        <w:spacing w:line="360" w:lineRule="auto"/>
        <w:ind w:firstLine="480" w:firstLineChars="200"/>
        <w:jc w:val="left"/>
        <w:rPr>
          <w:color w:val="auto"/>
          <w:sz w:val="24"/>
          <w:highlight w:val="none"/>
        </w:rPr>
      </w:pPr>
      <w:r>
        <w:rPr>
          <w:color w:val="auto"/>
          <w:sz w:val="24"/>
          <w:highlight w:val="none"/>
        </w:rPr>
        <w:t>2</w:t>
      </w:r>
      <w:r>
        <w:rPr>
          <w:rFonts w:hAnsi="宋体"/>
          <w:color w:val="auto"/>
          <w:sz w:val="24"/>
          <w:highlight w:val="none"/>
        </w:rPr>
        <w:t>、维护单位对辖区内堵点、乱点、事故黑点，提出合理科学交通组织优化措施，经采纳每起</w:t>
      </w:r>
      <w:r>
        <w:rPr>
          <w:b/>
          <w:bCs/>
          <w:color w:val="auto"/>
          <w:sz w:val="24"/>
          <w:highlight w:val="none"/>
        </w:rPr>
        <w:t>+5</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3</w:t>
      </w:r>
      <w:r>
        <w:rPr>
          <w:rFonts w:hAnsi="宋体"/>
          <w:color w:val="auto"/>
          <w:sz w:val="24"/>
          <w:highlight w:val="none"/>
        </w:rPr>
        <w:t>、在日常路面巡查维护施工积极主动、工作出色，受到媒体表扬，每起</w:t>
      </w:r>
      <w:r>
        <w:rPr>
          <w:b/>
          <w:bCs/>
          <w:color w:val="auto"/>
          <w:sz w:val="24"/>
          <w:highlight w:val="none"/>
        </w:rPr>
        <w:t>+5</w:t>
      </w:r>
      <w:r>
        <w:rPr>
          <w:rFonts w:hAnsi="宋体"/>
          <w:b/>
          <w:bCs/>
          <w:color w:val="auto"/>
          <w:sz w:val="24"/>
          <w:highlight w:val="none"/>
        </w:rPr>
        <w:t>分</w:t>
      </w:r>
      <w:r>
        <w:rPr>
          <w:rFonts w:hAnsi="宋体"/>
          <w:color w:val="auto"/>
          <w:sz w:val="24"/>
          <w:highlight w:val="none"/>
        </w:rPr>
        <w:t>，受到支队表扬每起</w:t>
      </w:r>
      <w:r>
        <w:rPr>
          <w:b/>
          <w:bCs/>
          <w:color w:val="auto"/>
          <w:sz w:val="24"/>
          <w:highlight w:val="none"/>
        </w:rPr>
        <w:t>+3</w:t>
      </w:r>
      <w:r>
        <w:rPr>
          <w:rFonts w:hAnsi="宋体"/>
          <w:b/>
          <w:bCs/>
          <w:color w:val="auto"/>
          <w:sz w:val="24"/>
          <w:highlight w:val="none"/>
        </w:rPr>
        <w:t>分</w:t>
      </w:r>
      <w:r>
        <w:rPr>
          <w:rFonts w:hAnsi="宋体"/>
          <w:color w:val="auto"/>
          <w:sz w:val="24"/>
          <w:highlight w:val="none"/>
        </w:rPr>
        <w:t>，受到</w:t>
      </w:r>
      <w:r>
        <w:rPr>
          <w:rFonts w:hint="eastAsia" w:hAnsi="宋体"/>
          <w:color w:val="auto"/>
          <w:kern w:val="0"/>
          <w:sz w:val="24"/>
          <w:highlight w:val="none"/>
          <w:lang w:val="en-US" w:eastAsia="zh-CN"/>
        </w:rPr>
        <w:t>执法局</w:t>
      </w:r>
      <w:r>
        <w:rPr>
          <w:rFonts w:hAnsi="宋体"/>
          <w:color w:val="auto"/>
          <w:sz w:val="24"/>
          <w:highlight w:val="none"/>
        </w:rPr>
        <w:t>表扬每起</w:t>
      </w:r>
      <w:r>
        <w:rPr>
          <w:b/>
          <w:bCs/>
          <w:color w:val="auto"/>
          <w:sz w:val="24"/>
          <w:highlight w:val="none"/>
        </w:rPr>
        <w:t>+1</w:t>
      </w:r>
      <w:r>
        <w:rPr>
          <w:rFonts w:hAnsi="宋体"/>
          <w:b/>
          <w:bCs/>
          <w:color w:val="auto"/>
          <w:sz w:val="24"/>
          <w:highlight w:val="none"/>
        </w:rPr>
        <w:t>分</w:t>
      </w:r>
      <w:r>
        <w:rPr>
          <w:rFonts w:hAnsi="宋体"/>
          <w:color w:val="auto"/>
          <w:sz w:val="24"/>
          <w:highlight w:val="none"/>
        </w:rPr>
        <w:t>。</w:t>
      </w:r>
    </w:p>
    <w:p>
      <w:pPr>
        <w:widowControl/>
        <w:snapToGrid w:val="0"/>
        <w:spacing w:line="360" w:lineRule="auto"/>
        <w:ind w:firstLine="480" w:firstLineChars="200"/>
        <w:jc w:val="left"/>
        <w:rPr>
          <w:color w:val="auto"/>
          <w:sz w:val="24"/>
          <w:highlight w:val="none"/>
        </w:rPr>
      </w:pPr>
      <w:r>
        <w:rPr>
          <w:color w:val="auto"/>
          <w:kern w:val="0"/>
          <w:sz w:val="24"/>
          <w:highlight w:val="none"/>
        </w:rPr>
        <w:t>4</w:t>
      </w:r>
      <w:r>
        <w:rPr>
          <w:rFonts w:hAnsi="宋体"/>
          <w:color w:val="auto"/>
          <w:kern w:val="0"/>
          <w:sz w:val="24"/>
          <w:highlight w:val="none"/>
        </w:rPr>
        <w:t>、维护、监理工作受到</w:t>
      </w:r>
      <w:r>
        <w:rPr>
          <w:rFonts w:hint="eastAsia" w:hAnsi="宋体"/>
          <w:color w:val="auto"/>
          <w:kern w:val="0"/>
          <w:sz w:val="24"/>
          <w:highlight w:val="none"/>
          <w:lang w:val="en-US" w:eastAsia="zh-CN"/>
        </w:rPr>
        <w:t>执法局</w:t>
      </w:r>
      <w:r>
        <w:rPr>
          <w:rFonts w:hAnsi="宋体"/>
          <w:color w:val="auto"/>
          <w:kern w:val="0"/>
          <w:sz w:val="24"/>
          <w:highlight w:val="none"/>
        </w:rPr>
        <w:t>书面表扬的，每件加</w:t>
      </w:r>
      <w:r>
        <w:rPr>
          <w:color w:val="auto"/>
          <w:kern w:val="0"/>
          <w:sz w:val="24"/>
          <w:highlight w:val="none"/>
        </w:rPr>
        <w:t>1-2</w:t>
      </w:r>
      <w:r>
        <w:rPr>
          <w:rFonts w:hAnsi="宋体"/>
          <w:color w:val="auto"/>
          <w:kern w:val="0"/>
          <w:sz w:val="24"/>
          <w:highlight w:val="none"/>
        </w:rPr>
        <w:t>分。</w:t>
      </w:r>
    </w:p>
    <w:p>
      <w:pPr>
        <w:spacing w:line="360" w:lineRule="auto"/>
        <w:ind w:firstLine="480" w:firstLineChars="200"/>
        <w:jc w:val="left"/>
        <w:rPr>
          <w:color w:val="auto"/>
          <w:sz w:val="24"/>
          <w:highlight w:val="none"/>
        </w:rPr>
      </w:pPr>
      <w:r>
        <w:rPr>
          <w:color w:val="auto"/>
          <w:sz w:val="24"/>
          <w:highlight w:val="none"/>
        </w:rPr>
        <w:t>5</w:t>
      </w:r>
      <w:r>
        <w:rPr>
          <w:rFonts w:hAnsi="宋体"/>
          <w:color w:val="auto"/>
          <w:sz w:val="24"/>
          <w:highlight w:val="none"/>
        </w:rPr>
        <w:t>、结合维护工作提出科学设置交通设施方案，交通设施改进措施等合理化建议，每采纳一起</w:t>
      </w:r>
      <w:r>
        <w:rPr>
          <w:b/>
          <w:bCs/>
          <w:color w:val="auto"/>
          <w:sz w:val="24"/>
          <w:highlight w:val="none"/>
        </w:rPr>
        <w:t>+2</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6</w:t>
      </w:r>
      <w:r>
        <w:rPr>
          <w:rFonts w:hAnsi="宋体"/>
          <w:color w:val="auto"/>
          <w:sz w:val="24"/>
          <w:highlight w:val="none"/>
        </w:rPr>
        <w:t>、重大活动任务巡查、维护施工积极主动、执行力强、无差错，每次</w:t>
      </w:r>
      <w:r>
        <w:rPr>
          <w:b/>
          <w:bCs/>
          <w:color w:val="auto"/>
          <w:sz w:val="24"/>
          <w:highlight w:val="none"/>
        </w:rPr>
        <w:t>+2</w:t>
      </w:r>
      <w:r>
        <w:rPr>
          <w:rFonts w:hAnsi="宋体"/>
          <w:b/>
          <w:bCs/>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7</w:t>
      </w:r>
      <w:r>
        <w:rPr>
          <w:rFonts w:hAnsi="宋体"/>
          <w:color w:val="auto"/>
          <w:sz w:val="24"/>
          <w:highlight w:val="none"/>
        </w:rPr>
        <w:t>、主动发现违法广告并拆除的，每起</w:t>
      </w:r>
      <w:r>
        <w:rPr>
          <w:b/>
          <w:color w:val="auto"/>
          <w:sz w:val="24"/>
          <w:highlight w:val="none"/>
        </w:rPr>
        <w:t>+0.1</w:t>
      </w:r>
      <w:r>
        <w:rPr>
          <w:rFonts w:hAnsi="宋体"/>
          <w:b/>
          <w:color w:val="auto"/>
          <w:sz w:val="24"/>
          <w:highlight w:val="none"/>
        </w:rPr>
        <w:t>分</w:t>
      </w:r>
      <w:r>
        <w:rPr>
          <w:rFonts w:hAnsi="宋体"/>
          <w:color w:val="auto"/>
          <w:sz w:val="24"/>
          <w:highlight w:val="none"/>
        </w:rPr>
        <w:t>；发现标志错误并优化的，每起</w:t>
      </w:r>
      <w:r>
        <w:rPr>
          <w:b/>
          <w:color w:val="auto"/>
          <w:sz w:val="24"/>
          <w:highlight w:val="none"/>
        </w:rPr>
        <w:t>+0.1</w:t>
      </w:r>
      <w:r>
        <w:rPr>
          <w:rFonts w:hAnsi="宋体"/>
          <w:b/>
          <w:color w:val="auto"/>
          <w:sz w:val="24"/>
          <w:highlight w:val="none"/>
        </w:rPr>
        <w:t>分</w:t>
      </w:r>
      <w:r>
        <w:rPr>
          <w:rFonts w:hAnsi="宋体"/>
          <w:color w:val="auto"/>
          <w:sz w:val="24"/>
          <w:highlight w:val="none"/>
        </w:rPr>
        <w:t>。</w:t>
      </w:r>
    </w:p>
    <w:p>
      <w:pPr>
        <w:spacing w:line="360" w:lineRule="auto"/>
        <w:ind w:firstLine="480" w:firstLineChars="200"/>
        <w:jc w:val="left"/>
        <w:rPr>
          <w:color w:val="auto"/>
          <w:sz w:val="24"/>
          <w:highlight w:val="none"/>
        </w:rPr>
      </w:pPr>
      <w:r>
        <w:rPr>
          <w:color w:val="auto"/>
          <w:sz w:val="24"/>
          <w:highlight w:val="none"/>
        </w:rPr>
        <w:t>8</w:t>
      </w:r>
      <w:r>
        <w:rPr>
          <w:rFonts w:hAnsi="宋体"/>
          <w:color w:val="auto"/>
          <w:sz w:val="24"/>
          <w:highlight w:val="none"/>
        </w:rPr>
        <w:t>、工作中发现有其他突出表现的行为，视情况给予加分。</w:t>
      </w:r>
    </w:p>
    <w:p>
      <w:pPr>
        <w:rPr>
          <w:rFonts w:hint="eastAsia" w:ascii="仿宋" w:hAnsi="仿宋" w:eastAsia="仿宋" w:cs="仿宋"/>
          <w:b/>
          <w:color w:val="auto"/>
          <w:sz w:val="24"/>
          <w:szCs w:val="24"/>
          <w:highlight w:val="none"/>
        </w:rPr>
      </w:pPr>
      <w:r>
        <w:rPr>
          <w:rFonts w:hAnsi="宋体"/>
          <w:color w:val="auto"/>
          <w:kern w:val="0"/>
          <w:sz w:val="24"/>
          <w:highlight w:val="none"/>
        </w:rPr>
        <w:t>本办法自</w:t>
      </w:r>
      <w:r>
        <w:rPr>
          <w:rFonts w:hint="eastAsia"/>
          <w:color w:val="auto"/>
          <w:kern w:val="0"/>
          <w:sz w:val="24"/>
          <w:highlight w:val="none"/>
          <w:lang w:val="en-US" w:eastAsia="zh-CN"/>
        </w:rPr>
        <w:t>合同签订之</w:t>
      </w:r>
      <w:r>
        <w:rPr>
          <w:rFonts w:hAnsi="宋体"/>
          <w:color w:val="auto"/>
          <w:kern w:val="0"/>
          <w:sz w:val="24"/>
          <w:highlight w:val="none"/>
        </w:rPr>
        <w:t>日起实施。</w:t>
      </w:r>
    </w:p>
    <w:p>
      <w:pPr>
        <w:rPr>
          <w:rFonts w:hint="eastAsia" w:ascii="仿宋" w:hAnsi="仿宋" w:eastAsia="仿宋" w:cs="仿宋_GB2312"/>
          <w:b/>
          <w:color w:val="auto"/>
          <w:sz w:val="36"/>
          <w:highlight w:val="none"/>
        </w:rPr>
      </w:pPr>
      <w:r>
        <w:rPr>
          <w:rFonts w:hint="eastAsia" w:ascii="仿宋" w:hAnsi="仿宋" w:eastAsia="仿宋" w:cs="仿宋_GB2312"/>
          <w:b/>
          <w:color w:val="auto"/>
          <w:sz w:val="36"/>
          <w:highlight w:val="none"/>
        </w:rPr>
        <w:br w:type="page"/>
      </w:r>
    </w:p>
    <w:p>
      <w:pPr>
        <w:snapToGrid w:val="0"/>
        <w:spacing w:line="360" w:lineRule="auto"/>
        <w:jc w:val="center"/>
        <w:rPr>
          <w:rFonts w:ascii="仿宋" w:hAnsi="仿宋" w:eastAsia="仿宋" w:cs="仿宋_GB2312"/>
          <w:b/>
          <w:color w:val="auto"/>
          <w:sz w:val="36"/>
          <w:highlight w:val="none"/>
        </w:rPr>
      </w:pPr>
      <w:r>
        <w:rPr>
          <w:rFonts w:hint="eastAsia" w:ascii="仿宋" w:hAnsi="仿宋" w:eastAsia="仿宋" w:cs="仿宋_GB2312"/>
          <w:b/>
          <w:color w:val="auto"/>
          <w:sz w:val="36"/>
          <w:highlight w:val="none"/>
        </w:rPr>
        <w:t>第六部分 应提交的有关格式范例</w:t>
      </w:r>
    </w:p>
    <w:p>
      <w:pPr>
        <w:spacing w:line="360" w:lineRule="auto"/>
        <w:ind w:firstLine="480" w:firstLineChars="200"/>
        <w:outlineLvl w:val="0"/>
        <w:rPr>
          <w:rFonts w:ascii="仿宋" w:hAnsi="仿宋" w:eastAsia="仿宋" w:cs="仿宋_GB2312"/>
          <w:color w:val="auto"/>
          <w:sz w:val="36"/>
          <w:szCs w:val="36"/>
          <w:highlight w:val="none"/>
          <w:lang w:val="zh-CN"/>
        </w:rPr>
      </w:pPr>
      <w:r>
        <w:rPr>
          <w:rFonts w:hint="eastAsia" w:ascii="仿宋" w:hAnsi="仿宋" w:eastAsia="仿宋" w:cs="仿宋_GB2312"/>
          <w:color w:val="auto"/>
          <w:sz w:val="24"/>
          <w:highlight w:val="none"/>
        </w:rPr>
        <w:t>投标人按照以下格式编制投标文件，并将资格文件、报价文件、商务技术文件分别装订成册。</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（1）法定代表人授权书 ………………………………………………………（页码）</w:t>
      </w:r>
    </w:p>
    <w:p>
      <w:pPr>
        <w:snapToGrid w:val="0"/>
        <w:spacing w:line="360" w:lineRule="auto"/>
        <w:ind w:left="480" w:hanging="480" w:hanging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r>
        <w:rPr>
          <w:rFonts w:hint="eastAsia" w:ascii="仿宋" w:hAnsi="仿宋" w:eastAsia="仿宋"/>
          <w:color w:val="auto"/>
          <w:sz w:val="24"/>
          <w:highlight w:val="none"/>
        </w:rPr>
        <w:t>营业执照(或事业法人登记证或其他工商等登记证明材料)…………</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（3）</w:t>
      </w:r>
      <w:r>
        <w:rPr>
          <w:rFonts w:hint="eastAsia" w:ascii="仿宋" w:hAnsi="仿宋" w:eastAsia="仿宋" w:cs="仿宋_GB2312"/>
          <w:color w:val="auto"/>
          <w:sz w:val="24"/>
          <w:highlight w:val="none"/>
        </w:rPr>
        <w:t>资产负债表等财务报表资料文件</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（4）具有履行合同所必需的设备和专业技术能力的承诺函………………（页码）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（5）没有重大违法记录的声明</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（6）具有良好商业信誉特别声明</w:t>
      </w:r>
      <w:r>
        <w:rPr>
          <w:rFonts w:hint="eastAsia" w:ascii="仿宋" w:hAnsi="仿宋" w:eastAsia="仿宋" w:cs="仿宋_GB2312"/>
          <w:color w:val="auto"/>
          <w:kern w:val="0"/>
          <w:sz w:val="24"/>
          <w:highlight w:val="none"/>
        </w:rPr>
        <w:t>……………………………………………（页码）</w:t>
      </w:r>
    </w:p>
    <w:p>
      <w:pPr>
        <w:snapToGrid w:val="0"/>
        <w:spacing w:line="360" w:lineRule="auto"/>
        <w:ind w:left="720" w:hanging="720" w:hangingChars="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w:t>
      </w:r>
      <w:r>
        <w:rPr>
          <w:rFonts w:hint="eastAsia" w:ascii="仿宋" w:hAnsi="仿宋" w:eastAsia="仿宋"/>
          <w:color w:val="auto"/>
          <w:sz w:val="24"/>
          <w:highlight w:val="none"/>
        </w:rPr>
        <w:t>未被“信用中国”（www.creditchina.gov.cn）、中国政府采购网（www.ccgp.gov.cn）列入失信被执行人、重大税收违法案件当事人名单、政府采购严重违法失信行为记录名单的声明或查询截图</w:t>
      </w:r>
      <w:r>
        <w:rPr>
          <w:rFonts w:hint="eastAsia" w:ascii="仿宋" w:hAnsi="仿宋" w:eastAsia="仿宋" w:cs="仿宋_GB2312"/>
          <w:color w:val="auto"/>
          <w:kern w:val="0"/>
          <w:sz w:val="24"/>
          <w:highlight w:val="none"/>
        </w:rPr>
        <w:t>…………（页码）</w:t>
      </w:r>
    </w:p>
    <w:p>
      <w:pPr>
        <w:snapToGrid w:val="0"/>
        <w:spacing w:line="360" w:lineRule="auto"/>
        <w:rPr>
          <w:rFonts w:hint="eastAsia"/>
          <w:color w:val="auto"/>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中小企业声明函</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sz w:val="24"/>
          <w:highlight w:val="none"/>
        </w:rPr>
        <w:t>符合特定资格条件（如果项目要求）的有关证明材料（扫描件）</w:t>
      </w:r>
      <w:r>
        <w:rPr>
          <w:rFonts w:hint="eastAsia" w:ascii="仿宋" w:hAnsi="仿宋" w:eastAsia="仿宋" w:cs="仿宋_GB2312"/>
          <w:color w:val="auto"/>
          <w:kern w:val="0"/>
          <w:sz w:val="24"/>
          <w:highlight w:val="none"/>
        </w:rPr>
        <w:t>…（页码）</w:t>
      </w:r>
    </w:p>
    <w:p>
      <w:pPr>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附：法定代表人授权书（如法定代表人直接参加投标并对相应文件签字的，只需提供其身份证扫描件正反面；</w:t>
      </w:r>
      <w:r>
        <w:rPr>
          <w:rFonts w:hint="eastAsia" w:ascii="仿宋" w:hAnsi="仿宋" w:eastAsia="仿宋"/>
          <w:color w:val="auto"/>
          <w:sz w:val="24"/>
          <w:highlight w:val="none"/>
        </w:rPr>
        <w:t>如以联合体形式参加政府采购活动的，按招标文件有关格式范例提供联合体投标授权书）</w:t>
      </w:r>
    </w:p>
    <w:p>
      <w:pPr>
        <w:spacing w:line="360" w:lineRule="auto"/>
        <w:ind w:firstLine="480" w:firstLineChars="200"/>
        <w:rPr>
          <w:rFonts w:ascii="仿宋" w:hAnsi="仿宋" w:eastAsia="仿宋"/>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ind w:firstLine="3240" w:firstLineChars="900"/>
        <w:rPr>
          <w:rFonts w:ascii="仿宋" w:hAnsi="仿宋" w:eastAsia="仿宋" w:cs="仿宋_GB2312"/>
          <w:color w:val="auto"/>
          <w:sz w:val="36"/>
          <w:szCs w:val="36"/>
          <w:highlight w:val="none"/>
        </w:rPr>
      </w:pPr>
    </w:p>
    <w:p>
      <w:pPr>
        <w:snapToGrid w:val="0"/>
        <w:spacing w:line="360" w:lineRule="auto"/>
        <w:ind w:firstLine="3240" w:firstLineChars="900"/>
        <w:rPr>
          <w:rFonts w:ascii="仿宋" w:hAnsi="仿宋" w:eastAsia="仿宋" w:cs="仿宋_GB2312"/>
          <w:color w:val="auto"/>
          <w:sz w:val="36"/>
          <w:szCs w:val="36"/>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0"/>
          <w:szCs w:val="30"/>
          <w:highlight w:val="none"/>
          <w:lang w:val="zh-CN"/>
        </w:rPr>
        <w:t>一、法定代表人授权书</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杭州建设工程造价咨询有限公司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兹委派我公司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先生/女士(其在本公司的职务是：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)，代表我公司全权处理</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kern w:val="0"/>
          <w:sz w:val="24"/>
          <w:highlight w:val="none"/>
          <w:lang w:val="zh-CN"/>
        </w:rPr>
        <w:t>【编号：  】政府采购投标的一切事项，若中标则全权代表本公司签订相关合同，并负责处理合同履行等事宜。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法定代表人(签字或盖章)：</w:t>
      </w:r>
    </w:p>
    <w:p>
      <w:pPr>
        <w:snapToGrid w:val="0"/>
        <w:spacing w:line="360" w:lineRule="auto"/>
        <w:ind w:right="240"/>
        <w:jc w:val="right"/>
        <w:rPr>
          <w:rFonts w:ascii="仿宋" w:hAnsi="仿宋" w:eastAsia="仿宋" w:cs="仿宋_GB2312"/>
          <w:b/>
          <w:color w:val="auto"/>
          <w:kern w:val="0"/>
          <w:sz w:val="32"/>
          <w:szCs w:val="32"/>
          <w:highlight w:val="none"/>
          <w:lang w:val="zh-CN"/>
        </w:rPr>
      </w:pPr>
      <w:r>
        <w:rPr>
          <w:rFonts w:hint="eastAsia" w:ascii="仿宋" w:hAnsi="仿宋" w:eastAsia="仿宋" w:cs="仿宋_GB2312"/>
          <w:color w:val="auto"/>
          <w:kern w:val="0"/>
          <w:sz w:val="24"/>
          <w:highlight w:val="none"/>
          <w:lang w:val="zh-CN"/>
        </w:rPr>
        <w:t>签发日期：  年  月   日</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pStyle w:val="33"/>
        <w:spacing w:line="360" w:lineRule="auto"/>
        <w:rPr>
          <w:rFonts w:ascii="仿宋" w:hAnsi="仿宋" w:eastAsia="仿宋"/>
          <w:bCs/>
          <w:color w:val="auto"/>
          <w:sz w:val="24"/>
          <w:highlight w:val="none"/>
        </w:rPr>
      </w:pP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snapToGrid w:val="0"/>
        <w:spacing w:line="360" w:lineRule="auto"/>
        <w:jc w:val="center"/>
        <w:rPr>
          <w:rFonts w:ascii="仿宋" w:hAnsi="仿宋" w:eastAsia="仿宋" w:cs="仿宋_GB2312"/>
          <w:b/>
          <w:color w:val="auto"/>
          <w:kern w:val="0"/>
          <w:sz w:val="30"/>
          <w:szCs w:val="30"/>
          <w:highlight w:val="none"/>
          <w:lang w:val="zh-CN"/>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联合体投标授权书（适用联合体投标）</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)；……，代表本联合体全权处理</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kern w:val="0"/>
          <w:sz w:val="24"/>
          <w:highlight w:val="none"/>
          <w:lang w:val="zh-CN"/>
        </w:rPr>
        <w:t>【编号：  】政府采购投标的一切事项，若中标则全权代表本联合体签订相关合同，并负责处理合同履行等事宜。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单位：            （公章）         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法定代表人：（签字或盖章）         法定代表人：（签字或盖章）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spacing w:line="360" w:lineRule="auto"/>
        <w:jc w:val="center"/>
        <w:rPr>
          <w:rFonts w:ascii="仿宋" w:hAnsi="仿宋" w:eastAsia="仿宋" w:cs="仿宋_GB2312"/>
          <w:b/>
          <w:color w:val="auto"/>
          <w:kern w:val="0"/>
          <w:sz w:val="30"/>
          <w:szCs w:val="30"/>
          <w:highlight w:val="none"/>
          <w:lang w:val="zh-CN"/>
        </w:rPr>
      </w:pPr>
    </w:p>
    <w:p>
      <w:pPr>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kern w:val="0"/>
          <w:sz w:val="30"/>
          <w:szCs w:val="30"/>
          <w:highlight w:val="none"/>
          <w:lang w:val="zh-CN"/>
        </w:rPr>
        <w:t>二、</w:t>
      </w:r>
      <w:r>
        <w:rPr>
          <w:rFonts w:hint="eastAsia" w:ascii="仿宋" w:hAnsi="仿宋" w:eastAsia="仿宋" w:cs="仿宋_GB2312"/>
          <w:b/>
          <w:color w:val="auto"/>
          <w:sz w:val="30"/>
          <w:szCs w:val="30"/>
          <w:highlight w:val="none"/>
        </w:rPr>
        <w:t>营业执照(或事业法人登记证或其他工商等登记证明材料)扫描件（投标人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扫描件）</w:t>
      </w:r>
    </w:p>
    <w:p>
      <w:pPr>
        <w:spacing w:line="360" w:lineRule="auto"/>
        <w:jc w:val="center"/>
        <w:rPr>
          <w:rFonts w:ascii="仿宋" w:hAnsi="仿宋" w:eastAsia="仿宋" w:cs="仿宋_GB2312"/>
          <w:b/>
          <w:color w:val="auto"/>
          <w:sz w:val="30"/>
          <w:szCs w:val="30"/>
          <w:highlight w:val="none"/>
        </w:rPr>
      </w:pPr>
    </w:p>
    <w:p>
      <w:pPr>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三、资产负债表等财务报表资料文件（扫描件）</w:t>
      </w:r>
    </w:p>
    <w:p>
      <w:pPr>
        <w:snapToGrid w:val="0"/>
        <w:spacing w:line="360" w:lineRule="auto"/>
        <w:ind w:right="480"/>
        <w:rPr>
          <w:rFonts w:ascii="仿宋" w:hAnsi="仿宋" w:eastAsia="仿宋" w:cs="仿宋_GB2312"/>
          <w:b/>
          <w:color w:val="auto"/>
          <w:kern w:val="0"/>
          <w:sz w:val="32"/>
          <w:szCs w:val="32"/>
          <w:highlight w:val="none"/>
          <w:lang w:val="zh-CN"/>
        </w:rPr>
      </w:pPr>
    </w:p>
    <w:p>
      <w:pPr>
        <w:snapToGrid w:val="0"/>
        <w:spacing w:line="360" w:lineRule="auto"/>
        <w:ind w:right="480"/>
        <w:jc w:val="center"/>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四、具有履行合同所必需的设备和专业技术能力的承诺函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杭州建设工程造价咨询有限公司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我方郑重承诺，我方具有履行</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 xml:space="preserve">  </w:t>
      </w:r>
      <w:r>
        <w:rPr>
          <w:rFonts w:hint="eastAsia" w:ascii="仿宋" w:hAnsi="仿宋" w:eastAsia="仿宋" w:cs="仿宋_GB2312"/>
          <w:color w:val="auto"/>
          <w:sz w:val="24"/>
          <w:highlight w:val="none"/>
        </w:rPr>
        <w:t>】合同所必需的设备和专业技术能力。如中标，我方将保证合同顺利履行。</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p>
    <w:p>
      <w:pPr>
        <w:spacing w:line="360" w:lineRule="auto"/>
        <w:jc w:val="center"/>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五、参加政府采购活动前三年内，在经营活动中</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0"/>
          <w:szCs w:val="30"/>
          <w:highlight w:val="none"/>
        </w:rPr>
        <w:t>没有重大违法记录的声明</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杭州建设工程造价咨询有限公司</w:t>
      </w:r>
      <w:r>
        <w:rPr>
          <w:rFonts w:hint="eastAsia" w:ascii="仿宋" w:hAnsi="仿宋" w:eastAsia="仿宋" w:cs="仿宋_GB2312"/>
          <w:color w:val="auto"/>
          <w:kern w:val="0"/>
          <w:sz w:val="24"/>
          <w:highlight w:val="none"/>
          <w:lang w:val="zh-CN"/>
        </w:rPr>
        <w:t>：</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我方</w:t>
      </w:r>
      <w:r>
        <w:rPr>
          <w:rFonts w:hint="eastAsia" w:ascii="仿宋" w:hAnsi="仿宋" w:eastAsia="仿宋" w:cs="仿宋_GB2312"/>
          <w:color w:val="auto"/>
          <w:sz w:val="24"/>
          <w:highlight w:val="none"/>
        </w:rPr>
        <w:t>声明投标截止时间前三年，在</w:t>
      </w:r>
      <w:r>
        <w:rPr>
          <w:rFonts w:hint="eastAsia" w:ascii="仿宋" w:hAnsi="仿宋" w:eastAsia="仿宋" w:cs="仿宋_GB2312"/>
          <w:color w:val="auto"/>
          <w:kern w:val="0"/>
          <w:sz w:val="24"/>
          <w:highlight w:val="none"/>
        </w:rPr>
        <w:t>经营活动中</w:t>
      </w:r>
      <w:r>
        <w:rPr>
          <w:rFonts w:hint="eastAsia" w:ascii="仿宋" w:hAnsi="仿宋" w:eastAsia="仿宋" w:cs="仿宋_GB2312"/>
          <w:color w:val="auto"/>
          <w:sz w:val="24"/>
          <w:highlight w:val="none"/>
        </w:rPr>
        <w:t xml:space="preserve">没有重大违法记录。 </w:t>
      </w:r>
    </w:p>
    <w:p>
      <w:pPr>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rPr>
          <w:rFonts w:ascii="仿宋" w:hAnsi="仿宋" w:eastAsia="仿宋" w:cs="仿宋_GB2312"/>
          <w:b/>
          <w:color w:val="auto"/>
          <w:kern w:val="0"/>
          <w:sz w:val="30"/>
          <w:szCs w:val="30"/>
          <w:highlight w:val="none"/>
        </w:rPr>
      </w:pP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0"/>
          <w:szCs w:val="30"/>
          <w:highlight w:val="none"/>
        </w:rPr>
        <w:t>六、具有良好商业信誉特别声明</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杭州建设工程造价咨询有限公司</w:t>
      </w:r>
      <w:r>
        <w:rPr>
          <w:rFonts w:hint="eastAsia" w:ascii="仿宋" w:hAnsi="仿宋" w:eastAsia="仿宋" w:cs="仿宋_GB2312"/>
          <w:color w:val="auto"/>
          <w:kern w:val="0"/>
          <w:sz w:val="24"/>
          <w:highlight w:val="none"/>
          <w:lang w:val="zh-CN"/>
        </w:rPr>
        <w:t>：</w:t>
      </w:r>
    </w:p>
    <w:p>
      <w:pPr>
        <w:snapToGrid w:val="0"/>
        <w:spacing w:line="360" w:lineRule="auto"/>
        <w:ind w:firstLine="48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截至投标截止时间，我方具有良好的商业信誉，不存在下列情形（包括但不限于）。否则，我方将承担在资格审查时不被通过的后果。</w:t>
      </w:r>
    </w:p>
    <w:p>
      <w:pPr>
        <w:pStyle w:val="29"/>
        <w:ind w:firstLine="495" w:firstLineChars="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s="仿宋_GB2312"/>
          <w:b/>
          <w:color w:val="auto"/>
          <w:szCs w:val="24"/>
          <w:highlight w:val="none"/>
        </w:rPr>
        <w:t>、</w:t>
      </w:r>
      <w:r>
        <w:rPr>
          <w:rFonts w:hint="eastAsia" w:ascii="仿宋" w:hAnsi="仿宋" w:eastAsia="仿宋"/>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2、截至投标截止时间，因违反《浙江省政府采购供应商注册及诚信管理暂行办法》而被列入‘黑名单’，在处罚有效期内。 </w:t>
      </w:r>
    </w:p>
    <w:p>
      <w:pPr>
        <w:spacing w:line="360" w:lineRule="auto"/>
        <w:ind w:firstLine="480" w:firstLineChars="200"/>
        <w:rPr>
          <w:rFonts w:ascii="仿宋" w:hAnsi="仿宋" w:eastAsia="仿宋"/>
          <w:color w:val="auto"/>
          <w:sz w:val="24"/>
          <w:highlight w:val="none"/>
        </w:rPr>
      </w:pP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pStyle w:val="8"/>
        <w:rPr>
          <w:color w:val="auto"/>
          <w:highlight w:val="none"/>
        </w:rPr>
      </w:pPr>
    </w:p>
    <w:p>
      <w:pPr>
        <w:numPr>
          <w:ilvl w:val="0"/>
          <w:numId w:val="12"/>
        </w:numPr>
        <w:spacing w:line="360" w:lineRule="auto"/>
        <w:jc w:val="center"/>
        <w:rPr>
          <w:rFonts w:hint="eastAsia" w:ascii="仿宋" w:hAnsi="仿宋" w:eastAsia="仿宋" w:cs="仿宋_GB2312"/>
          <w:b/>
          <w:color w:val="auto"/>
          <w:sz w:val="30"/>
          <w:szCs w:val="30"/>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_GB2312"/>
          <w:b/>
          <w:color w:val="auto"/>
          <w:sz w:val="30"/>
          <w:szCs w:val="30"/>
          <w:highlight w:val="none"/>
        </w:rPr>
        <w:t>未被“信用中国”（www.creditchina.gov.cn）、中国政府采购网（www.ccgp.gov.cn）列入失信被执行人、重大税收违法案件当事人名单、政府采购严重违法失信行为记录名单的声明或查询截图</w:t>
      </w:r>
    </w:p>
    <w:p>
      <w:pPr>
        <w:pStyle w:val="35"/>
        <w:keepNext w:val="0"/>
        <w:pageBreakBefore w:val="0"/>
        <w:tabs>
          <w:tab w:val="clear" w:pos="720"/>
        </w:tabs>
        <w:snapToGrid w:val="0"/>
        <w:spacing w:before="120" w:after="120"/>
        <w:jc w:val="center"/>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lang w:val="en-US" w:eastAsia="zh-CN"/>
        </w:rPr>
        <w:t>八</w:t>
      </w:r>
      <w:r>
        <w:rPr>
          <w:rFonts w:hint="eastAsia" w:ascii="仿宋" w:hAnsi="仿宋" w:eastAsia="仿宋" w:cs="仿宋_GB2312"/>
          <w:color w:val="auto"/>
          <w:kern w:val="2"/>
          <w:sz w:val="32"/>
          <w:szCs w:val="32"/>
          <w:highlight w:val="none"/>
        </w:rPr>
        <w:t>、</w:t>
      </w:r>
      <w:r>
        <w:rPr>
          <w:rFonts w:hint="eastAsia" w:ascii="仿宋" w:hAnsi="仿宋" w:eastAsia="仿宋" w:cs="仿宋_GB2312"/>
          <w:color w:val="auto"/>
          <w:kern w:val="2"/>
          <w:sz w:val="32"/>
          <w:szCs w:val="32"/>
          <w:highlight w:val="none"/>
          <w:lang w:val="en-US" w:eastAsia="zh-CN"/>
        </w:rPr>
        <w:t>中小</w:t>
      </w:r>
      <w:r>
        <w:rPr>
          <w:rFonts w:hint="eastAsia" w:ascii="仿宋" w:hAnsi="仿宋" w:eastAsia="仿宋" w:cs="仿宋_GB2312"/>
          <w:color w:val="auto"/>
          <w:kern w:val="2"/>
          <w:sz w:val="32"/>
          <w:szCs w:val="32"/>
          <w:highlight w:val="none"/>
        </w:rPr>
        <w:t>企业声明函</w:t>
      </w:r>
    </w:p>
    <w:p>
      <w:pPr>
        <w:spacing w:line="360" w:lineRule="auto"/>
        <w:rPr>
          <w:rFonts w:ascii="仿宋" w:hAnsi="仿宋" w:eastAsia="仿宋"/>
          <w:color w:val="auto"/>
          <w:highlight w:val="none"/>
        </w:rPr>
      </w:pPr>
    </w:p>
    <w:p>
      <w:pPr>
        <w:pStyle w:val="8"/>
        <w:spacing w:line="297" w:lineRule="auto"/>
        <w:ind w:right="116" w:firstLine="45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本公司（联合体）郑重声明，根据《政府采购促进中小</w:t>
      </w:r>
      <w:r>
        <w:rPr>
          <w:rFonts w:hint="eastAsia" w:ascii="仿宋" w:hAnsi="仿宋" w:eastAsia="仿宋" w:cs="仿宋"/>
          <w:color w:val="auto"/>
          <w:spacing w:val="1"/>
          <w:w w:val="95"/>
          <w:sz w:val="24"/>
          <w:szCs w:val="24"/>
          <w:highlight w:val="none"/>
        </w:rPr>
        <w:t>企</w:t>
      </w:r>
      <w:r>
        <w:rPr>
          <w:rFonts w:hint="eastAsia" w:ascii="仿宋" w:hAnsi="仿宋" w:eastAsia="仿宋" w:cs="仿宋"/>
          <w:color w:val="auto"/>
          <w:spacing w:val="4"/>
          <w:w w:val="95"/>
          <w:sz w:val="24"/>
          <w:szCs w:val="24"/>
          <w:highlight w:val="none"/>
        </w:rPr>
        <w:t>业</w:t>
      </w:r>
      <w:r>
        <w:rPr>
          <w:rFonts w:hint="eastAsia" w:ascii="仿宋" w:hAnsi="仿宋" w:eastAsia="仿宋" w:cs="仿宋"/>
          <w:color w:val="auto"/>
          <w:spacing w:val="1"/>
          <w:w w:val="95"/>
          <w:sz w:val="24"/>
          <w:szCs w:val="24"/>
          <w:highlight w:val="none"/>
        </w:rPr>
        <w:t>发</w:t>
      </w:r>
      <w:r>
        <w:rPr>
          <w:rFonts w:hint="eastAsia" w:ascii="仿宋" w:hAnsi="仿宋" w:eastAsia="仿宋" w:cs="仿宋"/>
          <w:color w:val="auto"/>
          <w:spacing w:val="4"/>
          <w:w w:val="95"/>
          <w:sz w:val="24"/>
          <w:szCs w:val="24"/>
          <w:highlight w:val="none"/>
        </w:rPr>
        <w:t>展</w:t>
      </w:r>
      <w:r>
        <w:rPr>
          <w:rFonts w:hint="eastAsia" w:ascii="仿宋" w:hAnsi="仿宋" w:eastAsia="仿宋" w:cs="仿宋"/>
          <w:color w:val="auto"/>
          <w:spacing w:val="1"/>
          <w:w w:val="95"/>
          <w:sz w:val="24"/>
          <w:szCs w:val="24"/>
          <w:highlight w:val="none"/>
        </w:rPr>
        <w:t>管</w:t>
      </w:r>
      <w:r>
        <w:rPr>
          <w:rFonts w:hint="eastAsia" w:ascii="仿宋" w:hAnsi="仿宋" w:eastAsia="仿宋" w:cs="仿宋"/>
          <w:color w:val="auto"/>
          <w:spacing w:val="4"/>
          <w:w w:val="95"/>
          <w:sz w:val="24"/>
          <w:szCs w:val="24"/>
          <w:highlight w:val="none"/>
        </w:rPr>
        <w:t>理</w:t>
      </w:r>
      <w:r>
        <w:rPr>
          <w:rFonts w:hint="eastAsia" w:ascii="仿宋" w:hAnsi="仿宋" w:eastAsia="仿宋" w:cs="仿宋"/>
          <w:color w:val="auto"/>
          <w:spacing w:val="1"/>
          <w:w w:val="95"/>
          <w:sz w:val="24"/>
          <w:szCs w:val="24"/>
          <w:highlight w:val="none"/>
        </w:rPr>
        <w:t>办</w:t>
      </w:r>
      <w:r>
        <w:rPr>
          <w:rFonts w:hint="eastAsia" w:ascii="仿宋" w:hAnsi="仿宋" w:eastAsia="仿宋" w:cs="仿宋"/>
          <w:color w:val="auto"/>
          <w:spacing w:val="4"/>
          <w:w w:val="95"/>
          <w:sz w:val="24"/>
          <w:szCs w:val="24"/>
          <w:highlight w:val="none"/>
        </w:rPr>
        <w:t>法</w:t>
      </w:r>
      <w:r>
        <w:rPr>
          <w:rFonts w:hint="eastAsia" w:ascii="仿宋" w:hAnsi="仿宋" w:eastAsia="仿宋" w:cs="仿宋"/>
          <w:color w:val="auto"/>
          <w:spacing w:val="-153"/>
          <w:w w:val="95"/>
          <w:sz w:val="24"/>
          <w:szCs w:val="24"/>
          <w:highlight w:val="none"/>
        </w:rPr>
        <w:t>》</w:t>
      </w:r>
      <w:r>
        <w:rPr>
          <w:rFonts w:hint="eastAsia" w:ascii="仿宋" w:hAnsi="仿宋" w:eastAsia="仿宋" w:cs="仿宋"/>
          <w:color w:val="auto"/>
          <w:spacing w:val="4"/>
          <w:w w:val="95"/>
          <w:sz w:val="24"/>
          <w:szCs w:val="24"/>
          <w:highlight w:val="none"/>
          <w:lang w:eastAsia="zh-CN"/>
        </w:rPr>
        <w:t>（财</w:t>
      </w:r>
      <w:r>
        <w:rPr>
          <w:rFonts w:hint="eastAsia" w:ascii="仿宋" w:hAnsi="仿宋" w:eastAsia="仿宋" w:cs="仿宋"/>
          <w:color w:val="auto"/>
          <w:spacing w:val="4"/>
          <w:w w:val="95"/>
          <w:sz w:val="24"/>
          <w:szCs w:val="24"/>
          <w:highlight w:val="none"/>
        </w:rPr>
        <w:t>库</w:t>
      </w:r>
      <w:r>
        <w:rPr>
          <w:rFonts w:hint="eastAsia" w:ascii="仿宋" w:hAnsi="仿宋" w:eastAsia="仿宋" w:cs="仿宋"/>
          <w:color w:val="auto"/>
          <w:spacing w:val="1"/>
          <w:w w:val="95"/>
          <w:sz w:val="24"/>
          <w:szCs w:val="24"/>
          <w:highlight w:val="none"/>
        </w:rPr>
        <w:t>﹝</w:t>
      </w:r>
      <w:r>
        <w:rPr>
          <w:rFonts w:hint="eastAsia" w:ascii="仿宋" w:hAnsi="仿宋" w:eastAsia="仿宋" w:cs="仿宋"/>
          <w:color w:val="auto"/>
          <w:w w:val="95"/>
          <w:sz w:val="24"/>
          <w:szCs w:val="24"/>
          <w:highlight w:val="none"/>
        </w:rPr>
        <w:t>20</w:t>
      </w:r>
      <w:r>
        <w:rPr>
          <w:rFonts w:hint="eastAsia" w:ascii="仿宋" w:hAnsi="仿宋" w:eastAsia="仿宋" w:cs="仿宋"/>
          <w:color w:val="auto"/>
          <w:spacing w:val="-2"/>
          <w:w w:val="95"/>
          <w:sz w:val="24"/>
          <w:szCs w:val="24"/>
          <w:highlight w:val="none"/>
        </w:rPr>
        <w:t>2</w:t>
      </w:r>
      <w:r>
        <w:rPr>
          <w:rFonts w:hint="eastAsia" w:ascii="仿宋" w:hAnsi="仿宋" w:eastAsia="仿宋" w:cs="仿宋"/>
          <w:color w:val="auto"/>
          <w:spacing w:val="2"/>
          <w:w w:val="95"/>
          <w:sz w:val="24"/>
          <w:szCs w:val="24"/>
          <w:highlight w:val="none"/>
        </w:rPr>
        <w:t>0</w:t>
      </w:r>
      <w:r>
        <w:rPr>
          <w:rFonts w:hint="eastAsia" w:ascii="仿宋" w:hAnsi="仿宋" w:eastAsia="仿宋" w:cs="仿宋"/>
          <w:color w:val="auto"/>
          <w:spacing w:val="4"/>
          <w:w w:val="95"/>
          <w:sz w:val="24"/>
          <w:szCs w:val="24"/>
          <w:highlight w:val="none"/>
        </w:rPr>
        <w:t>﹞</w:t>
      </w:r>
      <w:r>
        <w:rPr>
          <w:rFonts w:hint="eastAsia" w:ascii="仿宋" w:hAnsi="仿宋" w:eastAsia="仿宋" w:cs="仿宋"/>
          <w:color w:val="auto"/>
          <w:w w:val="95"/>
          <w:sz w:val="24"/>
          <w:szCs w:val="24"/>
          <w:highlight w:val="none"/>
        </w:rPr>
        <w:t>46</w:t>
      </w:r>
      <w:r>
        <w:rPr>
          <w:rFonts w:hint="eastAsia" w:ascii="仿宋" w:hAnsi="仿宋" w:eastAsia="仿宋" w:cs="仿宋"/>
          <w:color w:val="auto"/>
          <w:spacing w:val="1"/>
          <w:w w:val="95"/>
          <w:sz w:val="24"/>
          <w:szCs w:val="24"/>
          <w:highlight w:val="none"/>
        </w:rPr>
        <w:t>号</w:t>
      </w:r>
      <w:r>
        <w:rPr>
          <w:rFonts w:hint="eastAsia" w:ascii="仿宋" w:hAnsi="仿宋" w:eastAsia="仿宋" w:cs="仿宋"/>
          <w:color w:val="auto"/>
          <w:spacing w:val="4"/>
          <w:w w:val="95"/>
          <w:sz w:val="24"/>
          <w:szCs w:val="24"/>
          <w:highlight w:val="none"/>
        </w:rPr>
        <w:t>）</w:t>
      </w:r>
      <w:r>
        <w:rPr>
          <w:rFonts w:hint="eastAsia" w:ascii="仿宋" w:hAnsi="仿宋" w:eastAsia="仿宋" w:cs="仿宋"/>
          <w:color w:val="auto"/>
          <w:spacing w:val="1"/>
          <w:w w:val="95"/>
          <w:sz w:val="24"/>
          <w:szCs w:val="24"/>
          <w:highlight w:val="none"/>
        </w:rPr>
        <w:t>的</w:t>
      </w:r>
      <w:r>
        <w:rPr>
          <w:rFonts w:hint="eastAsia" w:ascii="仿宋" w:hAnsi="仿宋" w:eastAsia="仿宋" w:cs="仿宋"/>
          <w:color w:val="auto"/>
          <w:spacing w:val="4"/>
          <w:w w:val="95"/>
          <w:sz w:val="24"/>
          <w:szCs w:val="24"/>
          <w:highlight w:val="none"/>
        </w:rPr>
        <w:t>规</w:t>
      </w:r>
      <w:r>
        <w:rPr>
          <w:rFonts w:hint="eastAsia" w:ascii="仿宋" w:hAnsi="仿宋" w:eastAsia="仿宋" w:cs="仿宋"/>
          <w:color w:val="auto"/>
          <w:spacing w:val="1"/>
          <w:w w:val="95"/>
          <w:sz w:val="24"/>
          <w:szCs w:val="24"/>
          <w:highlight w:val="none"/>
        </w:rPr>
        <w:t>定</w:t>
      </w:r>
      <w:r>
        <w:rPr>
          <w:rFonts w:hint="eastAsia" w:ascii="仿宋" w:hAnsi="仿宋" w:eastAsia="仿宋" w:cs="仿宋"/>
          <w:color w:val="auto"/>
          <w:spacing w:val="4"/>
          <w:w w:val="95"/>
          <w:sz w:val="24"/>
          <w:szCs w:val="24"/>
          <w:highlight w:val="none"/>
        </w:rPr>
        <w:t>，</w:t>
      </w:r>
      <w:r>
        <w:rPr>
          <w:rFonts w:hint="eastAsia" w:ascii="仿宋" w:hAnsi="仿宋" w:eastAsia="仿宋" w:cs="仿宋"/>
          <w:color w:val="auto"/>
          <w:spacing w:val="1"/>
          <w:w w:val="95"/>
          <w:sz w:val="24"/>
          <w:szCs w:val="24"/>
          <w:highlight w:val="none"/>
        </w:rPr>
        <w:t>本</w:t>
      </w:r>
      <w:r>
        <w:rPr>
          <w:rFonts w:hint="eastAsia" w:ascii="仿宋" w:hAnsi="仿宋" w:eastAsia="仿宋" w:cs="仿宋"/>
          <w:color w:val="auto"/>
          <w:spacing w:val="4"/>
          <w:w w:val="95"/>
          <w:sz w:val="24"/>
          <w:szCs w:val="24"/>
          <w:highlight w:val="none"/>
        </w:rPr>
        <w:t>公</w:t>
      </w:r>
      <w:r>
        <w:rPr>
          <w:rFonts w:hint="eastAsia" w:ascii="仿宋" w:hAnsi="仿宋" w:eastAsia="仿宋" w:cs="仿宋"/>
          <w:color w:val="auto"/>
          <w:w w:val="95"/>
          <w:sz w:val="24"/>
          <w:szCs w:val="24"/>
          <w:highlight w:val="none"/>
        </w:rPr>
        <w:t>司</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联</w:t>
      </w:r>
      <w:r>
        <w:rPr>
          <w:rFonts w:hint="eastAsia" w:ascii="仿宋" w:hAnsi="仿宋" w:eastAsia="仿宋" w:cs="仿宋"/>
          <w:color w:val="auto"/>
          <w:sz w:val="24"/>
          <w:szCs w:val="24"/>
          <w:highlight w:val="none"/>
        </w:rPr>
        <w:t>合体）参</w:t>
      </w:r>
      <w:r>
        <w:rPr>
          <w:rFonts w:hint="eastAsia" w:ascii="仿宋" w:hAnsi="仿宋" w:eastAsia="仿宋" w:cs="仿宋"/>
          <w:color w:val="auto"/>
          <w:spacing w:val="-16"/>
          <w:sz w:val="24"/>
          <w:szCs w:val="24"/>
          <w:highlight w:val="none"/>
        </w:rPr>
        <w:t>加</w:t>
      </w:r>
      <w:r>
        <w:rPr>
          <w:rFonts w:hint="eastAsia" w:ascii="仿宋" w:hAnsi="仿宋" w:eastAsia="仿宋" w:cs="仿宋"/>
          <w:color w:val="auto"/>
          <w:spacing w:val="6"/>
          <w:w w:val="95"/>
          <w:sz w:val="24"/>
          <w:szCs w:val="24"/>
          <w:highlight w:val="none"/>
          <w:u w:val="single" w:color="000000"/>
        </w:rPr>
        <w:tab/>
      </w:r>
      <w:r>
        <w:rPr>
          <w:rFonts w:hint="eastAsia" w:ascii="仿宋" w:hAnsi="仿宋" w:eastAsia="仿宋" w:cs="仿宋"/>
          <w:color w:val="auto"/>
          <w:spacing w:val="6"/>
          <w:w w:val="95"/>
          <w:sz w:val="24"/>
          <w:szCs w:val="24"/>
          <w:highlight w:val="none"/>
          <w:u w:val="single" w:color="000000"/>
          <w:lang w:eastAsia="zh-CN"/>
        </w:rPr>
        <w:t>（</w:t>
      </w:r>
      <w:r>
        <w:rPr>
          <w:rFonts w:hint="eastAsia" w:ascii="仿宋" w:hAnsi="仿宋" w:eastAsia="仿宋" w:cs="仿宋"/>
          <w:color w:val="auto"/>
          <w:spacing w:val="6"/>
          <w:w w:val="95"/>
          <w:sz w:val="24"/>
          <w:szCs w:val="24"/>
          <w:highlight w:val="none"/>
          <w:u w:val="single" w:color="000000"/>
          <w:lang w:val="en-US" w:eastAsia="zh-CN"/>
        </w:rPr>
        <w:t>单位名称</w:t>
      </w:r>
      <w:r>
        <w:rPr>
          <w:rFonts w:hint="eastAsia" w:ascii="仿宋" w:hAnsi="仿宋" w:eastAsia="仿宋" w:cs="仿宋"/>
          <w:color w:val="auto"/>
          <w:spacing w:val="6"/>
          <w:w w:val="95"/>
          <w:sz w:val="24"/>
          <w:szCs w:val="24"/>
          <w:highlight w:val="none"/>
          <w:u w:val="single" w:color="000000"/>
          <w:lang w:eastAsia="zh-CN"/>
        </w:rPr>
        <w:t>）</w:t>
      </w:r>
      <w:r>
        <w:rPr>
          <w:rFonts w:hint="eastAsia" w:ascii="仿宋" w:hAnsi="仿宋" w:eastAsia="仿宋" w:cs="仿宋"/>
          <w:color w:val="auto"/>
          <w:spacing w:val="6"/>
          <w:w w:val="95"/>
          <w:sz w:val="24"/>
          <w:szCs w:val="24"/>
          <w:highlight w:val="none"/>
          <w:u w:val="single" w:color="000000"/>
        </w:rPr>
        <w:tab/>
      </w:r>
      <w:r>
        <w:rPr>
          <w:rFonts w:hint="eastAsia" w:ascii="仿宋" w:hAnsi="仿宋" w:eastAsia="仿宋" w:cs="仿宋"/>
          <w:color w:val="auto"/>
          <w:spacing w:val="6"/>
          <w:w w:val="95"/>
          <w:sz w:val="24"/>
          <w:szCs w:val="24"/>
          <w:highlight w:val="none"/>
          <w:u w:val="none" w:color="auto"/>
          <w:lang w:val="en-US" w:eastAsia="zh-CN"/>
        </w:rPr>
        <w:t>的</w:t>
      </w:r>
      <w:r>
        <w:rPr>
          <w:rFonts w:hint="eastAsia" w:ascii="仿宋" w:hAnsi="仿宋" w:eastAsia="仿宋" w:cs="仿宋"/>
          <w:color w:val="auto"/>
          <w:spacing w:val="6"/>
          <w:w w:val="95"/>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pacing w:val="2"/>
          <w:sz w:val="24"/>
          <w:szCs w:val="24"/>
          <w:highlight w:val="none"/>
          <w:lang w:val="en-US" w:eastAsia="zh-CN"/>
        </w:rPr>
        <w:t>采购</w:t>
      </w:r>
      <w:r>
        <w:rPr>
          <w:rFonts w:hint="eastAsia" w:ascii="仿宋" w:hAnsi="仿宋" w:eastAsia="仿宋" w:cs="仿宋"/>
          <w:color w:val="auto"/>
          <w:sz w:val="24"/>
          <w:szCs w:val="24"/>
          <w:highlight w:val="none"/>
        </w:rPr>
        <w:t>活</w:t>
      </w:r>
      <w:r>
        <w:rPr>
          <w:rFonts w:hint="eastAsia" w:ascii="仿宋" w:hAnsi="仿宋" w:eastAsia="仿宋" w:cs="仿宋"/>
          <w:color w:val="auto"/>
          <w:spacing w:val="2"/>
          <w:sz w:val="24"/>
          <w:szCs w:val="24"/>
          <w:highlight w:val="none"/>
        </w:rPr>
        <w:t>动</w:t>
      </w:r>
      <w:r>
        <w:rPr>
          <w:rFonts w:hint="eastAsia" w:ascii="仿宋" w:hAnsi="仿宋" w:eastAsia="仿宋" w:cs="仿宋"/>
          <w:color w:val="auto"/>
          <w:spacing w:val="-3"/>
          <w:sz w:val="24"/>
          <w:szCs w:val="24"/>
          <w:highlight w:val="none"/>
        </w:rPr>
        <w:t>，</w:t>
      </w:r>
      <w:r>
        <w:rPr>
          <w:rFonts w:hint="eastAsia" w:ascii="仿宋" w:hAnsi="仿宋" w:eastAsia="仿宋" w:cs="仿宋"/>
          <w:color w:val="auto"/>
          <w:w w:val="95"/>
          <w:sz w:val="24"/>
          <w:szCs w:val="24"/>
          <w:highlight w:val="none"/>
        </w:rPr>
        <w:t>服务</w:t>
      </w:r>
      <w:r>
        <w:rPr>
          <w:rFonts w:hint="eastAsia" w:ascii="仿宋" w:hAnsi="仿宋" w:eastAsia="仿宋" w:cs="仿宋"/>
          <w:color w:val="auto"/>
          <w:spacing w:val="6"/>
          <w:w w:val="95"/>
          <w:sz w:val="24"/>
          <w:szCs w:val="24"/>
          <w:highlight w:val="none"/>
        </w:rPr>
        <w:t>全部</w:t>
      </w:r>
      <w:r>
        <w:rPr>
          <w:rFonts w:hint="eastAsia" w:ascii="仿宋" w:hAnsi="仿宋" w:eastAsia="仿宋" w:cs="仿宋"/>
          <w:color w:val="auto"/>
          <w:spacing w:val="4"/>
          <w:w w:val="95"/>
          <w:sz w:val="24"/>
          <w:szCs w:val="24"/>
          <w:highlight w:val="none"/>
        </w:rPr>
        <w:t>由</w:t>
      </w:r>
      <w:r>
        <w:rPr>
          <w:rFonts w:hint="eastAsia" w:ascii="仿宋" w:hAnsi="仿宋" w:eastAsia="仿宋" w:cs="仿宋"/>
          <w:color w:val="auto"/>
          <w:spacing w:val="6"/>
          <w:w w:val="95"/>
          <w:sz w:val="24"/>
          <w:szCs w:val="24"/>
          <w:highlight w:val="none"/>
        </w:rPr>
        <w:t>符合政</w:t>
      </w:r>
      <w:r>
        <w:rPr>
          <w:rFonts w:hint="eastAsia" w:ascii="仿宋" w:hAnsi="仿宋" w:eastAsia="仿宋" w:cs="仿宋"/>
          <w:color w:val="auto"/>
          <w:spacing w:val="4"/>
          <w:w w:val="95"/>
          <w:sz w:val="24"/>
          <w:szCs w:val="24"/>
          <w:highlight w:val="none"/>
        </w:rPr>
        <w:t>策</w:t>
      </w:r>
      <w:r>
        <w:rPr>
          <w:rFonts w:hint="eastAsia" w:ascii="仿宋" w:hAnsi="仿宋" w:eastAsia="仿宋" w:cs="仿宋"/>
          <w:color w:val="auto"/>
          <w:spacing w:val="6"/>
          <w:w w:val="95"/>
          <w:sz w:val="24"/>
          <w:szCs w:val="24"/>
          <w:highlight w:val="none"/>
        </w:rPr>
        <w:t>要求的</w:t>
      </w:r>
      <w:r>
        <w:rPr>
          <w:rFonts w:hint="eastAsia" w:ascii="仿宋" w:hAnsi="仿宋" w:eastAsia="仿宋" w:cs="仿宋"/>
          <w:color w:val="auto"/>
          <w:spacing w:val="4"/>
          <w:w w:val="95"/>
          <w:sz w:val="24"/>
          <w:szCs w:val="24"/>
          <w:highlight w:val="none"/>
        </w:rPr>
        <w:t>中</w:t>
      </w:r>
      <w:r>
        <w:rPr>
          <w:rFonts w:hint="eastAsia" w:ascii="仿宋" w:hAnsi="仿宋" w:eastAsia="仿宋" w:cs="仿宋"/>
          <w:color w:val="auto"/>
          <w:spacing w:val="6"/>
          <w:w w:val="95"/>
          <w:sz w:val="24"/>
          <w:szCs w:val="24"/>
          <w:highlight w:val="none"/>
        </w:rPr>
        <w:t>小企业</w:t>
      </w:r>
      <w:r>
        <w:rPr>
          <w:rFonts w:hint="eastAsia" w:ascii="仿宋" w:hAnsi="仿宋" w:eastAsia="仿宋" w:cs="仿宋"/>
          <w:color w:val="auto"/>
          <w:spacing w:val="4"/>
          <w:w w:val="95"/>
          <w:sz w:val="24"/>
          <w:szCs w:val="24"/>
          <w:highlight w:val="none"/>
        </w:rPr>
        <w:t>承</w:t>
      </w:r>
      <w:r>
        <w:rPr>
          <w:rFonts w:hint="eastAsia" w:ascii="仿宋" w:hAnsi="仿宋" w:eastAsia="仿宋" w:cs="仿宋"/>
          <w:color w:val="auto"/>
          <w:spacing w:val="6"/>
          <w:w w:val="95"/>
          <w:sz w:val="24"/>
          <w:szCs w:val="24"/>
          <w:highlight w:val="none"/>
        </w:rPr>
        <w:t>接</w:t>
      </w:r>
      <w:r>
        <w:rPr>
          <w:rFonts w:hint="eastAsia" w:ascii="仿宋" w:hAnsi="仿宋" w:eastAsia="仿宋" w:cs="仿宋"/>
          <w:color w:val="auto"/>
          <w:spacing w:val="6"/>
          <w:w w:val="95"/>
          <w:sz w:val="24"/>
          <w:szCs w:val="24"/>
          <w:highlight w:val="none"/>
          <w:lang w:eastAsia="zh-CN"/>
        </w:rPr>
        <w:t>。</w:t>
      </w:r>
      <w:r>
        <w:rPr>
          <w:rFonts w:hint="eastAsia" w:ascii="仿宋" w:hAnsi="仿宋" w:eastAsia="仿宋" w:cs="仿宋"/>
          <w:color w:val="auto"/>
          <w:spacing w:val="6"/>
          <w:w w:val="95"/>
          <w:sz w:val="24"/>
          <w:szCs w:val="24"/>
          <w:highlight w:val="none"/>
        </w:rPr>
        <w:t>相</w:t>
      </w:r>
      <w:r>
        <w:rPr>
          <w:rFonts w:hint="eastAsia" w:ascii="仿宋" w:hAnsi="仿宋" w:eastAsia="仿宋" w:cs="仿宋"/>
          <w:color w:val="auto"/>
          <w:spacing w:val="4"/>
          <w:w w:val="95"/>
          <w:sz w:val="24"/>
          <w:szCs w:val="24"/>
          <w:highlight w:val="none"/>
        </w:rPr>
        <w:t>关</w:t>
      </w:r>
      <w:r>
        <w:rPr>
          <w:rFonts w:hint="eastAsia" w:ascii="仿宋" w:hAnsi="仿宋" w:eastAsia="仿宋" w:cs="仿宋"/>
          <w:color w:val="auto"/>
          <w:spacing w:val="6"/>
          <w:w w:val="95"/>
          <w:sz w:val="24"/>
          <w:szCs w:val="24"/>
          <w:highlight w:val="none"/>
        </w:rPr>
        <w:t>企业（</w:t>
      </w:r>
      <w:r>
        <w:rPr>
          <w:rFonts w:hint="eastAsia" w:ascii="仿宋" w:hAnsi="仿宋" w:eastAsia="仿宋" w:cs="仿宋"/>
          <w:color w:val="auto"/>
          <w:spacing w:val="4"/>
          <w:w w:val="95"/>
          <w:sz w:val="24"/>
          <w:szCs w:val="24"/>
          <w:highlight w:val="none"/>
        </w:rPr>
        <w:t>含</w:t>
      </w:r>
      <w:r>
        <w:rPr>
          <w:rFonts w:hint="eastAsia" w:ascii="仿宋" w:hAnsi="仿宋" w:eastAsia="仿宋" w:cs="仿宋"/>
          <w:color w:val="auto"/>
          <w:spacing w:val="6"/>
          <w:w w:val="95"/>
          <w:sz w:val="24"/>
          <w:szCs w:val="24"/>
          <w:highlight w:val="none"/>
        </w:rPr>
        <w:t>联</w:t>
      </w:r>
      <w:r>
        <w:rPr>
          <w:rFonts w:hint="eastAsia" w:ascii="仿宋" w:hAnsi="仿宋" w:eastAsia="仿宋" w:cs="仿宋"/>
          <w:color w:val="auto"/>
          <w:w w:val="95"/>
          <w:sz w:val="24"/>
          <w:szCs w:val="24"/>
          <w:highlight w:val="none"/>
        </w:rPr>
        <w:t>合体中的中小企业、签订分包意向协议的中小企业）的具体情</w:t>
      </w:r>
      <w:r>
        <w:rPr>
          <w:rFonts w:hint="eastAsia" w:ascii="仿宋" w:hAnsi="仿宋" w:eastAsia="仿宋" w:cs="仿宋"/>
          <w:color w:val="auto"/>
          <w:sz w:val="24"/>
          <w:szCs w:val="24"/>
          <w:highlight w:val="none"/>
        </w:rPr>
        <w:t>况如下：</w:t>
      </w:r>
    </w:p>
    <w:p>
      <w:pPr>
        <w:tabs>
          <w:tab w:val="left" w:pos="1706"/>
          <w:tab w:val="left" w:pos="4905"/>
          <w:tab w:val="left" w:pos="7193"/>
        </w:tabs>
        <w:spacing w:before="11" w:line="288" w:lineRule="auto"/>
        <w:ind w:left="105" w:right="116" w:firstLine="655"/>
        <w:jc w:val="left"/>
        <w:rPr>
          <w:rFonts w:hint="eastAsia" w:ascii="仿宋" w:hAnsi="仿宋" w:eastAsia="仿宋" w:cs="仿宋"/>
          <w:snapToGrid w:val="0"/>
          <w:color w:val="auto"/>
          <w:spacing w:val="6"/>
          <w:w w:val="95"/>
          <w:kern w:val="2"/>
          <w:sz w:val="24"/>
          <w:szCs w:val="24"/>
          <w:highlight w:val="none"/>
          <w:u w:val="single" w:color="000000"/>
          <w:lang w:val="en-US" w:eastAsia="zh-CN" w:bidi="ar-SA"/>
        </w:rPr>
      </w:pPr>
      <w:r>
        <w:rPr>
          <w:rFonts w:hint="eastAsia" w:ascii="仿宋" w:hAnsi="仿宋" w:eastAsia="仿宋" w:cs="仿宋"/>
          <w:color w:val="auto"/>
          <w:w w:val="95"/>
          <w:sz w:val="24"/>
          <w:szCs w:val="24"/>
          <w:highlight w:val="none"/>
        </w:rPr>
        <w:t>1.</w:t>
      </w:r>
      <w:r>
        <w:rPr>
          <w:rFonts w:hint="eastAsia" w:ascii="仿宋" w:hAnsi="仿宋" w:eastAsia="仿宋" w:cs="仿宋"/>
          <w:snapToGrid w:val="0"/>
          <w:color w:val="auto"/>
          <w:spacing w:val="6"/>
          <w:w w:val="95"/>
          <w:kern w:val="2"/>
          <w:sz w:val="24"/>
          <w:szCs w:val="24"/>
          <w:highlight w:val="none"/>
          <w:u w:val="single" w:color="000000"/>
          <w:lang w:val="en-US" w:eastAsia="zh-CN" w:bidi="ar-SA"/>
        </w:rPr>
        <w:t xml:space="preserve"> （标的名称）</w:t>
      </w:r>
      <w:r>
        <w:rPr>
          <w:rFonts w:hint="eastAsia" w:ascii="仿宋" w:hAnsi="仿宋" w:eastAsia="仿宋" w:cs="仿宋"/>
          <w:snapToGrid w:val="0"/>
          <w:color w:val="auto"/>
          <w:spacing w:val="6"/>
          <w:w w:val="95"/>
          <w:kern w:val="2"/>
          <w:sz w:val="24"/>
          <w:szCs w:val="24"/>
          <w:highlight w:val="none"/>
          <w:u w:val="none" w:color="auto"/>
          <w:lang w:val="en-US" w:eastAsia="zh-CN" w:bidi="ar-SA"/>
        </w:rPr>
        <w:t>，属于</w:t>
      </w:r>
      <w:r>
        <w:rPr>
          <w:rFonts w:hint="eastAsia" w:ascii="仿宋" w:hAnsi="仿宋" w:eastAsia="仿宋" w:cs="仿宋"/>
          <w:snapToGrid w:val="0"/>
          <w:color w:val="auto"/>
          <w:spacing w:val="6"/>
          <w:w w:val="95"/>
          <w:kern w:val="2"/>
          <w:sz w:val="24"/>
          <w:szCs w:val="24"/>
          <w:highlight w:val="none"/>
          <w:u w:val="single" w:color="000000"/>
          <w:lang w:val="en-US" w:eastAsia="zh-CN" w:bidi="ar-SA"/>
        </w:rPr>
        <w:t>（所属行业）行业；</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pacing w:val="6"/>
          <w:w w:val="95"/>
          <w:sz w:val="24"/>
          <w:szCs w:val="24"/>
          <w:highlight w:val="none"/>
        </w:rPr>
        <w:t>承</w:t>
      </w:r>
      <w:r>
        <w:rPr>
          <w:rFonts w:hint="eastAsia" w:ascii="仿宋" w:hAnsi="仿宋" w:eastAsia="仿宋" w:cs="仿宋"/>
          <w:color w:val="auto"/>
          <w:spacing w:val="4"/>
          <w:w w:val="95"/>
          <w:sz w:val="24"/>
          <w:szCs w:val="24"/>
          <w:highlight w:val="none"/>
        </w:rPr>
        <w:t>建</w:t>
      </w:r>
      <w:r>
        <w:rPr>
          <w:rFonts w:hint="eastAsia" w:ascii="仿宋" w:hAnsi="仿宋" w:eastAsia="仿宋" w:cs="仿宋"/>
          <w:color w:val="auto"/>
          <w:spacing w:val="6"/>
          <w:w w:val="95"/>
          <w:sz w:val="24"/>
          <w:szCs w:val="24"/>
          <w:highlight w:val="none"/>
        </w:rPr>
        <w:t>（</w:t>
      </w:r>
      <w:r>
        <w:rPr>
          <w:rFonts w:hint="eastAsia" w:ascii="仿宋" w:hAnsi="仿宋" w:eastAsia="仿宋" w:cs="仿宋"/>
          <w:color w:val="auto"/>
          <w:spacing w:val="4"/>
          <w:w w:val="95"/>
          <w:sz w:val="24"/>
          <w:szCs w:val="24"/>
          <w:highlight w:val="none"/>
        </w:rPr>
        <w:t>承</w:t>
      </w:r>
      <w:r>
        <w:rPr>
          <w:rFonts w:hint="eastAsia" w:ascii="仿宋" w:hAnsi="仿宋" w:eastAsia="仿宋" w:cs="仿宋"/>
          <w:color w:val="auto"/>
          <w:spacing w:val="6"/>
          <w:w w:val="95"/>
          <w:sz w:val="24"/>
          <w:szCs w:val="24"/>
          <w:highlight w:val="none"/>
        </w:rPr>
        <w:t>接）</w:t>
      </w:r>
      <w:r>
        <w:rPr>
          <w:rFonts w:hint="eastAsia" w:ascii="仿宋" w:hAnsi="仿宋" w:eastAsia="仿宋" w:cs="仿宋"/>
          <w:color w:val="auto"/>
          <w:spacing w:val="4"/>
          <w:w w:val="95"/>
          <w:sz w:val="24"/>
          <w:szCs w:val="24"/>
          <w:highlight w:val="none"/>
        </w:rPr>
        <w:t>企</w:t>
      </w:r>
      <w:r>
        <w:rPr>
          <w:rFonts w:hint="eastAsia" w:ascii="仿宋" w:hAnsi="仿宋" w:eastAsia="仿宋" w:cs="仿宋"/>
          <w:color w:val="auto"/>
          <w:spacing w:val="6"/>
          <w:w w:val="95"/>
          <w:sz w:val="24"/>
          <w:szCs w:val="24"/>
          <w:highlight w:val="none"/>
        </w:rPr>
        <w:t>业</w:t>
      </w:r>
      <w:r>
        <w:rPr>
          <w:rFonts w:hint="eastAsia" w:ascii="仿宋" w:hAnsi="仿宋" w:eastAsia="仿宋" w:cs="仿宋"/>
          <w:color w:val="auto"/>
          <w:spacing w:val="-10"/>
          <w:w w:val="95"/>
          <w:sz w:val="24"/>
          <w:szCs w:val="24"/>
          <w:highlight w:val="none"/>
        </w:rPr>
        <w:t>为</w:t>
      </w:r>
      <w:r>
        <w:rPr>
          <w:rFonts w:hint="eastAsia" w:ascii="仿宋" w:hAnsi="仿宋" w:eastAsia="仿宋" w:cs="仿宋"/>
          <w:snapToGrid w:val="0"/>
          <w:color w:val="auto"/>
          <w:spacing w:val="6"/>
          <w:w w:val="95"/>
          <w:kern w:val="2"/>
          <w:sz w:val="24"/>
          <w:szCs w:val="24"/>
          <w:highlight w:val="none"/>
          <w:u w:val="single" w:color="000000"/>
          <w:lang w:val="en-US" w:eastAsia="zh-CN" w:bidi="ar-SA"/>
        </w:rPr>
        <w:t>（企业名称），</w:t>
      </w:r>
      <w:r>
        <w:rPr>
          <w:rFonts w:hint="eastAsia" w:ascii="仿宋" w:hAnsi="仿宋" w:eastAsia="仿宋" w:cs="仿宋"/>
          <w:color w:val="auto"/>
          <w:spacing w:val="4"/>
          <w:w w:val="95"/>
          <w:sz w:val="24"/>
          <w:szCs w:val="24"/>
          <w:highlight w:val="none"/>
        </w:rPr>
        <w:t>从</w:t>
      </w:r>
      <w:r>
        <w:rPr>
          <w:rFonts w:hint="eastAsia" w:ascii="仿宋" w:hAnsi="仿宋" w:eastAsia="仿宋" w:cs="仿宋"/>
          <w:color w:val="auto"/>
          <w:spacing w:val="6"/>
          <w:w w:val="95"/>
          <w:sz w:val="24"/>
          <w:szCs w:val="24"/>
          <w:highlight w:val="none"/>
        </w:rPr>
        <w:t>业</w:t>
      </w:r>
      <w:r>
        <w:rPr>
          <w:rFonts w:hint="eastAsia" w:ascii="仿宋" w:hAnsi="仿宋" w:eastAsia="仿宋" w:cs="仿宋"/>
          <w:color w:val="auto"/>
          <w:spacing w:val="4"/>
          <w:w w:val="95"/>
          <w:sz w:val="24"/>
          <w:szCs w:val="24"/>
          <w:highlight w:val="none"/>
        </w:rPr>
        <w:t>人</w:t>
      </w:r>
      <w:r>
        <w:rPr>
          <w:rFonts w:hint="eastAsia" w:ascii="仿宋" w:hAnsi="仿宋" w:eastAsia="仿宋" w:cs="仿宋"/>
          <w:color w:val="auto"/>
          <w:spacing w:val="6"/>
          <w:w w:val="95"/>
          <w:sz w:val="24"/>
          <w:szCs w:val="24"/>
          <w:highlight w:val="none"/>
        </w:rPr>
        <w:t>员</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spacing w:val="7"/>
          <w:sz w:val="24"/>
          <w:szCs w:val="24"/>
          <w:highlight w:val="none"/>
        </w:rPr>
        <w:t>人</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7"/>
          <w:sz w:val="24"/>
          <w:szCs w:val="24"/>
          <w:highlight w:val="none"/>
        </w:rPr>
        <w:t>营</w:t>
      </w:r>
      <w:r>
        <w:rPr>
          <w:rFonts w:hint="eastAsia" w:ascii="仿宋" w:hAnsi="仿宋" w:eastAsia="仿宋" w:cs="仿宋"/>
          <w:color w:val="auto"/>
          <w:sz w:val="24"/>
          <w:szCs w:val="24"/>
          <w:highlight w:val="none"/>
        </w:rPr>
        <w:t>业</w:t>
      </w:r>
      <w:r>
        <w:rPr>
          <w:rFonts w:hint="eastAsia" w:ascii="仿宋" w:hAnsi="仿宋" w:eastAsia="仿宋" w:cs="仿宋"/>
          <w:color w:val="auto"/>
          <w:w w:val="95"/>
          <w:sz w:val="24"/>
          <w:szCs w:val="24"/>
          <w:highlight w:val="none"/>
        </w:rPr>
        <w:t>收</w:t>
      </w:r>
      <w:r>
        <w:rPr>
          <w:rFonts w:hint="eastAsia" w:ascii="仿宋" w:hAnsi="仿宋" w:eastAsia="仿宋" w:cs="仿宋"/>
          <w:color w:val="auto"/>
          <w:spacing w:val="1"/>
          <w:w w:val="95"/>
          <w:sz w:val="24"/>
          <w:szCs w:val="24"/>
          <w:highlight w:val="none"/>
        </w:rPr>
        <w:t>入</w:t>
      </w:r>
      <w:r>
        <w:rPr>
          <w:rFonts w:hint="eastAsia" w:ascii="仿宋" w:hAnsi="仿宋" w:eastAsia="仿宋" w:cs="仿宋"/>
          <w:color w:val="auto"/>
          <w:w w:val="95"/>
          <w:sz w:val="24"/>
          <w:szCs w:val="24"/>
          <w:highlight w:val="none"/>
        </w:rPr>
        <w:t>为</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w w:val="95"/>
          <w:sz w:val="24"/>
          <w:szCs w:val="24"/>
          <w:highlight w:val="none"/>
        </w:rPr>
        <w:t>万</w:t>
      </w:r>
      <w:r>
        <w:rPr>
          <w:rFonts w:hint="eastAsia" w:ascii="仿宋" w:hAnsi="仿宋" w:eastAsia="仿宋" w:cs="仿宋"/>
          <w:color w:val="auto"/>
          <w:spacing w:val="1"/>
          <w:w w:val="95"/>
          <w:sz w:val="24"/>
          <w:szCs w:val="24"/>
          <w:highlight w:val="none"/>
        </w:rPr>
        <w:t>元</w:t>
      </w:r>
      <w:r>
        <w:rPr>
          <w:rFonts w:hint="eastAsia" w:ascii="仿宋" w:hAnsi="仿宋" w:eastAsia="仿宋" w:cs="仿宋"/>
          <w:color w:val="auto"/>
          <w:w w:val="95"/>
          <w:sz w:val="24"/>
          <w:szCs w:val="24"/>
          <w:highlight w:val="none"/>
        </w:rPr>
        <w:t>，资</w:t>
      </w:r>
      <w:r>
        <w:rPr>
          <w:rFonts w:hint="eastAsia" w:ascii="仿宋" w:hAnsi="仿宋" w:eastAsia="仿宋" w:cs="仿宋"/>
          <w:color w:val="auto"/>
          <w:spacing w:val="1"/>
          <w:w w:val="95"/>
          <w:sz w:val="24"/>
          <w:szCs w:val="24"/>
          <w:highlight w:val="none"/>
        </w:rPr>
        <w:t>产</w:t>
      </w:r>
      <w:r>
        <w:rPr>
          <w:rFonts w:hint="eastAsia" w:ascii="仿宋" w:hAnsi="仿宋" w:eastAsia="仿宋" w:cs="仿宋"/>
          <w:color w:val="auto"/>
          <w:w w:val="95"/>
          <w:sz w:val="24"/>
          <w:szCs w:val="24"/>
          <w:highlight w:val="none"/>
        </w:rPr>
        <w:t>总额为</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sz w:val="24"/>
          <w:szCs w:val="24"/>
          <w:highlight w:val="none"/>
        </w:rPr>
        <w:t>万</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2"/>
          <w:sz w:val="24"/>
          <w:szCs w:val="24"/>
          <w:highlight w:val="none"/>
          <w:vertAlign w:val="superscript"/>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属</w:t>
      </w:r>
      <w:r>
        <w:rPr>
          <w:rFonts w:hint="eastAsia" w:ascii="仿宋" w:hAnsi="仿宋" w:eastAsia="仿宋" w:cs="仿宋"/>
          <w:color w:val="auto"/>
          <w:spacing w:val="-16"/>
          <w:sz w:val="24"/>
          <w:szCs w:val="24"/>
          <w:highlight w:val="none"/>
        </w:rPr>
        <w:t>于</w:t>
      </w:r>
      <w:r>
        <w:rPr>
          <w:rFonts w:hint="eastAsia" w:ascii="仿宋" w:hAnsi="仿宋" w:eastAsia="仿宋" w:cs="仿宋"/>
          <w:snapToGrid w:val="0"/>
          <w:color w:val="auto"/>
          <w:spacing w:val="6"/>
          <w:w w:val="95"/>
          <w:kern w:val="2"/>
          <w:sz w:val="24"/>
          <w:szCs w:val="24"/>
          <w:highlight w:val="none"/>
          <w:u w:val="single" w:color="000000"/>
          <w:lang w:val="en-US" w:eastAsia="zh-CN" w:bidi="ar-SA"/>
        </w:rPr>
        <w:t xml:space="preserve"> （中型企业、小型企业、微型企业）；</w:t>
      </w:r>
    </w:p>
    <w:p>
      <w:pPr>
        <w:tabs>
          <w:tab w:val="left" w:pos="1706"/>
          <w:tab w:val="left" w:pos="4905"/>
          <w:tab w:val="left" w:pos="7193"/>
        </w:tabs>
        <w:spacing w:before="11" w:line="288" w:lineRule="auto"/>
        <w:ind w:left="105" w:right="116" w:firstLine="655"/>
        <w:jc w:val="left"/>
        <w:rPr>
          <w:rFonts w:hint="eastAsia" w:ascii="仿宋" w:hAnsi="仿宋" w:eastAsia="仿宋" w:cs="仿宋"/>
          <w:snapToGrid w:val="0"/>
          <w:color w:val="auto"/>
          <w:spacing w:val="6"/>
          <w:w w:val="95"/>
          <w:kern w:val="2"/>
          <w:sz w:val="24"/>
          <w:szCs w:val="24"/>
          <w:highlight w:val="none"/>
          <w:u w:val="single" w:color="000000"/>
          <w:lang w:val="en-US" w:eastAsia="zh-CN" w:bidi="ar-SA"/>
        </w:rPr>
      </w:pPr>
      <w:r>
        <w:rPr>
          <w:rFonts w:hint="eastAsia" w:ascii="仿宋" w:hAnsi="仿宋" w:eastAsia="仿宋" w:cs="仿宋"/>
          <w:color w:val="auto"/>
          <w:w w:val="95"/>
          <w:sz w:val="24"/>
          <w:szCs w:val="24"/>
          <w:highlight w:val="none"/>
        </w:rPr>
        <w:t>2..</w:t>
      </w:r>
      <w:r>
        <w:rPr>
          <w:rFonts w:hint="eastAsia" w:ascii="仿宋" w:hAnsi="仿宋" w:eastAsia="仿宋" w:cs="仿宋"/>
          <w:snapToGrid w:val="0"/>
          <w:color w:val="auto"/>
          <w:spacing w:val="6"/>
          <w:w w:val="95"/>
          <w:kern w:val="2"/>
          <w:sz w:val="24"/>
          <w:szCs w:val="24"/>
          <w:highlight w:val="none"/>
          <w:u w:val="single" w:color="000000"/>
          <w:lang w:val="en-US" w:eastAsia="zh-CN" w:bidi="ar-SA"/>
        </w:rPr>
        <w:t xml:space="preserve"> （标的名称）</w:t>
      </w:r>
      <w:r>
        <w:rPr>
          <w:rFonts w:hint="eastAsia" w:ascii="仿宋" w:hAnsi="仿宋" w:eastAsia="仿宋" w:cs="仿宋"/>
          <w:snapToGrid w:val="0"/>
          <w:color w:val="auto"/>
          <w:spacing w:val="6"/>
          <w:w w:val="95"/>
          <w:kern w:val="2"/>
          <w:sz w:val="24"/>
          <w:szCs w:val="24"/>
          <w:highlight w:val="none"/>
          <w:u w:val="none" w:color="auto"/>
          <w:lang w:val="en-US" w:eastAsia="zh-CN" w:bidi="ar-SA"/>
        </w:rPr>
        <w:t>，属于</w:t>
      </w:r>
      <w:r>
        <w:rPr>
          <w:rFonts w:hint="eastAsia" w:ascii="仿宋" w:hAnsi="仿宋" w:eastAsia="仿宋" w:cs="仿宋"/>
          <w:snapToGrid w:val="0"/>
          <w:color w:val="auto"/>
          <w:spacing w:val="6"/>
          <w:w w:val="95"/>
          <w:kern w:val="2"/>
          <w:sz w:val="24"/>
          <w:szCs w:val="24"/>
          <w:highlight w:val="none"/>
          <w:u w:val="single" w:color="000000"/>
          <w:lang w:val="en-US" w:eastAsia="zh-CN" w:bidi="ar-SA"/>
        </w:rPr>
        <w:t>（所属行业）行业；</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pacing w:val="6"/>
          <w:w w:val="95"/>
          <w:sz w:val="24"/>
          <w:szCs w:val="24"/>
          <w:highlight w:val="none"/>
        </w:rPr>
        <w:t>承</w:t>
      </w:r>
      <w:r>
        <w:rPr>
          <w:rFonts w:hint="eastAsia" w:ascii="仿宋" w:hAnsi="仿宋" w:eastAsia="仿宋" w:cs="仿宋"/>
          <w:color w:val="auto"/>
          <w:spacing w:val="4"/>
          <w:w w:val="95"/>
          <w:sz w:val="24"/>
          <w:szCs w:val="24"/>
          <w:highlight w:val="none"/>
        </w:rPr>
        <w:t>建</w:t>
      </w:r>
      <w:r>
        <w:rPr>
          <w:rFonts w:hint="eastAsia" w:ascii="仿宋" w:hAnsi="仿宋" w:eastAsia="仿宋" w:cs="仿宋"/>
          <w:color w:val="auto"/>
          <w:spacing w:val="6"/>
          <w:w w:val="95"/>
          <w:sz w:val="24"/>
          <w:szCs w:val="24"/>
          <w:highlight w:val="none"/>
        </w:rPr>
        <w:t>（</w:t>
      </w:r>
      <w:r>
        <w:rPr>
          <w:rFonts w:hint="eastAsia" w:ascii="仿宋" w:hAnsi="仿宋" w:eastAsia="仿宋" w:cs="仿宋"/>
          <w:color w:val="auto"/>
          <w:spacing w:val="4"/>
          <w:w w:val="95"/>
          <w:sz w:val="24"/>
          <w:szCs w:val="24"/>
          <w:highlight w:val="none"/>
        </w:rPr>
        <w:t>承</w:t>
      </w:r>
      <w:r>
        <w:rPr>
          <w:rFonts w:hint="eastAsia" w:ascii="仿宋" w:hAnsi="仿宋" w:eastAsia="仿宋" w:cs="仿宋"/>
          <w:color w:val="auto"/>
          <w:spacing w:val="6"/>
          <w:w w:val="95"/>
          <w:sz w:val="24"/>
          <w:szCs w:val="24"/>
          <w:highlight w:val="none"/>
        </w:rPr>
        <w:t>接）</w:t>
      </w:r>
      <w:r>
        <w:rPr>
          <w:rFonts w:hint="eastAsia" w:ascii="仿宋" w:hAnsi="仿宋" w:eastAsia="仿宋" w:cs="仿宋"/>
          <w:color w:val="auto"/>
          <w:spacing w:val="4"/>
          <w:w w:val="95"/>
          <w:sz w:val="24"/>
          <w:szCs w:val="24"/>
          <w:highlight w:val="none"/>
        </w:rPr>
        <w:t>企</w:t>
      </w:r>
      <w:r>
        <w:rPr>
          <w:rFonts w:hint="eastAsia" w:ascii="仿宋" w:hAnsi="仿宋" w:eastAsia="仿宋" w:cs="仿宋"/>
          <w:color w:val="auto"/>
          <w:spacing w:val="6"/>
          <w:w w:val="95"/>
          <w:sz w:val="24"/>
          <w:szCs w:val="24"/>
          <w:highlight w:val="none"/>
        </w:rPr>
        <w:t>业</w:t>
      </w:r>
      <w:r>
        <w:rPr>
          <w:rFonts w:hint="eastAsia" w:ascii="仿宋" w:hAnsi="仿宋" w:eastAsia="仿宋" w:cs="仿宋"/>
          <w:color w:val="auto"/>
          <w:spacing w:val="-10"/>
          <w:w w:val="95"/>
          <w:sz w:val="24"/>
          <w:szCs w:val="24"/>
          <w:highlight w:val="none"/>
        </w:rPr>
        <w:t>为</w:t>
      </w:r>
      <w:r>
        <w:rPr>
          <w:rFonts w:hint="eastAsia" w:ascii="仿宋" w:hAnsi="仿宋" w:eastAsia="仿宋" w:cs="仿宋"/>
          <w:snapToGrid w:val="0"/>
          <w:color w:val="auto"/>
          <w:spacing w:val="6"/>
          <w:w w:val="95"/>
          <w:kern w:val="2"/>
          <w:sz w:val="24"/>
          <w:szCs w:val="24"/>
          <w:highlight w:val="none"/>
          <w:u w:val="single" w:color="000000"/>
          <w:lang w:val="en-US" w:eastAsia="zh-CN" w:bidi="ar-SA"/>
        </w:rPr>
        <w:t>（企业名称），</w:t>
      </w:r>
      <w:r>
        <w:rPr>
          <w:rFonts w:hint="eastAsia" w:ascii="仿宋" w:hAnsi="仿宋" w:eastAsia="仿宋" w:cs="仿宋"/>
          <w:color w:val="auto"/>
          <w:spacing w:val="4"/>
          <w:w w:val="95"/>
          <w:sz w:val="24"/>
          <w:szCs w:val="24"/>
          <w:highlight w:val="none"/>
        </w:rPr>
        <w:t>从</w:t>
      </w:r>
      <w:r>
        <w:rPr>
          <w:rFonts w:hint="eastAsia" w:ascii="仿宋" w:hAnsi="仿宋" w:eastAsia="仿宋" w:cs="仿宋"/>
          <w:color w:val="auto"/>
          <w:spacing w:val="6"/>
          <w:w w:val="95"/>
          <w:sz w:val="24"/>
          <w:szCs w:val="24"/>
          <w:highlight w:val="none"/>
        </w:rPr>
        <w:t>业</w:t>
      </w:r>
      <w:r>
        <w:rPr>
          <w:rFonts w:hint="eastAsia" w:ascii="仿宋" w:hAnsi="仿宋" w:eastAsia="仿宋" w:cs="仿宋"/>
          <w:color w:val="auto"/>
          <w:spacing w:val="4"/>
          <w:w w:val="95"/>
          <w:sz w:val="24"/>
          <w:szCs w:val="24"/>
          <w:highlight w:val="none"/>
        </w:rPr>
        <w:t>人</w:t>
      </w:r>
      <w:r>
        <w:rPr>
          <w:rFonts w:hint="eastAsia" w:ascii="仿宋" w:hAnsi="仿宋" w:eastAsia="仿宋" w:cs="仿宋"/>
          <w:color w:val="auto"/>
          <w:spacing w:val="6"/>
          <w:w w:val="95"/>
          <w:sz w:val="24"/>
          <w:szCs w:val="24"/>
          <w:highlight w:val="none"/>
        </w:rPr>
        <w:t>员</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spacing w:val="7"/>
          <w:sz w:val="24"/>
          <w:szCs w:val="24"/>
          <w:highlight w:val="none"/>
        </w:rPr>
        <w:t>人</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7"/>
          <w:sz w:val="24"/>
          <w:szCs w:val="24"/>
          <w:highlight w:val="none"/>
        </w:rPr>
        <w:t>营</w:t>
      </w:r>
      <w:r>
        <w:rPr>
          <w:rFonts w:hint="eastAsia" w:ascii="仿宋" w:hAnsi="仿宋" w:eastAsia="仿宋" w:cs="仿宋"/>
          <w:color w:val="auto"/>
          <w:sz w:val="24"/>
          <w:szCs w:val="24"/>
          <w:highlight w:val="none"/>
        </w:rPr>
        <w:t>业</w:t>
      </w:r>
      <w:r>
        <w:rPr>
          <w:rFonts w:hint="eastAsia" w:ascii="仿宋" w:hAnsi="仿宋" w:eastAsia="仿宋" w:cs="仿宋"/>
          <w:color w:val="auto"/>
          <w:w w:val="95"/>
          <w:sz w:val="24"/>
          <w:szCs w:val="24"/>
          <w:highlight w:val="none"/>
        </w:rPr>
        <w:t>收</w:t>
      </w:r>
      <w:r>
        <w:rPr>
          <w:rFonts w:hint="eastAsia" w:ascii="仿宋" w:hAnsi="仿宋" w:eastAsia="仿宋" w:cs="仿宋"/>
          <w:color w:val="auto"/>
          <w:spacing w:val="1"/>
          <w:w w:val="95"/>
          <w:sz w:val="24"/>
          <w:szCs w:val="24"/>
          <w:highlight w:val="none"/>
        </w:rPr>
        <w:t>入</w:t>
      </w:r>
      <w:r>
        <w:rPr>
          <w:rFonts w:hint="eastAsia" w:ascii="仿宋" w:hAnsi="仿宋" w:eastAsia="仿宋" w:cs="仿宋"/>
          <w:color w:val="auto"/>
          <w:w w:val="95"/>
          <w:sz w:val="24"/>
          <w:szCs w:val="24"/>
          <w:highlight w:val="none"/>
        </w:rPr>
        <w:t>为</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w w:val="95"/>
          <w:sz w:val="24"/>
          <w:szCs w:val="24"/>
          <w:highlight w:val="none"/>
        </w:rPr>
        <w:t>万</w:t>
      </w:r>
      <w:r>
        <w:rPr>
          <w:rFonts w:hint="eastAsia" w:ascii="仿宋" w:hAnsi="仿宋" w:eastAsia="仿宋" w:cs="仿宋"/>
          <w:color w:val="auto"/>
          <w:spacing w:val="1"/>
          <w:w w:val="95"/>
          <w:sz w:val="24"/>
          <w:szCs w:val="24"/>
          <w:highlight w:val="none"/>
        </w:rPr>
        <w:t>元</w:t>
      </w:r>
      <w:r>
        <w:rPr>
          <w:rFonts w:hint="eastAsia" w:ascii="仿宋" w:hAnsi="仿宋" w:eastAsia="仿宋" w:cs="仿宋"/>
          <w:color w:val="auto"/>
          <w:w w:val="95"/>
          <w:sz w:val="24"/>
          <w:szCs w:val="24"/>
          <w:highlight w:val="none"/>
        </w:rPr>
        <w:t>，资</w:t>
      </w:r>
      <w:r>
        <w:rPr>
          <w:rFonts w:hint="eastAsia" w:ascii="仿宋" w:hAnsi="仿宋" w:eastAsia="仿宋" w:cs="仿宋"/>
          <w:color w:val="auto"/>
          <w:spacing w:val="1"/>
          <w:w w:val="95"/>
          <w:sz w:val="24"/>
          <w:szCs w:val="24"/>
          <w:highlight w:val="none"/>
        </w:rPr>
        <w:t>产</w:t>
      </w:r>
      <w:r>
        <w:rPr>
          <w:rFonts w:hint="eastAsia" w:ascii="仿宋" w:hAnsi="仿宋" w:eastAsia="仿宋" w:cs="仿宋"/>
          <w:color w:val="auto"/>
          <w:w w:val="95"/>
          <w:sz w:val="24"/>
          <w:szCs w:val="24"/>
          <w:highlight w:val="none"/>
        </w:rPr>
        <w:t>总额为</w:t>
      </w:r>
      <w:r>
        <w:rPr>
          <w:rFonts w:hint="eastAsia" w:ascii="仿宋" w:hAnsi="仿宋" w:eastAsia="仿宋" w:cs="仿宋"/>
          <w:color w:val="auto"/>
          <w:w w:val="95"/>
          <w:sz w:val="24"/>
          <w:szCs w:val="24"/>
          <w:highlight w:val="none"/>
          <w:u w:val="single" w:color="000000"/>
        </w:rPr>
        <w:tab/>
      </w:r>
      <w:r>
        <w:rPr>
          <w:rFonts w:hint="eastAsia" w:ascii="仿宋" w:hAnsi="仿宋" w:eastAsia="仿宋" w:cs="仿宋"/>
          <w:color w:val="auto"/>
          <w:sz w:val="24"/>
          <w:szCs w:val="24"/>
          <w:highlight w:val="none"/>
        </w:rPr>
        <w:t>万</w:t>
      </w:r>
      <w:r>
        <w:rPr>
          <w:rFonts w:hint="eastAsia" w:ascii="仿宋" w:hAnsi="仿宋" w:eastAsia="仿宋" w:cs="仿宋"/>
          <w:color w:val="auto"/>
          <w:spacing w:val="2"/>
          <w:sz w:val="24"/>
          <w:szCs w:val="24"/>
          <w:highlight w:val="none"/>
        </w:rPr>
        <w:t>元</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属</w:t>
      </w:r>
      <w:r>
        <w:rPr>
          <w:rFonts w:hint="eastAsia" w:ascii="仿宋" w:hAnsi="仿宋" w:eastAsia="仿宋" w:cs="仿宋"/>
          <w:color w:val="auto"/>
          <w:spacing w:val="-16"/>
          <w:sz w:val="24"/>
          <w:szCs w:val="24"/>
          <w:highlight w:val="none"/>
        </w:rPr>
        <w:t>于</w:t>
      </w:r>
      <w:r>
        <w:rPr>
          <w:rFonts w:hint="eastAsia" w:ascii="仿宋" w:hAnsi="仿宋" w:eastAsia="仿宋" w:cs="仿宋"/>
          <w:snapToGrid w:val="0"/>
          <w:color w:val="auto"/>
          <w:spacing w:val="6"/>
          <w:w w:val="95"/>
          <w:kern w:val="2"/>
          <w:sz w:val="24"/>
          <w:szCs w:val="24"/>
          <w:highlight w:val="none"/>
          <w:u w:val="single" w:color="000000"/>
          <w:lang w:val="en-US" w:eastAsia="zh-CN" w:bidi="ar-SA"/>
        </w:rPr>
        <w:t xml:space="preserve"> （中型企业、小型企业、微型企业）；</w:t>
      </w:r>
    </w:p>
    <w:p>
      <w:pPr>
        <w:tabs>
          <w:tab w:val="left" w:pos="1706"/>
          <w:tab w:val="left" w:pos="4905"/>
          <w:tab w:val="left" w:pos="7193"/>
        </w:tabs>
        <w:spacing w:before="21" w:line="288" w:lineRule="auto"/>
        <w:ind w:left="105" w:right="138" w:firstLine="655"/>
        <w:jc w:val="left"/>
        <w:rPr>
          <w:rFonts w:hint="eastAsia" w:ascii="仿宋" w:hAnsi="仿宋" w:eastAsia="仿宋" w:cs="仿宋"/>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before="33" w:line="298"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pacing w:val="-1"/>
          <w:w w:val="95"/>
          <w:sz w:val="24"/>
          <w:szCs w:val="24"/>
          <w:highlight w:val="none"/>
        </w:rPr>
        <w:t>以上企业，不属于大企业的分支机构，不存在控股股东</w:t>
      </w:r>
      <w:r>
        <w:rPr>
          <w:rFonts w:hint="eastAsia" w:ascii="仿宋" w:hAnsi="仿宋" w:eastAsia="仿宋" w:cs="仿宋"/>
          <w:color w:val="auto"/>
          <w:w w:val="95"/>
          <w:sz w:val="24"/>
          <w:szCs w:val="24"/>
          <w:highlight w:val="none"/>
        </w:rPr>
        <w:t>为大企业的情形，也不存在与大企业的负责人为同一人的情</w:t>
      </w:r>
      <w:r>
        <w:rPr>
          <w:rFonts w:hint="eastAsia" w:ascii="仿宋" w:hAnsi="仿宋" w:eastAsia="仿宋" w:cs="仿宋"/>
          <w:color w:val="auto"/>
          <w:sz w:val="24"/>
          <w:szCs w:val="24"/>
          <w:highlight w:val="none"/>
        </w:rPr>
        <w:t>形。</w:t>
      </w:r>
    </w:p>
    <w:p>
      <w:pPr>
        <w:pStyle w:val="8"/>
        <w:spacing w:before="21" w:line="298" w:lineRule="auto"/>
        <w:ind w:right="116" w:firstLine="45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rPr>
        <w:t>本</w:t>
      </w:r>
      <w:r>
        <w:rPr>
          <w:rFonts w:hint="eastAsia" w:ascii="仿宋" w:hAnsi="仿宋" w:eastAsia="仿宋" w:cs="仿宋"/>
          <w:color w:val="auto"/>
          <w:spacing w:val="1"/>
          <w:w w:val="95"/>
          <w:sz w:val="24"/>
          <w:szCs w:val="24"/>
          <w:highlight w:val="none"/>
        </w:rPr>
        <w:t>企</w:t>
      </w:r>
      <w:r>
        <w:rPr>
          <w:rFonts w:hint="eastAsia" w:ascii="仿宋" w:hAnsi="仿宋" w:eastAsia="仿宋" w:cs="仿宋"/>
          <w:color w:val="auto"/>
          <w:w w:val="95"/>
          <w:sz w:val="24"/>
          <w:szCs w:val="24"/>
          <w:highlight w:val="none"/>
        </w:rPr>
        <w:t>业对</w:t>
      </w:r>
      <w:r>
        <w:rPr>
          <w:rFonts w:hint="eastAsia" w:ascii="仿宋" w:hAnsi="仿宋" w:eastAsia="仿宋" w:cs="仿宋"/>
          <w:color w:val="auto"/>
          <w:spacing w:val="1"/>
          <w:w w:val="95"/>
          <w:sz w:val="24"/>
          <w:szCs w:val="24"/>
          <w:highlight w:val="none"/>
        </w:rPr>
        <w:t>上</w:t>
      </w:r>
      <w:r>
        <w:rPr>
          <w:rFonts w:hint="eastAsia" w:ascii="仿宋" w:hAnsi="仿宋" w:eastAsia="仿宋" w:cs="仿宋"/>
          <w:color w:val="auto"/>
          <w:w w:val="95"/>
          <w:sz w:val="24"/>
          <w:szCs w:val="24"/>
          <w:highlight w:val="none"/>
        </w:rPr>
        <w:t>述声</w:t>
      </w:r>
      <w:r>
        <w:rPr>
          <w:rFonts w:hint="eastAsia" w:ascii="仿宋" w:hAnsi="仿宋" w:eastAsia="仿宋" w:cs="仿宋"/>
          <w:color w:val="auto"/>
          <w:spacing w:val="1"/>
          <w:w w:val="95"/>
          <w:sz w:val="24"/>
          <w:szCs w:val="24"/>
          <w:highlight w:val="none"/>
        </w:rPr>
        <w:t>明</w:t>
      </w:r>
      <w:r>
        <w:rPr>
          <w:rFonts w:hint="eastAsia" w:ascii="仿宋" w:hAnsi="仿宋" w:eastAsia="仿宋" w:cs="仿宋"/>
          <w:color w:val="auto"/>
          <w:w w:val="95"/>
          <w:sz w:val="24"/>
          <w:szCs w:val="24"/>
          <w:highlight w:val="none"/>
        </w:rPr>
        <w:t>内容</w:t>
      </w:r>
      <w:r>
        <w:rPr>
          <w:rFonts w:hint="eastAsia" w:ascii="仿宋" w:hAnsi="仿宋" w:eastAsia="仿宋" w:cs="仿宋"/>
          <w:color w:val="auto"/>
          <w:spacing w:val="1"/>
          <w:w w:val="95"/>
          <w:sz w:val="24"/>
          <w:szCs w:val="24"/>
          <w:highlight w:val="none"/>
        </w:rPr>
        <w:t>的</w:t>
      </w:r>
      <w:r>
        <w:rPr>
          <w:rFonts w:hint="eastAsia" w:ascii="仿宋" w:hAnsi="仿宋" w:eastAsia="仿宋" w:cs="仿宋"/>
          <w:color w:val="auto"/>
          <w:w w:val="95"/>
          <w:sz w:val="24"/>
          <w:szCs w:val="24"/>
          <w:highlight w:val="none"/>
        </w:rPr>
        <w:t>真实</w:t>
      </w:r>
      <w:r>
        <w:rPr>
          <w:rFonts w:hint="eastAsia" w:ascii="仿宋" w:hAnsi="仿宋" w:eastAsia="仿宋" w:cs="仿宋"/>
          <w:color w:val="auto"/>
          <w:spacing w:val="1"/>
          <w:w w:val="95"/>
          <w:sz w:val="24"/>
          <w:szCs w:val="24"/>
          <w:highlight w:val="none"/>
        </w:rPr>
        <w:t>性</w:t>
      </w:r>
      <w:r>
        <w:rPr>
          <w:rFonts w:hint="eastAsia" w:ascii="仿宋" w:hAnsi="仿宋" w:eastAsia="仿宋" w:cs="仿宋"/>
          <w:color w:val="auto"/>
          <w:w w:val="95"/>
          <w:sz w:val="24"/>
          <w:szCs w:val="24"/>
          <w:highlight w:val="none"/>
        </w:rPr>
        <w:t>负责</w:t>
      </w:r>
      <w:r>
        <w:rPr>
          <w:rFonts w:hint="eastAsia" w:ascii="仿宋" w:hAnsi="仿宋" w:eastAsia="仿宋" w:cs="仿宋"/>
          <w:color w:val="auto"/>
          <w:spacing w:val="-7"/>
          <w:w w:val="95"/>
          <w:sz w:val="24"/>
          <w:szCs w:val="24"/>
          <w:highlight w:val="none"/>
        </w:rPr>
        <w:t>。</w:t>
      </w:r>
      <w:r>
        <w:rPr>
          <w:rFonts w:hint="eastAsia" w:ascii="仿宋" w:hAnsi="仿宋" w:eastAsia="仿宋" w:cs="仿宋"/>
          <w:color w:val="auto"/>
          <w:w w:val="95"/>
          <w:sz w:val="24"/>
          <w:szCs w:val="24"/>
          <w:highlight w:val="none"/>
        </w:rPr>
        <w:t>如</w:t>
      </w:r>
      <w:r>
        <w:rPr>
          <w:rFonts w:hint="eastAsia" w:ascii="仿宋" w:hAnsi="仿宋" w:eastAsia="仿宋" w:cs="仿宋"/>
          <w:color w:val="auto"/>
          <w:spacing w:val="1"/>
          <w:w w:val="95"/>
          <w:sz w:val="24"/>
          <w:szCs w:val="24"/>
          <w:highlight w:val="none"/>
        </w:rPr>
        <w:t>有</w:t>
      </w:r>
      <w:r>
        <w:rPr>
          <w:rFonts w:hint="eastAsia" w:ascii="仿宋" w:hAnsi="仿宋" w:eastAsia="仿宋" w:cs="仿宋"/>
          <w:color w:val="auto"/>
          <w:w w:val="95"/>
          <w:sz w:val="24"/>
          <w:szCs w:val="24"/>
          <w:highlight w:val="none"/>
        </w:rPr>
        <w:t>虚</w:t>
      </w:r>
      <w:r>
        <w:rPr>
          <w:rFonts w:hint="eastAsia" w:ascii="仿宋" w:hAnsi="仿宋" w:eastAsia="仿宋" w:cs="仿宋"/>
          <w:color w:val="auto"/>
          <w:spacing w:val="1"/>
          <w:w w:val="95"/>
          <w:sz w:val="24"/>
          <w:szCs w:val="24"/>
          <w:highlight w:val="none"/>
        </w:rPr>
        <w:t>假</w:t>
      </w:r>
      <w:r>
        <w:rPr>
          <w:rFonts w:hint="eastAsia" w:ascii="仿宋" w:hAnsi="仿宋" w:eastAsia="仿宋" w:cs="仿宋"/>
          <w:color w:val="auto"/>
          <w:spacing w:val="-7"/>
          <w:w w:val="95"/>
          <w:sz w:val="24"/>
          <w:szCs w:val="24"/>
          <w:highlight w:val="none"/>
        </w:rPr>
        <w:t>，</w:t>
      </w:r>
      <w:r>
        <w:rPr>
          <w:rFonts w:hint="eastAsia" w:ascii="仿宋" w:hAnsi="仿宋" w:eastAsia="仿宋" w:cs="仿宋"/>
          <w:color w:val="auto"/>
          <w:w w:val="95"/>
          <w:sz w:val="24"/>
          <w:szCs w:val="24"/>
          <w:highlight w:val="none"/>
        </w:rPr>
        <w:t>将依</w:t>
      </w:r>
      <w:r>
        <w:rPr>
          <w:rFonts w:hint="eastAsia" w:ascii="仿宋" w:hAnsi="仿宋" w:eastAsia="仿宋" w:cs="仿宋"/>
          <w:color w:val="auto"/>
          <w:sz w:val="24"/>
          <w:szCs w:val="24"/>
          <w:highlight w:val="none"/>
        </w:rPr>
        <w:t>法承担相应责任。</w:t>
      </w:r>
    </w:p>
    <w:p>
      <w:pPr>
        <w:pStyle w:val="8"/>
        <w:spacing w:before="55" w:line="309" w:lineRule="auto"/>
        <w:ind w:left="3960" w:right="1880" w:firstLine="0"/>
        <w:jc w:val="left"/>
        <w:rPr>
          <w:rFonts w:hint="eastAsia" w:ascii="仿宋" w:hAnsi="仿宋" w:eastAsia="仿宋" w:cs="仿宋"/>
          <w:color w:val="auto"/>
          <w:w w:val="99"/>
          <w:sz w:val="24"/>
          <w:szCs w:val="24"/>
          <w:highlight w:val="none"/>
          <w:lang w:eastAsia="zh-CN"/>
        </w:rPr>
      </w:pPr>
      <w:r>
        <w:rPr>
          <w:rFonts w:hint="eastAsia" w:ascii="仿宋" w:hAnsi="仿宋" w:eastAsia="仿宋" w:cs="仿宋"/>
          <w:color w:val="auto"/>
          <w:w w:val="95"/>
          <w:sz w:val="24"/>
          <w:szCs w:val="24"/>
          <w:highlight w:val="none"/>
        </w:rPr>
        <w:t>企</w:t>
      </w:r>
      <w:r>
        <w:rPr>
          <w:rFonts w:hint="eastAsia" w:ascii="仿宋" w:hAnsi="仿宋" w:eastAsia="仿宋" w:cs="仿宋"/>
          <w:color w:val="auto"/>
          <w:spacing w:val="1"/>
          <w:w w:val="95"/>
          <w:sz w:val="24"/>
          <w:szCs w:val="24"/>
          <w:highlight w:val="none"/>
        </w:rPr>
        <w:t>业</w:t>
      </w:r>
      <w:r>
        <w:rPr>
          <w:rFonts w:hint="eastAsia" w:ascii="仿宋" w:hAnsi="仿宋" w:eastAsia="仿宋" w:cs="仿宋"/>
          <w:color w:val="auto"/>
          <w:w w:val="95"/>
          <w:sz w:val="24"/>
          <w:szCs w:val="24"/>
          <w:highlight w:val="none"/>
        </w:rPr>
        <w:t>名称</w:t>
      </w:r>
      <w:r>
        <w:rPr>
          <w:rFonts w:hint="eastAsia" w:ascii="仿宋" w:hAnsi="仿宋" w:eastAsia="仿宋" w:cs="仿宋"/>
          <w:color w:val="auto"/>
          <w:spacing w:val="1"/>
          <w:w w:val="95"/>
          <w:sz w:val="24"/>
          <w:szCs w:val="24"/>
          <w:highlight w:val="none"/>
        </w:rPr>
        <w:t>（</w:t>
      </w:r>
      <w:r>
        <w:rPr>
          <w:rFonts w:hint="eastAsia" w:ascii="仿宋" w:hAnsi="仿宋" w:eastAsia="仿宋" w:cs="仿宋"/>
          <w:color w:val="auto"/>
          <w:w w:val="95"/>
          <w:sz w:val="24"/>
          <w:szCs w:val="24"/>
          <w:highlight w:val="none"/>
        </w:rPr>
        <w:t>盖章</w:t>
      </w:r>
      <w:r>
        <w:rPr>
          <w:rFonts w:hint="eastAsia" w:ascii="仿宋" w:hAnsi="仿宋" w:eastAsia="仿宋" w:cs="仿宋"/>
          <w:color w:val="auto"/>
          <w:spacing w:val="-153"/>
          <w:w w:val="95"/>
          <w:sz w:val="24"/>
          <w:szCs w:val="24"/>
          <w:highlight w:val="none"/>
        </w:rPr>
        <w:t>）</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w w:val="99"/>
          <w:sz w:val="24"/>
          <w:szCs w:val="24"/>
          <w:highlight w:val="none"/>
          <w:lang w:eastAsia="zh-CN"/>
        </w:rPr>
        <w:t>：</w:t>
      </w:r>
    </w:p>
    <w:p>
      <w:pPr>
        <w:pStyle w:val="8"/>
        <w:spacing w:before="55" w:line="309" w:lineRule="auto"/>
        <w:ind w:left="3960" w:right="188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z w:val="24"/>
          <w:szCs w:val="24"/>
          <w:highlight w:val="none"/>
        </w:rPr>
        <w:t>期：</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1"/>
          <w:szCs w:val="11"/>
          <w:highlight w:val="none"/>
          <w:lang w:val="en-US" w:eastAsia="zh-CN" w:bidi="ar"/>
        </w:rPr>
        <w:t xml:space="preserve"> </w:t>
      </w:r>
    </w:p>
    <w:p>
      <w:pPr>
        <w:keepNext w:val="0"/>
        <w:keepLines w:val="0"/>
        <w:widowControl/>
        <w:suppressLineNumbers w:val="0"/>
        <w:jc w:val="left"/>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1从业人员、营业收入、资产总额填报上一年度数据，无上一年度数据的新成立企业可不填报。</w:t>
      </w:r>
    </w:p>
    <w:p>
      <w:pPr>
        <w:spacing w:line="360" w:lineRule="auto"/>
        <w:jc w:val="center"/>
        <w:outlineLvl w:val="0"/>
        <w:rPr>
          <w:rFonts w:ascii="仿宋" w:hAnsi="仿宋" w:eastAsia="仿宋" w:cs="仿宋_GB2312"/>
          <w:color w:val="auto"/>
          <w:sz w:val="36"/>
          <w:szCs w:val="36"/>
          <w:highlight w:val="none"/>
          <w:lang w:val="zh-CN"/>
        </w:rPr>
      </w:pPr>
    </w:p>
    <w:p>
      <w:pPr>
        <w:pStyle w:val="8"/>
        <w:numPr>
          <w:ilvl w:val="0"/>
          <w:numId w:val="0"/>
        </w:numPr>
        <w:rPr>
          <w:color w:val="auto"/>
          <w:highlight w:val="none"/>
        </w:rPr>
      </w:pPr>
      <w:r>
        <w:rPr>
          <w:rFonts w:hint="eastAsia" w:ascii="仿宋" w:hAnsi="仿宋" w:eastAsia="仿宋" w:cs="仿宋_GB2312"/>
          <w:color w:val="auto"/>
          <w:sz w:val="24"/>
          <w:highlight w:val="none"/>
        </w:rPr>
        <w:t>注：</w:t>
      </w:r>
      <w:r>
        <w:rPr>
          <w:rFonts w:hint="eastAsia" w:ascii="仿宋" w:hAnsi="仿宋" w:eastAsia="仿宋"/>
          <w:b/>
          <w:color w:val="auto"/>
          <w:sz w:val="24"/>
          <w:highlight w:val="none"/>
        </w:rPr>
        <w:t>▲投标人提供的</w:t>
      </w:r>
      <w:r>
        <w:rPr>
          <w:rFonts w:hint="eastAsia" w:ascii="仿宋" w:hAnsi="仿宋" w:eastAsia="仿宋"/>
          <w:b/>
          <w:color w:val="auto"/>
          <w:sz w:val="24"/>
          <w:highlight w:val="none"/>
          <w:lang w:val="en-US" w:eastAsia="zh-CN"/>
        </w:rPr>
        <w:t>中小</w:t>
      </w:r>
      <w:r>
        <w:rPr>
          <w:rFonts w:hint="eastAsia" w:ascii="仿宋" w:hAnsi="仿宋" w:eastAsia="仿宋"/>
          <w:b/>
          <w:color w:val="auto"/>
          <w:sz w:val="24"/>
          <w:highlight w:val="none"/>
        </w:rPr>
        <w:t>企业声明函与实际情况不符的，视为投标人提供虚假材料投标的，投标无效。</w:t>
      </w:r>
      <w:r>
        <w:rPr>
          <w:rFonts w:hint="eastAsia" w:ascii="仿宋" w:hAnsi="仿宋" w:eastAsia="仿宋" w:cs="仿宋_GB2312"/>
          <w:color w:val="auto"/>
          <w:sz w:val="24"/>
          <w:highlight w:val="none"/>
        </w:rPr>
        <w:t>符合《关于促进残疾人就业政府采购政策的通知》（财库〔2017〕141号）规定的条件并提供《残疾人福利性单位声明函》（附件1）的残疾人福利性单位视同</w:t>
      </w:r>
      <w:r>
        <w:rPr>
          <w:rFonts w:hint="eastAsia" w:ascii="仿宋" w:hAnsi="仿宋" w:eastAsia="仿宋" w:cs="仿宋_GB2312"/>
          <w:color w:val="auto"/>
          <w:sz w:val="24"/>
          <w:highlight w:val="none"/>
          <w:lang w:val="en-US" w:eastAsia="zh-CN"/>
        </w:rPr>
        <w:t>中小型</w:t>
      </w:r>
      <w:r>
        <w:rPr>
          <w:rFonts w:hint="eastAsia" w:ascii="仿宋" w:hAnsi="仿宋" w:eastAsia="仿宋" w:cs="仿宋_GB2312"/>
          <w:color w:val="auto"/>
          <w:sz w:val="24"/>
          <w:highlight w:val="none"/>
        </w:rPr>
        <w:t>企业；根据《关于政府采购支持监狱企业发展有关问题的通知》（财库[2014]68号）的规定，投标人提供由省级以上监狱管理局、戒毒管理局（含新疆生产建设兵团）出具的属于监狱企业证明文件的，视同为</w:t>
      </w:r>
      <w:r>
        <w:rPr>
          <w:rFonts w:hint="eastAsia" w:ascii="仿宋" w:hAnsi="仿宋" w:eastAsia="仿宋" w:cs="仿宋_GB2312"/>
          <w:color w:val="auto"/>
          <w:sz w:val="24"/>
          <w:highlight w:val="none"/>
          <w:lang w:val="en-US" w:eastAsia="zh-CN"/>
        </w:rPr>
        <w:t>中小型</w:t>
      </w:r>
      <w:r>
        <w:rPr>
          <w:rFonts w:hint="eastAsia" w:ascii="仿宋" w:hAnsi="仿宋" w:eastAsia="仿宋" w:cs="仿宋_GB2312"/>
          <w:color w:val="auto"/>
          <w:sz w:val="24"/>
          <w:highlight w:val="none"/>
        </w:rPr>
        <w:t>企业。</w:t>
      </w:r>
    </w:p>
    <w:p>
      <w:pPr>
        <w:pStyle w:val="9"/>
        <w:rPr>
          <w:color w:val="auto"/>
          <w:highlight w:val="none"/>
        </w:rPr>
      </w:pPr>
    </w:p>
    <w:p>
      <w:pPr>
        <w:spacing w:line="360" w:lineRule="auto"/>
        <w:jc w:val="center"/>
        <w:rPr>
          <w:rFonts w:hint="eastAsia" w:ascii="仿宋" w:hAnsi="仿宋" w:eastAsia="仿宋" w:cs="仿宋_GB2312"/>
          <w:b/>
          <w:color w:val="auto"/>
          <w:sz w:val="30"/>
          <w:szCs w:val="30"/>
          <w:highlight w:val="none"/>
          <w:lang w:val="en-US" w:eastAsia="zh-CN"/>
        </w:rPr>
      </w:pPr>
    </w:p>
    <w:p>
      <w:pPr>
        <w:spacing w:line="360" w:lineRule="auto"/>
        <w:jc w:val="center"/>
        <w:rPr>
          <w:rFonts w:hint="eastAsia" w:ascii="仿宋" w:hAnsi="仿宋" w:eastAsia="仿宋" w:cs="仿宋_GB2312"/>
          <w:b/>
          <w:color w:val="auto"/>
          <w:sz w:val="30"/>
          <w:szCs w:val="30"/>
          <w:highlight w:val="none"/>
          <w:lang w:val="en-US" w:eastAsia="zh-CN"/>
        </w:r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lang w:val="en-US" w:eastAsia="zh-CN"/>
        </w:rPr>
        <w:t>九</w:t>
      </w:r>
      <w:r>
        <w:rPr>
          <w:rFonts w:hint="eastAsia" w:ascii="仿宋" w:hAnsi="仿宋" w:eastAsia="仿宋" w:cs="仿宋_GB2312"/>
          <w:b/>
          <w:color w:val="auto"/>
          <w:sz w:val="30"/>
          <w:szCs w:val="30"/>
          <w:highlight w:val="none"/>
        </w:rPr>
        <w:t>、特定资格条件要求的资质文件（扫描件）</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pacing w:line="360" w:lineRule="auto"/>
        <w:jc w:val="left"/>
        <w:rPr>
          <w:rFonts w:ascii="仿宋" w:hAnsi="仿宋" w:eastAsia="仿宋" w:cs="仿宋_GB2312"/>
          <w:b/>
          <w:bCs/>
          <w:color w:val="auto"/>
          <w:sz w:val="32"/>
          <w:szCs w:val="32"/>
          <w:highlight w:val="none"/>
        </w:rPr>
      </w:pPr>
      <w:r>
        <w:rPr>
          <w:rFonts w:hint="eastAsia" w:ascii="仿宋" w:hAnsi="仿宋" w:eastAsia="仿宋" w:cs="仿宋_GB2312"/>
          <w:b/>
          <w:color w:val="auto"/>
          <w:sz w:val="28"/>
          <w:szCs w:val="28"/>
          <w:highlight w:val="none"/>
        </w:rPr>
        <w:t>附：法定代表人授权书（如法定代表人直接参加投标并对相应文件签字的，只需提供其身份证扫描件正反面；如以联合体形式参加政府采购活动的，按招标文件有关格式范例提供联合体投标授权书）</w:t>
      </w:r>
      <w:r>
        <w:rPr>
          <w:rFonts w:hint="eastAsia" w:ascii="仿宋" w:hAnsi="仿宋" w:eastAsia="仿宋" w:cs="仿宋_GB2312"/>
          <w:b/>
          <w:bCs/>
          <w:color w:val="auto"/>
          <w:sz w:val="32"/>
          <w:szCs w:val="32"/>
          <w:highlight w:val="none"/>
        </w:rPr>
        <w:br w:type="page"/>
      </w:r>
    </w:p>
    <w:p>
      <w:pPr>
        <w:snapToGrid w:val="0"/>
        <w:spacing w:line="360" w:lineRule="auto"/>
        <w:jc w:val="center"/>
        <w:rPr>
          <w:rFonts w:ascii="仿宋" w:hAnsi="仿宋" w:eastAsia="仿宋" w:cs="仿宋_GB2312"/>
          <w:b/>
          <w:bCs/>
          <w:color w:val="auto"/>
          <w:sz w:val="32"/>
          <w:szCs w:val="32"/>
          <w:highlight w:val="none"/>
        </w:rPr>
      </w:pPr>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（1）投标响应函……………………………………………………（页码）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en-US" w:eastAsia="zh-CN"/>
        </w:rPr>
        <w:t>开标一览</w:t>
      </w:r>
      <w:r>
        <w:rPr>
          <w:rFonts w:hint="eastAsia" w:ascii="仿宋" w:hAnsi="仿宋" w:eastAsia="仿宋" w:cs="仿宋_GB2312"/>
          <w:color w:val="auto"/>
          <w:kern w:val="0"/>
          <w:sz w:val="24"/>
          <w:highlight w:val="none"/>
        </w:rPr>
        <w:t>表……………………………………………………（页码）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报价明细</w:t>
      </w:r>
      <w:r>
        <w:rPr>
          <w:rFonts w:hint="eastAsia" w:ascii="仿宋" w:hAnsi="仿宋" w:eastAsia="仿宋" w:cs="仿宋_GB2312"/>
          <w:color w:val="auto"/>
          <w:kern w:val="0"/>
          <w:sz w:val="24"/>
          <w:highlight w:val="none"/>
        </w:rPr>
        <w:t>表……………………………………………………（页码）</w:t>
      </w:r>
    </w:p>
    <w:p>
      <w:pPr>
        <w:spacing w:line="360" w:lineRule="auto"/>
        <w:outlineLvl w:val="0"/>
        <w:rPr>
          <w:rFonts w:hint="eastAsia" w:ascii="仿宋" w:hAnsi="仿宋" w:eastAsia="仿宋" w:cs="仿宋_GB2312"/>
          <w:color w:val="auto"/>
          <w:kern w:val="0"/>
          <w:sz w:val="24"/>
          <w:highlight w:val="none"/>
        </w:rPr>
      </w:pPr>
    </w:p>
    <w:p>
      <w:pPr>
        <w:pStyle w:val="8"/>
        <w:rPr>
          <w:color w:val="auto"/>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一、投标响应</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杭州建设工程造价咨询有限公司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(投标人全称)授权</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(全权代表姓名)</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(职务、职称)为全权代表，参加贵方组织的</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 xml:space="preserve">  </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1、我方同意在投标人</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(1)具有独立承担民事责任的能力；</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(2)遵守国家法律、行政法规，具有良好的信誉和商业道德；</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(3)具有履行合同的能力和良好的履行合同记录；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(4)良好的资金、财务状况；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(5)产品及生产所需装备符合中国政府规定的相应技术标准和环保标准；</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(6)没有违反政府采购法规、政策的记录；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(7)没有发生重大经济纠纷和走私犯罪记录。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3、我方拟在中标后将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pStyle w:val="11"/>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4、提供</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规定的全部投标文件，包括</w:t>
      </w:r>
      <w:r>
        <w:rPr>
          <w:rFonts w:hint="eastAsia" w:ascii="仿宋" w:hAnsi="仿宋" w:eastAsia="仿宋" w:cs="仿宋_GB2312"/>
          <w:b/>
          <w:color w:val="auto"/>
          <w:sz w:val="24"/>
          <w:szCs w:val="24"/>
          <w:highlight w:val="none"/>
        </w:rPr>
        <w:t>资格文件；报价文件；商务技术文件</w:t>
      </w:r>
      <w:r>
        <w:rPr>
          <w:rFonts w:hint="eastAsia" w:ascii="仿宋" w:hAnsi="仿宋" w:eastAsia="仿宋" w:cs="仿宋_GB2312"/>
          <w:color w:val="auto"/>
          <w:kern w:val="44"/>
          <w:sz w:val="24"/>
          <w:highlight w:val="none"/>
        </w:rPr>
        <w:t>（见投标须知前附表所述）。</w:t>
      </w:r>
      <w:r>
        <w:rPr>
          <w:rFonts w:hint="eastAsia" w:ascii="仿宋" w:hAnsi="仿宋" w:eastAsia="仿宋" w:cs="仿宋_GB2312"/>
          <w:color w:val="auto"/>
          <w:sz w:val="24"/>
          <w:highlight w:val="none"/>
        </w:rPr>
        <w:t>具体内容为：</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(1)投标报价明细表；</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(2)投标</w:t>
      </w:r>
      <w:r>
        <w:rPr>
          <w:rFonts w:hint="eastAsia" w:ascii="仿宋" w:hAnsi="仿宋" w:eastAsia="仿宋" w:cs="仿宋_GB2312"/>
          <w:color w:val="auto"/>
          <w:kern w:val="0"/>
          <w:sz w:val="24"/>
          <w:highlight w:val="none"/>
          <w:lang w:val="zh-CN"/>
        </w:rPr>
        <w:t>技术文件和</w:t>
      </w:r>
      <w:r>
        <w:rPr>
          <w:rFonts w:hint="eastAsia" w:ascii="仿宋" w:hAnsi="仿宋" w:eastAsia="仿宋" w:cs="仿宋_GB2312"/>
          <w:color w:val="auto"/>
          <w:sz w:val="24"/>
          <w:highlight w:val="none"/>
          <w:lang w:val="zh-CN"/>
        </w:rPr>
        <w:t>商务文件</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要求投标人提交的全部文件；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(4)按招标文件要求提供和交付的货物和服务的投标报价详见投标报价明细表；</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(5)保证忠实地执行双方所签订的合同，并承担合同规定的责任和义务；</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(6)保证遵守招标文件中的其他有关规定。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5、我方承诺投标有效期从提交投标文件的截止之日起</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6、我方完全理解贵方不一定要接受最低价的投标。</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a)提供虚假材料谋取中标、成交的；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b)采取不正当手段诋毁、排挤其他供应商的；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c)与采购人、其它供应商或者采购机构恶意串通的；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d)向采购人、采购机构行贿或者提供其他不正当利益的；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e)在招标采购过程中与采购人进行协商谈判的；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f)拒绝有关部门监督检查或提供虚假情况的。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供应商有前款第a)至e)项情形之一的，中标、成交无效。</w:t>
      </w:r>
    </w:p>
    <w:p>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投标人名称（公章）：                          </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_GB2312"/>
          <w:color w:val="auto"/>
          <w:kern w:val="0"/>
          <w:sz w:val="24"/>
          <w:highlight w:val="none"/>
          <w:u w:val="single"/>
          <w:lang w:val="zh-CN"/>
        </w:rPr>
      </w:pP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联系电话： </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b/>
          <w:color w:val="auto"/>
          <w:kern w:val="0"/>
          <w:sz w:val="24"/>
          <w:highlight w:val="none"/>
          <w:lang w:val="zh-CN"/>
        </w:rPr>
        <w:t>注：未按照本投标响应函要求填报的将被视为非实质性响应投标，从而可能导致该投标被拒绝。</w:t>
      </w: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11"/>
        <w:snapToGrid w:val="0"/>
        <w:spacing w:before="120" w:after="12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开标一览表</w:t>
      </w:r>
      <w:r>
        <w:rPr>
          <w:rFonts w:hint="eastAsia" w:ascii="仿宋" w:hAnsi="仿宋" w:eastAsia="仿宋" w:cs="仿宋"/>
          <w:b/>
          <w:color w:val="auto"/>
          <w:sz w:val="32"/>
          <w:szCs w:val="32"/>
          <w:highlight w:val="none"/>
          <w:lang w:eastAsia="zh-CN"/>
        </w:rPr>
        <w:t>（标项</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w:t>
      </w:r>
    </w:p>
    <w:p>
      <w:pPr>
        <w:pStyle w:val="53"/>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eastAsia="zh-CN"/>
        </w:rPr>
        <w:t>2021年钱塘新区（下沙片区）交通设施养护服务</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 xml:space="preserve">  </w:t>
      </w:r>
    </w:p>
    <w:p>
      <w:pPr>
        <w:pStyle w:val="53"/>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single"/>
          <w:lang w:eastAsia="zh-CN"/>
        </w:rPr>
        <w:t>2021年钱塘新区（下沙片区）交通设施养护服务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街道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p>
    <w:p>
      <w:pPr>
        <w:pStyle w:val="53"/>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val="en-US" w:eastAsia="zh-CN"/>
        </w:rPr>
        <w:t>标项号：</w:t>
      </w:r>
      <w:r>
        <w:rPr>
          <w:rFonts w:hint="eastAsia" w:ascii="仿宋" w:hAnsi="仿宋" w:eastAsia="仿宋" w:cs="仿宋"/>
          <w:color w:val="auto"/>
          <w:sz w:val="24"/>
          <w:highlight w:val="none"/>
          <w:u w:val="single"/>
          <w:lang w:val="en-US" w:eastAsia="zh-CN"/>
        </w:rPr>
        <w:t xml:space="preserve">    </w:t>
      </w:r>
    </w:p>
    <w:tbl>
      <w:tblPr>
        <w:tblStyle w:val="20"/>
        <w:tblW w:w="95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2644"/>
        <w:gridCol w:w="4776"/>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9513"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427" w:type="dxa"/>
            <w:tcBorders>
              <w:top w:val="single" w:color="auto" w:sz="4" w:space="0"/>
              <w:left w:val="single" w:color="auto" w:sz="4" w:space="0"/>
              <w:right w:val="single" w:color="auto" w:sz="4" w:space="0"/>
            </w:tcBorders>
            <w:vAlign w:val="center"/>
          </w:tcPr>
          <w:p>
            <w:pPr>
              <w:snapToGrid w:val="0"/>
              <w:spacing w:line="400" w:lineRule="exact"/>
              <w:jc w:val="center"/>
              <w:rPr>
                <w:rFonts w:hint="default"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序号</w:t>
            </w:r>
          </w:p>
        </w:tc>
        <w:tc>
          <w:tcPr>
            <w:tcW w:w="264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仿宋" w:hAnsi="仿宋" w:eastAsia="仿宋"/>
                <w:b/>
                <w:color w:val="auto"/>
                <w:sz w:val="22"/>
                <w:szCs w:val="22"/>
                <w:highlight w:val="none"/>
                <w:lang w:val="en-US" w:eastAsia="zh-CN"/>
              </w:rPr>
            </w:pPr>
            <w:r>
              <w:rPr>
                <w:rFonts w:hint="eastAsia" w:ascii="宋体" w:hAnsi="宋体" w:eastAsia="宋体" w:cs="宋体"/>
                <w:b/>
                <w:bCs/>
                <w:color w:val="auto"/>
                <w:szCs w:val="24"/>
                <w:highlight w:val="none"/>
                <w:lang w:val="zh-CN"/>
              </w:rPr>
              <w:t>标项名称</w:t>
            </w:r>
          </w:p>
        </w:tc>
        <w:tc>
          <w:tcPr>
            <w:tcW w:w="4776" w:type="dxa"/>
            <w:tcBorders>
              <w:top w:val="single" w:color="auto" w:sz="4" w:space="0"/>
              <w:left w:val="single" w:color="auto" w:sz="4" w:space="0"/>
              <w:right w:val="single" w:color="auto" w:sz="4" w:space="0"/>
            </w:tcBorders>
            <w:vAlign w:val="center"/>
          </w:tcPr>
          <w:p>
            <w:pPr>
              <w:snapToGrid w:val="0"/>
              <w:spacing w:line="400" w:lineRule="exact"/>
              <w:jc w:val="center"/>
              <w:rPr>
                <w:rFonts w:hint="default" w:ascii="仿宋" w:hAnsi="仿宋" w:eastAsia="仿宋"/>
                <w:b/>
                <w:color w:val="auto"/>
                <w:sz w:val="22"/>
                <w:szCs w:val="22"/>
                <w:highlight w:val="none"/>
                <w:lang w:val="en-US" w:eastAsia="zh-CN"/>
              </w:rPr>
            </w:pPr>
            <w:r>
              <w:rPr>
                <w:rFonts w:hint="eastAsia" w:ascii="宋体" w:hAnsi="宋体" w:eastAsia="宋体" w:cs="宋体"/>
                <w:b/>
                <w:bCs/>
                <w:color w:val="auto"/>
                <w:szCs w:val="24"/>
                <w:highlight w:val="none"/>
                <w:lang w:val="en-US" w:eastAsia="zh-CN"/>
              </w:rPr>
              <w:t>投标费率</w:t>
            </w:r>
          </w:p>
        </w:tc>
        <w:tc>
          <w:tcPr>
            <w:tcW w:w="166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default"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1</w:t>
            </w:r>
          </w:p>
        </w:tc>
        <w:tc>
          <w:tcPr>
            <w:tcW w:w="264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olor w:val="auto"/>
                <w:sz w:val="24"/>
                <w:szCs w:val="24"/>
                <w:highlight w:val="none"/>
                <w:lang w:val="en-US" w:eastAsia="zh-CN"/>
              </w:rPr>
            </w:pPr>
          </w:p>
        </w:tc>
        <w:tc>
          <w:tcPr>
            <w:tcW w:w="4776" w:type="dxa"/>
            <w:tcBorders>
              <w:top w:val="single" w:color="auto" w:sz="4" w:space="0"/>
              <w:left w:val="single" w:color="auto" w:sz="4" w:space="0"/>
              <w:bottom w:val="single" w:color="auto" w:sz="4" w:space="0"/>
              <w:right w:val="single" w:color="auto" w:sz="4" w:space="0"/>
            </w:tcBorders>
            <w:vAlign w:val="center"/>
          </w:tcPr>
          <w:p>
            <w:pPr>
              <w:tabs>
                <w:tab w:val="left" w:pos="2670"/>
              </w:tabs>
              <w:adjustRightInd w:val="0"/>
              <w:spacing w:line="460" w:lineRule="exact"/>
              <w:jc w:val="left"/>
              <w:rPr>
                <w:rFonts w:hint="eastAsia" w:ascii="仿宋" w:hAnsi="仿宋" w:eastAsia="宋体"/>
                <w:b/>
                <w:color w:val="auto"/>
                <w:sz w:val="24"/>
                <w:highlight w:val="none"/>
                <w:lang w:eastAsia="zh-CN"/>
              </w:rPr>
            </w:pP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u w:val="single"/>
                <w:lang w:val="en-US" w:eastAsia="zh-CN"/>
              </w:rPr>
              <w:t>%</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备注</w:t>
            </w:r>
          </w:p>
        </w:tc>
        <w:tc>
          <w:tcPr>
            <w:tcW w:w="9086" w:type="dxa"/>
            <w:gridSpan w:val="3"/>
            <w:tcBorders>
              <w:top w:val="single" w:color="auto" w:sz="4" w:space="0"/>
              <w:left w:val="single" w:color="auto" w:sz="4" w:space="0"/>
              <w:bottom w:val="single" w:color="auto" w:sz="4" w:space="0"/>
              <w:right w:val="single" w:color="auto" w:sz="4" w:space="0"/>
            </w:tcBorders>
          </w:tcPr>
          <w:p>
            <w:pPr>
              <w:snapToGrid w:val="0"/>
              <w:rPr>
                <w:rFonts w:hint="eastAsia"/>
                <w:color w:val="auto"/>
                <w:highlight w:val="none"/>
              </w:rPr>
            </w:pPr>
            <w:r>
              <w:rPr>
                <w:rFonts w:hint="eastAsia"/>
                <w:color w:val="auto"/>
                <w:highlight w:val="none"/>
              </w:rPr>
              <w:t>1.此表应按项目的明细情况列项填报,在填写时，如上表不适合本项目的实际情况，可在确保投标明细内容完整的情况下，根据上表格式自行划表填写。</w:t>
            </w:r>
          </w:p>
          <w:p>
            <w:pPr>
              <w:snapToGrid w:val="0"/>
              <w:rPr>
                <w:rFonts w:hint="eastAsia"/>
                <w:color w:val="auto"/>
                <w:highlight w:val="none"/>
              </w:rPr>
            </w:pPr>
            <w:r>
              <w:rPr>
                <w:rFonts w:hint="eastAsia"/>
                <w:color w:val="auto"/>
                <w:highlight w:val="none"/>
              </w:rPr>
              <w:t>2.报价要求：项目费用包括项目实施所需的一切费用。</w:t>
            </w:r>
          </w:p>
          <w:p>
            <w:pPr>
              <w:snapToGrid w:val="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投标</w:t>
            </w:r>
            <w:r>
              <w:rPr>
                <w:rFonts w:hint="eastAsia"/>
                <w:color w:val="auto"/>
                <w:highlight w:val="none"/>
              </w:rPr>
              <w:t>报价</w:t>
            </w:r>
            <w:r>
              <w:rPr>
                <w:rFonts w:hint="eastAsia"/>
                <w:color w:val="auto"/>
                <w:highlight w:val="none"/>
                <w:lang w:val="en-US" w:eastAsia="zh-CN"/>
              </w:rPr>
              <w:t>=最高限价*投标费率</w:t>
            </w:r>
          </w:p>
        </w:tc>
      </w:tr>
    </w:tbl>
    <w:p>
      <w:pPr>
        <w:snapToGrid w:val="0"/>
        <w:spacing w:line="360" w:lineRule="auto"/>
        <w:rPr>
          <w:rFonts w:hint="eastAsia" w:ascii="仿宋" w:hAnsi="仿宋" w:eastAsia="仿宋"/>
          <w:color w:val="auto"/>
          <w:sz w:val="24"/>
          <w:highlight w:val="none"/>
        </w:rPr>
      </w:pPr>
      <w:r>
        <w:rPr>
          <w:rFonts w:hint="eastAsia" w:ascii="仿宋" w:hAnsi="仿宋" w:eastAsia="仿宋" w:cs="仿宋_GB2312"/>
          <w:color w:val="auto"/>
          <w:kern w:val="0"/>
          <w:sz w:val="24"/>
          <w:highlight w:val="none"/>
          <w:lang w:val="zh-CN"/>
        </w:rPr>
        <w:t>投标人名称(公章)：</w:t>
      </w: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日期：</w:t>
      </w:r>
    </w:p>
    <w:p>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pPr>
        <w:pStyle w:val="8"/>
        <w:jc w:val="center"/>
        <w:rPr>
          <w:rFonts w:hint="eastAsia" w:eastAsia="仿宋"/>
          <w:color w:val="auto"/>
          <w:highlight w:val="none"/>
          <w:lang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、投标报价明细表</w:t>
      </w:r>
    </w:p>
    <w:p>
      <w:pPr>
        <w:pStyle w:val="53"/>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eastAsia="zh-CN"/>
        </w:rPr>
        <w:t>2021年钱塘新区（下沙片区）交通设施养护服务</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 xml:space="preserve">  </w:t>
      </w:r>
    </w:p>
    <w:p>
      <w:pPr>
        <w:pStyle w:val="53"/>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single"/>
          <w:lang w:eastAsia="zh-CN"/>
        </w:rPr>
        <w:t>2021年钱塘新区（下沙片区）交通设施养护服务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街道</w:t>
      </w:r>
      <w:r>
        <w:rPr>
          <w:rFonts w:hint="eastAsia" w:ascii="仿宋" w:hAnsi="仿宋" w:eastAsia="仿宋" w:cs="仿宋"/>
          <w:color w:val="auto"/>
          <w:sz w:val="24"/>
          <w:highlight w:val="none"/>
          <w:u w:val="single"/>
        </w:rPr>
        <w:t xml:space="preserve">） </w:t>
      </w:r>
    </w:p>
    <w:p>
      <w:pPr>
        <w:pStyle w:val="53"/>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标项号：</w:t>
      </w:r>
      <w:r>
        <w:rPr>
          <w:rFonts w:hint="eastAsia" w:ascii="仿宋" w:hAnsi="仿宋" w:eastAsia="仿宋" w:cs="仿宋"/>
          <w:color w:val="auto"/>
          <w:sz w:val="24"/>
          <w:highlight w:val="none"/>
          <w:u w:val="single"/>
          <w:lang w:val="en-US" w:eastAsia="zh-CN"/>
        </w:rPr>
        <w:t xml:space="preserve">   </w:t>
      </w:r>
    </w:p>
    <w:tbl>
      <w:tblPr>
        <w:tblStyle w:val="20"/>
        <w:tblW w:w="957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901"/>
        <w:gridCol w:w="1075"/>
        <w:gridCol w:w="549"/>
        <w:gridCol w:w="549"/>
        <w:gridCol w:w="1871"/>
        <w:gridCol w:w="1553"/>
        <w:gridCol w:w="1608"/>
        <w:gridCol w:w="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项目名称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项目特征描述</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最高综合单价限价（元）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lang w:val="en-US" w:eastAsia="zh-CN"/>
              </w:rPr>
              <w:t>统一投标费</w:t>
            </w:r>
            <w:r>
              <w:rPr>
                <w:rFonts w:hint="eastAsia"/>
                <w:b/>
                <w:bCs/>
                <w:color w:val="auto"/>
                <w:sz w:val="20"/>
                <w:szCs w:val="20"/>
                <w:highlight w:val="none"/>
              </w:rPr>
              <w:t>率（%）</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投标综合单价（元）</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highlight w:val="none"/>
              </w:rPr>
            </w:pPr>
            <w:r>
              <w:rPr>
                <w:rFonts w:hint="eastAsia"/>
                <w:b/>
                <w:bCs/>
                <w:color w:val="auto"/>
                <w:sz w:val="20"/>
                <w:szCs w:val="20"/>
                <w:highlight w:val="none"/>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Cs w:val="20"/>
                <w:highlight w:val="none"/>
              </w:rPr>
            </w:pPr>
            <w:r>
              <w:rPr>
                <w:rFonts w:ascii="宋体" w:hAnsi="宋体"/>
                <w:color w:val="auto"/>
                <w:spacing w:val="20"/>
                <w:highlight w:val="none"/>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hint="eastAsia" w:ascii="宋体" w:hAnsi="宋体"/>
                <w:color w:val="auto"/>
                <w:spacing w:val="20"/>
                <w:sz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hint="eastAsia" w:ascii="宋体" w:hAnsi="宋体"/>
                <w:color w:val="auto"/>
                <w:spacing w:val="20"/>
                <w:sz w:val="24"/>
                <w:highlight w:val="none"/>
              </w:rPr>
            </w:pPr>
          </w:p>
        </w:tc>
        <w:tc>
          <w:tcPr>
            <w:tcW w:w="0" w:type="auto"/>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r>
              <w:rPr>
                <w:rFonts w:hint="eastAsia" w:ascii="宋体" w:hAnsi="宋体"/>
                <w:color w:val="auto"/>
                <w:spacing w:val="20"/>
                <w:sz w:val="24"/>
                <w:highlight w:val="none"/>
              </w:rPr>
              <w:t>投 标 总</w:t>
            </w:r>
            <w:r>
              <w:rPr>
                <w:rFonts w:ascii="宋体" w:hAnsi="宋体"/>
                <w:color w:val="auto"/>
                <w:spacing w:val="20"/>
                <w:sz w:val="24"/>
                <w:highlight w:val="none"/>
              </w:rPr>
              <w:t xml:space="preserve">  </w:t>
            </w:r>
            <w:r>
              <w:rPr>
                <w:rFonts w:hint="eastAsia" w:ascii="宋体" w:hAnsi="宋体"/>
                <w:color w:val="auto"/>
                <w:spacing w:val="20"/>
                <w:sz w:val="24"/>
                <w:highlight w:val="none"/>
              </w:rPr>
              <w:t>价</w:t>
            </w:r>
          </w:p>
        </w:tc>
        <w:tc>
          <w:tcPr>
            <w:tcW w:w="9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color w:val="auto"/>
                <w:spacing w:val="20"/>
                <w:sz w:val="24"/>
                <w:szCs w:val="20"/>
                <w:highlight w:val="none"/>
              </w:rPr>
            </w:pPr>
          </w:p>
        </w:tc>
      </w:tr>
    </w:tbl>
    <w:p>
      <w:pPr>
        <w:pStyle w:val="53"/>
        <w:rPr>
          <w:rFonts w:hint="default" w:ascii="仿宋" w:hAnsi="仿宋" w:eastAsia="仿宋" w:cs="仿宋"/>
          <w:color w:val="auto"/>
          <w:sz w:val="24"/>
          <w:highlight w:val="none"/>
          <w:u w:val="single"/>
          <w:lang w:val="en-US" w:eastAsia="zh-CN"/>
        </w:rPr>
      </w:pPr>
    </w:p>
    <w:p>
      <w:pPr>
        <w:pStyle w:val="53"/>
        <w:rPr>
          <w:rFonts w:hint="eastAsia" w:ascii="仿宋" w:hAnsi="仿宋" w:eastAsia="仿宋" w:cs="仿宋"/>
          <w:color w:val="auto"/>
          <w:highlight w:val="none"/>
          <w:lang w:val="zh-CN"/>
        </w:rPr>
      </w:pPr>
      <w:r>
        <w:rPr>
          <w:rFonts w:hint="eastAsia" w:ascii="仿宋" w:hAnsi="仿宋" w:eastAsia="仿宋" w:cs="仿宋"/>
          <w:color w:val="auto"/>
          <w:highlight w:val="none"/>
        </w:rPr>
        <w:t>投标综合单价应当包括履行该项目的全部价格，包括但不限于货款、标准附件、备品备件、专用工具、包装、运输、装卸、保险、税金、货到就位以及安装、调试、安全文明施工费、措施费、规费、巡查费、清洁费、培训、保修、利润、税金等一切费用。</w:t>
      </w:r>
    </w:p>
    <w:p>
      <w:pPr>
        <w:snapToGrid w:val="0"/>
        <w:spacing w:line="360" w:lineRule="auto"/>
        <w:rPr>
          <w:rFonts w:hint="eastAsia" w:ascii="仿宋" w:hAnsi="仿宋" w:eastAsia="仿宋" w:cs="仿宋_GB2312"/>
          <w:color w:val="auto"/>
          <w:kern w:val="0"/>
          <w:sz w:val="24"/>
          <w:highlight w:val="none"/>
          <w:lang w:val="zh-CN"/>
        </w:rPr>
      </w:pPr>
    </w:p>
    <w:p>
      <w:pPr>
        <w:snapToGrid w:val="0"/>
        <w:spacing w:line="360" w:lineRule="auto"/>
        <w:rPr>
          <w:rFonts w:hint="eastAsia" w:ascii="仿宋" w:hAnsi="仿宋" w:eastAsia="仿宋"/>
          <w:color w:val="auto"/>
          <w:sz w:val="24"/>
          <w:highlight w:val="none"/>
        </w:rPr>
      </w:pPr>
      <w:r>
        <w:rPr>
          <w:rFonts w:hint="eastAsia" w:ascii="仿宋" w:hAnsi="仿宋" w:eastAsia="仿宋" w:cs="仿宋_GB2312"/>
          <w:color w:val="auto"/>
          <w:kern w:val="0"/>
          <w:sz w:val="24"/>
          <w:highlight w:val="none"/>
          <w:lang w:val="zh-CN"/>
        </w:rPr>
        <w:t>投标人名称(公章)：</w:t>
      </w: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日期： </w:t>
      </w:r>
    </w:p>
    <w:p>
      <w:pPr>
        <w:rPr>
          <w:rFonts w:hint="eastAsia" w:ascii="仿宋" w:hAnsi="仿宋" w:eastAsia="仿宋" w:cs="仿宋_GB2312"/>
          <w:b/>
          <w:color w:val="auto"/>
          <w:kern w:val="0"/>
          <w:sz w:val="36"/>
          <w:szCs w:val="36"/>
          <w:highlight w:val="none"/>
        </w:rPr>
        <w:sectPr>
          <w:pgSz w:w="11906" w:h="16838"/>
          <w:pgMar w:top="1440" w:right="1800" w:bottom="1440" w:left="1800" w:header="851" w:footer="992" w:gutter="0"/>
          <w:pgNumType w:fmt="decimal"/>
          <w:cols w:space="720" w:num="1"/>
          <w:titlePg/>
          <w:docGrid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37"/>
        <w:spacing w:line="360" w:lineRule="auto"/>
        <w:ind w:left="720" w:hanging="720" w:hangingChars="300"/>
        <w:rPr>
          <w:rFonts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1</w:t>
      </w:r>
      <w:r>
        <w:rPr>
          <w:rFonts w:hint="eastAsia" w:ascii="仿宋" w:eastAsia="仿宋" w:cs="仿宋_GB2312"/>
          <w:color w:val="auto"/>
          <w:highlight w:val="none"/>
        </w:rPr>
        <w:t>）营业执照(或事业法人登记证或其他工商等登记证明材料)扫描件</w:t>
      </w:r>
    </w:p>
    <w:p>
      <w:pPr>
        <w:pStyle w:val="37"/>
        <w:spacing w:line="360" w:lineRule="auto"/>
        <w:ind w:left="720" w:hanging="720" w:hangingChars="300"/>
        <w:rPr>
          <w:rFonts w:ascii="仿宋" w:eastAsia="仿宋" w:cs="仿宋_GB2312"/>
          <w:color w:val="auto"/>
          <w:highlight w:val="none"/>
        </w:rPr>
      </w:pPr>
      <w:r>
        <w:rPr>
          <w:rFonts w:hint="eastAsia" w:ascii="仿宋" w:eastAsia="仿宋" w:cs="仿宋_GB2312"/>
          <w:color w:val="auto"/>
          <w:highlight w:val="none"/>
        </w:rPr>
        <w:t>（投标人为然人的，提供自然人的身份证明）………………………（页码）</w:t>
      </w:r>
    </w:p>
    <w:p>
      <w:pPr>
        <w:pStyle w:val="37"/>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）法定代表人授权书 ………………………………………………（页码）</w:t>
      </w:r>
    </w:p>
    <w:p>
      <w:pPr>
        <w:pStyle w:val="37"/>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3</w:t>
      </w:r>
      <w:r>
        <w:rPr>
          <w:rFonts w:hint="eastAsia" w:ascii="仿宋" w:eastAsia="仿宋" w:cs="仿宋_GB2312"/>
          <w:color w:val="auto"/>
          <w:highlight w:val="none"/>
        </w:rPr>
        <w:t xml:space="preserve">）联合体协议 </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7"/>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4</w:t>
      </w:r>
      <w:r>
        <w:rPr>
          <w:rFonts w:hint="eastAsia" w:ascii="仿宋" w:eastAsia="仿宋" w:cs="仿宋_GB2312"/>
          <w:color w:val="auto"/>
          <w:highlight w:val="none"/>
        </w:rPr>
        <w:t>）资信文件扫描件 …………………………………………………（页码）</w:t>
      </w:r>
    </w:p>
    <w:p>
      <w:pPr>
        <w:pStyle w:val="37"/>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w:t>
      </w:r>
      <w:r>
        <w:rPr>
          <w:rFonts w:hint="eastAsia" w:ascii="仿宋" w:eastAsia="仿宋" w:cs="仿宋_GB2312"/>
          <w:color w:val="auto"/>
          <w:highlight w:val="none"/>
          <w:lang w:val="en-US" w:eastAsia="zh-CN"/>
        </w:rPr>
        <w:t>5</w:t>
      </w:r>
      <w:r>
        <w:rPr>
          <w:rFonts w:hint="eastAsia" w:ascii="仿宋" w:eastAsia="仿宋" w:cs="仿宋_GB2312"/>
          <w:color w:val="auto"/>
          <w:highlight w:val="none"/>
        </w:rPr>
        <w:t>）</w:t>
      </w:r>
      <w:r>
        <w:rPr>
          <w:rFonts w:hint="eastAsia" w:ascii="仿宋" w:eastAsia="仿宋" w:cs="仿宋_GB2312"/>
          <w:color w:val="auto"/>
          <w:highlight w:val="none"/>
          <w:lang w:val="zh-CN"/>
        </w:rPr>
        <w:t>主要业绩证明（包括企业和人员）</w:t>
      </w:r>
      <w:r>
        <w:rPr>
          <w:rFonts w:hint="eastAsia" w:ascii="仿宋" w:eastAsia="仿宋" w:cs="仿宋_GB2312"/>
          <w:color w:val="auto"/>
          <w:highlight w:val="none"/>
        </w:rPr>
        <w:t xml:space="preserve"> </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7"/>
        <w:spacing w:line="360" w:lineRule="auto"/>
        <w:ind w:left="0" w:firstLine="0" w:firstLineChars="0"/>
        <w:rPr>
          <w:rFonts w:ascii="仿宋" w:eastAsia="仿宋" w:cs="仿宋"/>
          <w:color w:val="auto"/>
          <w:highlight w:val="none"/>
        </w:rPr>
      </w:pPr>
      <w:bookmarkStart w:id="425" w:name="OLE_LINK6"/>
      <w:bookmarkStart w:id="426" w:name="OLE_LINK7"/>
      <w:bookmarkStart w:id="427" w:name="OLE_LINK5"/>
      <w:r>
        <w:rPr>
          <w:rFonts w:hint="eastAsia" w:ascii="仿宋" w:eastAsia="仿宋" w:cs="仿宋"/>
          <w:color w:val="auto"/>
          <w:highlight w:val="none"/>
        </w:rPr>
        <w:t>（</w:t>
      </w:r>
      <w:r>
        <w:rPr>
          <w:rFonts w:hint="eastAsia" w:ascii="仿宋" w:eastAsia="仿宋" w:cs="仿宋"/>
          <w:color w:val="auto"/>
          <w:highlight w:val="none"/>
          <w:lang w:val="en-US" w:eastAsia="zh-CN"/>
        </w:rPr>
        <w:t>6</w:t>
      </w:r>
      <w:r>
        <w:rPr>
          <w:rFonts w:hint="eastAsia" w:ascii="仿宋" w:eastAsia="仿宋" w:cs="仿宋"/>
          <w:color w:val="auto"/>
          <w:highlight w:val="none"/>
        </w:rPr>
        <w:t>）其他商务文件或说明 ……………………………………………（页码）</w:t>
      </w:r>
      <w:bookmarkEnd w:id="425"/>
      <w:bookmarkEnd w:id="426"/>
    </w:p>
    <w:bookmarkEnd w:id="427"/>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7</w:t>
      </w:r>
      <w:r>
        <w:rPr>
          <w:rFonts w:hint="eastAsia" w:ascii="仿宋" w:hAnsi="仿宋" w:eastAsia="仿宋" w:cs="仿宋_GB2312"/>
          <w:color w:val="auto"/>
          <w:kern w:val="0"/>
          <w:sz w:val="24"/>
          <w:highlight w:val="none"/>
        </w:rPr>
        <w:t>）技术方案……………………………………………………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8</w:t>
      </w:r>
      <w:r>
        <w:rPr>
          <w:rFonts w:hint="eastAsia" w:ascii="仿宋" w:hAnsi="仿宋" w:eastAsia="仿宋" w:cs="仿宋_GB2312"/>
          <w:color w:val="auto"/>
          <w:kern w:val="0"/>
          <w:sz w:val="24"/>
          <w:highlight w:val="none"/>
        </w:rPr>
        <w:t>）技术偏离说明表 …………………………………………………（页码）</w:t>
      </w:r>
    </w:p>
    <w:p>
      <w:pPr>
        <w:pStyle w:val="8"/>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9</w:t>
      </w:r>
      <w:r>
        <w:rPr>
          <w:rFonts w:hint="eastAsia" w:ascii="仿宋" w:hAnsi="仿宋" w:eastAsia="仿宋" w:cs="仿宋_GB2312"/>
          <w:color w:val="auto"/>
          <w:kern w:val="0"/>
          <w:sz w:val="24"/>
          <w:highlight w:val="none"/>
        </w:rPr>
        <w:t>）</w:t>
      </w:r>
      <w:r>
        <w:rPr>
          <w:rFonts w:hint="eastAsia" w:ascii="仿宋" w:hAnsi="仿宋" w:eastAsia="仿宋" w:cs="仿宋"/>
          <w:bCs/>
          <w:color w:val="auto"/>
          <w:kern w:val="0"/>
          <w:sz w:val="24"/>
          <w:highlight w:val="none"/>
          <w:lang w:eastAsia="zh-CN"/>
        </w:rPr>
        <w:t>进度计划及进度保障措施</w:t>
      </w: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_GB2312"/>
          <w:color w:val="auto"/>
          <w:kern w:val="0"/>
          <w:sz w:val="24"/>
          <w:highlight w:val="none"/>
        </w:rPr>
        <w:t>………………………………………（页码）</w:t>
      </w:r>
    </w:p>
    <w:p>
      <w:pPr>
        <w:pStyle w:val="9"/>
        <w:ind w:left="0" w:leftChars="0" w:firstLine="0" w:firstLineChars="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10</w:t>
      </w:r>
      <w:r>
        <w:rPr>
          <w:rFonts w:hint="eastAsia" w:ascii="仿宋" w:hAnsi="仿宋" w:eastAsia="仿宋" w:cs="仿宋_GB2312"/>
          <w:color w:val="auto"/>
          <w:kern w:val="0"/>
          <w:sz w:val="24"/>
          <w:highlight w:val="none"/>
        </w:rPr>
        <w:t>）</w:t>
      </w:r>
      <w:r>
        <w:rPr>
          <w:rFonts w:hint="eastAsia" w:ascii="仿宋" w:hAnsi="仿宋" w:eastAsia="仿宋" w:cs="仿宋"/>
          <w:bCs/>
          <w:color w:val="auto"/>
          <w:kern w:val="0"/>
          <w:sz w:val="24"/>
          <w:highlight w:val="none"/>
          <w:lang w:eastAsia="zh-CN"/>
        </w:rPr>
        <w:t>服务质量保证措施</w:t>
      </w:r>
      <w:r>
        <w:rPr>
          <w:rFonts w:hint="eastAsia" w:ascii="仿宋" w:hAnsi="仿宋" w:eastAsia="仿宋" w:cs="仿宋_GB2312"/>
          <w:color w:val="auto"/>
          <w:kern w:val="0"/>
          <w:sz w:val="24"/>
          <w:highlight w:val="none"/>
        </w:rPr>
        <w:t>………………………………………………（页码）</w:t>
      </w:r>
    </w:p>
    <w:p>
      <w:pPr>
        <w:pStyle w:val="9"/>
        <w:ind w:left="0" w:leftChars="0" w:firstLine="0" w:firstLineChars="0"/>
        <w:rPr>
          <w:color w:val="auto"/>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11</w:t>
      </w:r>
      <w:r>
        <w:rPr>
          <w:rFonts w:hint="eastAsia" w:ascii="仿宋" w:hAnsi="仿宋" w:eastAsia="仿宋" w:cs="仿宋_GB2312"/>
          <w:color w:val="auto"/>
          <w:kern w:val="0"/>
          <w:sz w:val="24"/>
          <w:highlight w:val="none"/>
        </w:rPr>
        <w:t>）</w:t>
      </w:r>
      <w:r>
        <w:rPr>
          <w:rFonts w:hint="eastAsia" w:ascii="仿宋" w:hAnsi="仿宋" w:eastAsia="仿宋" w:cs="仿宋"/>
          <w:bCs/>
          <w:color w:val="auto"/>
          <w:kern w:val="0"/>
          <w:sz w:val="24"/>
          <w:highlight w:val="none"/>
          <w:lang w:eastAsia="zh-CN"/>
        </w:rPr>
        <w:t>安全文明施工及保障措施，交通配合措施</w:t>
      </w:r>
      <w:r>
        <w:rPr>
          <w:rFonts w:hint="eastAsia" w:ascii="仿宋" w:hAnsi="仿宋" w:eastAsia="仿宋" w:cs="仿宋_GB2312"/>
          <w:color w:val="auto"/>
          <w:kern w:val="0"/>
          <w:sz w:val="24"/>
          <w:highlight w:val="none"/>
        </w:rPr>
        <w:t>……………………（页码）</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12</w:t>
      </w:r>
      <w:r>
        <w:rPr>
          <w:rFonts w:hint="eastAsia" w:ascii="仿宋" w:hAnsi="仿宋" w:eastAsia="仿宋" w:cs="仿宋_GB2312"/>
          <w:color w:val="auto"/>
          <w:kern w:val="0"/>
          <w:sz w:val="24"/>
          <w:highlight w:val="none"/>
        </w:rPr>
        <w:t>）</w:t>
      </w:r>
      <w:r>
        <w:rPr>
          <w:rFonts w:hint="eastAsia" w:ascii="仿宋" w:hAnsi="仿宋" w:eastAsia="仿宋" w:cs="仿宋"/>
          <w:bCs/>
          <w:color w:val="auto"/>
          <w:kern w:val="0"/>
          <w:sz w:val="24"/>
          <w:highlight w:val="none"/>
          <w:lang w:eastAsia="zh-CN"/>
        </w:rPr>
        <w:t>售后及质保</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）人员</w:t>
      </w:r>
      <w:r>
        <w:rPr>
          <w:rFonts w:hint="eastAsia" w:ascii="仿宋" w:hAnsi="仿宋" w:eastAsia="仿宋" w:cs="仿宋_GB2312"/>
          <w:color w:val="auto"/>
          <w:kern w:val="0"/>
          <w:sz w:val="24"/>
          <w:highlight w:val="none"/>
          <w:lang w:eastAsia="zh-CN"/>
        </w:rPr>
        <w:t>配置</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认为需要的其他技术文件或说明………………………………</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5</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关于对招标文件中商务、合同有关条款的拒绝声明…………</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6</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关于招标文件中有关无效标条款的声明………………………</w:t>
      </w:r>
      <w:r>
        <w:rPr>
          <w:rFonts w:hint="eastAsia" w:ascii="仿宋" w:hAnsi="仿宋" w:eastAsia="仿宋" w:cs="仿宋_GB2312"/>
          <w:color w:val="auto"/>
          <w:kern w:val="0"/>
          <w:sz w:val="24"/>
          <w:highlight w:val="none"/>
        </w:rPr>
        <w:t>（页码）</w:t>
      </w:r>
    </w:p>
    <w:p>
      <w:pPr>
        <w:spacing w:line="360" w:lineRule="auto"/>
        <w:ind w:firstLine="480" w:firstLineChars="200"/>
        <w:rPr>
          <w:rFonts w:ascii="仿宋" w:hAnsi="仿宋" w:eastAsia="仿宋" w:cs="仿宋_GB2312"/>
          <w:color w:val="auto"/>
          <w:kern w:val="0"/>
          <w:sz w:val="24"/>
          <w:highlight w:val="none"/>
        </w:rPr>
      </w:pPr>
    </w:p>
    <w:p>
      <w:pPr>
        <w:spacing w:line="360" w:lineRule="auto"/>
        <w:rPr>
          <w:rFonts w:hint="eastAsia" w:ascii="仿宋" w:hAnsi="仿宋" w:eastAsia="仿宋" w:cs="仿宋_GB2312"/>
          <w:b/>
          <w:bCs/>
          <w:color w:val="auto"/>
          <w:sz w:val="24"/>
          <w:highlight w:val="none"/>
        </w:rPr>
        <w:sectPr>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both"/>
        <w:rPr>
          <w:rFonts w:ascii="仿宋" w:hAnsi="仿宋" w:eastAsia="仿宋" w:cs="仿宋_GB2312"/>
          <w:b/>
          <w:color w:val="auto"/>
          <w:sz w:val="30"/>
          <w:szCs w:val="30"/>
          <w:highlight w:val="none"/>
        </w:rPr>
      </w:pPr>
      <w:r>
        <w:rPr>
          <w:rFonts w:hint="eastAsia" w:ascii="仿宋" w:hAnsi="仿宋" w:eastAsia="仿宋" w:cs="仿宋_GB2312"/>
          <w:b/>
          <w:color w:val="auto"/>
          <w:kern w:val="0"/>
          <w:sz w:val="30"/>
          <w:szCs w:val="30"/>
          <w:highlight w:val="none"/>
          <w:lang w:val="zh-CN"/>
        </w:rPr>
        <w:t>一、</w:t>
      </w:r>
      <w:r>
        <w:rPr>
          <w:rFonts w:hint="eastAsia" w:ascii="仿宋" w:hAnsi="仿宋" w:eastAsia="仿宋" w:cs="仿宋_GB2312"/>
          <w:b/>
          <w:color w:val="auto"/>
          <w:sz w:val="30"/>
          <w:szCs w:val="30"/>
          <w:highlight w:val="none"/>
        </w:rPr>
        <w:t>营业执照(或事业法人登记证或其他工商等登记证明材料)扫描件（投标人为自然人的，提供自然人的身份证明）（扫描件）</w:t>
      </w:r>
    </w:p>
    <w:p>
      <w:pPr>
        <w:pStyle w:val="9"/>
        <w:rPr>
          <w:color w:val="auto"/>
          <w:sz w:val="30"/>
          <w:szCs w:val="30"/>
          <w:highlight w:val="none"/>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二、法定代表人授权书</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兹委派我公司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先生/女士(其在本公司的职务是：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)，代表我公司全权处理</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none"/>
          <w:lang w:val="en-US" w:eastAsia="zh-CN"/>
        </w:rPr>
        <w:t>项目</w:t>
      </w:r>
      <w:r>
        <w:rPr>
          <w:rFonts w:hint="eastAsia" w:ascii="仿宋" w:hAnsi="仿宋" w:eastAsia="仿宋" w:cs="仿宋_GB2312"/>
          <w:color w:val="auto"/>
          <w:kern w:val="0"/>
          <w:sz w:val="24"/>
          <w:highlight w:val="none"/>
          <w:lang w:val="zh-CN"/>
        </w:rPr>
        <w:t>【编号：  】政府采购投标的一切事项，若中标则全权代表本公司签订相关合同，并负责处理合同履行等事宜。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法定代表人(签字或盖章)：</w:t>
      </w:r>
    </w:p>
    <w:p>
      <w:pPr>
        <w:snapToGrid w:val="0"/>
        <w:spacing w:line="360" w:lineRule="auto"/>
        <w:ind w:right="240"/>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签发日期：  年  月   日</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snapToGrid w:val="0"/>
        <w:spacing w:line="360" w:lineRule="auto"/>
        <w:jc w:val="center"/>
        <w:rPr>
          <w:rFonts w:ascii="仿宋" w:hAnsi="仿宋" w:eastAsia="仿宋" w:cs="仿宋_GB2312"/>
          <w:b/>
          <w:color w:val="auto"/>
          <w:kern w:val="0"/>
          <w:sz w:val="30"/>
          <w:szCs w:val="30"/>
          <w:highlight w:val="none"/>
          <w:lang w:val="zh-CN"/>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联合体投标授权书（适用联合体投标）</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)；……，代表本联合体全权处理</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kern w:val="0"/>
          <w:sz w:val="24"/>
          <w:highlight w:val="none"/>
          <w:lang w:val="zh-CN"/>
        </w:rPr>
        <w:t>【编号：  】政府采购投标的一切事项，若中标则全权代表本联合体签订相关合同，并负责处理合同履行等事宜。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单位：            （公章）         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法定代表人：（签字或盖章）         法定代表人：（签字或盖章）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pStyle w:val="33"/>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33"/>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p>
            <w:pPr>
              <w:pStyle w:val="33"/>
              <w:spacing w:line="360" w:lineRule="auto"/>
              <w:rPr>
                <w:rFonts w:ascii="仿宋" w:hAnsi="仿宋" w:eastAsia="仿宋" w:cs="MT Extra"/>
                <w:bCs/>
                <w:color w:val="auto"/>
                <w:sz w:val="24"/>
                <w:highlight w:val="none"/>
              </w:rPr>
            </w:pPr>
          </w:p>
        </w:tc>
      </w:tr>
    </w:tbl>
    <w:p>
      <w:pPr>
        <w:jc w:val="both"/>
        <w:rPr>
          <w:rFonts w:hint="eastAsia" w:ascii="仿宋" w:hAnsi="仿宋" w:eastAsia="仿宋" w:cs="仿宋_GB2312"/>
          <w:b/>
          <w:color w:val="auto"/>
          <w:sz w:val="30"/>
          <w:szCs w:val="30"/>
          <w:highlight w:val="none"/>
          <w:lang w:val="en-US" w:eastAsia="zh-CN"/>
        </w:rPr>
        <w:sectPr>
          <w:pgSz w:w="11906" w:h="16838"/>
          <w:pgMar w:top="1440" w:right="1800" w:bottom="1440" w:left="1800" w:header="851" w:footer="992" w:gutter="0"/>
          <w:pgNumType w:fmt="decimal"/>
          <w:cols w:space="720" w:num="1"/>
          <w:titlePg/>
          <w:docGrid w:linePitch="312" w:charSpace="0"/>
        </w:sectPr>
      </w:pPr>
    </w:p>
    <w:p>
      <w:pPr>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val="en-US" w:eastAsia="zh-CN"/>
        </w:rPr>
        <w:t>三</w:t>
      </w:r>
      <w:r>
        <w:rPr>
          <w:rFonts w:hint="eastAsia" w:ascii="仿宋" w:hAnsi="仿宋" w:eastAsia="仿宋" w:cs="仿宋_GB2312"/>
          <w:b/>
          <w:color w:val="auto"/>
          <w:sz w:val="30"/>
          <w:szCs w:val="30"/>
          <w:highlight w:val="none"/>
        </w:rPr>
        <w:t>、联合体协议</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各方经协商一致，决定组成一个联合体，以一个投标人的身份就杭州建设工程造价咨询有限公司组织实施的</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项目</w:t>
      </w:r>
      <w:r>
        <w:rPr>
          <w:rFonts w:hint="eastAsia" w:ascii="仿宋" w:hAnsi="仿宋" w:eastAsia="仿宋" w:cs="仿宋_GB2312"/>
          <w:color w:val="auto"/>
          <w:kern w:val="0"/>
          <w:sz w:val="24"/>
          <w:highlight w:val="none"/>
          <w:lang w:val="zh-CN"/>
        </w:rPr>
        <w:t>【编号：  】共同投标。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Arial"/>
          <w:color w:val="auto"/>
          <w:sz w:val="24"/>
          <w:highlight w:val="none"/>
        </w:rPr>
        <w:t>指定</w:t>
      </w:r>
      <w:r>
        <w:rPr>
          <w:rFonts w:hint="eastAsia" w:ascii="仿宋" w:hAnsi="仿宋" w:eastAsia="仿宋"/>
          <w:color w:val="auto"/>
          <w:highlight w:val="none"/>
          <w:u w:val="single"/>
        </w:rPr>
        <w:t xml:space="preserve">   </w:t>
      </w:r>
      <w:r>
        <w:rPr>
          <w:rFonts w:hint="eastAsia" w:ascii="仿宋" w:hAnsi="仿宋" w:eastAsia="仿宋" w:cs="Arial"/>
          <w:color w:val="auto"/>
          <w:sz w:val="24"/>
          <w:highlight w:val="none"/>
        </w:rPr>
        <w:t>方牵头人，代表所有联合体成员负责投标和合同实施阶段的主办、协调工作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所有联合体成员各方法定代表人签署授权书，授权书载明的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三、本次联合投标中，分工如下：甲方承担的工作和义务为：</w:t>
      </w:r>
      <w:r>
        <w:rPr>
          <w:rFonts w:hint="eastAsia"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；乙方承担的工作和义务为：</w:t>
      </w:r>
      <w:r>
        <w:rPr>
          <w:rFonts w:hint="eastAsia"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甲方单位：            （公章）          乙方单位：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right="480"/>
        <w:jc w:val="center"/>
        <w:rPr>
          <w:rFonts w:ascii="仿宋" w:hAnsi="仿宋" w:eastAsia="仿宋" w:cs="仿宋_GB2312"/>
          <w:b/>
          <w:color w:val="auto"/>
          <w:kern w:val="0"/>
          <w:sz w:val="32"/>
          <w:szCs w:val="32"/>
          <w:highlight w:val="none"/>
          <w:lang w:val="zh-CN"/>
        </w:rPr>
        <w:sectPr>
          <w:pgSz w:w="11906" w:h="16838"/>
          <w:pgMar w:top="1440" w:right="1800" w:bottom="1440" w:left="1800" w:header="851" w:footer="992" w:gutter="0"/>
          <w:pgNumType w:fmt="decimal"/>
          <w:cols w:space="720" w:num="1"/>
          <w:titlePg/>
          <w:docGrid w:linePitch="312" w:charSpace="0"/>
        </w:sect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lang w:val="en-US" w:eastAsia="zh-CN"/>
        </w:rPr>
        <w:t>四</w:t>
      </w:r>
      <w:r>
        <w:rPr>
          <w:rFonts w:hint="eastAsia" w:ascii="仿宋" w:hAnsi="仿宋" w:eastAsia="仿宋" w:cs="仿宋_GB2312"/>
          <w:b/>
          <w:color w:val="auto"/>
          <w:sz w:val="30"/>
          <w:szCs w:val="30"/>
          <w:highlight w:val="none"/>
        </w:rPr>
        <w:t>、资信文件扫描件（如果要求提供）</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color w:val="auto"/>
          <w:kern w:val="0"/>
          <w:sz w:val="30"/>
          <w:szCs w:val="30"/>
          <w:highlight w:val="none"/>
          <w:lang w:val="zh-CN"/>
        </w:rPr>
      </w:pPr>
      <w:r>
        <w:rPr>
          <w:rFonts w:hint="eastAsia" w:ascii="仿宋" w:hAnsi="仿宋" w:eastAsia="仿宋" w:cs="仿宋_GB2312"/>
          <w:b/>
          <w:bCs/>
          <w:color w:val="auto"/>
          <w:sz w:val="30"/>
          <w:szCs w:val="30"/>
          <w:highlight w:val="none"/>
          <w:lang w:val="en-US" w:eastAsia="zh-CN"/>
        </w:rPr>
        <w:t>五</w:t>
      </w:r>
      <w:r>
        <w:rPr>
          <w:rFonts w:hint="eastAsia" w:ascii="仿宋" w:hAnsi="仿宋" w:eastAsia="仿宋" w:cs="仿宋_GB2312"/>
          <w:b/>
          <w:bCs/>
          <w:color w:val="auto"/>
          <w:sz w:val="30"/>
          <w:szCs w:val="30"/>
          <w:highlight w:val="none"/>
        </w:rPr>
        <w:t>、</w:t>
      </w:r>
      <w:r>
        <w:rPr>
          <w:rFonts w:hint="eastAsia" w:ascii="仿宋" w:hAnsi="仿宋" w:eastAsia="仿宋" w:cs="仿宋_GB2312"/>
          <w:b/>
          <w:color w:val="auto"/>
          <w:kern w:val="0"/>
          <w:sz w:val="30"/>
          <w:szCs w:val="30"/>
          <w:highlight w:val="none"/>
          <w:lang w:val="zh-CN"/>
        </w:rPr>
        <w:t>主要业绩证明</w:t>
      </w:r>
    </w:p>
    <w:p>
      <w:pPr>
        <w:pStyle w:val="8"/>
        <w:rPr>
          <w:rFonts w:hint="eastAsia" w:ascii="仿宋" w:hAnsi="仿宋" w:eastAsia="仿宋" w:cs="仿宋_GB2312"/>
          <w:b/>
          <w:snapToGrid/>
          <w:color w:val="auto"/>
          <w:kern w:val="0"/>
          <w:sz w:val="30"/>
          <w:szCs w:val="30"/>
          <w:highlight w:val="none"/>
          <w:lang w:val="zh-CN" w:eastAsia="zh-CN" w:bidi="ar-SA"/>
        </w:rPr>
      </w:pPr>
      <w:r>
        <w:rPr>
          <w:rFonts w:hint="eastAsia" w:ascii="仿宋" w:hAnsi="仿宋" w:eastAsia="仿宋" w:cs="仿宋_GB2312"/>
          <w:b/>
          <w:snapToGrid/>
          <w:color w:val="auto"/>
          <w:kern w:val="0"/>
          <w:sz w:val="30"/>
          <w:szCs w:val="30"/>
          <w:highlight w:val="none"/>
          <w:lang w:val="zh-CN" w:eastAsia="zh-CN" w:bidi="ar-SA"/>
        </w:rPr>
        <w:t>企业业绩</w:t>
      </w:r>
    </w:p>
    <w:p>
      <w:pPr>
        <w:autoSpaceDE w:val="0"/>
        <w:autoSpaceDN w:val="0"/>
        <w:spacing w:line="360" w:lineRule="auto"/>
        <w:ind w:firstLine="1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 :相关项目业绩一览表</w:t>
      </w:r>
    </w:p>
    <w:tbl>
      <w:tblPr>
        <w:tblStyle w:val="2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投资</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实施</w:t>
            </w:r>
            <w:r>
              <w:rPr>
                <w:rFonts w:hint="eastAsia" w:ascii="仿宋" w:hAnsi="仿宋" w:eastAsia="仿宋" w:cs="仿宋_GB2312"/>
                <w:color w:val="auto"/>
                <w:sz w:val="24"/>
                <w:highlight w:val="none"/>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项目地址与</w:t>
            </w:r>
            <w:r>
              <w:rPr>
                <w:rFonts w:hint="eastAsia" w:ascii="仿宋" w:hAnsi="仿宋" w:eastAsia="仿宋" w:cs="仿宋_GB2312"/>
                <w:color w:val="auto"/>
                <w:sz w:val="24"/>
                <w:highlight w:val="none"/>
                <w:lang w:eastAsia="zh-CN"/>
              </w:rPr>
              <w:t>业主</w:t>
            </w:r>
            <w:r>
              <w:rPr>
                <w:rFonts w:hint="eastAsia" w:ascii="仿宋" w:hAnsi="仿宋" w:eastAsia="仿宋" w:cs="仿宋_GB2312"/>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注：投标人可按上述的格式自行编制，须随表提交相应的</w:t>
      </w:r>
      <w:r>
        <w:rPr>
          <w:rFonts w:hint="eastAsia" w:ascii="仿宋" w:hAnsi="仿宋" w:eastAsia="仿宋" w:cs="仿宋_GB2312"/>
          <w:b/>
          <w:color w:val="auto"/>
          <w:sz w:val="24"/>
          <w:highlight w:val="none"/>
          <w:lang w:val="en-US" w:eastAsia="zh-CN"/>
        </w:rPr>
        <w:t>证明材料</w:t>
      </w:r>
      <w:r>
        <w:rPr>
          <w:rFonts w:hint="eastAsia" w:ascii="仿宋" w:hAnsi="仿宋" w:eastAsia="仿宋" w:cs="仿宋_GB2312"/>
          <w:b/>
          <w:color w:val="auto"/>
          <w:sz w:val="24"/>
          <w:highlight w:val="none"/>
        </w:rPr>
        <w:t>扫描件并注明所在页码。</w:t>
      </w: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日期：  年  月   日</w:t>
      </w:r>
    </w:p>
    <w:p>
      <w:pPr>
        <w:spacing w:line="360" w:lineRule="auto"/>
        <w:jc w:val="both"/>
        <w:rPr>
          <w:rFonts w:hint="eastAsia" w:ascii="仿宋" w:hAnsi="仿宋" w:eastAsia="仿宋" w:cs="仿宋_GB2312"/>
          <w:b/>
          <w:bCs/>
          <w:color w:val="auto"/>
          <w:sz w:val="30"/>
          <w:szCs w:val="30"/>
          <w:highlight w:val="none"/>
          <w:lang w:val="en-US" w:eastAsia="zh-CN"/>
        </w:rPr>
      </w:pPr>
      <w:r>
        <w:rPr>
          <w:rFonts w:hint="eastAsia" w:ascii="仿宋" w:hAnsi="仿宋" w:eastAsia="仿宋" w:cs="仿宋_GB2312"/>
          <w:b/>
          <w:snapToGrid/>
          <w:color w:val="auto"/>
          <w:kern w:val="0"/>
          <w:sz w:val="30"/>
          <w:szCs w:val="30"/>
          <w:highlight w:val="none"/>
          <w:lang w:val="zh-CN" w:eastAsia="zh-CN" w:bidi="ar-SA"/>
        </w:rPr>
        <w:t>人员业绩</w:t>
      </w:r>
    </w:p>
    <w:p>
      <w:pPr>
        <w:autoSpaceDE w:val="0"/>
        <w:autoSpaceDN w:val="0"/>
        <w:spacing w:line="360" w:lineRule="auto"/>
        <w:ind w:firstLine="1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 :相关项目业绩一览表</w:t>
      </w:r>
    </w:p>
    <w:tbl>
      <w:tblPr>
        <w:tblStyle w:val="2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投资</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实施</w:t>
            </w:r>
            <w:r>
              <w:rPr>
                <w:rFonts w:hint="eastAsia" w:ascii="仿宋" w:hAnsi="仿宋" w:eastAsia="仿宋" w:cs="仿宋_GB2312"/>
                <w:color w:val="auto"/>
                <w:sz w:val="24"/>
                <w:highlight w:val="none"/>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项目地址与</w:t>
            </w:r>
            <w:r>
              <w:rPr>
                <w:rFonts w:hint="eastAsia" w:ascii="仿宋" w:hAnsi="仿宋" w:eastAsia="仿宋" w:cs="仿宋_GB2312"/>
                <w:color w:val="auto"/>
                <w:sz w:val="24"/>
                <w:highlight w:val="none"/>
                <w:lang w:eastAsia="zh-CN"/>
              </w:rPr>
              <w:t>业主</w:t>
            </w:r>
            <w:r>
              <w:rPr>
                <w:rFonts w:hint="eastAsia" w:ascii="仿宋" w:hAnsi="仿宋" w:eastAsia="仿宋" w:cs="仿宋_GB2312"/>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注：投标人可按上述的格式自行编制，须随表提交相应的</w:t>
      </w:r>
      <w:r>
        <w:rPr>
          <w:rFonts w:hint="eastAsia" w:ascii="仿宋" w:hAnsi="仿宋" w:eastAsia="仿宋" w:cs="仿宋_GB2312"/>
          <w:b/>
          <w:color w:val="auto"/>
          <w:sz w:val="24"/>
          <w:highlight w:val="none"/>
          <w:lang w:val="en-US" w:eastAsia="zh-CN"/>
        </w:rPr>
        <w:t>证明材料</w:t>
      </w:r>
      <w:r>
        <w:rPr>
          <w:rFonts w:hint="eastAsia" w:ascii="仿宋" w:hAnsi="仿宋" w:eastAsia="仿宋" w:cs="仿宋_GB2312"/>
          <w:b/>
          <w:color w:val="auto"/>
          <w:sz w:val="24"/>
          <w:highlight w:val="none"/>
        </w:rPr>
        <w:t>扫描件并注明所在页码。</w:t>
      </w: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hint="eastAsia" w:ascii="仿宋" w:hAnsi="仿宋" w:eastAsia="仿宋" w:cs="仿宋_GB2312"/>
          <w:b/>
          <w:bCs/>
          <w:color w:val="auto"/>
          <w:sz w:val="30"/>
          <w:szCs w:val="30"/>
          <w:highlight w:val="none"/>
          <w:lang w:val="en-US" w:eastAsia="zh-CN"/>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lang w:val="en-US" w:eastAsia="zh-CN"/>
        </w:rPr>
        <w:t>六</w:t>
      </w:r>
      <w:r>
        <w:rPr>
          <w:rFonts w:hint="eastAsia" w:ascii="仿宋" w:hAnsi="仿宋" w:eastAsia="仿宋" w:cs="仿宋_GB2312"/>
          <w:b/>
          <w:bCs/>
          <w:color w:val="auto"/>
          <w:sz w:val="30"/>
          <w:szCs w:val="30"/>
          <w:highlight w:val="none"/>
        </w:rPr>
        <w:t>、</w:t>
      </w:r>
      <w:bookmarkStart w:id="428" w:name="OLE_LINK16"/>
      <w:bookmarkStart w:id="429" w:name="OLE_LINK17"/>
      <w:r>
        <w:rPr>
          <w:rFonts w:hint="eastAsia" w:ascii="仿宋" w:hAnsi="仿宋" w:eastAsia="仿宋" w:cs="仿宋_GB2312"/>
          <w:b/>
          <w:bCs/>
          <w:color w:val="auto"/>
          <w:sz w:val="30"/>
          <w:szCs w:val="30"/>
          <w:highlight w:val="none"/>
        </w:rPr>
        <w:t>其他商务文件或说明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bookmarkStart w:id="430" w:name="OLE_LINK10"/>
      <w:bookmarkStart w:id="431" w:name="OLE_LINK11"/>
      <w:r>
        <w:rPr>
          <w:rFonts w:hint="eastAsia" w:ascii="仿宋" w:hAnsi="仿宋" w:eastAsia="仿宋" w:cs="仿宋_GB2312"/>
          <w:color w:val="auto"/>
          <w:sz w:val="24"/>
          <w:highlight w:val="none"/>
        </w:rPr>
        <w:t>其他商务文件或说明由投标人根据采购需求自行编制</w:t>
      </w:r>
      <w:bookmarkEnd w:id="430"/>
      <w:bookmarkEnd w:id="431"/>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包括（但不限于）以下内容：交货期、地点、付款方式等的响应情况</w:t>
      </w:r>
      <w:r>
        <w:rPr>
          <w:rFonts w:hint="eastAsia" w:ascii="仿宋" w:hAnsi="仿宋" w:eastAsia="仿宋" w:cs="仿宋_GB2312"/>
          <w:color w:val="auto"/>
          <w:sz w:val="24"/>
          <w:highlight w:val="none"/>
        </w:rPr>
        <w:t>）</w:t>
      </w:r>
    </w:p>
    <w:bookmarkEnd w:id="428"/>
    <w:bookmarkEnd w:id="429"/>
    <w:p>
      <w:pPr>
        <w:spacing w:line="360" w:lineRule="auto"/>
        <w:jc w:val="center"/>
        <w:rPr>
          <w:rFonts w:ascii="仿宋" w:hAnsi="仿宋" w:eastAsia="仿宋" w:cs="仿宋_GB2312"/>
          <w:color w:val="auto"/>
          <w:sz w:val="24"/>
          <w:highlight w:val="none"/>
        </w:rPr>
      </w:pPr>
    </w:p>
    <w:p>
      <w:pPr>
        <w:autoSpaceDE w:val="0"/>
        <w:autoSpaceDN w:val="0"/>
        <w:spacing w:line="360" w:lineRule="auto"/>
        <w:ind w:firstLine="4800" w:firstLineChars="20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lang w:val="en-US" w:eastAsia="zh-CN"/>
        </w:rPr>
        <w:t>七</w:t>
      </w:r>
      <w:r>
        <w:rPr>
          <w:rFonts w:hint="eastAsia" w:ascii="仿宋" w:hAnsi="仿宋" w:eastAsia="仿宋" w:cs="仿宋_GB2312"/>
          <w:b/>
          <w:bCs/>
          <w:color w:val="auto"/>
          <w:sz w:val="32"/>
          <w:szCs w:val="32"/>
          <w:highlight w:val="none"/>
        </w:rPr>
        <w:t>、技术方案</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560" w:firstLineChars="1900"/>
        <w:rPr>
          <w:rFonts w:ascii="仿宋" w:hAnsi="仿宋" w:eastAsia="仿宋"/>
          <w:color w:val="auto"/>
          <w:kern w:val="0"/>
          <w:sz w:val="24"/>
          <w:highlight w:val="none"/>
        </w:rPr>
      </w:pPr>
    </w:p>
    <w:p>
      <w:pPr>
        <w:autoSpaceDE w:val="0"/>
        <w:autoSpaceDN w:val="0"/>
        <w:spacing w:line="360" w:lineRule="auto"/>
        <w:ind w:firstLine="4560" w:firstLineChars="1900"/>
        <w:rPr>
          <w:rFonts w:ascii="仿宋" w:hAnsi="仿宋" w:eastAsia="仿宋"/>
          <w:color w:val="auto"/>
          <w:kern w:val="0"/>
          <w:sz w:val="24"/>
          <w:highlight w:val="none"/>
        </w:rPr>
      </w:pPr>
      <w:r>
        <w:rPr>
          <w:rFonts w:hint="eastAsia" w:ascii="仿宋" w:hAnsi="仿宋" w:eastAsia="仿宋" w:cs="仿宋_GB2312"/>
          <w:color w:val="auto"/>
          <w:kern w:val="0"/>
          <w:sz w:val="24"/>
          <w:highlight w:val="none"/>
          <w:lang w:val="zh-CN"/>
        </w:rPr>
        <w:t>投标人名称</w:t>
      </w:r>
      <w:r>
        <w:rPr>
          <w:rFonts w:hint="eastAsia" w:ascii="仿宋" w:hAnsi="仿宋" w:eastAsia="仿宋"/>
          <w:color w:val="auto"/>
          <w:kern w:val="0"/>
          <w:sz w:val="24"/>
          <w:highlight w:val="none"/>
        </w:rPr>
        <w:t xml:space="preserve">（公章）：                       </w:t>
      </w:r>
    </w:p>
    <w:p>
      <w:pPr>
        <w:autoSpaceDE w:val="0"/>
        <w:autoSpaceDN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0"/>
          <w:szCs w:val="30"/>
          <w:highlight w:val="none"/>
          <w:lang w:val="zh-CN"/>
        </w:rPr>
      </w:pPr>
    </w:p>
    <w:p>
      <w:pPr>
        <w:spacing w:line="360" w:lineRule="auto"/>
        <w:jc w:val="center"/>
        <w:rPr>
          <w:rFonts w:ascii="仿宋" w:hAnsi="仿宋" w:eastAsia="仿宋" w:cs="仿宋_GB2312"/>
          <w:b/>
          <w:bCs/>
          <w:color w:val="auto"/>
          <w:sz w:val="32"/>
          <w:szCs w:val="32"/>
          <w:highlight w:val="none"/>
          <w:lang w:val="zh-CN"/>
        </w:rPr>
      </w:pPr>
      <w:r>
        <w:rPr>
          <w:rFonts w:hint="eastAsia" w:ascii="仿宋" w:hAnsi="仿宋" w:eastAsia="仿宋" w:cs="仿宋_GB2312"/>
          <w:b/>
          <w:bCs/>
          <w:color w:val="auto"/>
          <w:sz w:val="30"/>
          <w:szCs w:val="30"/>
          <w:highlight w:val="none"/>
          <w:lang w:val="zh-CN"/>
        </w:rPr>
        <w:t>拟投入本项目的设备</w:t>
      </w:r>
    </w:p>
    <w:tbl>
      <w:tblPr>
        <w:tblStyle w:val="2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602"/>
        <w:gridCol w:w="1172"/>
        <w:gridCol w:w="1249"/>
        <w:gridCol w:w="1320"/>
        <w:gridCol w:w="110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w:t>
            </w: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rPr>
              <w:t>名称</w:t>
            </w: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数量（台）</w:t>
            </w:r>
          </w:p>
        </w:tc>
        <w:tc>
          <w:tcPr>
            <w:tcW w:w="1100"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自有</w:t>
            </w:r>
            <w:r>
              <w:rPr>
                <w:rFonts w:hint="eastAsia" w:ascii="仿宋" w:hAnsi="仿宋" w:eastAsia="仿宋" w:cs="仿宋"/>
                <w:color w:val="auto"/>
                <w:sz w:val="24"/>
                <w:szCs w:val="24"/>
                <w:highlight w:val="none"/>
                <w:lang w:eastAsia="zh-CN"/>
              </w:rPr>
              <w:t>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noWrap w:val="0"/>
            <w:vAlign w:val="center"/>
          </w:tcPr>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0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72"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249"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320"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c>
          <w:tcPr>
            <w:tcW w:w="1100" w:type="dxa"/>
            <w:noWrap w:val="0"/>
            <w:vAlign w:val="top"/>
          </w:tcPr>
          <w:p>
            <w:pPr>
              <w:snapToGrid w:val="0"/>
              <w:spacing w:line="300" w:lineRule="auto"/>
              <w:jc w:val="center"/>
              <w:rPr>
                <w:rFonts w:hint="eastAsia" w:ascii="仿宋" w:hAnsi="仿宋" w:eastAsia="仿宋" w:cs="仿宋"/>
                <w:color w:val="auto"/>
                <w:sz w:val="24"/>
                <w:szCs w:val="24"/>
                <w:highlight w:val="none"/>
              </w:rPr>
            </w:pPr>
          </w:p>
        </w:tc>
        <w:tc>
          <w:tcPr>
            <w:tcW w:w="1973" w:type="dxa"/>
            <w:noWrap w:val="0"/>
            <w:vAlign w:val="center"/>
          </w:tcPr>
          <w:p>
            <w:pPr>
              <w:snapToGrid w:val="0"/>
              <w:spacing w:line="300" w:lineRule="auto"/>
              <w:jc w:val="center"/>
              <w:rPr>
                <w:rFonts w:hint="eastAsia" w:ascii="仿宋" w:hAnsi="仿宋" w:eastAsia="仿宋" w:cs="仿宋"/>
                <w:color w:val="auto"/>
                <w:sz w:val="24"/>
                <w:szCs w:val="24"/>
                <w:highlight w:val="none"/>
              </w:rPr>
            </w:pPr>
          </w:p>
        </w:tc>
      </w:tr>
    </w:tbl>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表后附：</w:t>
      </w:r>
    </w:p>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（1）各类</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须明确可提供的数量，并提供自有凭证（</w:t>
      </w:r>
      <w:r>
        <w:rPr>
          <w:rFonts w:hint="eastAsia" w:ascii="仿宋" w:hAnsi="仿宋" w:eastAsia="仿宋" w:cs="仿宋"/>
          <w:color w:val="auto"/>
          <w:sz w:val="24"/>
          <w:szCs w:val="24"/>
          <w:highlight w:val="none"/>
          <w:lang w:eastAsia="zh-CN"/>
        </w:rPr>
        <w:t>购买发票</w:t>
      </w:r>
      <w:r>
        <w:rPr>
          <w:rFonts w:hint="eastAsia" w:ascii="仿宋" w:hAnsi="仿宋" w:eastAsia="仿宋" w:cs="仿宋"/>
          <w:color w:val="auto"/>
          <w:sz w:val="24"/>
          <w:szCs w:val="24"/>
          <w:highlight w:val="none"/>
        </w:rPr>
        <w:t>）；</w:t>
      </w:r>
    </w:p>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（2）各类机具正面照片；</w:t>
      </w:r>
    </w:p>
    <w:p>
      <w:pPr>
        <w:tabs>
          <w:tab w:val="left" w:pos="2790"/>
          <w:tab w:val="left" w:pos="4230"/>
        </w:tabs>
        <w:autoSpaceDE w:val="0"/>
        <w:autoSpaceDN w:val="0"/>
        <w:adjustRightInd w:val="0"/>
        <w:snapToGrid w:val="0"/>
        <w:spacing w:line="360" w:lineRule="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（3）保证用于本项目的书面承诺书。</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lang w:val="en-US" w:eastAsia="zh-CN"/>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lang w:val="en-US" w:eastAsia="zh-CN"/>
        </w:rPr>
        <w:t>八</w:t>
      </w:r>
      <w:r>
        <w:rPr>
          <w:rFonts w:hint="eastAsia" w:ascii="仿宋" w:hAnsi="仿宋" w:eastAsia="仿宋" w:cs="仿宋_GB2312"/>
          <w:b/>
          <w:bCs/>
          <w:color w:val="auto"/>
          <w:sz w:val="32"/>
          <w:szCs w:val="32"/>
          <w:highlight w:val="none"/>
        </w:rPr>
        <w:t>、技术偏离说明表</w:t>
      </w:r>
    </w:p>
    <w:p>
      <w:pPr>
        <w:spacing w:line="360" w:lineRule="auto"/>
        <w:jc w:val="center"/>
        <w:rPr>
          <w:rFonts w:ascii="仿宋" w:hAnsi="仿宋" w:eastAsia="仿宋" w:cs="仿宋_GB2312"/>
          <w:b/>
          <w:bCs/>
          <w:color w:val="auto"/>
          <w:sz w:val="18"/>
          <w:szCs w:val="18"/>
          <w:highlight w:val="none"/>
        </w:rPr>
      </w:pPr>
    </w:p>
    <w:tbl>
      <w:tblPr>
        <w:tblStyle w:val="20"/>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bl>
    <w:p>
      <w:pPr>
        <w:autoSpaceDE w:val="0"/>
        <w:autoSpaceDN w:val="0"/>
        <w:spacing w:line="360" w:lineRule="auto"/>
        <w:ind w:firstLine="5040" w:firstLineChars="2100"/>
        <w:rPr>
          <w:rFonts w:ascii="仿宋" w:hAnsi="仿宋" w:eastAsia="仿宋" w:cs="仿宋_GB2312"/>
          <w:color w:val="auto"/>
          <w:kern w:val="0"/>
          <w:sz w:val="24"/>
          <w:highlight w:val="none"/>
          <w:lang w:val="zh-CN"/>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b/>
          <w:bCs/>
          <w:color w:val="auto"/>
          <w:kern w:val="0"/>
          <w:sz w:val="32"/>
          <w:szCs w:val="32"/>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lang w:eastAsia="zh-CN"/>
        </w:rPr>
        <w:t>九</w:t>
      </w:r>
      <w:r>
        <w:rPr>
          <w:rFonts w:hint="eastAsia" w:ascii="仿宋" w:hAnsi="仿宋" w:eastAsia="仿宋" w:cs="仿宋_GB2312"/>
          <w:b/>
          <w:bCs/>
          <w:color w:val="auto"/>
          <w:sz w:val="32"/>
          <w:szCs w:val="32"/>
          <w:highlight w:val="none"/>
        </w:rPr>
        <w:t>、</w:t>
      </w:r>
      <w:r>
        <w:rPr>
          <w:rFonts w:hint="eastAsia" w:ascii="仿宋" w:hAnsi="仿宋" w:eastAsia="仿宋" w:cs="仿宋_GB2312"/>
          <w:b/>
          <w:color w:val="auto"/>
          <w:kern w:val="0"/>
          <w:sz w:val="32"/>
          <w:szCs w:val="32"/>
          <w:highlight w:val="none"/>
          <w:lang w:val="zh-CN"/>
        </w:rPr>
        <w:t>进度计及进度保障措施划</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进度保障措施</w:t>
      </w:r>
      <w:r>
        <w:rPr>
          <w:rFonts w:hint="eastAsia" w:ascii="仿宋" w:hAnsi="仿宋" w:eastAsia="仿宋" w:cs="仿宋_GB2312"/>
          <w:color w:val="auto"/>
          <w:sz w:val="24"/>
          <w:highlight w:val="none"/>
        </w:rPr>
        <w:t>由投标人根据采购需求自行编制）</w:t>
      </w:r>
    </w:p>
    <w:p>
      <w:pPr>
        <w:tabs>
          <w:tab w:val="left" w:pos="2790"/>
          <w:tab w:val="left" w:pos="4230"/>
        </w:tabs>
        <w:autoSpaceDE w:val="0"/>
        <w:autoSpaceDN w:val="0"/>
        <w:spacing w:line="360" w:lineRule="auto"/>
        <w:ind w:right="1400"/>
        <w:outlineLvl w:val="1"/>
        <w:rPr>
          <w:rFonts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附表:项目实施进度计划表</w:t>
      </w:r>
      <w:r>
        <w:rPr>
          <w:rFonts w:hint="eastAsia" w:ascii="仿宋" w:hAnsi="仿宋" w:eastAsia="仿宋" w:cs="仿宋_GB2312"/>
          <w:b/>
          <w:color w:val="auto"/>
          <w:sz w:val="24"/>
          <w:highlight w:val="none"/>
        </w:rPr>
        <w:t xml:space="preserve">(以生效日算起) </w:t>
      </w:r>
    </w:p>
    <w:tbl>
      <w:tblPr>
        <w:tblStyle w:val="2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vAlign w:val="center"/>
          </w:tcPr>
          <w:p>
            <w:pPr>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66"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67" name="直接连接符 14"/>
                              <wps:cNvCnPr/>
                              <wps:spPr>
                                <a:xfrm>
                                  <a:off x="0" y="0"/>
                                  <a:ext cx="1178" cy="1860"/>
                                </a:xfrm>
                                <a:prstGeom prst="line">
                                  <a:avLst/>
                                </a:prstGeom>
                                <a:ln w="6350" cap="flat" cmpd="sng">
                                  <a:solidFill>
                                    <a:srgbClr val="000000"/>
                                  </a:solidFill>
                                  <a:prstDash val="solid"/>
                                  <a:headEnd type="none" w="med" len="med"/>
                                  <a:tailEnd type="none" w="med" len="med"/>
                                </a:ln>
                                <a:effectLst/>
                              </wps:spPr>
                              <wps:bodyPr/>
                            </wps:wsp>
                            <wps:wsp>
                              <wps:cNvPr id="168" name="文本框 15"/>
                              <wps:cNvSpPr txBox="1"/>
                              <wps:spPr>
                                <a:xfrm>
                                  <a:off x="455" y="122"/>
                                  <a:ext cx="253" cy="263"/>
                                </a:xfrm>
                                <a:prstGeom prst="rect">
                                  <a:avLst/>
                                </a:prstGeom>
                                <a:noFill/>
                                <a:ln>
                                  <a:noFill/>
                                </a:ln>
                                <a:effectLst/>
                              </wps:spPr>
                              <wps:txbx>
                                <w:txbxContent>
                                  <w:p>
                                    <w:pPr>
                                      <w:snapToGrid w:val="0"/>
                                    </w:pPr>
                                    <w:r>
                                      <w:t>工</w:t>
                                    </w:r>
                                  </w:p>
                                </w:txbxContent>
                              </wps:txbx>
                              <wps:bodyPr lIns="0" tIns="0" rIns="0" bIns="0" upright="1"/>
                            </wps:wsp>
                            <wps:wsp>
                              <wps:cNvPr id="169" name="文本框 16"/>
                              <wps:cNvSpPr txBox="1"/>
                              <wps:spPr>
                                <a:xfrm>
                                  <a:off x="643" y="419"/>
                                  <a:ext cx="253" cy="263"/>
                                </a:xfrm>
                                <a:prstGeom prst="rect">
                                  <a:avLst/>
                                </a:prstGeom>
                                <a:noFill/>
                                <a:ln>
                                  <a:noFill/>
                                </a:ln>
                                <a:effectLst/>
                              </wps:spPr>
                              <wps:txbx>
                                <w:txbxContent>
                                  <w:p>
                                    <w:pPr>
                                      <w:snapToGrid w:val="0"/>
                                    </w:pPr>
                                    <w:r>
                                      <w:t>作</w:t>
                                    </w:r>
                                  </w:p>
                                </w:txbxContent>
                              </wps:txbx>
                              <wps:bodyPr lIns="0" tIns="0" rIns="0" bIns="0" upright="1"/>
                            </wps:wsp>
                            <wps:wsp>
                              <wps:cNvPr id="170" name="文本框 17"/>
                              <wps:cNvSpPr txBox="1"/>
                              <wps:spPr>
                                <a:xfrm>
                                  <a:off x="831" y="717"/>
                                  <a:ext cx="253" cy="262"/>
                                </a:xfrm>
                                <a:prstGeom prst="rect">
                                  <a:avLst/>
                                </a:prstGeom>
                                <a:noFill/>
                                <a:ln>
                                  <a:noFill/>
                                </a:ln>
                                <a:effectLst/>
                              </wps:spPr>
                              <wps:txbx>
                                <w:txbxContent>
                                  <w:p>
                                    <w:pPr>
                                      <w:snapToGrid w:val="0"/>
                                    </w:pPr>
                                    <w:r>
                                      <w:t>日</w:t>
                                    </w:r>
                                  </w:p>
                                </w:txbxContent>
                              </wps:txbx>
                              <wps:bodyPr lIns="0" tIns="0" rIns="0" bIns="0" upright="1"/>
                            </wps:wsp>
                          </wpg:wgp>
                        </a:graphicData>
                      </a:graphic>
                    </wp:anchor>
                  </w:drawing>
                </mc:Choice>
                <mc:Fallback>
                  <w:pict>
                    <v:group id="组合 3" o:spid="_x0000_s1026" o:spt="203" style="position:absolute;left:0pt;margin-left:-5.15pt;margin-top:0pt;height:93pt;width:58.9pt;z-index:25166336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9ctcntgAAAAIAQAADwAAAAAAAAABACAAAAAiAAAAZHJzL2Rvd25yZXYueG1sUEsBAhQA&#10;FAAAAAgAh07iQDX1KxUPAwAACQoAAA4AAAAAAAAAAQAgAAAAJwEAAGRycy9lMm9Eb2MueG1sUEsF&#10;BgAAAAAGAAYAWQEAAKgGAAAAAA==&#10;">
                      <o:lock v:ext="edit" aspectratio="f"/>
                      <v:line id="直接连接符 14" o:spid="_x0000_s1026" o:spt="20" style="position:absolute;left:0;top:0;height:1860;width:1178;" filled="f" stroked="t" coordsize="21600,21600" o:gfxdata="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gwT4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15" o:spid="_x0000_s1026" o:spt="202" type="#_x0000_t202" style="position:absolute;left:455;top:122;height:263;width:253;"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t>工</w:t>
                              </w:r>
                            </w:p>
                          </w:txbxContent>
                        </v:textbox>
                      </v:shape>
                      <v:shape id="文本框 16" o:spid="_x0000_s1026" o:spt="202" type="#_x0000_t202" style="position:absolute;left:643;top:419;height:263;width:253;"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t>作</w:t>
                              </w:r>
                            </w:p>
                          </w:txbxContent>
                        </v:textbox>
                      </v:shape>
                      <v:shape id="文本框 17" o:spid="_x0000_s1026" o:spt="202" type="#_x0000_t202" style="position:absolute;left:831;top:717;height:262;width:253;"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内容</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bl>
    <w:p>
      <w:pPr>
        <w:autoSpaceDE w:val="0"/>
        <w:autoSpaceDN w:val="0"/>
        <w:spacing w:line="360" w:lineRule="auto"/>
        <w:rPr>
          <w:color w:val="auto"/>
          <w:highlight w:val="none"/>
        </w:rPr>
      </w:pPr>
      <w:r>
        <w:rPr>
          <w:rFonts w:hint="eastAsia" w:ascii="仿宋" w:hAnsi="仿宋" w:eastAsia="仿宋" w:cs="仿宋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hint="eastAsia"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18"/>
          <w:szCs w:val="18"/>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tabs>
          <w:tab w:val="left" w:pos="2790"/>
          <w:tab w:val="left" w:pos="4230"/>
        </w:tabs>
        <w:autoSpaceDE w:val="0"/>
        <w:autoSpaceDN w:val="0"/>
        <w:spacing w:line="360" w:lineRule="auto"/>
        <w:ind w:right="1400"/>
        <w:jc w:val="both"/>
        <w:outlineLvl w:val="1"/>
        <w:rPr>
          <w:rFonts w:ascii="仿宋" w:hAnsi="仿宋" w:eastAsia="仿宋"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default" w:ascii="仿宋" w:hAnsi="仿宋" w:eastAsia="仿宋" w:cs="仿宋_GB2312"/>
          <w:b/>
          <w:bCs/>
          <w:color w:val="auto"/>
          <w:kern w:val="0"/>
          <w:sz w:val="32"/>
          <w:szCs w:val="32"/>
          <w:highlight w:val="none"/>
          <w:lang w:val="en-US" w:eastAsia="zh-CN"/>
        </w:rPr>
      </w:pPr>
      <w:r>
        <w:rPr>
          <w:rFonts w:hint="eastAsia" w:ascii="仿宋" w:hAnsi="仿宋" w:eastAsia="仿宋" w:cs="仿宋_GB2312"/>
          <w:b/>
          <w:bCs/>
          <w:color w:val="auto"/>
          <w:kern w:val="0"/>
          <w:sz w:val="32"/>
          <w:szCs w:val="32"/>
          <w:highlight w:val="none"/>
          <w:lang w:val="en-US" w:eastAsia="zh-CN"/>
        </w:rPr>
        <w:t>十</w:t>
      </w:r>
      <w:r>
        <w:rPr>
          <w:rFonts w:hint="eastAsia" w:ascii="仿宋" w:hAnsi="仿宋" w:eastAsia="仿宋" w:cs="仿宋_GB2312"/>
          <w:b/>
          <w:bCs/>
          <w:color w:val="auto"/>
          <w:kern w:val="0"/>
          <w:sz w:val="32"/>
          <w:szCs w:val="32"/>
          <w:highlight w:val="none"/>
          <w:lang w:val="zh-CN"/>
        </w:rPr>
        <w:t>、</w:t>
      </w:r>
      <w:r>
        <w:rPr>
          <w:rFonts w:hint="eastAsia" w:ascii="仿宋" w:hAnsi="仿宋" w:eastAsia="仿宋" w:cs="仿宋_GB2312"/>
          <w:b/>
          <w:bCs/>
          <w:color w:val="auto"/>
          <w:kern w:val="0"/>
          <w:sz w:val="32"/>
          <w:szCs w:val="32"/>
          <w:highlight w:val="none"/>
          <w:lang w:val="en-US" w:eastAsia="zh-CN"/>
        </w:rPr>
        <w:t>服务质量保证措施</w:t>
      </w:r>
    </w:p>
    <w:p>
      <w:pPr>
        <w:autoSpaceDE w:val="0"/>
        <w:autoSpaceDN w:val="0"/>
        <w:spacing w:line="360" w:lineRule="auto"/>
        <w:jc w:val="center"/>
        <w:rPr>
          <w:rFonts w:ascii="仿宋" w:hAnsi="仿宋" w:eastAsia="仿宋" w:cs="仿宋_GB2312"/>
          <w:b/>
          <w:bCs/>
          <w:color w:val="auto"/>
          <w:kern w:val="0"/>
          <w:sz w:val="24"/>
          <w:highlight w:val="none"/>
          <w:lang w:val="zh-CN"/>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autoSpaceDE w:val="0"/>
        <w:autoSpaceDN w:val="0"/>
        <w:spacing w:line="360" w:lineRule="auto"/>
        <w:jc w:val="center"/>
        <w:rPr>
          <w:rFonts w:hint="default" w:ascii="仿宋" w:hAnsi="仿宋" w:eastAsia="仿宋" w:cs="仿宋_GB2312"/>
          <w:b/>
          <w:bCs/>
          <w:color w:val="auto"/>
          <w:kern w:val="0"/>
          <w:sz w:val="32"/>
          <w:szCs w:val="32"/>
          <w:highlight w:val="none"/>
          <w:lang w:val="en-US" w:eastAsia="zh-CN"/>
        </w:rPr>
      </w:pPr>
      <w:r>
        <w:rPr>
          <w:rFonts w:hint="eastAsia" w:ascii="仿宋" w:hAnsi="仿宋" w:eastAsia="仿宋" w:cs="仿宋_GB2312"/>
          <w:b/>
          <w:bCs/>
          <w:color w:val="auto"/>
          <w:kern w:val="0"/>
          <w:sz w:val="32"/>
          <w:szCs w:val="32"/>
          <w:highlight w:val="none"/>
          <w:lang w:val="en-US" w:eastAsia="zh-CN"/>
        </w:rPr>
        <w:t>十一</w:t>
      </w:r>
      <w:r>
        <w:rPr>
          <w:rFonts w:hint="eastAsia" w:ascii="仿宋" w:hAnsi="仿宋" w:eastAsia="仿宋" w:cs="仿宋_GB2312"/>
          <w:b/>
          <w:bCs/>
          <w:color w:val="auto"/>
          <w:kern w:val="0"/>
          <w:sz w:val="32"/>
          <w:szCs w:val="32"/>
          <w:highlight w:val="none"/>
          <w:lang w:val="zh-CN"/>
        </w:rPr>
        <w:t>、</w:t>
      </w:r>
      <w:r>
        <w:rPr>
          <w:rFonts w:hint="eastAsia" w:ascii="仿宋" w:hAnsi="仿宋" w:eastAsia="仿宋" w:cs="仿宋_GB2312"/>
          <w:b/>
          <w:bCs/>
          <w:color w:val="auto"/>
          <w:kern w:val="0"/>
          <w:sz w:val="32"/>
          <w:szCs w:val="32"/>
          <w:highlight w:val="none"/>
          <w:lang w:val="en-US" w:eastAsia="zh-CN"/>
        </w:rPr>
        <w:t>安全文明施工及保障措施、交通配合措施</w:t>
      </w:r>
    </w:p>
    <w:p>
      <w:pPr>
        <w:autoSpaceDE w:val="0"/>
        <w:autoSpaceDN w:val="0"/>
        <w:spacing w:line="360" w:lineRule="auto"/>
        <w:jc w:val="center"/>
        <w:rPr>
          <w:rFonts w:ascii="仿宋" w:hAnsi="仿宋" w:eastAsia="仿宋" w:cs="仿宋_GB2312"/>
          <w:b/>
          <w:bCs/>
          <w:color w:val="auto"/>
          <w:kern w:val="0"/>
          <w:sz w:val="24"/>
          <w:highlight w:val="none"/>
          <w:lang w:val="zh-CN"/>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autoSpaceDE w:val="0"/>
        <w:autoSpaceDN w:val="0"/>
        <w:spacing w:line="360" w:lineRule="auto"/>
        <w:jc w:val="center"/>
        <w:rPr>
          <w:rFonts w:hint="default" w:ascii="仿宋" w:hAnsi="仿宋" w:eastAsia="仿宋" w:cs="仿宋_GB2312"/>
          <w:b/>
          <w:bCs/>
          <w:color w:val="auto"/>
          <w:kern w:val="0"/>
          <w:sz w:val="32"/>
          <w:szCs w:val="32"/>
          <w:highlight w:val="none"/>
          <w:lang w:val="en-US" w:eastAsia="zh-CN"/>
        </w:rPr>
      </w:pPr>
      <w:r>
        <w:rPr>
          <w:rFonts w:hint="eastAsia" w:ascii="仿宋" w:hAnsi="仿宋" w:eastAsia="仿宋" w:cs="仿宋_GB2312"/>
          <w:b/>
          <w:bCs/>
          <w:color w:val="auto"/>
          <w:kern w:val="0"/>
          <w:sz w:val="32"/>
          <w:szCs w:val="32"/>
          <w:highlight w:val="none"/>
          <w:lang w:val="en-US" w:eastAsia="zh-CN"/>
        </w:rPr>
        <w:t>十二</w:t>
      </w:r>
      <w:r>
        <w:rPr>
          <w:rFonts w:hint="eastAsia" w:ascii="仿宋" w:hAnsi="仿宋" w:eastAsia="仿宋" w:cs="仿宋_GB2312"/>
          <w:b/>
          <w:bCs/>
          <w:color w:val="auto"/>
          <w:kern w:val="0"/>
          <w:sz w:val="32"/>
          <w:szCs w:val="32"/>
          <w:highlight w:val="none"/>
          <w:lang w:val="zh-CN"/>
        </w:rPr>
        <w:t>、</w:t>
      </w:r>
      <w:r>
        <w:rPr>
          <w:rFonts w:hint="eastAsia" w:ascii="仿宋" w:hAnsi="仿宋" w:eastAsia="仿宋" w:cs="仿宋_GB2312"/>
          <w:b/>
          <w:bCs/>
          <w:color w:val="auto"/>
          <w:kern w:val="0"/>
          <w:sz w:val="32"/>
          <w:szCs w:val="32"/>
          <w:highlight w:val="none"/>
          <w:lang w:val="en-US" w:eastAsia="zh-CN"/>
        </w:rPr>
        <w:t>售后及质保</w:t>
      </w:r>
    </w:p>
    <w:p>
      <w:pPr>
        <w:autoSpaceDE w:val="0"/>
        <w:autoSpaceDN w:val="0"/>
        <w:spacing w:line="360" w:lineRule="auto"/>
        <w:jc w:val="center"/>
        <w:rPr>
          <w:rFonts w:ascii="仿宋" w:hAnsi="仿宋" w:eastAsia="仿宋" w:cs="仿宋_GB2312"/>
          <w:b/>
          <w:bCs/>
          <w:color w:val="auto"/>
          <w:kern w:val="0"/>
          <w:sz w:val="24"/>
          <w:highlight w:val="none"/>
          <w:lang w:val="zh-CN"/>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pStyle w:val="8"/>
        <w:rPr>
          <w:color w:val="auto"/>
          <w:highlight w:val="none"/>
        </w:rPr>
      </w:pPr>
    </w:p>
    <w:p>
      <w:pPr>
        <w:spacing w:line="360" w:lineRule="auto"/>
        <w:jc w:val="center"/>
        <w:rPr>
          <w:rFonts w:hint="eastAsia" w:ascii="仿宋" w:hAnsi="仿宋" w:eastAsia="仿宋" w:cs="仿宋_GB2312"/>
          <w:b/>
          <w:bCs/>
          <w:color w:val="auto"/>
          <w:sz w:val="32"/>
          <w:szCs w:val="32"/>
          <w:highlight w:val="none"/>
          <w:lang w:eastAsia="zh-CN"/>
        </w:rPr>
      </w:pPr>
      <w:r>
        <w:rPr>
          <w:rFonts w:hint="eastAsia" w:ascii="仿宋" w:hAnsi="仿宋" w:eastAsia="仿宋" w:cs="仿宋_GB2312"/>
          <w:b/>
          <w:bCs/>
          <w:color w:val="auto"/>
          <w:sz w:val="32"/>
          <w:szCs w:val="32"/>
          <w:highlight w:val="none"/>
        </w:rPr>
        <w:t>十</w:t>
      </w:r>
      <w:r>
        <w:rPr>
          <w:rFonts w:hint="eastAsia" w:ascii="仿宋" w:hAnsi="仿宋" w:eastAsia="仿宋" w:cs="仿宋_GB2312"/>
          <w:b/>
          <w:bCs/>
          <w:color w:val="auto"/>
          <w:sz w:val="32"/>
          <w:szCs w:val="32"/>
          <w:highlight w:val="none"/>
          <w:lang w:eastAsia="zh-CN"/>
        </w:rPr>
        <w:t>三</w:t>
      </w:r>
      <w:r>
        <w:rPr>
          <w:rFonts w:hint="eastAsia" w:ascii="仿宋" w:hAnsi="仿宋" w:eastAsia="仿宋" w:cs="仿宋_GB2312"/>
          <w:b/>
          <w:bCs/>
          <w:color w:val="auto"/>
          <w:sz w:val="32"/>
          <w:szCs w:val="32"/>
          <w:highlight w:val="none"/>
        </w:rPr>
        <w:t>、人员</w:t>
      </w:r>
      <w:r>
        <w:rPr>
          <w:rFonts w:hint="eastAsia" w:ascii="仿宋" w:hAnsi="仿宋" w:eastAsia="仿宋" w:cs="仿宋_GB2312"/>
          <w:b/>
          <w:bCs/>
          <w:color w:val="auto"/>
          <w:sz w:val="32"/>
          <w:szCs w:val="32"/>
          <w:highlight w:val="none"/>
          <w:lang w:eastAsia="zh-CN"/>
        </w:rPr>
        <w:t>配置</w:t>
      </w:r>
    </w:p>
    <w:p>
      <w:pPr>
        <w:spacing w:line="360" w:lineRule="auto"/>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（由投标人根据采购需求及招标文件要求编制）</w:t>
      </w:r>
    </w:p>
    <w:p>
      <w:pPr>
        <w:keepNext/>
        <w:autoSpaceDE w:val="0"/>
        <w:autoSpaceDN w:val="0"/>
        <w:spacing w:line="360" w:lineRule="auto"/>
        <w:ind w:firstLine="477"/>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附表A:本项目的项目负责人情况表</w:t>
      </w:r>
    </w:p>
    <w:tbl>
      <w:tblPr>
        <w:tblStyle w:val="20"/>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w:t>
            </w:r>
            <w:r>
              <w:rPr>
                <w:rFonts w:hint="eastAsia" w:ascii="仿宋" w:hAnsi="仿宋" w:eastAsia="仿宋" w:cs="仿宋_GB2312"/>
                <w:bCs/>
                <w:color w:val="auto"/>
                <w:sz w:val="24"/>
                <w:highlight w:val="none"/>
              </w:rPr>
              <w:t>负责）</w:t>
            </w:r>
            <w:r>
              <w:rPr>
                <w:rFonts w:hint="eastAsia" w:ascii="仿宋" w:hAnsi="仿宋" w:eastAsia="仿宋" w:cs="仿宋_GB2312"/>
                <w:color w:val="auto"/>
                <w:sz w:val="24"/>
                <w:highlight w:val="none"/>
              </w:rPr>
              <w:t>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98"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注：须随表提交相应的证书</w:t>
      </w:r>
      <w:r>
        <w:rPr>
          <w:rFonts w:hint="eastAsia" w:ascii="仿宋" w:hAnsi="仿宋" w:eastAsia="仿宋" w:cs="仿宋_GB2312"/>
          <w:b/>
          <w:color w:val="auto"/>
          <w:sz w:val="24"/>
          <w:highlight w:val="none"/>
          <w:lang w:val="en-US" w:eastAsia="zh-CN"/>
        </w:rPr>
        <w:t>扫描件</w:t>
      </w:r>
      <w:r>
        <w:rPr>
          <w:rFonts w:hint="eastAsia" w:ascii="仿宋" w:hAnsi="仿宋" w:eastAsia="仿宋" w:cs="仿宋_GB2312"/>
          <w:b/>
          <w:color w:val="auto"/>
          <w:sz w:val="24"/>
          <w:highlight w:val="none"/>
        </w:rPr>
        <w:t>并注明所在页码。</w:t>
      </w:r>
    </w:p>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附表B:本项目的项目小组人员情况表</w:t>
      </w:r>
      <w:r>
        <w:rPr>
          <w:rFonts w:hint="eastAsia" w:ascii="仿宋" w:hAnsi="仿宋" w:eastAsia="仿宋" w:cs="仿宋_GB2312"/>
          <w:color w:val="auto"/>
          <w:sz w:val="24"/>
          <w:highlight w:val="none"/>
        </w:rPr>
        <w:t>（按此格式自制）</w:t>
      </w:r>
    </w:p>
    <w:tbl>
      <w:tblPr>
        <w:tblStyle w:val="20"/>
        <w:tblW w:w="8904" w:type="dxa"/>
        <w:tblInd w:w="108" w:type="dxa"/>
        <w:tblLayout w:type="fixed"/>
        <w:tblCellMar>
          <w:top w:w="0" w:type="dxa"/>
          <w:left w:w="108" w:type="dxa"/>
          <w:bottom w:w="0" w:type="dxa"/>
          <w:right w:w="108" w:type="dxa"/>
        </w:tblCellMar>
      </w:tblPr>
      <w:tblGrid>
        <w:gridCol w:w="420"/>
        <w:gridCol w:w="787"/>
        <w:gridCol w:w="412"/>
        <w:gridCol w:w="586"/>
        <w:gridCol w:w="1035"/>
        <w:gridCol w:w="855"/>
        <w:gridCol w:w="1083"/>
        <w:gridCol w:w="1217"/>
        <w:gridCol w:w="1000"/>
        <w:gridCol w:w="700"/>
        <w:gridCol w:w="809"/>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8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身份证号码</w:t>
            </w:r>
          </w:p>
        </w:tc>
        <w:tc>
          <w:tcPr>
            <w:tcW w:w="10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2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职称</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证书</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项目经历</w:t>
            </w:r>
          </w:p>
        </w:tc>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7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注：投标人可按上述的格式自行编制，须随表提交相应的证书</w:t>
      </w:r>
      <w:r>
        <w:rPr>
          <w:rFonts w:hint="eastAsia" w:ascii="仿宋" w:hAnsi="仿宋" w:eastAsia="仿宋" w:cs="仿宋_GB2312"/>
          <w:b/>
          <w:color w:val="auto"/>
          <w:sz w:val="24"/>
          <w:highlight w:val="none"/>
          <w:lang w:val="en-US" w:eastAsia="zh-CN"/>
        </w:rPr>
        <w:t>扫描件</w:t>
      </w:r>
      <w:r>
        <w:rPr>
          <w:rFonts w:hint="eastAsia" w:ascii="仿宋" w:hAnsi="仿宋" w:eastAsia="仿宋" w:cs="仿宋_GB2312"/>
          <w:b/>
          <w:color w:val="auto"/>
          <w:sz w:val="24"/>
          <w:highlight w:val="none"/>
        </w:rPr>
        <w:t>并注明所在页码。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附表C:本项目的项目负责人和小组人员</w:t>
      </w:r>
      <w:r>
        <w:rPr>
          <w:rFonts w:hint="eastAsia" w:ascii="仿宋" w:hAnsi="仿宋" w:eastAsia="仿宋" w:cs="仿宋_GB2312"/>
          <w:b/>
          <w:color w:val="auto"/>
          <w:sz w:val="24"/>
          <w:highlight w:val="none"/>
          <w:lang w:eastAsia="zh-CN"/>
        </w:rPr>
        <w:t>的劳动合同、社保缴纳证明（开标前</w:t>
      </w:r>
      <w:r>
        <w:rPr>
          <w:rFonts w:hint="eastAsia" w:ascii="仿宋" w:hAnsi="仿宋" w:eastAsia="仿宋" w:cs="仿宋_GB2312"/>
          <w:b/>
          <w:color w:val="auto"/>
          <w:sz w:val="24"/>
          <w:highlight w:val="none"/>
          <w:lang w:val="en-US" w:eastAsia="zh-CN"/>
        </w:rPr>
        <w:t>15天内社保部门出具</w:t>
      </w:r>
      <w:r>
        <w:rPr>
          <w:rFonts w:hint="eastAsia" w:ascii="仿宋" w:hAnsi="仿宋" w:eastAsia="仿宋" w:cs="仿宋_GB2312"/>
          <w:b/>
          <w:color w:val="auto"/>
          <w:sz w:val="24"/>
          <w:highlight w:val="none"/>
          <w:lang w:eastAsia="zh-CN"/>
        </w:rPr>
        <w:t>）扫描件。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page"/>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w:t>
      </w:r>
      <w:r>
        <w:rPr>
          <w:rFonts w:hint="eastAsia" w:ascii="仿宋" w:hAnsi="仿宋" w:eastAsia="仿宋" w:cs="仿宋_GB2312"/>
          <w:b/>
          <w:bCs/>
          <w:color w:val="auto"/>
          <w:sz w:val="32"/>
          <w:szCs w:val="32"/>
          <w:highlight w:val="none"/>
          <w:lang w:val="en-US" w:eastAsia="zh-CN"/>
        </w:rPr>
        <w:t>四</w:t>
      </w:r>
      <w:r>
        <w:rPr>
          <w:rFonts w:hint="eastAsia" w:ascii="仿宋" w:hAnsi="仿宋" w:eastAsia="仿宋" w:cs="仿宋_GB2312"/>
          <w:b/>
          <w:bCs/>
          <w:color w:val="auto"/>
          <w:sz w:val="32"/>
          <w:szCs w:val="32"/>
          <w:highlight w:val="none"/>
        </w:rPr>
        <w:t>、认为需要的其他技术文件或说明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4800" w:firstLineChars="20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ascii="仿宋" w:hAnsi="仿宋" w:eastAsia="仿宋" w:cs="仿宋_GB2312"/>
          <w:b/>
          <w:bCs/>
          <w:color w:val="auto"/>
          <w:sz w:val="30"/>
          <w:szCs w:val="30"/>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bCs/>
          <w:color w:val="auto"/>
          <w:sz w:val="30"/>
          <w:szCs w:val="30"/>
          <w:highlight w:val="none"/>
        </w:rPr>
      </w:pPr>
    </w:p>
    <w:p>
      <w:pPr>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bCs/>
          <w:color w:val="auto"/>
          <w:sz w:val="30"/>
          <w:szCs w:val="30"/>
          <w:highlight w:val="none"/>
        </w:rPr>
        <w:t>十</w:t>
      </w:r>
      <w:r>
        <w:rPr>
          <w:rFonts w:hint="eastAsia" w:ascii="仿宋" w:hAnsi="仿宋" w:eastAsia="仿宋" w:cs="仿宋_GB2312"/>
          <w:b/>
          <w:bCs/>
          <w:color w:val="auto"/>
          <w:sz w:val="30"/>
          <w:szCs w:val="30"/>
          <w:highlight w:val="none"/>
          <w:lang w:val="en-US" w:eastAsia="zh-CN"/>
        </w:rPr>
        <w:t>五</w:t>
      </w:r>
      <w:r>
        <w:rPr>
          <w:rFonts w:hint="eastAsia" w:ascii="仿宋" w:hAnsi="仿宋" w:eastAsia="仿宋" w:cs="仿宋_GB2312"/>
          <w:b/>
          <w:bCs/>
          <w:color w:val="auto"/>
          <w:sz w:val="30"/>
          <w:szCs w:val="30"/>
          <w:highlight w:val="none"/>
        </w:rPr>
        <w:t>、关于</w:t>
      </w:r>
      <w:r>
        <w:rPr>
          <w:rFonts w:hint="eastAsia" w:ascii="仿宋" w:hAnsi="仿宋" w:eastAsia="仿宋" w:cs="仿宋_GB2312"/>
          <w:b/>
          <w:color w:val="auto"/>
          <w:kern w:val="0"/>
          <w:sz w:val="30"/>
          <w:szCs w:val="30"/>
          <w:highlight w:val="none"/>
          <w:lang w:val="zh-CN"/>
        </w:rPr>
        <w:t>对招标文件中有关商务、合同条款的拒绝声明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十</w:t>
      </w:r>
      <w:r>
        <w:rPr>
          <w:rFonts w:hint="eastAsia" w:ascii="仿宋" w:hAnsi="仿宋" w:eastAsia="仿宋" w:cs="仿宋_GB2312"/>
          <w:b/>
          <w:color w:val="auto"/>
          <w:kern w:val="0"/>
          <w:sz w:val="30"/>
          <w:szCs w:val="30"/>
          <w:highlight w:val="none"/>
          <w:lang w:val="en-US" w:eastAsia="zh-CN"/>
        </w:rPr>
        <w:t>六</w:t>
      </w:r>
      <w:r>
        <w:rPr>
          <w:rFonts w:hint="eastAsia" w:ascii="仿宋" w:hAnsi="仿宋" w:eastAsia="仿宋" w:cs="仿宋_GB2312"/>
          <w:b/>
          <w:color w:val="auto"/>
          <w:kern w:val="0"/>
          <w:sz w:val="30"/>
          <w:szCs w:val="30"/>
          <w:highlight w:val="none"/>
          <w:lang w:val="zh-CN"/>
        </w:rPr>
        <w:t>、关于招标文件中有关无效标条款（符合性要求）的声明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rPr>
          <w:rFonts w:ascii="仿宋" w:hAnsi="仿宋" w:eastAsia="仿宋" w:cs="仿宋_GB2312"/>
          <w:color w:val="auto"/>
          <w:sz w:val="24"/>
          <w:highlight w:val="none"/>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 xml:space="preserve"> </w:t>
      </w:r>
    </w:p>
    <w:p>
      <w:pP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t>关于钱塘新区政府采购支持中小企业信用融资相关事项通知</w:t>
      </w:r>
    </w:p>
    <w:p>
      <w:pPr>
        <w:spacing w:line="360" w:lineRule="auto"/>
        <w:jc w:val="center"/>
        <w:rPr>
          <w:rFonts w:ascii="仿宋" w:hAnsi="仿宋" w:eastAsia="仿宋" w:cs="仿宋_GB2312"/>
          <w:b/>
          <w:color w:val="auto"/>
          <w:sz w:val="10"/>
          <w:szCs w:val="1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一、适用对象</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在浙江“政采云”平台注册入库，并取得钱塘新区政府采购合同的中小企业供应商。</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二、相关信息获取方式</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请登陆杭州钱塘新区管理委员会官网（</w:t>
      </w:r>
      <w:r>
        <w:rPr>
          <w:rFonts w:ascii="仿宋" w:hAnsi="仿宋" w:eastAsia="仿宋" w:cs="仿宋_GB2312"/>
          <w:color w:val="auto"/>
          <w:sz w:val="24"/>
          <w:highlight w:val="none"/>
        </w:rPr>
        <w:t>http://qt.hangzhou.gov.cn</w:t>
      </w:r>
      <w:r>
        <w:rPr>
          <w:rFonts w:hint="eastAsia" w:ascii="仿宋" w:hAnsi="仿宋" w:eastAsia="仿宋" w:cs="仿宋_GB2312"/>
          <w:color w:val="auto"/>
          <w:sz w:val="24"/>
          <w:highlight w:val="none"/>
        </w:rPr>
        <w:t>） “公告公示”专栏，查看信用融资政策文件及各相关银行服务方案。</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三、申请方式和步骤</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1、供应商若有融资意向，需先与钱塘新区财政金融局合作的银行对接，办理相关融资前期手续；</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2、中标后，供应商应与采购单位或者采购代理机构及时联系，告知融资需求；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3、相关合作银行联系并审核供应商及相关中标信息，办理相关融资事宜；</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5、采购人应及时将信用融资合同提交财政金融局备案。</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四、注意事项</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五、合作银行及联系方式</w:t>
      </w:r>
    </w:p>
    <w:tbl>
      <w:tblPr>
        <w:tblStyle w:val="20"/>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吴建恩</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翁佳佳</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13777878302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82198699，13867197838</w:t>
            </w:r>
          </w:p>
        </w:tc>
      </w:tr>
    </w:tbl>
    <w:p>
      <w:pPr>
        <w:spacing w:line="360" w:lineRule="auto"/>
        <w:ind w:left="5040" w:hanging="5040" w:hangingChars="2100"/>
        <w:rPr>
          <w:rFonts w:ascii="仿宋" w:hAnsi="仿宋" w:eastAsia="仿宋" w:cs="仿宋_GB2312"/>
          <w:color w:val="auto"/>
          <w:kern w:val="0"/>
          <w:sz w:val="24"/>
          <w:highlight w:val="none"/>
          <w:lang w:val="zh-CN"/>
        </w:rPr>
      </w:pPr>
    </w:p>
    <w:p>
      <w:pPr>
        <w:spacing w:line="360" w:lineRule="auto"/>
        <w:ind w:left="5060" w:hanging="5060" w:hangingChars="2100"/>
        <w:rPr>
          <w:rFonts w:ascii="仿宋" w:hAnsi="仿宋" w:eastAsia="仿宋" w:cs="仿宋_GB2312"/>
          <w:b/>
          <w:bCs/>
          <w:color w:val="auto"/>
          <w:kern w:val="0"/>
          <w:sz w:val="24"/>
          <w:highlight w:val="none"/>
        </w:rPr>
      </w:pPr>
    </w:p>
    <w:p>
      <w:pPr>
        <w:spacing w:line="360" w:lineRule="auto"/>
        <w:rPr>
          <w:rFonts w:ascii="仿宋" w:hAnsi="仿宋" w:eastAsia="仿宋" w:cs="仿宋_GB2312"/>
          <w:b/>
          <w:color w:val="auto"/>
          <w:sz w:val="24"/>
          <w:highlight w:val="none"/>
        </w:rPr>
      </w:pPr>
    </w:p>
    <w:p>
      <w:pPr>
        <w:pStyle w:val="3"/>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color w:val="auto"/>
          <w:highlight w:val="none"/>
        </w:rPr>
      </w:pPr>
      <w:bookmarkStart w:id="432" w:name="_Toc465665161"/>
      <w:r>
        <w:rPr>
          <w:rFonts w:hint="eastAsia" w:ascii="仿宋" w:hAnsi="仿宋" w:eastAsia="仿宋"/>
          <w:color w:val="auto"/>
          <w:highlight w:val="none"/>
        </w:rPr>
        <w:t>附件</w:t>
      </w:r>
      <w:bookmarkEnd w:id="432"/>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pPr>
        <w:spacing w:line="360" w:lineRule="auto"/>
        <w:jc w:val="center"/>
        <w:rPr>
          <w:rFonts w:ascii="仿宋" w:hAnsi="仿宋" w:eastAsia="仿宋"/>
          <w:b/>
          <w:color w:val="auto"/>
          <w:spacing w:val="6"/>
          <w:sz w:val="32"/>
          <w:szCs w:val="32"/>
          <w:highlight w:val="none"/>
        </w:rPr>
      </w:pPr>
      <w:bookmarkStart w:id="433" w:name="OLE_LINK13"/>
      <w:bookmarkStart w:id="434" w:name="OLE_LINK14"/>
      <w:r>
        <w:rPr>
          <w:rFonts w:hint="eastAsia" w:ascii="仿宋" w:hAnsi="仿宋" w:eastAsia="仿宋"/>
          <w:b/>
          <w:color w:val="auto"/>
          <w:spacing w:val="6"/>
          <w:sz w:val="32"/>
          <w:szCs w:val="32"/>
          <w:highlight w:val="none"/>
        </w:rPr>
        <w:t>残疾人福利性单位声明函</w:t>
      </w:r>
    </w:p>
    <w:bookmarkEnd w:id="433"/>
    <w:bookmarkEnd w:id="434"/>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单位名称（盖章）：</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法定代表人/主要负责人：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被投诉人1：</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日,向</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采购人/代理机构</w:t>
      </w:r>
      <w:r>
        <w:rPr>
          <w:rFonts w:hint="eastAsia" w:ascii="仿宋" w:hAnsi="仿宋" w:eastAsia="仿宋"/>
          <w:color w:val="auto"/>
          <w:sz w:val="24"/>
          <w:highlight w:val="none"/>
        </w:rPr>
        <w:t>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日,就质疑事项作出了答复/没有在法定期限内作出答复。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 1：</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6.投诉书的投诉请求应与投诉事项相关。</w:t>
      </w:r>
    </w:p>
    <w:p>
      <w:pPr>
        <w:widowControl/>
        <w:spacing w:line="360" w:lineRule="auto"/>
        <w:ind w:firstLine="480" w:firstLineChars="200"/>
        <w:jc w:val="left"/>
        <w:rPr>
          <w:color w:val="auto"/>
          <w:highlight w:val="none"/>
        </w:rPr>
      </w:pPr>
      <w:r>
        <w:rPr>
          <w:rFonts w:hint="eastAsia"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sectPr>
      <w:headerReference r:id="rId12" w:type="default"/>
      <w:footerReference r:id="rId13"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9792970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1.1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Dn7B1gAAAAo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9792970</wp:posOffset>
              </wp:positionV>
              <wp:extent cx="670560" cy="159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0560" cy="159385"/>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r>
                            <w:rPr>
                              <w:rFonts w:ascii="Calibri" w:hAnsi="Calibri" w:eastAsia="Calibri" w:cs="Calibri"/>
                              <w:sz w:val="18"/>
                              <w:szCs w:val="18"/>
                            </w:rPr>
                            <w:t xml:space="preserve">第 </w:t>
                          </w:r>
                          <w:r>
                            <w:rPr>
                              <w:rFonts w:ascii="Calibri" w:hAnsi="Calibri" w:eastAsia="Calibri" w:cs="Calibri"/>
                              <w:sz w:val="18"/>
                              <w:szCs w:val="18"/>
                            </w:rPr>
                            <w:fldChar w:fldCharType="begin"/>
                          </w:r>
                          <w:r>
                            <w:rPr>
                              <w:rFonts w:ascii="Calibri" w:hAnsi="Calibri" w:eastAsia="Calibri" w:cs="Calibri"/>
                              <w:sz w:val="18"/>
                              <w:szCs w:val="18"/>
                            </w:rPr>
                            <w:instrText xml:space="preserve"> PAGE  \* MERGEFORMAT </w:instrText>
                          </w:r>
                          <w:r>
                            <w:rPr>
                              <w:rFonts w:ascii="Calibri" w:hAnsi="Calibri" w:eastAsia="Calibri" w:cs="Calibri"/>
                              <w:sz w:val="18"/>
                              <w:szCs w:val="18"/>
                            </w:rPr>
                            <w:fldChar w:fldCharType="separate"/>
                          </w:r>
                          <w:r>
                            <w:rPr>
                              <w:rFonts w:ascii="Calibri" w:hAnsi="Calibri" w:eastAsia="Calibri" w:cs="Calibri"/>
                              <w:sz w:val="18"/>
                              <w:szCs w:val="18"/>
                            </w:rPr>
                            <w:t>7</w:t>
                          </w:r>
                          <w:r>
                            <w:rPr>
                              <w:rFonts w:ascii="Calibri" w:hAnsi="Calibri" w:eastAsia="Calibri" w:cs="Calibri"/>
                              <w:sz w:val="18"/>
                              <w:szCs w:val="18"/>
                            </w:rPr>
                            <w:fldChar w:fldCharType="end"/>
                          </w:r>
                          <w:r>
                            <w:rPr>
                              <w:rFonts w:ascii="Calibri" w:hAnsi="Calibri" w:eastAsia="Calibri" w:cs="Calibri"/>
                              <w:sz w:val="18"/>
                              <w:szCs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771.1pt;height:12.55pt;width:52.8pt;mso-position-horizontal:center;mso-position-horizontal-relative:margin;mso-position-vertical-relative:page;z-index:251662336;mso-width-relative:page;mso-height-relative:page;" filled="f" stroked="f" coordsize="21600,21600" o:gfxdata="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Q29vfYAAAACgEAAA8AAAAAAAAAAQAgAAAAIgAAAGRycy9kb3ducmV2LnhtbFBLAQIU&#10;ABQAAAAIAIdO4kCL4ZmjugEAAHEDAAAOAAAAAAAAAAEAIAAAACc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r>
                      <w:rPr>
                        <w:rFonts w:ascii="Calibri" w:hAnsi="Calibri" w:eastAsia="Calibri" w:cs="Calibri"/>
                        <w:sz w:val="18"/>
                        <w:szCs w:val="18"/>
                      </w:rPr>
                      <w:t xml:space="preserve">第 </w:t>
                    </w:r>
                    <w:r>
                      <w:rPr>
                        <w:rFonts w:ascii="Calibri" w:hAnsi="Calibri" w:eastAsia="Calibri" w:cs="Calibri"/>
                        <w:sz w:val="18"/>
                        <w:szCs w:val="18"/>
                      </w:rPr>
                      <w:fldChar w:fldCharType="begin"/>
                    </w:r>
                    <w:r>
                      <w:rPr>
                        <w:rFonts w:ascii="Calibri" w:hAnsi="Calibri" w:eastAsia="Calibri" w:cs="Calibri"/>
                        <w:sz w:val="18"/>
                        <w:szCs w:val="18"/>
                      </w:rPr>
                      <w:instrText xml:space="preserve"> PAGE  \* MERGEFORMAT </w:instrText>
                    </w:r>
                    <w:r>
                      <w:rPr>
                        <w:rFonts w:ascii="Calibri" w:hAnsi="Calibri" w:eastAsia="Calibri" w:cs="Calibri"/>
                        <w:sz w:val="18"/>
                        <w:szCs w:val="18"/>
                      </w:rPr>
                      <w:fldChar w:fldCharType="separate"/>
                    </w:r>
                    <w:r>
                      <w:rPr>
                        <w:rFonts w:ascii="Calibri" w:hAnsi="Calibri" w:eastAsia="Calibri" w:cs="Calibri"/>
                        <w:sz w:val="18"/>
                        <w:szCs w:val="18"/>
                      </w:rPr>
                      <w:t>7</w:t>
                    </w:r>
                    <w:r>
                      <w:rPr>
                        <w:rFonts w:ascii="Calibri" w:hAnsi="Calibri" w:eastAsia="Calibri" w:cs="Calibri"/>
                        <w:sz w:val="18"/>
                        <w:szCs w:val="18"/>
                      </w:rPr>
                      <w:fldChar w:fldCharType="end"/>
                    </w:r>
                    <w:r>
                      <w:rPr>
                        <w:rFonts w:ascii="Calibri" w:hAnsi="Calibri" w:eastAsia="Calibri" w:cs="Calibri"/>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9792970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1.1pt;height:144pt;width:144pt;mso-position-horizontal:center;mso-position-horizontal-relative:margin;mso-position-vertical-relative:page;mso-wrap-style:none;z-index:251660288;mso-width-relative:page;mso-height-relative:page;" filled="f" stroked="f" coordsize="21600,21600" o:gfxdata="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vbWNbu6f4AptCxs9IPlMU2UytvlPkDapHgUqFcFnYoHzGHq2Xln4qD/eU5Rj/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Dn7B1gAAAAoBAAAPAAAAAAAAAAEAIAAAACIAAABkcnMvZG93bnJl&#10;di54bWxQSwECFAAUAAAACACHTuJAmMenDDgCAABvBAAADgAAAAAAAAABACAAAAAlAQAAZHJzL2Uy&#10;b0RvYy54bWxQSwUGAAAAAAYABgBZAQAAz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9792970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1.1pt;height:144pt;width:144pt;mso-position-horizontal:center;mso-position-horizontal-relative:margin;mso-position-vertical-relative:page;mso-wrap-style:none;z-index:251661312;mso-width-relative:page;mso-height-relative:page;" filled="f" stroked="f" coordsize="21600,21600" o:gfxdata="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Dn7B1gAAAAoBAAAPAAAAAAAAAAEAIAAAACIAAABkcnMvZG93bnJl&#10;di54bWxQSwECFAAUAAAACACHTuJAOeIrFDgCAABvBAAADgAAAAAAAAABACAAAAAlAQAAZHJzL2Uy&#10;b0RvYy54bWxQSwUGAAAAAAYABgBZAQAAz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ascii="仿宋" w:hAnsi="仿宋" w:eastAsia="仿宋" w:cs="仿宋"/>
        <w:i/>
        <w:iCs/>
      </w:rPr>
    </w:pPr>
  </w:p>
  <w:p>
    <w:pPr>
      <w:pStyle w:val="14"/>
      <w:pBdr>
        <w:bottom w:val="single" w:color="auto" w:sz="4" w:space="1"/>
      </w:pBdr>
      <w:jc w:val="right"/>
      <w:rPr>
        <w:rFonts w:ascii="仿宋" w:hAnsi="仿宋" w:eastAsia="仿宋" w:cs="仿宋"/>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right" w:pos="8279"/>
        <w:tab w:val="clear" w:pos="8306"/>
      </w:tabs>
      <w:jc w:val="right"/>
    </w:pPr>
    <w:r>
      <w:rPr>
        <w:rFonts w:hint="eastAsia" w:eastAsia="仿宋_GB2312"/>
        <w:i/>
      </w:rPr>
      <w:t>钱塘新区政府采购招标文件</w:t>
    </w:r>
  </w:p>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w:t>
    </w:r>
  </w:p>
  <w:p>
    <w:pPr>
      <w:pStyle w:val="14"/>
      <w:pBdr>
        <w:bottom w:val="single" w:color="auto" w:sz="4" w:space="1"/>
      </w:pBdr>
      <w:jc w:val="right"/>
      <w:rPr>
        <w:rFonts w:ascii="仿宋_GB2312" w:eastAsia="仿宋_GB2312"/>
        <w:b/>
        <w:i/>
        <w:u w:val="single"/>
      </w:rPr>
    </w:pPr>
    <w:r>
      <w:rPr>
        <w:rFonts w:hint="eastAsia" w:eastAsia="仿宋_GB2312"/>
        <w:i/>
      </w:rPr>
      <w:t>钱塘新区政府采购招标文件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44F8D"/>
    <w:multiLevelType w:val="singleLevel"/>
    <w:tmpl w:val="A7544F8D"/>
    <w:lvl w:ilvl="0" w:tentative="0">
      <w:start w:val="3"/>
      <w:numFmt w:val="chineseCounting"/>
      <w:suff w:val="space"/>
      <w:lvlText w:val="第%1部分"/>
      <w:lvlJc w:val="left"/>
      <w:rPr>
        <w:rFonts w:hint="eastAsia"/>
      </w:rPr>
    </w:lvl>
  </w:abstractNum>
  <w:abstractNum w:abstractNumId="1">
    <w:nsid w:val="AA836555"/>
    <w:multiLevelType w:val="singleLevel"/>
    <w:tmpl w:val="AA836555"/>
    <w:lvl w:ilvl="0" w:tentative="0">
      <w:start w:val="7"/>
      <w:numFmt w:val="chineseCounting"/>
      <w:suff w:val="nothing"/>
      <w:lvlText w:val="%1、"/>
      <w:lvlJc w:val="left"/>
      <w:rPr>
        <w:rFonts w:hint="eastAsia"/>
      </w:rPr>
    </w:lvl>
  </w:abstractNum>
  <w:abstractNum w:abstractNumId="2">
    <w:nsid w:val="C27DAC5A"/>
    <w:multiLevelType w:val="singleLevel"/>
    <w:tmpl w:val="C27DAC5A"/>
    <w:lvl w:ilvl="0" w:tentative="0">
      <w:start w:val="9"/>
      <w:numFmt w:val="chineseCounting"/>
      <w:suff w:val="nothing"/>
      <w:lvlText w:val="%1、"/>
      <w:lvlJc w:val="left"/>
      <w:rPr>
        <w:rFonts w:hint="eastAsia"/>
      </w:rPr>
    </w:lvl>
  </w:abstractNum>
  <w:abstractNum w:abstractNumId="3">
    <w:nsid w:val="E12EE8BB"/>
    <w:multiLevelType w:val="singleLevel"/>
    <w:tmpl w:val="E12EE8BB"/>
    <w:lvl w:ilvl="0" w:tentative="0">
      <w:start w:val="2"/>
      <w:numFmt w:val="decimal"/>
      <w:suff w:val="nothing"/>
      <w:lvlText w:val="（%1）"/>
      <w:lvlJc w:val="left"/>
    </w:lvl>
  </w:abstractNum>
  <w:abstractNum w:abstractNumId="4">
    <w:nsid w:val="00000000"/>
    <w:multiLevelType w:val="singleLevel"/>
    <w:tmpl w:val="00000000"/>
    <w:lvl w:ilvl="0" w:tentative="0">
      <w:start w:val="1"/>
      <w:numFmt w:val="chineseCounting"/>
      <w:suff w:val="nothing"/>
      <w:lvlText w:val="（%1）"/>
      <w:lvlJc w:val="left"/>
    </w:lvl>
  </w:abstractNum>
  <w:abstractNum w:abstractNumId="5">
    <w:nsid w:val="00000004"/>
    <w:multiLevelType w:val="multilevel"/>
    <w:tmpl w:val="00000004"/>
    <w:lvl w:ilvl="0" w:tentative="0">
      <w:start w:val="1"/>
      <w:numFmt w:val="chineseCountingThousand"/>
      <w:pStyle w:val="4"/>
      <w:suff w:val="space"/>
      <w:lvlText w:val="第%1条 "/>
      <w:lvlJc w:val="left"/>
      <w:pPr>
        <w:ind w:left="2220" w:hanging="420"/>
      </w:pPr>
      <w:rPr>
        <w:rFonts w:hint="eastAsia" w:eastAsia="黑体" w:cs="Times New Roman"/>
        <w:sz w:val="24"/>
        <w:szCs w:val="24"/>
      </w:rPr>
    </w:lvl>
    <w:lvl w:ilvl="1" w:tentative="0">
      <w:start w:val="1"/>
      <w:numFmt w:val="decimal"/>
      <w:lvlText w:val="%2、"/>
      <w:lvlJc w:val="left"/>
      <w:pPr>
        <w:tabs>
          <w:tab w:val="left" w:pos="780"/>
        </w:tabs>
        <w:ind w:left="780" w:hanging="360"/>
      </w:pPr>
      <w:rPr>
        <w:rFonts w:hint="default" w:ascii="Times New Roman" w:hAnsi="Times New Roman"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482C8CD9"/>
    <w:multiLevelType w:val="singleLevel"/>
    <w:tmpl w:val="482C8CD9"/>
    <w:lvl w:ilvl="0" w:tentative="0">
      <w:start w:val="36"/>
      <w:numFmt w:val="decimal"/>
      <w:suff w:val="nothing"/>
      <w:lvlText w:val="（%1）"/>
      <w:lvlJc w:val="left"/>
    </w:lvl>
  </w:abstractNum>
  <w:abstractNum w:abstractNumId="9">
    <w:nsid w:val="56605A1C"/>
    <w:multiLevelType w:val="singleLevel"/>
    <w:tmpl w:val="56605A1C"/>
    <w:lvl w:ilvl="0" w:tentative="0">
      <w:start w:val="1"/>
      <w:numFmt w:val="decimal"/>
      <w:suff w:val="nothing"/>
      <w:lvlText w:val="%1、"/>
      <w:lvlJc w:val="left"/>
      <w:rPr>
        <w:rFonts w:cs="Times New Roman"/>
      </w:rPr>
    </w:lvl>
  </w:abstractNum>
  <w:abstractNum w:abstractNumId="10">
    <w:nsid w:val="5A556A62"/>
    <w:multiLevelType w:val="singleLevel"/>
    <w:tmpl w:val="5A556A62"/>
    <w:lvl w:ilvl="0" w:tentative="0">
      <w:start w:val="15"/>
      <w:numFmt w:val="decimal"/>
      <w:suff w:val="nothing"/>
      <w:lvlText w:val="%1、"/>
      <w:lvlJc w:val="left"/>
    </w:lvl>
  </w:abstractNum>
  <w:abstractNum w:abstractNumId="11">
    <w:nsid w:val="7F19258A"/>
    <w:multiLevelType w:val="multilevel"/>
    <w:tmpl w:val="7F19258A"/>
    <w:lvl w:ilvl="0" w:tentative="0">
      <w:start w:val="2"/>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3"/>
  </w:num>
  <w:num w:numId="4">
    <w:abstractNumId w:val="6"/>
  </w:num>
  <w:num w:numId="5">
    <w:abstractNumId w:val="2"/>
  </w:num>
  <w:num w:numId="6">
    <w:abstractNumId w:val="0"/>
  </w:num>
  <w:num w:numId="7">
    <w:abstractNumId w:val="11"/>
  </w:num>
  <w:num w:numId="8">
    <w:abstractNumId w:val="8"/>
  </w:num>
  <w:num w:numId="9">
    <w:abstractNumId w:val="9"/>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8BF"/>
    <w:rsid w:val="00060585"/>
    <w:rsid w:val="000820AF"/>
    <w:rsid w:val="000850A6"/>
    <w:rsid w:val="00103C31"/>
    <w:rsid w:val="00156EF0"/>
    <w:rsid w:val="00172A27"/>
    <w:rsid w:val="0018557F"/>
    <w:rsid w:val="001A2802"/>
    <w:rsid w:val="001C7091"/>
    <w:rsid w:val="001C7AC6"/>
    <w:rsid w:val="001E3660"/>
    <w:rsid w:val="00204016"/>
    <w:rsid w:val="00216675"/>
    <w:rsid w:val="00225465"/>
    <w:rsid w:val="00262D2E"/>
    <w:rsid w:val="00281597"/>
    <w:rsid w:val="00285521"/>
    <w:rsid w:val="002B731F"/>
    <w:rsid w:val="002C157E"/>
    <w:rsid w:val="002D6881"/>
    <w:rsid w:val="0031480C"/>
    <w:rsid w:val="00357FE7"/>
    <w:rsid w:val="003813E8"/>
    <w:rsid w:val="00394E2B"/>
    <w:rsid w:val="003B3BBF"/>
    <w:rsid w:val="0044000A"/>
    <w:rsid w:val="004436EB"/>
    <w:rsid w:val="00453A8E"/>
    <w:rsid w:val="004602E6"/>
    <w:rsid w:val="004C614D"/>
    <w:rsid w:val="00516F65"/>
    <w:rsid w:val="00521DFD"/>
    <w:rsid w:val="0055120F"/>
    <w:rsid w:val="00554A84"/>
    <w:rsid w:val="00567DDC"/>
    <w:rsid w:val="005E04EE"/>
    <w:rsid w:val="005E5981"/>
    <w:rsid w:val="00621824"/>
    <w:rsid w:val="006936F2"/>
    <w:rsid w:val="006A3212"/>
    <w:rsid w:val="006A3DF4"/>
    <w:rsid w:val="006D5256"/>
    <w:rsid w:val="00711B46"/>
    <w:rsid w:val="00721EF0"/>
    <w:rsid w:val="00722C0C"/>
    <w:rsid w:val="007460F3"/>
    <w:rsid w:val="0079040A"/>
    <w:rsid w:val="007B0ABD"/>
    <w:rsid w:val="007D37CA"/>
    <w:rsid w:val="007E6718"/>
    <w:rsid w:val="007F02A2"/>
    <w:rsid w:val="00832D2D"/>
    <w:rsid w:val="00871F6B"/>
    <w:rsid w:val="008A0FC6"/>
    <w:rsid w:val="008A7C2A"/>
    <w:rsid w:val="008B09CC"/>
    <w:rsid w:val="008E5A02"/>
    <w:rsid w:val="00903382"/>
    <w:rsid w:val="009147E4"/>
    <w:rsid w:val="00936F05"/>
    <w:rsid w:val="00961FA2"/>
    <w:rsid w:val="009B5EF5"/>
    <w:rsid w:val="009D0909"/>
    <w:rsid w:val="009F068D"/>
    <w:rsid w:val="009F2930"/>
    <w:rsid w:val="00A01929"/>
    <w:rsid w:val="00A252AA"/>
    <w:rsid w:val="00A322BD"/>
    <w:rsid w:val="00A55BDF"/>
    <w:rsid w:val="00A836FC"/>
    <w:rsid w:val="00AB21F3"/>
    <w:rsid w:val="00AB3CE6"/>
    <w:rsid w:val="00AD426E"/>
    <w:rsid w:val="00AE4516"/>
    <w:rsid w:val="00AF3B88"/>
    <w:rsid w:val="00B15120"/>
    <w:rsid w:val="00B775C4"/>
    <w:rsid w:val="00B815FF"/>
    <w:rsid w:val="00BE4453"/>
    <w:rsid w:val="00BE6726"/>
    <w:rsid w:val="00C2301B"/>
    <w:rsid w:val="00C27115"/>
    <w:rsid w:val="00C32414"/>
    <w:rsid w:val="00C45C33"/>
    <w:rsid w:val="00C74482"/>
    <w:rsid w:val="00C80262"/>
    <w:rsid w:val="00CB6F33"/>
    <w:rsid w:val="00D424C4"/>
    <w:rsid w:val="00D52298"/>
    <w:rsid w:val="00D62F3B"/>
    <w:rsid w:val="00D65F59"/>
    <w:rsid w:val="00DA1E3B"/>
    <w:rsid w:val="00DC22BB"/>
    <w:rsid w:val="00DD08A6"/>
    <w:rsid w:val="00DD4F65"/>
    <w:rsid w:val="00DD5381"/>
    <w:rsid w:val="00DE5FC2"/>
    <w:rsid w:val="00DF13E6"/>
    <w:rsid w:val="00DF1576"/>
    <w:rsid w:val="00E3289E"/>
    <w:rsid w:val="00E6356D"/>
    <w:rsid w:val="00E63726"/>
    <w:rsid w:val="00EA3E05"/>
    <w:rsid w:val="00EB7652"/>
    <w:rsid w:val="00EE771A"/>
    <w:rsid w:val="00EF2B67"/>
    <w:rsid w:val="00F03676"/>
    <w:rsid w:val="00FA3163"/>
    <w:rsid w:val="00FD3C05"/>
    <w:rsid w:val="00FE63B5"/>
    <w:rsid w:val="00FF241B"/>
    <w:rsid w:val="01245BB0"/>
    <w:rsid w:val="01845F5F"/>
    <w:rsid w:val="018A49B0"/>
    <w:rsid w:val="021B7C9E"/>
    <w:rsid w:val="022B6B8A"/>
    <w:rsid w:val="028F1163"/>
    <w:rsid w:val="02A761A8"/>
    <w:rsid w:val="030C45C1"/>
    <w:rsid w:val="03406806"/>
    <w:rsid w:val="034211B5"/>
    <w:rsid w:val="03B73286"/>
    <w:rsid w:val="03D44C3B"/>
    <w:rsid w:val="04217B33"/>
    <w:rsid w:val="042641C3"/>
    <w:rsid w:val="04C52603"/>
    <w:rsid w:val="04C56385"/>
    <w:rsid w:val="04E94F58"/>
    <w:rsid w:val="05485F6D"/>
    <w:rsid w:val="054C07BF"/>
    <w:rsid w:val="05736F4A"/>
    <w:rsid w:val="05BD4FA1"/>
    <w:rsid w:val="072765A5"/>
    <w:rsid w:val="07C170DF"/>
    <w:rsid w:val="07E15665"/>
    <w:rsid w:val="089F04C2"/>
    <w:rsid w:val="093D1045"/>
    <w:rsid w:val="09A0659B"/>
    <w:rsid w:val="09C95EEB"/>
    <w:rsid w:val="0A4D21CF"/>
    <w:rsid w:val="0AA34EA5"/>
    <w:rsid w:val="0C8922EC"/>
    <w:rsid w:val="0CEC5146"/>
    <w:rsid w:val="0CED55FB"/>
    <w:rsid w:val="0CF82DEB"/>
    <w:rsid w:val="0D445F90"/>
    <w:rsid w:val="0D947200"/>
    <w:rsid w:val="0DF53A58"/>
    <w:rsid w:val="0E4934E1"/>
    <w:rsid w:val="0E752326"/>
    <w:rsid w:val="0E7A51C7"/>
    <w:rsid w:val="0E85739D"/>
    <w:rsid w:val="0EB51AC6"/>
    <w:rsid w:val="0F6A7B3A"/>
    <w:rsid w:val="0F736A49"/>
    <w:rsid w:val="0F786CE5"/>
    <w:rsid w:val="112E7B64"/>
    <w:rsid w:val="11515C60"/>
    <w:rsid w:val="11695BFC"/>
    <w:rsid w:val="12083AED"/>
    <w:rsid w:val="128473C4"/>
    <w:rsid w:val="12A54F5A"/>
    <w:rsid w:val="1367205A"/>
    <w:rsid w:val="13674AC3"/>
    <w:rsid w:val="1382743B"/>
    <w:rsid w:val="139820AA"/>
    <w:rsid w:val="13984AF9"/>
    <w:rsid w:val="13AD6266"/>
    <w:rsid w:val="13C33FAF"/>
    <w:rsid w:val="13D974E5"/>
    <w:rsid w:val="148567F5"/>
    <w:rsid w:val="14C74AAC"/>
    <w:rsid w:val="15044101"/>
    <w:rsid w:val="152C6F3D"/>
    <w:rsid w:val="15485AA9"/>
    <w:rsid w:val="159055FD"/>
    <w:rsid w:val="15943F1C"/>
    <w:rsid w:val="15CD008B"/>
    <w:rsid w:val="15EE2252"/>
    <w:rsid w:val="165B24A0"/>
    <w:rsid w:val="16AD6DEE"/>
    <w:rsid w:val="16BF2449"/>
    <w:rsid w:val="16F5788F"/>
    <w:rsid w:val="17771FD0"/>
    <w:rsid w:val="17B347EF"/>
    <w:rsid w:val="183F6F1E"/>
    <w:rsid w:val="18801E4A"/>
    <w:rsid w:val="18867F20"/>
    <w:rsid w:val="18B36CF9"/>
    <w:rsid w:val="18D77E24"/>
    <w:rsid w:val="19294492"/>
    <w:rsid w:val="197E5C17"/>
    <w:rsid w:val="19E4727F"/>
    <w:rsid w:val="19FC6418"/>
    <w:rsid w:val="1A0B7DD4"/>
    <w:rsid w:val="1B2960B4"/>
    <w:rsid w:val="1B2B468B"/>
    <w:rsid w:val="1BF758BE"/>
    <w:rsid w:val="1C965DCF"/>
    <w:rsid w:val="1D2E59D0"/>
    <w:rsid w:val="1D9D5BFF"/>
    <w:rsid w:val="1DB011B1"/>
    <w:rsid w:val="1DB375E0"/>
    <w:rsid w:val="1DB83ACD"/>
    <w:rsid w:val="1E215F10"/>
    <w:rsid w:val="1E6449EE"/>
    <w:rsid w:val="1EBD33C1"/>
    <w:rsid w:val="1EF25616"/>
    <w:rsid w:val="1F3F01D9"/>
    <w:rsid w:val="1F685DDA"/>
    <w:rsid w:val="1FE91658"/>
    <w:rsid w:val="1FFD2184"/>
    <w:rsid w:val="203E0345"/>
    <w:rsid w:val="20675D36"/>
    <w:rsid w:val="20A21757"/>
    <w:rsid w:val="20C05AE3"/>
    <w:rsid w:val="21096288"/>
    <w:rsid w:val="211D286D"/>
    <w:rsid w:val="213B0E78"/>
    <w:rsid w:val="217448FD"/>
    <w:rsid w:val="219F720D"/>
    <w:rsid w:val="21A22D2D"/>
    <w:rsid w:val="21CF057B"/>
    <w:rsid w:val="21E3109F"/>
    <w:rsid w:val="21F17746"/>
    <w:rsid w:val="22166C83"/>
    <w:rsid w:val="22780F8B"/>
    <w:rsid w:val="22C058F0"/>
    <w:rsid w:val="22E30470"/>
    <w:rsid w:val="232446DD"/>
    <w:rsid w:val="23687446"/>
    <w:rsid w:val="238A41F5"/>
    <w:rsid w:val="23D84736"/>
    <w:rsid w:val="24326EE4"/>
    <w:rsid w:val="247320C2"/>
    <w:rsid w:val="24744432"/>
    <w:rsid w:val="24917481"/>
    <w:rsid w:val="24BD493B"/>
    <w:rsid w:val="25133E67"/>
    <w:rsid w:val="252D1E23"/>
    <w:rsid w:val="25934FAC"/>
    <w:rsid w:val="260571A5"/>
    <w:rsid w:val="26105DC2"/>
    <w:rsid w:val="26432EFB"/>
    <w:rsid w:val="26BC2B75"/>
    <w:rsid w:val="27242424"/>
    <w:rsid w:val="27660DAE"/>
    <w:rsid w:val="276807D9"/>
    <w:rsid w:val="27B81C62"/>
    <w:rsid w:val="27C069FA"/>
    <w:rsid w:val="27CD5884"/>
    <w:rsid w:val="28030977"/>
    <w:rsid w:val="281D5BCE"/>
    <w:rsid w:val="28211884"/>
    <w:rsid w:val="286119C0"/>
    <w:rsid w:val="28AB43C0"/>
    <w:rsid w:val="28EA6A55"/>
    <w:rsid w:val="28FC2ED1"/>
    <w:rsid w:val="290A7C05"/>
    <w:rsid w:val="29186316"/>
    <w:rsid w:val="297F3890"/>
    <w:rsid w:val="29B432C7"/>
    <w:rsid w:val="29BB61F5"/>
    <w:rsid w:val="29F71BC6"/>
    <w:rsid w:val="2B001A44"/>
    <w:rsid w:val="2B6C05B7"/>
    <w:rsid w:val="2B900B5C"/>
    <w:rsid w:val="2C84698A"/>
    <w:rsid w:val="2CD279D9"/>
    <w:rsid w:val="2CD646E3"/>
    <w:rsid w:val="2D1573FE"/>
    <w:rsid w:val="2D68260D"/>
    <w:rsid w:val="2D8F0037"/>
    <w:rsid w:val="2D9612AC"/>
    <w:rsid w:val="2DB42D70"/>
    <w:rsid w:val="2DD256CE"/>
    <w:rsid w:val="2E1A286A"/>
    <w:rsid w:val="2F0B6841"/>
    <w:rsid w:val="2F50601F"/>
    <w:rsid w:val="2F627AD8"/>
    <w:rsid w:val="2FA921F8"/>
    <w:rsid w:val="2FB348D6"/>
    <w:rsid w:val="30025907"/>
    <w:rsid w:val="307F3EEA"/>
    <w:rsid w:val="30860502"/>
    <w:rsid w:val="308876DF"/>
    <w:rsid w:val="311A3CA2"/>
    <w:rsid w:val="31242DF3"/>
    <w:rsid w:val="32146A76"/>
    <w:rsid w:val="32F14E48"/>
    <w:rsid w:val="33677509"/>
    <w:rsid w:val="338D33B0"/>
    <w:rsid w:val="33A41915"/>
    <w:rsid w:val="33BA728E"/>
    <w:rsid w:val="34260C30"/>
    <w:rsid w:val="34342B57"/>
    <w:rsid w:val="34517FF5"/>
    <w:rsid w:val="34576396"/>
    <w:rsid w:val="34F37D20"/>
    <w:rsid w:val="35445F5B"/>
    <w:rsid w:val="358C473A"/>
    <w:rsid w:val="35FD2042"/>
    <w:rsid w:val="368B1D24"/>
    <w:rsid w:val="36FB04C2"/>
    <w:rsid w:val="37547D45"/>
    <w:rsid w:val="376854B1"/>
    <w:rsid w:val="376D01CE"/>
    <w:rsid w:val="37732C2C"/>
    <w:rsid w:val="37C4380E"/>
    <w:rsid w:val="380E0692"/>
    <w:rsid w:val="38163E67"/>
    <w:rsid w:val="386F1B9A"/>
    <w:rsid w:val="38BF6818"/>
    <w:rsid w:val="39055980"/>
    <w:rsid w:val="39331AAF"/>
    <w:rsid w:val="393E4000"/>
    <w:rsid w:val="39672F43"/>
    <w:rsid w:val="39EA47F5"/>
    <w:rsid w:val="3A186337"/>
    <w:rsid w:val="3A4D1DE1"/>
    <w:rsid w:val="3AD261FB"/>
    <w:rsid w:val="3AEA0AB5"/>
    <w:rsid w:val="3B3063A2"/>
    <w:rsid w:val="3B496476"/>
    <w:rsid w:val="3B841C1A"/>
    <w:rsid w:val="3B867025"/>
    <w:rsid w:val="3C1C24AF"/>
    <w:rsid w:val="3C33658C"/>
    <w:rsid w:val="3D4C0E0C"/>
    <w:rsid w:val="3D9F69AB"/>
    <w:rsid w:val="3DD40D37"/>
    <w:rsid w:val="3E6830C8"/>
    <w:rsid w:val="3EAD320D"/>
    <w:rsid w:val="3EBC45F4"/>
    <w:rsid w:val="3EC26A99"/>
    <w:rsid w:val="3F506028"/>
    <w:rsid w:val="3F7500BF"/>
    <w:rsid w:val="3F86101B"/>
    <w:rsid w:val="3FE112E1"/>
    <w:rsid w:val="3FF42D82"/>
    <w:rsid w:val="400E1499"/>
    <w:rsid w:val="40531870"/>
    <w:rsid w:val="412E0E80"/>
    <w:rsid w:val="41673DED"/>
    <w:rsid w:val="41E414E0"/>
    <w:rsid w:val="41F44596"/>
    <w:rsid w:val="421F3157"/>
    <w:rsid w:val="42396248"/>
    <w:rsid w:val="426651FF"/>
    <w:rsid w:val="430F1A94"/>
    <w:rsid w:val="432836D5"/>
    <w:rsid w:val="43B124A8"/>
    <w:rsid w:val="43B235B1"/>
    <w:rsid w:val="43DF2D2D"/>
    <w:rsid w:val="4454589E"/>
    <w:rsid w:val="449726EF"/>
    <w:rsid w:val="44DF2294"/>
    <w:rsid w:val="45215938"/>
    <w:rsid w:val="457B36D2"/>
    <w:rsid w:val="45A91E37"/>
    <w:rsid w:val="45BC1C23"/>
    <w:rsid w:val="46001265"/>
    <w:rsid w:val="46001654"/>
    <w:rsid w:val="46670892"/>
    <w:rsid w:val="469E67FD"/>
    <w:rsid w:val="46B53A08"/>
    <w:rsid w:val="46D768A4"/>
    <w:rsid w:val="47727BC3"/>
    <w:rsid w:val="477E493B"/>
    <w:rsid w:val="477F2C2B"/>
    <w:rsid w:val="47AB4D0E"/>
    <w:rsid w:val="47CA1095"/>
    <w:rsid w:val="47EA07AB"/>
    <w:rsid w:val="4887322A"/>
    <w:rsid w:val="48BF28CE"/>
    <w:rsid w:val="49D61562"/>
    <w:rsid w:val="49E6145D"/>
    <w:rsid w:val="49EC5B2C"/>
    <w:rsid w:val="4A0B0402"/>
    <w:rsid w:val="4A162042"/>
    <w:rsid w:val="4A343262"/>
    <w:rsid w:val="4A3D7041"/>
    <w:rsid w:val="4B491AC8"/>
    <w:rsid w:val="4B863C52"/>
    <w:rsid w:val="4B9C7167"/>
    <w:rsid w:val="4BDC7DD3"/>
    <w:rsid w:val="4BED10A8"/>
    <w:rsid w:val="4BF6210B"/>
    <w:rsid w:val="4C105204"/>
    <w:rsid w:val="4C227A9B"/>
    <w:rsid w:val="4C63251D"/>
    <w:rsid w:val="4C8714D4"/>
    <w:rsid w:val="4C895F48"/>
    <w:rsid w:val="4CAB7D91"/>
    <w:rsid w:val="4CDB253F"/>
    <w:rsid w:val="4D075A98"/>
    <w:rsid w:val="4D1C05FC"/>
    <w:rsid w:val="4D5F0392"/>
    <w:rsid w:val="4D64514C"/>
    <w:rsid w:val="4DD87A47"/>
    <w:rsid w:val="4E874AAA"/>
    <w:rsid w:val="4EA53782"/>
    <w:rsid w:val="4EE24F8E"/>
    <w:rsid w:val="4EFF0C5C"/>
    <w:rsid w:val="4F152E12"/>
    <w:rsid w:val="4F461AC1"/>
    <w:rsid w:val="501055FD"/>
    <w:rsid w:val="503D0642"/>
    <w:rsid w:val="50677C60"/>
    <w:rsid w:val="50794493"/>
    <w:rsid w:val="50A34A42"/>
    <w:rsid w:val="50B91554"/>
    <w:rsid w:val="51013CBA"/>
    <w:rsid w:val="512A0A50"/>
    <w:rsid w:val="512C0D4C"/>
    <w:rsid w:val="51546BDA"/>
    <w:rsid w:val="515521AF"/>
    <w:rsid w:val="5159295F"/>
    <w:rsid w:val="51594E66"/>
    <w:rsid w:val="51A62CB4"/>
    <w:rsid w:val="520B7EF4"/>
    <w:rsid w:val="52BD3FF3"/>
    <w:rsid w:val="533E7E43"/>
    <w:rsid w:val="53481910"/>
    <w:rsid w:val="544568D2"/>
    <w:rsid w:val="5470334A"/>
    <w:rsid w:val="54C25AB1"/>
    <w:rsid w:val="54DB23B3"/>
    <w:rsid w:val="55760388"/>
    <w:rsid w:val="55B23D90"/>
    <w:rsid w:val="55EE7261"/>
    <w:rsid w:val="55F54FC9"/>
    <w:rsid w:val="55F83C8C"/>
    <w:rsid w:val="568C3F9D"/>
    <w:rsid w:val="571E409C"/>
    <w:rsid w:val="590E251E"/>
    <w:rsid w:val="591B1E36"/>
    <w:rsid w:val="594531BF"/>
    <w:rsid w:val="5A3D7417"/>
    <w:rsid w:val="5A881FFA"/>
    <w:rsid w:val="5B1C1BFB"/>
    <w:rsid w:val="5B6F5AA8"/>
    <w:rsid w:val="5C103F0F"/>
    <w:rsid w:val="5C2C45FC"/>
    <w:rsid w:val="5C987E6C"/>
    <w:rsid w:val="5CB321FD"/>
    <w:rsid w:val="5D9B11B2"/>
    <w:rsid w:val="5DF1064B"/>
    <w:rsid w:val="5F3307A5"/>
    <w:rsid w:val="5F5466AE"/>
    <w:rsid w:val="5FC52D96"/>
    <w:rsid w:val="601C7615"/>
    <w:rsid w:val="60DD028B"/>
    <w:rsid w:val="612D1088"/>
    <w:rsid w:val="613B5068"/>
    <w:rsid w:val="613E519B"/>
    <w:rsid w:val="619968F8"/>
    <w:rsid w:val="61B8318F"/>
    <w:rsid w:val="61CB211A"/>
    <w:rsid w:val="622226FE"/>
    <w:rsid w:val="622F36C5"/>
    <w:rsid w:val="63271FFC"/>
    <w:rsid w:val="633A381A"/>
    <w:rsid w:val="63AE19B6"/>
    <w:rsid w:val="64323A04"/>
    <w:rsid w:val="643600DC"/>
    <w:rsid w:val="644F684D"/>
    <w:rsid w:val="64A04FCF"/>
    <w:rsid w:val="64B44088"/>
    <w:rsid w:val="6572133B"/>
    <w:rsid w:val="6607722A"/>
    <w:rsid w:val="6613420C"/>
    <w:rsid w:val="66543905"/>
    <w:rsid w:val="66E02E31"/>
    <w:rsid w:val="67282DFB"/>
    <w:rsid w:val="67485187"/>
    <w:rsid w:val="674B49C2"/>
    <w:rsid w:val="677527B6"/>
    <w:rsid w:val="67794983"/>
    <w:rsid w:val="67A07457"/>
    <w:rsid w:val="67D44251"/>
    <w:rsid w:val="68185F41"/>
    <w:rsid w:val="68CB55CC"/>
    <w:rsid w:val="68D9118E"/>
    <w:rsid w:val="699D2DE6"/>
    <w:rsid w:val="69C53FBC"/>
    <w:rsid w:val="69E778A9"/>
    <w:rsid w:val="6A164761"/>
    <w:rsid w:val="6A3428BD"/>
    <w:rsid w:val="6AD9534B"/>
    <w:rsid w:val="6AEA3D4C"/>
    <w:rsid w:val="6B4C0D66"/>
    <w:rsid w:val="6B68748A"/>
    <w:rsid w:val="6B8034D8"/>
    <w:rsid w:val="6C2C2277"/>
    <w:rsid w:val="6C316674"/>
    <w:rsid w:val="6CB418D1"/>
    <w:rsid w:val="6CC15D3F"/>
    <w:rsid w:val="6CFE0694"/>
    <w:rsid w:val="6D242A46"/>
    <w:rsid w:val="6D3D5736"/>
    <w:rsid w:val="6D4A53C1"/>
    <w:rsid w:val="6D5A1CD9"/>
    <w:rsid w:val="6D8B2824"/>
    <w:rsid w:val="6DC94742"/>
    <w:rsid w:val="6DDB5E75"/>
    <w:rsid w:val="6E6A0B88"/>
    <w:rsid w:val="6E9E4CD2"/>
    <w:rsid w:val="6F5115B2"/>
    <w:rsid w:val="6F595B1A"/>
    <w:rsid w:val="6FA33116"/>
    <w:rsid w:val="6FAA08DD"/>
    <w:rsid w:val="707E706A"/>
    <w:rsid w:val="708334A2"/>
    <w:rsid w:val="70CA3F52"/>
    <w:rsid w:val="70E57186"/>
    <w:rsid w:val="70EC5DCD"/>
    <w:rsid w:val="71C67336"/>
    <w:rsid w:val="72367ECC"/>
    <w:rsid w:val="724E0545"/>
    <w:rsid w:val="728A2A05"/>
    <w:rsid w:val="73040FEA"/>
    <w:rsid w:val="73E24FCE"/>
    <w:rsid w:val="73E67ADA"/>
    <w:rsid w:val="73F35BC7"/>
    <w:rsid w:val="74345E4A"/>
    <w:rsid w:val="74A232D0"/>
    <w:rsid w:val="75306A02"/>
    <w:rsid w:val="7536684A"/>
    <w:rsid w:val="75932EBC"/>
    <w:rsid w:val="75B8492C"/>
    <w:rsid w:val="75B94E2F"/>
    <w:rsid w:val="75F20ECA"/>
    <w:rsid w:val="75F64E0B"/>
    <w:rsid w:val="763D032B"/>
    <w:rsid w:val="76537AA4"/>
    <w:rsid w:val="767C6C5C"/>
    <w:rsid w:val="768A3AD2"/>
    <w:rsid w:val="76B83275"/>
    <w:rsid w:val="76D7746F"/>
    <w:rsid w:val="777F2584"/>
    <w:rsid w:val="7799743A"/>
    <w:rsid w:val="77FC7352"/>
    <w:rsid w:val="78525851"/>
    <w:rsid w:val="78644947"/>
    <w:rsid w:val="7869589A"/>
    <w:rsid w:val="78B62B82"/>
    <w:rsid w:val="78C0774A"/>
    <w:rsid w:val="78F06A4E"/>
    <w:rsid w:val="7966378F"/>
    <w:rsid w:val="79737186"/>
    <w:rsid w:val="797B2409"/>
    <w:rsid w:val="79B7466F"/>
    <w:rsid w:val="7A084CF2"/>
    <w:rsid w:val="7A09119C"/>
    <w:rsid w:val="7A0D285D"/>
    <w:rsid w:val="7A6D0C91"/>
    <w:rsid w:val="7A7945B9"/>
    <w:rsid w:val="7A8B3BC7"/>
    <w:rsid w:val="7AAE4C9C"/>
    <w:rsid w:val="7AB45F6D"/>
    <w:rsid w:val="7AE5146B"/>
    <w:rsid w:val="7AE82C5A"/>
    <w:rsid w:val="7AFB7CA5"/>
    <w:rsid w:val="7B0A16E4"/>
    <w:rsid w:val="7B2026D9"/>
    <w:rsid w:val="7B412AD7"/>
    <w:rsid w:val="7B731011"/>
    <w:rsid w:val="7B821B67"/>
    <w:rsid w:val="7B8B70DB"/>
    <w:rsid w:val="7C0E06C1"/>
    <w:rsid w:val="7C471DE4"/>
    <w:rsid w:val="7C4F66C4"/>
    <w:rsid w:val="7CE33BE3"/>
    <w:rsid w:val="7D3E257A"/>
    <w:rsid w:val="7D4E7E9D"/>
    <w:rsid w:val="7DAF1C99"/>
    <w:rsid w:val="7E424040"/>
    <w:rsid w:val="7EA21790"/>
    <w:rsid w:val="7EBB35A9"/>
    <w:rsid w:val="7EBE2747"/>
    <w:rsid w:val="7ECE541A"/>
    <w:rsid w:val="7EF159E2"/>
    <w:rsid w:val="7F142703"/>
    <w:rsid w:val="7F1F005B"/>
    <w:rsid w:val="7F733319"/>
    <w:rsid w:val="7FCF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99"/>
    <w:pPr>
      <w:numPr>
        <w:ilvl w:val="0"/>
        <w:numId w:val="2"/>
      </w:numPr>
      <w:spacing w:line="360" w:lineRule="auto"/>
      <w:outlineLvl w:val="2"/>
    </w:pPr>
    <w:rPr>
      <w:rFonts w:ascii="Times New Roman"/>
      <w:bCs/>
      <w:sz w:val="24"/>
      <w:szCs w:val="21"/>
    </w:rPr>
  </w:style>
  <w:style w:type="paragraph" w:styleId="5">
    <w:name w:val="heading 4"/>
    <w:basedOn w:val="1"/>
    <w:next w:val="1"/>
    <w:qFormat/>
    <w:uiPriority w:val="99"/>
    <w:pPr>
      <w:keepNext/>
      <w:keepLines/>
      <w:spacing w:line="376" w:lineRule="auto"/>
      <w:outlineLvl w:val="3"/>
    </w:pPr>
    <w:rPr>
      <w:rFonts w:ascii="Arial" w:hAnsi="Arial" w:eastAsia="黑体"/>
      <w:b/>
      <w:bCs/>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w:basedOn w:val="1"/>
    <w:next w:val="9"/>
    <w:link w:val="42"/>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qFormat/>
    <w:uiPriority w:val="0"/>
    <w:pPr>
      <w:ind w:firstLine="420"/>
    </w:pPr>
    <w:rPr>
      <w:rFonts w:hAnsi="Times New Roman" w:cs="Times New Roman"/>
      <w:snapToGrid/>
      <w:szCs w:val="20"/>
    </w:r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link w:val="43"/>
    <w:qFormat/>
    <w:uiPriority w:val="0"/>
    <w:rPr>
      <w:rFonts w:ascii="宋体" w:hAnsi="Courier New"/>
      <w:szCs w:val="22"/>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right" w:leader="dot" w:pos="9360"/>
      </w:tabs>
      <w:spacing w:line="360" w:lineRule="auto"/>
      <w:jc w:val="left"/>
    </w:pPr>
    <w:rPr>
      <w:rFonts w:ascii="Arial" w:hAnsi="Arial" w:eastAsia="宋体" w:cs="Arial"/>
      <w:b/>
      <w:bCs/>
      <w:caps/>
      <w:sz w:val="28"/>
      <w:szCs w:val="24"/>
    </w:rPr>
  </w:style>
  <w:style w:type="paragraph" w:styleId="16">
    <w:name w:val="toc 2"/>
    <w:basedOn w:val="1"/>
    <w:next w:val="1"/>
    <w:qFormat/>
    <w:uiPriority w:val="39"/>
    <w:pPr>
      <w:tabs>
        <w:tab w:val="right" w:pos="0"/>
        <w:tab w:val="right" w:leader="dot" w:pos="9318"/>
      </w:tabs>
      <w:spacing w:line="360" w:lineRule="auto"/>
      <w:jc w:val="left"/>
    </w:pPr>
    <w:rPr>
      <w:rFonts w:ascii="Times New Roman" w:hAnsi="Times New Roman" w:eastAsia="宋体" w:cs="Times New Roman"/>
      <w:bCs/>
      <w:sz w:val="28"/>
      <w:szCs w:val="20"/>
    </w:rPr>
  </w:style>
  <w:style w:type="paragraph" w:styleId="17">
    <w:name w:val="Normal (Web)"/>
    <w:basedOn w:val="1"/>
    <w:qFormat/>
    <w:uiPriority w:val="99"/>
    <w:pPr>
      <w:widowControl/>
      <w:spacing w:beforeAutospacing="1" w:afterAutospacing="1"/>
      <w:ind w:firstLine="420"/>
      <w:jc w:val="left"/>
    </w:pPr>
    <w:rPr>
      <w:rFonts w:ascii="宋体" w:hAnsi="宋体"/>
      <w:kern w:val="0"/>
      <w:sz w:val="20"/>
      <w:szCs w:val="20"/>
    </w:rPr>
  </w:style>
  <w:style w:type="paragraph" w:styleId="18">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9">
    <w:name w:val="Body Text First Indent 2"/>
    <w:basedOn w:val="1"/>
    <w:unhideWhenUsed/>
    <w:qFormat/>
    <w:uiPriority w:val="0"/>
    <w:pPr>
      <w:ind w:firstLine="420" w:firstLineChars="200"/>
    </w:p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正文1"/>
    <w:basedOn w:val="1"/>
    <w:next w:val="1"/>
    <w:qFormat/>
    <w:uiPriority w:val="0"/>
    <w:pPr>
      <w:spacing w:before="156" w:beforeLines="0" w:line="360" w:lineRule="auto"/>
      <w:ind w:left="426"/>
    </w:pPr>
    <w:rPr>
      <w:sz w:val="24"/>
    </w:rPr>
  </w:style>
  <w:style w:type="paragraph" w:styleId="27">
    <w:name w:val="List Paragraph"/>
    <w:basedOn w:val="1"/>
    <w:qFormat/>
    <w:uiPriority w:val="34"/>
    <w:pPr>
      <w:ind w:firstLine="420" w:firstLineChars="200"/>
    </w:pPr>
  </w:style>
  <w:style w:type="paragraph" w:customStyle="1" w:styleId="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2"/>
    <w:basedOn w:val="1"/>
    <w:qFormat/>
    <w:uiPriority w:val="0"/>
    <w:pPr>
      <w:spacing w:line="360" w:lineRule="auto"/>
      <w:ind w:firstLine="510" w:firstLineChars="200"/>
    </w:pPr>
    <w:rPr>
      <w:sz w:val="24"/>
      <w:szCs w:val="20"/>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1"/>
    <w:basedOn w:val="1"/>
    <w:next w:val="10"/>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32">
    <w:name w:val="索引 11"/>
    <w:basedOn w:val="1"/>
    <w:next w:val="1"/>
    <w:qFormat/>
    <w:uiPriority w:val="0"/>
    <w:pPr>
      <w:spacing w:line="360" w:lineRule="auto"/>
    </w:pPr>
    <w:rPr>
      <w:rFonts w:ascii="仿宋_GB2312" w:eastAsia="仿宋_GB2312"/>
      <w:sz w:val="24"/>
      <w:szCs w:val="20"/>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列出段落1"/>
    <w:basedOn w:val="1"/>
    <w:qFormat/>
    <w:uiPriority w:val="34"/>
    <w:pPr>
      <w:spacing w:line="360" w:lineRule="auto"/>
      <w:ind w:firstLine="420" w:firstLineChars="200"/>
    </w:pPr>
    <w:rPr>
      <w:rFonts w:ascii="Calibri" w:hAnsi="Calibri"/>
      <w:sz w:val="24"/>
      <w:szCs w:val="22"/>
    </w:rPr>
  </w:style>
  <w:style w:type="paragraph" w:customStyle="1" w:styleId="3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8">
    <w:name w:val="纯文本1"/>
    <w:basedOn w:val="1"/>
    <w:qFormat/>
    <w:uiPriority w:val="0"/>
    <w:rPr>
      <w:rFonts w:ascii="宋体" w:hAnsi="Courier New"/>
      <w:kern w:val="0"/>
      <w:sz w:val="20"/>
      <w:szCs w:val="20"/>
    </w:rPr>
  </w:style>
  <w:style w:type="paragraph" w:customStyle="1" w:styleId="39">
    <w:name w:val="正文 New New New New"/>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0">
    <w:name w:val="_Style 3"/>
    <w:qFormat/>
    <w:uiPriority w:val="99"/>
    <w:rPr>
      <w:rFonts w:ascii="Calibri" w:hAnsi="Calibri" w:eastAsia="宋体" w:cs="Calibri"/>
      <w:sz w:val="22"/>
      <w:szCs w:val="22"/>
      <w:lang w:val="en-US" w:eastAsia="zh-CN" w:bidi="ar-SA"/>
    </w:rPr>
  </w:style>
  <w:style w:type="paragraph" w:customStyle="1" w:styleId="41">
    <w:name w:val="List Paragraph1"/>
    <w:basedOn w:val="1"/>
    <w:qFormat/>
    <w:uiPriority w:val="99"/>
    <w:pPr>
      <w:ind w:firstLine="420" w:firstLineChars="200"/>
    </w:pPr>
  </w:style>
  <w:style w:type="character" w:customStyle="1" w:styleId="42">
    <w:name w:val="正文文本 Char"/>
    <w:basedOn w:val="22"/>
    <w:link w:val="8"/>
    <w:qFormat/>
    <w:uiPriority w:val="99"/>
    <w:rPr>
      <w:rFonts w:ascii="宋体" w:hAnsi="Arial" w:cs="Arial" w:eastAsiaTheme="minorEastAsia"/>
      <w:snapToGrid w:val="0"/>
      <w:kern w:val="2"/>
      <w:sz w:val="24"/>
      <w:szCs w:val="21"/>
      <w:lang w:val="zh-CN"/>
    </w:rPr>
  </w:style>
  <w:style w:type="character" w:customStyle="1" w:styleId="43">
    <w:name w:val="纯文本 Char"/>
    <w:link w:val="11"/>
    <w:qFormat/>
    <w:uiPriority w:val="0"/>
    <w:rPr>
      <w:rFonts w:ascii="宋体" w:hAnsi="Courier New" w:eastAsiaTheme="minorEastAsia" w:cstheme="minorBidi"/>
      <w:kern w:val="2"/>
      <w:sz w:val="21"/>
      <w:szCs w:val="22"/>
    </w:rPr>
  </w:style>
  <w:style w:type="character" w:customStyle="1" w:styleId="44">
    <w:name w:val="无"/>
    <w:qFormat/>
    <w:uiPriority w:val="99"/>
  </w:style>
  <w:style w:type="paragraph" w:customStyle="1" w:styleId="45">
    <w:name w:val="Table Paragraph"/>
    <w:basedOn w:val="1"/>
    <w:qFormat/>
    <w:uiPriority w:val="0"/>
    <w:pPr>
      <w:autoSpaceDE w:val="0"/>
      <w:autoSpaceDN w:val="0"/>
      <w:jc w:val="left"/>
    </w:pPr>
    <w:rPr>
      <w:rFonts w:hint="eastAsia" w:ascii="宋体" w:hAnsi="宋体" w:eastAsia="宋体" w:cs="Times New Roman"/>
      <w:kern w:val="0"/>
      <w:sz w:val="22"/>
      <w:szCs w:val="22"/>
    </w:rPr>
  </w:style>
  <w:style w:type="character" w:customStyle="1" w:styleId="46">
    <w:name w:val="Hyperlink.1"/>
    <w:qFormat/>
    <w:uiPriority w:val="99"/>
    <w:rPr>
      <w:rFonts w:cs="Times New Roman"/>
      <w:lang w:val="en-US"/>
    </w:rPr>
  </w:style>
  <w:style w:type="paragraph" w:customStyle="1" w:styleId="4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8">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49">
    <w:name w:val="正文段"/>
    <w:basedOn w:val="1"/>
    <w:qFormat/>
    <w:uiPriority w:val="99"/>
    <w:pPr>
      <w:widowControl/>
      <w:snapToGrid w:val="0"/>
      <w:spacing w:afterLines="50"/>
      <w:ind w:firstLine="200" w:firstLineChars="200"/>
    </w:pPr>
    <w:rPr>
      <w:kern w:val="0"/>
      <w:sz w:val="24"/>
      <w:szCs w:val="24"/>
    </w:rPr>
  </w:style>
  <w:style w:type="character" w:customStyle="1" w:styleId="50">
    <w:name w:val="font51"/>
    <w:qFormat/>
    <w:uiPriority w:val="0"/>
    <w:rPr>
      <w:rFonts w:hint="eastAsia" w:ascii="宋体" w:hAnsi="宋体" w:eastAsia="宋体" w:cs="宋体"/>
      <w:color w:val="000000"/>
      <w:sz w:val="24"/>
      <w:szCs w:val="24"/>
      <w:u w:val="none"/>
    </w:rPr>
  </w:style>
  <w:style w:type="character" w:customStyle="1" w:styleId="51">
    <w:name w:val="font41"/>
    <w:qFormat/>
    <w:uiPriority w:val="0"/>
    <w:rPr>
      <w:rFonts w:hint="eastAsia" w:ascii="宋体" w:hAnsi="宋体" w:eastAsia="宋体" w:cs="宋体"/>
      <w:color w:val="000000"/>
      <w:sz w:val="18"/>
      <w:szCs w:val="18"/>
      <w:u w:val="none"/>
    </w:rPr>
  </w:style>
  <w:style w:type="paragraph" w:customStyle="1" w:styleId="52">
    <w:name w:val="表说明"/>
    <w:basedOn w:val="1"/>
    <w:qFormat/>
    <w:uiPriority w:val="0"/>
    <w:pPr>
      <w:adjustRightInd w:val="0"/>
      <w:snapToGrid w:val="0"/>
      <w:spacing w:before="120" w:after="120"/>
      <w:jc w:val="center"/>
    </w:pPr>
    <w:rPr>
      <w:rFonts w:ascii="宋体" w:hAnsi="宋体"/>
      <w:color w:val="000000"/>
    </w:rPr>
  </w:style>
  <w:style w:type="paragraph" w:customStyle="1" w:styleId="53">
    <w:name w:val="[Normal]"/>
    <w:qFormat/>
    <w:uiPriority w:val="99"/>
    <w:rPr>
      <w:rFonts w:ascii="宋体" w:hAnsi="宋体" w:eastAsia="宋体" w:cs="Times New Roman"/>
      <w:sz w:val="24"/>
      <w:szCs w:val="22"/>
      <w:lang w:val="zh-CN" w:eastAsia="zh-CN" w:bidi="ar-SA"/>
    </w:rPr>
  </w:style>
  <w:style w:type="paragraph" w:customStyle="1" w:styleId="54">
    <w:name w:val="p0"/>
    <w:basedOn w:val="1"/>
    <w:unhideWhenUsed/>
    <w:qFormat/>
    <w:uiPriority w:val="0"/>
    <w:pPr>
      <w:widowControl/>
    </w:pPr>
    <w:rPr>
      <w:rFonts w:hint="eastAsia"/>
    </w:rPr>
  </w:style>
  <w:style w:type="paragraph" w:customStyle="1" w:styleId="55">
    <w:name w:val="1"/>
    <w:basedOn w:val="1"/>
    <w:next w:val="10"/>
    <w:qFormat/>
    <w:uiPriority w:val="99"/>
    <w:rPr>
      <w:rFonts w:ascii="宋体" w:hAnsi="Courier New" w:cs="Courier New"/>
      <w:szCs w:val="21"/>
    </w:rPr>
  </w:style>
  <w:style w:type="paragraph" w:customStyle="1" w:styleId="56">
    <w:name w:val="默认段落字体 Para Char Char Char Char Char Char Char Char Char1 Char Char Char Char"/>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0ED09-5A29-40FA-B78B-53955C1C26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7413</Words>
  <Characters>42257</Characters>
  <Lines>352</Lines>
  <Paragraphs>99</Paragraphs>
  <TotalTime>10</TotalTime>
  <ScaleCrop>false</ScaleCrop>
  <LinksUpToDate>false</LinksUpToDate>
  <CharactersWithSpaces>49571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2021-03-22T03:27:00Z</dcterms:created>
  <dc:creator>Administrator</dc:creator>
  <cp:lastModifiedBy>刘某某</cp:lastModifiedBy>
  <cp:lastPrinted>2021-06-01T03:01:00Z</cp:lastPrinted>
  <dcterms:modified xsi:type="dcterms:W3CDTF">2021-08-19T08:37:31Z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BC7B8126F885454284661157FA4DC7D2</vt:lpwstr>
  </property>
</Properties>
</file>