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firstLine="0"/>
        <w:rPr>
          <w:rFonts w:hint="eastAsia" w:eastAsia="宋体"/>
          <w:b/>
          <w:bCs/>
          <w:color w:val="auto"/>
          <w:sz w:val="52"/>
          <w:szCs w:val="28"/>
          <w:lang w:eastAsia="zh-CN"/>
        </w:rPr>
      </w:pPr>
      <w:r>
        <w:rPr>
          <w:rFonts w:hint="eastAsia"/>
          <w:b/>
          <w:bCs/>
          <w:color w:val="auto"/>
          <w:sz w:val="52"/>
          <w:szCs w:val="28"/>
          <w:lang w:eastAsia="zh-CN"/>
        </w:rPr>
        <w:t>嵊州智能厨电产业大脑建设项目（一期）</w:t>
      </w:r>
    </w:p>
    <w:p>
      <w:pPr>
        <w:spacing w:line="400" w:lineRule="exact"/>
        <w:jc w:val="center"/>
        <w:rPr>
          <w:rStyle w:val="43"/>
          <w:rFonts w:ascii="宋体" w:hAnsi="宋体"/>
          <w:szCs w:val="24"/>
        </w:rPr>
      </w:pPr>
      <w:r>
        <w:rPr>
          <w:rStyle w:val="43"/>
          <w:rFonts w:ascii="宋体" w:hAnsi="宋体"/>
          <w:sz w:val="28"/>
          <w:szCs w:val="16"/>
        </w:rPr>
        <w:t>（编号：</w:t>
      </w:r>
      <w:r>
        <w:rPr>
          <w:rStyle w:val="43"/>
          <w:rFonts w:hint="eastAsia" w:ascii="宋体" w:hAnsi="宋体"/>
          <w:sz w:val="28"/>
          <w:szCs w:val="16"/>
          <w:lang w:eastAsia="zh-CN"/>
        </w:rPr>
        <w:t>ZJSFDC-SZ2023N01</w:t>
      </w:r>
      <w:r>
        <w:rPr>
          <w:rStyle w:val="43"/>
          <w:rFonts w:ascii="宋体" w:hAnsi="宋体"/>
          <w:sz w:val="28"/>
          <w:szCs w:val="16"/>
        </w:rPr>
        <w:t>）</w:t>
      </w:r>
    </w:p>
    <w:p>
      <w:pPr>
        <w:spacing w:line="500" w:lineRule="exact"/>
        <w:jc w:val="center"/>
        <w:rPr>
          <w:rStyle w:val="43"/>
          <w:rFonts w:ascii="宋体" w:hAnsi="宋体"/>
          <w:b/>
          <w:w w:val="150"/>
          <w:sz w:val="44"/>
        </w:rPr>
      </w:pPr>
    </w:p>
    <w:p>
      <w:pPr>
        <w:snapToGrid w:val="0"/>
        <w:spacing w:line="800" w:lineRule="exact"/>
        <w:rPr>
          <w:rStyle w:val="43"/>
          <w:rFonts w:ascii="宋体" w:hAnsi="宋体"/>
          <w:b/>
          <w:sz w:val="52"/>
          <w:szCs w:val="52"/>
        </w:rPr>
      </w:pPr>
    </w:p>
    <w:p>
      <w:pPr>
        <w:snapToGrid w:val="0"/>
        <w:spacing w:line="800" w:lineRule="exact"/>
        <w:jc w:val="center"/>
        <w:rPr>
          <w:rStyle w:val="43"/>
          <w:rFonts w:ascii="宋体" w:hAnsi="宋体"/>
          <w:b/>
          <w:sz w:val="52"/>
          <w:szCs w:val="52"/>
        </w:rPr>
      </w:pPr>
    </w:p>
    <w:p>
      <w:pPr>
        <w:snapToGrid w:val="0"/>
        <w:spacing w:line="800" w:lineRule="exact"/>
        <w:jc w:val="center"/>
        <w:rPr>
          <w:rStyle w:val="43"/>
          <w:rFonts w:ascii="宋体" w:hAnsi="宋体"/>
          <w:b/>
          <w:sz w:val="52"/>
          <w:szCs w:val="52"/>
        </w:rPr>
      </w:pPr>
    </w:p>
    <w:p>
      <w:pPr>
        <w:snapToGrid w:val="0"/>
        <w:spacing w:line="800" w:lineRule="exact"/>
        <w:jc w:val="center"/>
        <w:rPr>
          <w:rStyle w:val="43"/>
          <w:rFonts w:ascii="宋体" w:hAnsi="宋体"/>
          <w:b/>
          <w:sz w:val="48"/>
          <w:szCs w:val="48"/>
        </w:rPr>
      </w:pPr>
      <w:r>
        <w:rPr>
          <w:rStyle w:val="43"/>
          <w:rFonts w:ascii="宋体" w:hAnsi="宋体"/>
          <w:b/>
          <w:sz w:val="48"/>
          <w:szCs w:val="48"/>
        </w:rPr>
        <w:t>公开招标采购文件</w:t>
      </w:r>
    </w:p>
    <w:p>
      <w:pPr>
        <w:snapToGrid w:val="0"/>
        <w:spacing w:line="800" w:lineRule="exact"/>
        <w:jc w:val="center"/>
        <w:rPr>
          <w:rStyle w:val="43"/>
          <w:rFonts w:ascii="宋体" w:hAnsi="宋体"/>
          <w:b/>
          <w:sz w:val="40"/>
          <w:szCs w:val="72"/>
        </w:rPr>
      </w:pPr>
      <w:r>
        <w:rPr>
          <w:rStyle w:val="43"/>
          <w:rFonts w:ascii="宋体" w:hAnsi="宋体"/>
          <w:b/>
          <w:sz w:val="40"/>
          <w:szCs w:val="72"/>
        </w:rPr>
        <w:t>（线上电子招投标）</w:t>
      </w:r>
    </w:p>
    <w:p>
      <w:pPr>
        <w:jc w:val="center"/>
        <w:rPr>
          <w:rStyle w:val="43"/>
          <w:rFonts w:ascii="宋体" w:hAnsi="宋体"/>
          <w:b/>
          <w:w w:val="150"/>
          <w:sz w:val="44"/>
        </w:rPr>
      </w:pPr>
    </w:p>
    <w:p>
      <w:pPr>
        <w:rPr>
          <w:rStyle w:val="43"/>
          <w:rFonts w:ascii="宋体" w:hAnsi="宋体"/>
          <w:sz w:val="44"/>
        </w:rPr>
      </w:pPr>
    </w:p>
    <w:p>
      <w:pPr>
        <w:spacing w:line="580" w:lineRule="exact"/>
        <w:jc w:val="center"/>
        <w:rPr>
          <w:rStyle w:val="43"/>
          <w:rFonts w:ascii="宋体" w:hAnsi="宋体" w:cs="宋体"/>
          <w:bCs/>
          <w:sz w:val="36"/>
        </w:rPr>
      </w:pPr>
    </w:p>
    <w:p>
      <w:pPr>
        <w:pStyle w:val="36"/>
      </w:pPr>
    </w:p>
    <w:p>
      <w:pPr>
        <w:spacing w:line="580" w:lineRule="exact"/>
        <w:rPr>
          <w:rStyle w:val="43"/>
          <w:rFonts w:ascii="宋体" w:hAnsi="宋体" w:cs="宋体"/>
          <w:bCs/>
          <w:sz w:val="36"/>
        </w:rPr>
      </w:pPr>
    </w:p>
    <w:p>
      <w:pPr>
        <w:spacing w:line="580" w:lineRule="exact"/>
        <w:jc w:val="both"/>
        <w:rPr>
          <w:rStyle w:val="43"/>
          <w:rFonts w:ascii="宋体" w:hAnsi="宋体" w:cs="宋体"/>
          <w:bCs/>
          <w:sz w:val="36"/>
        </w:rPr>
      </w:pPr>
    </w:p>
    <w:p>
      <w:pPr>
        <w:spacing w:line="580" w:lineRule="exact"/>
        <w:ind w:firstLine="1440" w:firstLineChars="400"/>
        <w:rPr>
          <w:rStyle w:val="43"/>
          <w:rFonts w:ascii="宋体" w:hAnsi="宋体" w:cs="宋体"/>
          <w:bCs/>
          <w:sz w:val="36"/>
        </w:rPr>
      </w:pPr>
      <w:r>
        <w:rPr>
          <w:rStyle w:val="43"/>
          <w:rFonts w:ascii="宋体" w:hAnsi="宋体" w:cs="宋体"/>
          <w:bCs/>
          <w:sz w:val="36"/>
        </w:rPr>
        <w:t>采购单位：</w:t>
      </w:r>
      <w:r>
        <w:rPr>
          <w:rStyle w:val="43"/>
          <w:rFonts w:hint="eastAsia" w:ascii="宋体" w:hAnsi="宋体" w:cs="宋体"/>
          <w:bCs/>
          <w:sz w:val="36"/>
        </w:rPr>
        <w:t>嵊州市经济和信息化局</w:t>
      </w:r>
    </w:p>
    <w:p>
      <w:pPr>
        <w:spacing w:line="580" w:lineRule="exact"/>
        <w:jc w:val="center"/>
        <w:rPr>
          <w:rStyle w:val="43"/>
          <w:rFonts w:ascii="宋体" w:hAnsi="宋体" w:cs="宋体"/>
          <w:bCs/>
          <w:sz w:val="36"/>
        </w:rPr>
      </w:pPr>
      <w:r>
        <w:rPr>
          <w:rStyle w:val="43"/>
          <w:rFonts w:hint="eastAsia" w:ascii="宋体" w:hAnsi="宋体" w:cs="宋体"/>
          <w:bCs/>
          <w:sz w:val="36"/>
        </w:rPr>
        <w:t xml:space="preserve">    </w:t>
      </w:r>
      <w:r>
        <w:rPr>
          <w:rStyle w:val="43"/>
          <w:rFonts w:ascii="宋体" w:hAnsi="宋体" w:cs="宋体"/>
          <w:bCs/>
          <w:sz w:val="36"/>
        </w:rPr>
        <w:t>采购代理机构：</w:t>
      </w:r>
      <w:r>
        <w:rPr>
          <w:rStyle w:val="43"/>
          <w:rFonts w:hint="eastAsia" w:ascii="宋体" w:hAnsi="宋体" w:cs="宋体"/>
          <w:bCs/>
          <w:sz w:val="36"/>
        </w:rPr>
        <w:t>浙江省房地产管理咨询有限公司</w:t>
      </w:r>
    </w:p>
    <w:p>
      <w:pPr>
        <w:pStyle w:val="15"/>
        <w:spacing w:line="580" w:lineRule="exact"/>
        <w:ind w:firstLine="1440" w:firstLineChars="450"/>
        <w:rPr>
          <w:rStyle w:val="43"/>
          <w:rFonts w:ascii="宋体" w:hAnsi="宋体" w:eastAsia="宋体" w:cs="宋体"/>
          <w:bCs/>
          <w:szCs w:val="32"/>
        </w:rPr>
      </w:pPr>
      <w:r>
        <w:rPr>
          <w:rStyle w:val="43"/>
          <w:rFonts w:ascii="宋体" w:hAnsi="宋体" w:eastAsia="宋体" w:cs="宋体"/>
          <w:bCs/>
          <w:szCs w:val="32"/>
        </w:rPr>
        <w:t>日期：</w:t>
      </w:r>
      <w:r>
        <w:rPr>
          <w:rStyle w:val="43"/>
          <w:rFonts w:hint="eastAsia" w:ascii="宋体" w:hAnsi="宋体" w:eastAsia="宋体" w:cs="宋体"/>
          <w:bCs/>
          <w:szCs w:val="32"/>
          <w:lang w:eastAsia="zh-CN"/>
        </w:rPr>
        <w:t>2023</w:t>
      </w:r>
      <w:r>
        <w:rPr>
          <w:rStyle w:val="43"/>
          <w:rFonts w:ascii="宋体" w:hAnsi="宋体" w:eastAsia="宋体" w:cs="宋体"/>
          <w:bCs/>
          <w:szCs w:val="32"/>
        </w:rPr>
        <w:t>年</w:t>
      </w:r>
      <w:r>
        <w:rPr>
          <w:rStyle w:val="43"/>
          <w:rFonts w:hint="eastAsia" w:ascii="宋体" w:hAnsi="宋体" w:eastAsia="宋体" w:cs="宋体"/>
          <w:bCs/>
          <w:szCs w:val="32"/>
        </w:rPr>
        <w:t>1</w:t>
      </w:r>
      <w:r>
        <w:rPr>
          <w:rStyle w:val="43"/>
          <w:rFonts w:ascii="宋体" w:hAnsi="宋体" w:eastAsia="宋体" w:cs="宋体"/>
          <w:bCs/>
          <w:szCs w:val="32"/>
        </w:rPr>
        <w:t>月</w:t>
      </w:r>
    </w:p>
    <w:p/>
    <w:p>
      <w:pPr>
        <w:pStyle w:val="15"/>
        <w:spacing w:line="580" w:lineRule="exact"/>
        <w:ind w:left="240" w:hanging="240"/>
        <w:jc w:val="center"/>
        <w:rPr>
          <w:rStyle w:val="43"/>
          <w:rFonts w:ascii="宋体" w:hAnsi="宋体" w:eastAsia="宋体"/>
        </w:rPr>
      </w:pPr>
    </w:p>
    <w:p/>
    <w:p>
      <w:pPr>
        <w:pStyle w:val="15"/>
        <w:spacing w:line="580" w:lineRule="exact"/>
        <w:jc w:val="center"/>
        <w:rPr>
          <w:rStyle w:val="43"/>
          <w:rFonts w:ascii="宋体" w:hAnsi="宋体" w:eastAsia="宋体"/>
          <w:b/>
          <w:sz w:val="44"/>
          <w:szCs w:val="44"/>
        </w:rPr>
      </w:pPr>
      <w:r>
        <w:rPr>
          <w:rStyle w:val="43"/>
          <w:rFonts w:ascii="宋体" w:hAnsi="宋体" w:eastAsia="宋体"/>
          <w:b/>
          <w:sz w:val="44"/>
          <w:szCs w:val="44"/>
        </w:rPr>
        <w:t>目  录</w:t>
      </w:r>
    </w:p>
    <w:p>
      <w:pPr>
        <w:rPr>
          <w:rStyle w:val="43"/>
          <w:rFonts w:ascii="宋体" w:hAnsi="宋体"/>
        </w:rPr>
      </w:pPr>
    </w:p>
    <w:sdt>
      <w:sdtPr>
        <w:rPr>
          <w:rFonts w:ascii="宋体" w:hAnsi="宋体"/>
          <w:b/>
          <w:bCs/>
          <w:sz w:val="21"/>
        </w:rPr>
        <w:id w:val="997371124"/>
        <w:docPartObj>
          <w:docPartGallery w:val="Table of Contents"/>
          <w:docPartUnique/>
        </w:docPartObj>
      </w:sdtPr>
      <w:sdtEndPr>
        <w:rPr>
          <w:rFonts w:ascii="宋体" w:hAnsi="宋体"/>
          <w:b/>
          <w:bCs/>
          <w:sz w:val="24"/>
        </w:rPr>
      </w:sdtEndPr>
      <w:sdtContent>
        <w:p>
          <w:pPr>
            <w:spacing w:line="480" w:lineRule="auto"/>
            <w:jc w:val="center"/>
            <w:rPr>
              <w:b/>
              <w:bCs/>
            </w:rPr>
          </w:pPr>
        </w:p>
        <w:p>
          <w:pPr>
            <w:pStyle w:val="20"/>
            <w:tabs>
              <w:tab w:val="right" w:leader="dot" w:pos="8306"/>
            </w:tabs>
            <w:spacing w:line="480" w:lineRule="auto"/>
            <w:rPr>
              <w:bCs/>
              <w:sz w:val="28"/>
              <w:szCs w:val="28"/>
            </w:rPr>
          </w:pPr>
          <w:r>
            <w:rPr>
              <w:rStyle w:val="43"/>
            </w:rPr>
            <w:fldChar w:fldCharType="begin"/>
          </w:r>
          <w:r>
            <w:rPr>
              <w:rStyle w:val="43"/>
              <w:rFonts w:ascii="宋体" w:hAnsi="宋体"/>
              <w:bCs/>
              <w:sz w:val="28"/>
              <w:szCs w:val="28"/>
            </w:rPr>
            <w:instrText xml:space="preserve">TOC \o "1-1" \h \u </w:instrText>
          </w:r>
          <w:r>
            <w:rPr>
              <w:rStyle w:val="43"/>
            </w:rPr>
            <w:fldChar w:fldCharType="separate"/>
          </w:r>
          <w:r>
            <w:fldChar w:fldCharType="begin"/>
          </w:r>
          <w:r>
            <w:instrText xml:space="preserve"> HYPERLINK \l "_Toc1807215962" </w:instrText>
          </w:r>
          <w:r>
            <w:fldChar w:fldCharType="separate"/>
          </w:r>
          <w:r>
            <w:rPr>
              <w:rFonts w:hAnsi="宋体"/>
              <w:bCs/>
              <w:sz w:val="28"/>
              <w:szCs w:val="28"/>
            </w:rPr>
            <w:t>第一部分  采购公告</w:t>
          </w:r>
          <w:r>
            <w:rPr>
              <w:bCs/>
              <w:sz w:val="28"/>
              <w:szCs w:val="28"/>
            </w:rPr>
            <w:tab/>
          </w:r>
          <w:r>
            <w:rPr>
              <w:bCs/>
              <w:sz w:val="28"/>
              <w:szCs w:val="28"/>
            </w:rPr>
            <w:fldChar w:fldCharType="begin"/>
          </w:r>
          <w:r>
            <w:rPr>
              <w:bCs/>
              <w:sz w:val="28"/>
              <w:szCs w:val="28"/>
            </w:rPr>
            <w:instrText xml:space="preserve"> PAGEREF _Toc1807215962 \h </w:instrText>
          </w:r>
          <w:r>
            <w:rPr>
              <w:bCs/>
              <w:sz w:val="28"/>
              <w:szCs w:val="28"/>
            </w:rPr>
            <w:fldChar w:fldCharType="separate"/>
          </w:r>
          <w:r>
            <w:rPr>
              <w:bCs/>
              <w:sz w:val="28"/>
              <w:szCs w:val="28"/>
            </w:rPr>
            <w:t>3</w:t>
          </w:r>
          <w:r>
            <w:rPr>
              <w:bCs/>
              <w:sz w:val="28"/>
              <w:szCs w:val="28"/>
            </w:rPr>
            <w:fldChar w:fldCharType="end"/>
          </w:r>
          <w:r>
            <w:rPr>
              <w:bCs/>
              <w:sz w:val="28"/>
              <w:szCs w:val="28"/>
            </w:rPr>
            <w:fldChar w:fldCharType="end"/>
          </w:r>
        </w:p>
        <w:p>
          <w:pPr>
            <w:pStyle w:val="20"/>
            <w:tabs>
              <w:tab w:val="right" w:leader="dot" w:pos="8306"/>
            </w:tabs>
            <w:spacing w:line="480" w:lineRule="auto"/>
            <w:rPr>
              <w:bCs/>
              <w:sz w:val="28"/>
              <w:szCs w:val="28"/>
            </w:rPr>
          </w:pPr>
          <w:r>
            <w:fldChar w:fldCharType="begin"/>
          </w:r>
          <w:r>
            <w:instrText xml:space="preserve"> HYPERLINK \l "_Toc2017453813" </w:instrText>
          </w:r>
          <w:r>
            <w:fldChar w:fldCharType="separate"/>
          </w:r>
          <w:r>
            <w:rPr>
              <w:rFonts w:hAnsi="宋体"/>
              <w:bCs/>
              <w:sz w:val="28"/>
              <w:szCs w:val="28"/>
            </w:rPr>
            <w:t>第二部分  投标须知</w:t>
          </w:r>
          <w:r>
            <w:rPr>
              <w:bCs/>
              <w:sz w:val="28"/>
              <w:szCs w:val="28"/>
            </w:rPr>
            <w:tab/>
          </w:r>
          <w:r>
            <w:rPr>
              <w:bCs/>
              <w:sz w:val="28"/>
              <w:szCs w:val="28"/>
            </w:rPr>
            <w:fldChar w:fldCharType="begin"/>
          </w:r>
          <w:r>
            <w:rPr>
              <w:bCs/>
              <w:sz w:val="28"/>
              <w:szCs w:val="28"/>
            </w:rPr>
            <w:instrText xml:space="preserve"> PAGEREF _Toc2017453813 \h </w:instrText>
          </w:r>
          <w:r>
            <w:rPr>
              <w:bCs/>
              <w:sz w:val="28"/>
              <w:szCs w:val="28"/>
            </w:rPr>
            <w:fldChar w:fldCharType="separate"/>
          </w:r>
          <w:r>
            <w:rPr>
              <w:bCs/>
              <w:sz w:val="28"/>
              <w:szCs w:val="28"/>
            </w:rPr>
            <w:t>7</w:t>
          </w:r>
          <w:r>
            <w:rPr>
              <w:bCs/>
              <w:sz w:val="28"/>
              <w:szCs w:val="28"/>
            </w:rPr>
            <w:fldChar w:fldCharType="end"/>
          </w:r>
          <w:r>
            <w:rPr>
              <w:bCs/>
              <w:sz w:val="28"/>
              <w:szCs w:val="28"/>
            </w:rPr>
            <w:fldChar w:fldCharType="end"/>
          </w:r>
        </w:p>
        <w:p>
          <w:pPr>
            <w:pStyle w:val="20"/>
            <w:tabs>
              <w:tab w:val="right" w:leader="dot" w:pos="8306"/>
            </w:tabs>
            <w:spacing w:line="480" w:lineRule="auto"/>
            <w:rPr>
              <w:bCs/>
              <w:sz w:val="28"/>
              <w:szCs w:val="28"/>
            </w:rPr>
          </w:pPr>
          <w:r>
            <w:fldChar w:fldCharType="begin"/>
          </w:r>
          <w:r>
            <w:instrText xml:space="preserve"> HYPERLINK \l "_Toc726932608" </w:instrText>
          </w:r>
          <w:r>
            <w:fldChar w:fldCharType="separate"/>
          </w:r>
          <w:r>
            <w:rPr>
              <w:rFonts w:hint="eastAsia" w:hAnsi="宋体"/>
              <w:bCs/>
              <w:sz w:val="28"/>
              <w:szCs w:val="28"/>
            </w:rPr>
            <w:t xml:space="preserve">第三部分 </w:t>
          </w:r>
          <w:r>
            <w:rPr>
              <w:rFonts w:hAnsi="宋体"/>
              <w:bCs/>
              <w:sz w:val="28"/>
              <w:szCs w:val="28"/>
            </w:rPr>
            <w:t xml:space="preserve"> 项目招标范围及服务要求</w:t>
          </w:r>
          <w:r>
            <w:rPr>
              <w:bCs/>
              <w:sz w:val="28"/>
              <w:szCs w:val="28"/>
            </w:rPr>
            <w:tab/>
          </w:r>
          <w:r>
            <w:rPr>
              <w:bCs/>
              <w:sz w:val="28"/>
              <w:szCs w:val="28"/>
            </w:rPr>
            <w:fldChar w:fldCharType="begin"/>
          </w:r>
          <w:r>
            <w:rPr>
              <w:bCs/>
              <w:sz w:val="28"/>
              <w:szCs w:val="28"/>
            </w:rPr>
            <w:instrText xml:space="preserve"> PAGEREF _Toc726932608 \h </w:instrText>
          </w:r>
          <w:r>
            <w:rPr>
              <w:bCs/>
              <w:sz w:val="28"/>
              <w:szCs w:val="28"/>
            </w:rPr>
            <w:fldChar w:fldCharType="separate"/>
          </w:r>
          <w:r>
            <w:rPr>
              <w:bCs/>
              <w:sz w:val="28"/>
              <w:szCs w:val="28"/>
            </w:rPr>
            <w:t>29</w:t>
          </w:r>
          <w:r>
            <w:rPr>
              <w:bCs/>
              <w:sz w:val="28"/>
              <w:szCs w:val="28"/>
            </w:rPr>
            <w:fldChar w:fldCharType="end"/>
          </w:r>
          <w:r>
            <w:rPr>
              <w:bCs/>
              <w:sz w:val="28"/>
              <w:szCs w:val="28"/>
            </w:rPr>
            <w:fldChar w:fldCharType="end"/>
          </w:r>
        </w:p>
        <w:p>
          <w:pPr>
            <w:pStyle w:val="20"/>
            <w:tabs>
              <w:tab w:val="right" w:leader="dot" w:pos="8306"/>
            </w:tabs>
            <w:spacing w:line="480" w:lineRule="auto"/>
            <w:rPr>
              <w:bCs/>
              <w:sz w:val="28"/>
              <w:szCs w:val="28"/>
            </w:rPr>
          </w:pPr>
          <w:r>
            <w:fldChar w:fldCharType="begin"/>
          </w:r>
          <w:r>
            <w:instrText xml:space="preserve"> HYPERLINK \l "_Toc521874873" </w:instrText>
          </w:r>
          <w:r>
            <w:fldChar w:fldCharType="separate"/>
          </w:r>
          <w:r>
            <w:rPr>
              <w:rFonts w:hAnsi="宋体"/>
              <w:bCs/>
              <w:sz w:val="28"/>
              <w:szCs w:val="28"/>
            </w:rPr>
            <w:t>第四部分  评标办法</w:t>
          </w:r>
          <w:r>
            <w:rPr>
              <w:bCs/>
              <w:sz w:val="28"/>
              <w:szCs w:val="28"/>
            </w:rPr>
            <w:tab/>
          </w:r>
          <w:r>
            <w:rPr>
              <w:bCs/>
              <w:sz w:val="28"/>
              <w:szCs w:val="28"/>
            </w:rPr>
            <w:fldChar w:fldCharType="begin"/>
          </w:r>
          <w:r>
            <w:rPr>
              <w:bCs/>
              <w:sz w:val="28"/>
              <w:szCs w:val="28"/>
            </w:rPr>
            <w:instrText xml:space="preserve"> PAGEREF _Toc521874873 \h </w:instrText>
          </w:r>
          <w:r>
            <w:rPr>
              <w:bCs/>
              <w:sz w:val="28"/>
              <w:szCs w:val="28"/>
            </w:rPr>
            <w:fldChar w:fldCharType="separate"/>
          </w:r>
          <w:r>
            <w:rPr>
              <w:bCs/>
              <w:sz w:val="28"/>
              <w:szCs w:val="28"/>
            </w:rPr>
            <w:t>76</w:t>
          </w:r>
          <w:r>
            <w:rPr>
              <w:bCs/>
              <w:sz w:val="28"/>
              <w:szCs w:val="28"/>
            </w:rPr>
            <w:fldChar w:fldCharType="end"/>
          </w:r>
          <w:r>
            <w:rPr>
              <w:bCs/>
              <w:sz w:val="28"/>
              <w:szCs w:val="28"/>
            </w:rPr>
            <w:fldChar w:fldCharType="end"/>
          </w:r>
        </w:p>
        <w:p>
          <w:pPr>
            <w:pStyle w:val="20"/>
            <w:tabs>
              <w:tab w:val="right" w:leader="dot" w:pos="8306"/>
            </w:tabs>
            <w:spacing w:line="480" w:lineRule="auto"/>
            <w:rPr>
              <w:bCs/>
              <w:sz w:val="28"/>
              <w:szCs w:val="28"/>
            </w:rPr>
          </w:pPr>
          <w:r>
            <w:fldChar w:fldCharType="begin"/>
          </w:r>
          <w:r>
            <w:instrText xml:space="preserve"> HYPERLINK \l "_Toc827776163" </w:instrText>
          </w:r>
          <w:r>
            <w:fldChar w:fldCharType="separate"/>
          </w:r>
          <w:r>
            <w:rPr>
              <w:rFonts w:hAnsi="宋体" w:cs="宋体"/>
              <w:bCs/>
              <w:sz w:val="28"/>
              <w:szCs w:val="28"/>
            </w:rPr>
            <w:t>第五部分  合同主要条款</w:t>
          </w:r>
          <w:r>
            <w:rPr>
              <w:bCs/>
              <w:sz w:val="28"/>
              <w:szCs w:val="28"/>
            </w:rPr>
            <w:tab/>
          </w:r>
          <w:r>
            <w:rPr>
              <w:bCs/>
              <w:sz w:val="28"/>
              <w:szCs w:val="28"/>
            </w:rPr>
            <w:fldChar w:fldCharType="begin"/>
          </w:r>
          <w:r>
            <w:rPr>
              <w:bCs/>
              <w:sz w:val="28"/>
              <w:szCs w:val="28"/>
            </w:rPr>
            <w:instrText xml:space="preserve"> PAGEREF _Toc827776163 \h </w:instrText>
          </w:r>
          <w:r>
            <w:rPr>
              <w:bCs/>
              <w:sz w:val="28"/>
              <w:szCs w:val="28"/>
            </w:rPr>
            <w:fldChar w:fldCharType="separate"/>
          </w:r>
          <w:r>
            <w:rPr>
              <w:bCs/>
              <w:sz w:val="28"/>
              <w:szCs w:val="28"/>
            </w:rPr>
            <w:t>81</w:t>
          </w:r>
          <w:r>
            <w:rPr>
              <w:bCs/>
              <w:sz w:val="28"/>
              <w:szCs w:val="28"/>
            </w:rPr>
            <w:fldChar w:fldCharType="end"/>
          </w:r>
          <w:r>
            <w:rPr>
              <w:bCs/>
              <w:sz w:val="28"/>
              <w:szCs w:val="28"/>
            </w:rPr>
            <w:fldChar w:fldCharType="end"/>
          </w:r>
        </w:p>
        <w:p>
          <w:pPr>
            <w:pStyle w:val="20"/>
            <w:tabs>
              <w:tab w:val="right" w:leader="dot" w:pos="8306"/>
            </w:tabs>
            <w:spacing w:line="480" w:lineRule="auto"/>
            <w:rPr>
              <w:bCs/>
              <w:sz w:val="28"/>
              <w:szCs w:val="28"/>
            </w:rPr>
          </w:pPr>
          <w:r>
            <w:fldChar w:fldCharType="begin"/>
          </w:r>
          <w:r>
            <w:instrText xml:space="preserve"> HYPERLINK \l "_Toc1034906275" </w:instrText>
          </w:r>
          <w:r>
            <w:fldChar w:fldCharType="separate"/>
          </w:r>
          <w:r>
            <w:rPr>
              <w:rFonts w:hAnsi="宋体"/>
              <w:bCs/>
              <w:sz w:val="28"/>
              <w:szCs w:val="28"/>
            </w:rPr>
            <w:t>第六部分  投标文件格式</w:t>
          </w:r>
          <w:r>
            <w:rPr>
              <w:bCs/>
              <w:sz w:val="28"/>
              <w:szCs w:val="28"/>
            </w:rPr>
            <w:tab/>
          </w:r>
          <w:r>
            <w:rPr>
              <w:bCs/>
              <w:sz w:val="28"/>
              <w:szCs w:val="28"/>
            </w:rPr>
            <w:fldChar w:fldCharType="begin"/>
          </w:r>
          <w:r>
            <w:rPr>
              <w:bCs/>
              <w:sz w:val="28"/>
              <w:szCs w:val="28"/>
            </w:rPr>
            <w:instrText xml:space="preserve"> PAGEREF _Toc1034906275 \h </w:instrText>
          </w:r>
          <w:r>
            <w:rPr>
              <w:bCs/>
              <w:sz w:val="28"/>
              <w:szCs w:val="28"/>
            </w:rPr>
            <w:fldChar w:fldCharType="separate"/>
          </w:r>
          <w:r>
            <w:rPr>
              <w:bCs/>
              <w:sz w:val="28"/>
              <w:szCs w:val="28"/>
            </w:rPr>
            <w:t>87</w:t>
          </w:r>
          <w:r>
            <w:rPr>
              <w:bCs/>
              <w:sz w:val="28"/>
              <w:szCs w:val="28"/>
            </w:rPr>
            <w:fldChar w:fldCharType="end"/>
          </w:r>
          <w:r>
            <w:rPr>
              <w:bCs/>
              <w:sz w:val="28"/>
              <w:szCs w:val="28"/>
            </w:rPr>
            <w:fldChar w:fldCharType="end"/>
          </w:r>
        </w:p>
        <w:p>
          <w:pPr>
            <w:spacing w:line="480" w:lineRule="auto"/>
            <w:rPr>
              <w:rStyle w:val="43"/>
              <w:rFonts w:ascii="宋体" w:hAnsi="宋体"/>
            </w:rPr>
          </w:pPr>
          <w:r>
            <w:rPr>
              <w:rFonts w:ascii="宋体" w:hAnsi="宋体"/>
              <w:b/>
              <w:bCs/>
              <w:sz w:val="28"/>
              <w:szCs w:val="28"/>
            </w:rPr>
            <w:fldChar w:fldCharType="end"/>
          </w:r>
        </w:p>
      </w:sdtContent>
    </w:sdt>
    <w:p>
      <w:pPr>
        <w:pStyle w:val="32"/>
        <w:spacing w:line="700" w:lineRule="exact"/>
        <w:ind w:left="477"/>
        <w:outlineLvl w:val="0"/>
        <w:rPr>
          <w:rStyle w:val="43"/>
          <w:rFonts w:hAnsi="宋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807215962"/>
    </w:p>
    <w:p>
      <w:pPr>
        <w:pStyle w:val="32"/>
        <w:spacing w:line="700" w:lineRule="exact"/>
        <w:ind w:left="477"/>
        <w:outlineLvl w:val="0"/>
        <w:rPr>
          <w:rStyle w:val="43"/>
          <w:rFonts w:hAnsi="宋体"/>
          <w:color w:val="auto"/>
        </w:rPr>
      </w:pPr>
      <w:r>
        <w:rPr>
          <w:rStyle w:val="43"/>
          <w:rFonts w:hAnsi="宋体"/>
          <w:color w:val="auto"/>
        </w:rPr>
        <w:t>第一部分  采购公告</w:t>
      </w:r>
      <w:bookmarkEnd w:id="0"/>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sz w:val="21"/>
          <w:szCs w:val="21"/>
        </w:rPr>
      </w:pPr>
      <w:r>
        <w:rPr>
          <w:rFonts w:hint="eastAsia" w:ascii="宋体" w:hAnsi="宋体"/>
          <w:sz w:val="21"/>
          <w:szCs w:val="21"/>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sz w:val="21"/>
          <w:szCs w:val="21"/>
        </w:rPr>
      </w:pPr>
      <w:r>
        <w:rPr>
          <w:rFonts w:hint="eastAsia" w:ascii="宋体" w:hAnsi="宋体"/>
          <w:sz w:val="21"/>
          <w:szCs w:val="21"/>
          <w:u w:val="single"/>
          <w:lang w:eastAsia="zh-CN"/>
        </w:rPr>
        <w:t>嵊州智能厨电产业大脑建设项目（一期）</w:t>
      </w:r>
      <w:r>
        <w:rPr>
          <w:rFonts w:hint="eastAsia" w:ascii="宋体" w:hAnsi="宋体"/>
          <w:sz w:val="21"/>
          <w:szCs w:val="21"/>
          <w:u w:val="single"/>
        </w:rPr>
        <w:t>的潜在供应商应在政采云平台http://www.zcygov.cn/获取采购文件，并于</w:t>
      </w:r>
      <w:r>
        <w:rPr>
          <w:rFonts w:hint="eastAsia" w:ascii="宋体" w:hAnsi="宋体"/>
          <w:sz w:val="21"/>
          <w:szCs w:val="21"/>
          <w:u w:val="single"/>
          <w:lang w:eastAsia="zh-CN"/>
        </w:rPr>
        <w:t>2023</w:t>
      </w:r>
      <w:r>
        <w:rPr>
          <w:rFonts w:hint="eastAsia" w:ascii="宋体" w:hAnsi="宋体"/>
          <w:sz w:val="21"/>
          <w:szCs w:val="21"/>
          <w:u w:val="single"/>
        </w:rPr>
        <w:t>年</w:t>
      </w:r>
      <w:r>
        <w:rPr>
          <w:rFonts w:hint="eastAsia" w:ascii="宋体" w:hAnsi="宋体"/>
          <w:sz w:val="21"/>
          <w:szCs w:val="21"/>
          <w:u w:val="single"/>
          <w:lang w:val="en-US" w:eastAsia="zh-CN"/>
        </w:rPr>
        <w:t>2</w:t>
      </w:r>
      <w:r>
        <w:rPr>
          <w:rFonts w:hint="eastAsia" w:ascii="宋体" w:hAnsi="宋体"/>
          <w:sz w:val="21"/>
          <w:szCs w:val="21"/>
          <w:u w:val="single"/>
        </w:rPr>
        <w:t>月</w:t>
      </w:r>
      <w:r>
        <w:rPr>
          <w:rFonts w:hint="eastAsia" w:ascii="宋体" w:hAnsi="宋体"/>
          <w:sz w:val="21"/>
          <w:szCs w:val="21"/>
          <w:u w:val="single"/>
          <w:lang w:val="en-US" w:eastAsia="zh-CN"/>
        </w:rPr>
        <w:t>9</w:t>
      </w:r>
      <w:r>
        <w:rPr>
          <w:rFonts w:hint="eastAsia" w:ascii="宋体" w:hAnsi="宋体"/>
          <w:sz w:val="21"/>
          <w:szCs w:val="21"/>
          <w:u w:val="single"/>
        </w:rPr>
        <w:t xml:space="preserve"> 日</w:t>
      </w:r>
      <w:r>
        <w:rPr>
          <w:rFonts w:hint="eastAsia" w:ascii="宋体" w:hAnsi="宋体"/>
          <w:sz w:val="21"/>
          <w:szCs w:val="21"/>
          <w:u w:val="single"/>
          <w:lang w:val="en-US" w:eastAsia="zh-CN"/>
        </w:rPr>
        <w:t>14</w:t>
      </w:r>
      <w:r>
        <w:rPr>
          <w:rFonts w:hint="eastAsia" w:ascii="宋体" w:hAnsi="宋体"/>
          <w:sz w:val="21"/>
          <w:szCs w:val="21"/>
          <w:u w:val="single"/>
        </w:rPr>
        <w:t>点 00分（北京时间）前提交响应文件。</w:t>
      </w:r>
    </w:p>
    <w:p>
      <w:pPr>
        <w:spacing w:line="420" w:lineRule="exact"/>
        <w:outlineLvl w:val="1"/>
        <w:rPr>
          <w:rStyle w:val="43"/>
          <w:rFonts w:ascii="宋体" w:hAnsi="宋体" w:cs="宋体"/>
          <w:b/>
          <w:bCs/>
          <w:spacing w:val="6"/>
          <w:sz w:val="21"/>
          <w:szCs w:val="21"/>
        </w:rPr>
      </w:pPr>
      <w:r>
        <w:rPr>
          <w:rStyle w:val="43"/>
          <w:rFonts w:ascii="宋体" w:hAnsi="宋体" w:cs="宋体"/>
          <w:b/>
          <w:bCs/>
          <w:spacing w:val="6"/>
          <w:sz w:val="21"/>
          <w:szCs w:val="21"/>
        </w:rPr>
        <w:t>一、项目基本情况</w:t>
      </w:r>
    </w:p>
    <w:p>
      <w:pPr>
        <w:spacing w:line="420" w:lineRule="exact"/>
        <w:ind w:firstLine="420" w:firstLineChars="200"/>
        <w:rPr>
          <w:rStyle w:val="43"/>
          <w:rFonts w:hint="eastAsia" w:ascii="宋体" w:hAnsi="宋体" w:eastAsia="宋体"/>
          <w:sz w:val="21"/>
          <w:szCs w:val="21"/>
          <w:lang w:eastAsia="zh-CN"/>
        </w:rPr>
      </w:pPr>
      <w:r>
        <w:rPr>
          <w:rStyle w:val="43"/>
          <w:rFonts w:ascii="宋体" w:hAnsi="宋体"/>
          <w:sz w:val="21"/>
          <w:szCs w:val="21"/>
        </w:rPr>
        <w:t>1.项目编号：</w:t>
      </w:r>
      <w:r>
        <w:rPr>
          <w:rStyle w:val="43"/>
          <w:rFonts w:hint="eastAsia" w:ascii="宋体" w:hAnsi="宋体"/>
          <w:sz w:val="21"/>
          <w:szCs w:val="21"/>
          <w:lang w:eastAsia="zh-CN"/>
        </w:rPr>
        <w:t>ZJSFDC-SZ2023N01</w:t>
      </w:r>
    </w:p>
    <w:p>
      <w:pPr>
        <w:spacing w:line="420" w:lineRule="exact"/>
        <w:ind w:firstLine="420" w:firstLineChars="200"/>
        <w:rPr>
          <w:rStyle w:val="43"/>
          <w:rFonts w:hint="eastAsia" w:ascii="宋体" w:hAnsi="宋体" w:eastAsia="宋体"/>
          <w:sz w:val="21"/>
          <w:szCs w:val="21"/>
          <w:lang w:eastAsia="zh-CN"/>
        </w:rPr>
      </w:pPr>
      <w:r>
        <w:rPr>
          <w:rStyle w:val="43"/>
          <w:rFonts w:ascii="宋体" w:hAnsi="宋体"/>
          <w:sz w:val="21"/>
          <w:szCs w:val="21"/>
        </w:rPr>
        <w:t>2.项目名称：</w:t>
      </w:r>
      <w:r>
        <w:rPr>
          <w:rStyle w:val="43"/>
          <w:rFonts w:hint="eastAsia" w:ascii="宋体" w:hAnsi="宋体"/>
          <w:spacing w:val="6"/>
          <w:sz w:val="21"/>
          <w:szCs w:val="21"/>
          <w:lang w:eastAsia="zh-CN"/>
        </w:rPr>
        <w:t>嵊州智能厨电产业大脑建设项目（一期）</w:t>
      </w:r>
    </w:p>
    <w:p>
      <w:pPr>
        <w:spacing w:line="420" w:lineRule="exact"/>
        <w:ind w:firstLine="420" w:firstLineChars="200"/>
        <w:rPr>
          <w:rStyle w:val="43"/>
          <w:rFonts w:ascii="宋体" w:hAnsi="宋体"/>
          <w:sz w:val="21"/>
          <w:szCs w:val="21"/>
        </w:rPr>
      </w:pPr>
      <w:r>
        <w:rPr>
          <w:rStyle w:val="43"/>
          <w:rFonts w:ascii="宋体" w:hAnsi="宋体"/>
          <w:sz w:val="21"/>
          <w:szCs w:val="21"/>
        </w:rPr>
        <w:t>3.预算金额：</w:t>
      </w:r>
      <w:r>
        <w:rPr>
          <w:rFonts w:hint="eastAsia" w:ascii="宋体" w:hAnsi="宋体"/>
          <w:sz w:val="21"/>
          <w:szCs w:val="21"/>
        </w:rPr>
        <w:t>13888910元</w:t>
      </w:r>
    </w:p>
    <w:p>
      <w:pPr>
        <w:spacing w:line="420" w:lineRule="exact"/>
        <w:ind w:firstLine="420" w:firstLineChars="200"/>
        <w:rPr>
          <w:rStyle w:val="43"/>
          <w:rFonts w:ascii="宋体" w:hAnsi="宋体"/>
          <w:sz w:val="21"/>
          <w:szCs w:val="21"/>
          <w:u w:val="single" w:color="000000"/>
        </w:rPr>
      </w:pPr>
      <w:r>
        <w:rPr>
          <w:rStyle w:val="43"/>
          <w:rFonts w:ascii="宋体" w:hAnsi="宋体"/>
          <w:sz w:val="21"/>
          <w:szCs w:val="21"/>
        </w:rPr>
        <w:t>4.采购需求：</w:t>
      </w:r>
      <w:r>
        <w:rPr>
          <w:rStyle w:val="43"/>
          <w:rFonts w:ascii="宋体" w:hAnsi="宋体"/>
          <w:kern w:val="0"/>
          <w:sz w:val="21"/>
          <w:szCs w:val="21"/>
        </w:rPr>
        <w:t>详见第三部分项目招标范围及服务要求</w:t>
      </w:r>
    </w:p>
    <w:tbl>
      <w:tblPr>
        <w:tblStyle w:val="26"/>
        <w:tblW w:w="8468" w:type="dxa"/>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150"/>
        <w:gridCol w:w="1020"/>
        <w:gridCol w:w="765"/>
        <w:gridCol w:w="2085"/>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ascii="宋体" w:hAnsi="宋体"/>
                <w:kern w:val="0"/>
                <w:sz w:val="21"/>
                <w:szCs w:val="21"/>
              </w:rPr>
              <w:t>序号</w:t>
            </w:r>
          </w:p>
        </w:tc>
        <w:tc>
          <w:tcPr>
            <w:tcW w:w="31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ascii="宋体" w:hAnsi="宋体"/>
                <w:kern w:val="0"/>
                <w:sz w:val="21"/>
                <w:szCs w:val="21"/>
              </w:rPr>
              <w:t>名称</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kern w:val="0"/>
                <w:sz w:val="21"/>
                <w:szCs w:val="21"/>
              </w:rPr>
            </w:pPr>
            <w:r>
              <w:rPr>
                <w:rStyle w:val="43"/>
                <w:rFonts w:ascii="宋体" w:hAnsi="宋体"/>
                <w:kern w:val="0"/>
                <w:sz w:val="21"/>
                <w:szCs w:val="21"/>
              </w:rPr>
              <w:t>数量</w:t>
            </w:r>
          </w:p>
        </w:tc>
        <w:tc>
          <w:tcPr>
            <w:tcW w:w="7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hint="eastAsia" w:ascii="宋体" w:hAnsi="宋体"/>
                <w:kern w:val="0"/>
                <w:sz w:val="21"/>
                <w:szCs w:val="21"/>
              </w:rPr>
              <w:t>单位</w:t>
            </w:r>
          </w:p>
        </w:tc>
        <w:tc>
          <w:tcPr>
            <w:tcW w:w="20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ascii="宋体" w:hAnsi="宋体"/>
                <w:kern w:val="0"/>
                <w:sz w:val="21"/>
                <w:szCs w:val="21"/>
              </w:rPr>
              <w:t>预算</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ascii="宋体" w:hAnsi="宋体"/>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ascii="宋体" w:hAnsi="宋体"/>
                <w:kern w:val="0"/>
                <w:sz w:val="21"/>
                <w:szCs w:val="21"/>
              </w:rPr>
              <w:t>1</w:t>
            </w:r>
          </w:p>
        </w:tc>
        <w:tc>
          <w:tcPr>
            <w:tcW w:w="315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hint="eastAsia" w:ascii="宋体" w:hAnsi="宋体" w:eastAsia="宋体"/>
                <w:iCs/>
                <w:sz w:val="21"/>
                <w:szCs w:val="21"/>
                <w:lang w:eastAsia="zh-CN"/>
              </w:rPr>
            </w:pPr>
            <w:r>
              <w:rPr>
                <w:rStyle w:val="43"/>
                <w:rFonts w:hint="eastAsia" w:ascii="宋体" w:hAnsi="宋体"/>
                <w:spacing w:val="6"/>
                <w:sz w:val="21"/>
                <w:szCs w:val="21"/>
                <w:lang w:eastAsia="zh-CN"/>
              </w:rPr>
              <w:t>嵊州智能厨电产业大脑建设项目（一期）</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kern w:val="0"/>
                <w:sz w:val="21"/>
                <w:szCs w:val="21"/>
              </w:rPr>
            </w:pPr>
            <w:r>
              <w:rPr>
                <w:rStyle w:val="43"/>
                <w:rFonts w:hint="eastAsia" w:ascii="宋体" w:hAnsi="宋体"/>
                <w:kern w:val="0"/>
                <w:sz w:val="21"/>
                <w:szCs w:val="21"/>
              </w:rPr>
              <w:t>1</w:t>
            </w:r>
          </w:p>
        </w:tc>
        <w:tc>
          <w:tcPr>
            <w:tcW w:w="7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hint="eastAsia" w:ascii="宋体" w:hAnsi="宋体"/>
                <w:kern w:val="0"/>
                <w:sz w:val="21"/>
                <w:szCs w:val="21"/>
              </w:rPr>
              <w:t>项</w:t>
            </w:r>
          </w:p>
        </w:tc>
        <w:tc>
          <w:tcPr>
            <w:tcW w:w="20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Fonts w:hint="eastAsia" w:ascii="宋体" w:hAnsi="宋体"/>
                <w:sz w:val="21"/>
                <w:szCs w:val="21"/>
              </w:rPr>
              <w:t>13888910元</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p>
        </w:tc>
      </w:tr>
    </w:tbl>
    <w:p>
      <w:pPr>
        <w:spacing w:line="420" w:lineRule="exact"/>
        <w:outlineLvl w:val="1"/>
        <w:rPr>
          <w:rStyle w:val="43"/>
          <w:rFonts w:ascii="宋体" w:hAnsi="宋体" w:cs="宋体"/>
          <w:b/>
          <w:bCs/>
          <w:spacing w:val="6"/>
          <w:sz w:val="21"/>
          <w:szCs w:val="21"/>
        </w:rPr>
      </w:pPr>
      <w:r>
        <w:rPr>
          <w:rStyle w:val="43"/>
          <w:rFonts w:ascii="宋体" w:hAnsi="宋体" w:cs="宋体"/>
          <w:b/>
          <w:bCs/>
          <w:spacing w:val="6"/>
          <w:sz w:val="21"/>
          <w:szCs w:val="21"/>
        </w:rPr>
        <w:t>二、投标人的资格要求：</w:t>
      </w:r>
    </w:p>
    <w:p>
      <w:pPr>
        <w:spacing w:line="420" w:lineRule="exact"/>
        <w:ind w:firstLine="420" w:firstLineChars="200"/>
        <w:outlineLvl w:val="2"/>
        <w:rPr>
          <w:rStyle w:val="43"/>
          <w:rFonts w:ascii="宋体" w:hAnsi="宋体"/>
          <w:sz w:val="21"/>
          <w:szCs w:val="21"/>
        </w:rPr>
      </w:pPr>
      <w:r>
        <w:rPr>
          <w:rStyle w:val="43"/>
          <w:rFonts w:ascii="宋体" w:hAnsi="宋体"/>
          <w:sz w:val="21"/>
          <w:szCs w:val="21"/>
        </w:rPr>
        <w:t>（一）基本资格要求：</w:t>
      </w:r>
    </w:p>
    <w:p>
      <w:pPr>
        <w:spacing w:line="420" w:lineRule="exact"/>
        <w:ind w:firstLine="444" w:firstLineChars="200"/>
        <w:rPr>
          <w:rStyle w:val="43"/>
          <w:rFonts w:ascii="宋体" w:hAnsi="宋体"/>
          <w:spacing w:val="6"/>
          <w:sz w:val="21"/>
          <w:szCs w:val="21"/>
        </w:rPr>
      </w:pPr>
      <w:r>
        <w:rPr>
          <w:rStyle w:val="43"/>
          <w:rFonts w:ascii="宋体" w:hAnsi="宋体"/>
          <w:spacing w:val="6"/>
          <w:sz w:val="21"/>
          <w:szCs w:val="21"/>
        </w:rPr>
        <w:t>1.满足《中华人民共和国政府采购法》第二十二条规定</w:t>
      </w:r>
      <w:r>
        <w:rPr>
          <w:rStyle w:val="43"/>
          <w:rFonts w:hint="eastAsia" w:ascii="宋体" w:hAnsi="宋体"/>
          <w:spacing w:val="6"/>
          <w:sz w:val="21"/>
          <w:szCs w:val="21"/>
        </w:rPr>
        <w:t>、</w:t>
      </w:r>
      <w:r>
        <w:rPr>
          <w:rFonts w:hint="eastAsia" w:ascii="宋体" w:hAnsi="宋体"/>
          <w:spacing w:val="6"/>
          <w:sz w:val="21"/>
          <w:szCs w:val="21"/>
        </w:rPr>
        <w:t>浙财采监【2013】24 号《关于规范政府采购供应商资格设定及资格审查的通知》第六条规定；</w:t>
      </w:r>
    </w:p>
    <w:p>
      <w:pPr>
        <w:spacing w:line="420" w:lineRule="exact"/>
        <w:ind w:firstLine="444" w:firstLineChars="200"/>
        <w:rPr>
          <w:rStyle w:val="43"/>
          <w:rFonts w:ascii="宋体" w:hAnsi="宋体"/>
          <w:spacing w:val="6"/>
          <w:sz w:val="21"/>
          <w:szCs w:val="21"/>
        </w:rPr>
      </w:pPr>
      <w:r>
        <w:rPr>
          <w:rStyle w:val="43"/>
          <w:rFonts w:ascii="宋体" w:hAnsi="宋体"/>
          <w:spacing w:val="6"/>
          <w:sz w:val="21"/>
          <w:szCs w:val="21"/>
        </w:rPr>
        <w:t>2.投标人未被列入失信被执行人名单、重大税收违法案件当事人名单、政府采购严重违法失信行为记录名单，信息以信用中国网站（www.creditchina.gov.cn）、中国政府采购网（www.ccgp.gov.cn）公布和查询为准。</w:t>
      </w:r>
    </w:p>
    <w:p>
      <w:pPr>
        <w:spacing w:line="420" w:lineRule="exact"/>
        <w:ind w:firstLine="444" w:firstLineChars="200"/>
        <w:outlineLvl w:val="2"/>
        <w:rPr>
          <w:rStyle w:val="43"/>
          <w:rFonts w:ascii="宋体" w:hAnsi="宋体"/>
          <w:spacing w:val="6"/>
          <w:sz w:val="21"/>
          <w:szCs w:val="21"/>
        </w:rPr>
      </w:pPr>
      <w:r>
        <w:rPr>
          <w:rStyle w:val="43"/>
          <w:rFonts w:ascii="宋体" w:hAnsi="宋体"/>
          <w:spacing w:val="6"/>
          <w:sz w:val="21"/>
          <w:szCs w:val="21"/>
        </w:rPr>
        <w:t>（二）特定资格要求：</w:t>
      </w:r>
      <w:r>
        <w:rPr>
          <w:rStyle w:val="43"/>
          <w:rFonts w:hint="eastAsia" w:ascii="宋体" w:hAnsi="宋体"/>
          <w:spacing w:val="6"/>
          <w:sz w:val="21"/>
          <w:szCs w:val="21"/>
        </w:rPr>
        <w:t>无。</w:t>
      </w:r>
    </w:p>
    <w:p>
      <w:pPr>
        <w:spacing w:line="420" w:lineRule="exact"/>
        <w:ind w:firstLine="444" w:firstLineChars="200"/>
        <w:outlineLvl w:val="2"/>
        <w:rPr>
          <w:rStyle w:val="43"/>
          <w:rFonts w:ascii="宋体" w:hAnsi="宋体" w:cs="宋体"/>
          <w:b/>
          <w:bCs/>
          <w:spacing w:val="6"/>
          <w:sz w:val="21"/>
          <w:szCs w:val="21"/>
        </w:rPr>
      </w:pPr>
      <w:r>
        <w:rPr>
          <w:rStyle w:val="43"/>
          <w:rFonts w:ascii="宋体" w:hAnsi="宋体"/>
          <w:spacing w:val="6"/>
          <w:sz w:val="21"/>
          <w:szCs w:val="21"/>
        </w:rPr>
        <w:t>（三）</w:t>
      </w:r>
      <w:r>
        <w:rPr>
          <w:rStyle w:val="43"/>
          <w:rFonts w:ascii="宋体" w:hAnsi="宋体"/>
          <w:sz w:val="21"/>
          <w:szCs w:val="21"/>
        </w:rPr>
        <w:t>本项目接受联合体投标。</w:t>
      </w:r>
    </w:p>
    <w:p>
      <w:pPr>
        <w:spacing w:line="420" w:lineRule="exact"/>
        <w:outlineLvl w:val="1"/>
        <w:rPr>
          <w:rStyle w:val="43"/>
          <w:rFonts w:ascii="宋体" w:hAnsi="宋体" w:cs="宋体"/>
          <w:b/>
          <w:bCs/>
          <w:spacing w:val="6"/>
          <w:sz w:val="21"/>
          <w:szCs w:val="21"/>
        </w:rPr>
      </w:pPr>
      <w:r>
        <w:rPr>
          <w:rStyle w:val="43"/>
          <w:rFonts w:ascii="宋体" w:hAnsi="宋体" w:cs="宋体"/>
          <w:b/>
          <w:bCs/>
          <w:spacing w:val="6"/>
          <w:sz w:val="21"/>
          <w:szCs w:val="21"/>
        </w:rPr>
        <w:t>三、获取采购文件</w:t>
      </w:r>
    </w:p>
    <w:p>
      <w:pPr>
        <w:spacing w:line="420" w:lineRule="exact"/>
        <w:ind w:firstLine="444" w:firstLineChars="200"/>
        <w:rPr>
          <w:rStyle w:val="43"/>
          <w:rFonts w:ascii="宋体" w:hAnsi="宋体"/>
          <w:spacing w:val="6"/>
          <w:sz w:val="21"/>
          <w:szCs w:val="21"/>
        </w:rPr>
      </w:pPr>
      <w:r>
        <w:rPr>
          <w:rStyle w:val="43"/>
          <w:rFonts w:ascii="宋体" w:hAnsi="宋体"/>
          <w:spacing w:val="6"/>
          <w:sz w:val="21"/>
          <w:szCs w:val="21"/>
        </w:rPr>
        <w:t>1.采购文件获取时间：</w:t>
      </w:r>
      <w:r>
        <w:rPr>
          <w:rStyle w:val="43"/>
          <w:rFonts w:hint="eastAsia" w:ascii="宋体" w:hAnsi="宋体"/>
          <w:spacing w:val="6"/>
          <w:sz w:val="21"/>
          <w:szCs w:val="21"/>
          <w:lang w:eastAsia="zh-CN"/>
        </w:rPr>
        <w:t>2023</w:t>
      </w:r>
      <w:r>
        <w:rPr>
          <w:rStyle w:val="43"/>
          <w:rFonts w:ascii="宋体" w:hAnsi="宋体"/>
          <w:spacing w:val="6"/>
          <w:sz w:val="21"/>
          <w:szCs w:val="21"/>
        </w:rPr>
        <w:t>年</w:t>
      </w:r>
      <w:r>
        <w:rPr>
          <w:rStyle w:val="43"/>
          <w:rFonts w:hint="eastAsia" w:ascii="宋体" w:hAnsi="宋体"/>
          <w:spacing w:val="6"/>
          <w:sz w:val="21"/>
          <w:szCs w:val="21"/>
        </w:rPr>
        <w:t>1</w:t>
      </w:r>
      <w:r>
        <w:rPr>
          <w:rStyle w:val="43"/>
          <w:rFonts w:ascii="宋体" w:hAnsi="宋体"/>
          <w:spacing w:val="6"/>
          <w:sz w:val="21"/>
          <w:szCs w:val="21"/>
        </w:rPr>
        <w:t>月</w:t>
      </w:r>
      <w:r>
        <w:rPr>
          <w:rStyle w:val="43"/>
          <w:rFonts w:hint="eastAsia" w:ascii="宋体" w:hAnsi="宋体"/>
          <w:spacing w:val="6"/>
          <w:sz w:val="21"/>
          <w:szCs w:val="21"/>
          <w:lang w:val="en-US" w:eastAsia="zh-CN"/>
        </w:rPr>
        <w:t>18</w:t>
      </w:r>
      <w:r>
        <w:rPr>
          <w:rStyle w:val="43"/>
          <w:rFonts w:ascii="宋体" w:hAnsi="宋体"/>
          <w:spacing w:val="6"/>
          <w:sz w:val="21"/>
          <w:szCs w:val="21"/>
        </w:rPr>
        <w:t>日至</w:t>
      </w:r>
      <w:r>
        <w:rPr>
          <w:rStyle w:val="43"/>
          <w:rFonts w:hint="eastAsia" w:ascii="宋体" w:hAnsi="宋体"/>
          <w:spacing w:val="6"/>
          <w:sz w:val="21"/>
          <w:szCs w:val="21"/>
          <w:lang w:eastAsia="zh-CN"/>
        </w:rPr>
        <w:t>2023</w:t>
      </w:r>
      <w:r>
        <w:rPr>
          <w:rStyle w:val="43"/>
          <w:rFonts w:ascii="宋体" w:hAnsi="宋体"/>
          <w:spacing w:val="6"/>
          <w:sz w:val="21"/>
          <w:szCs w:val="21"/>
        </w:rPr>
        <w:t>年</w:t>
      </w:r>
      <w:r>
        <w:rPr>
          <w:rStyle w:val="43"/>
          <w:rFonts w:hint="eastAsia" w:ascii="宋体" w:hAnsi="宋体"/>
          <w:spacing w:val="6"/>
          <w:sz w:val="21"/>
          <w:szCs w:val="21"/>
        </w:rPr>
        <w:t xml:space="preserve"> </w:t>
      </w:r>
      <w:r>
        <w:rPr>
          <w:rStyle w:val="43"/>
          <w:rFonts w:hint="eastAsia" w:ascii="宋体" w:hAnsi="宋体"/>
          <w:spacing w:val="6"/>
          <w:sz w:val="21"/>
          <w:szCs w:val="21"/>
          <w:lang w:val="en-US" w:eastAsia="zh-CN"/>
        </w:rPr>
        <w:t>2</w:t>
      </w:r>
      <w:r>
        <w:rPr>
          <w:rStyle w:val="43"/>
          <w:rFonts w:ascii="宋体" w:hAnsi="宋体"/>
          <w:spacing w:val="6"/>
          <w:sz w:val="21"/>
          <w:szCs w:val="21"/>
        </w:rPr>
        <w:t>月</w:t>
      </w:r>
      <w:r>
        <w:rPr>
          <w:rStyle w:val="43"/>
          <w:rFonts w:hint="eastAsia" w:ascii="宋体" w:hAnsi="宋体"/>
          <w:spacing w:val="6"/>
          <w:sz w:val="21"/>
          <w:szCs w:val="21"/>
          <w:lang w:val="en-US" w:eastAsia="zh-CN"/>
        </w:rPr>
        <w:t>9</w:t>
      </w:r>
      <w:r>
        <w:rPr>
          <w:rStyle w:val="43"/>
          <w:rFonts w:ascii="宋体" w:hAnsi="宋体"/>
          <w:spacing w:val="6"/>
          <w:sz w:val="21"/>
          <w:szCs w:val="21"/>
        </w:rPr>
        <w:t>日。</w:t>
      </w:r>
    </w:p>
    <w:p>
      <w:pPr>
        <w:spacing w:line="420" w:lineRule="exact"/>
        <w:ind w:firstLine="444" w:firstLineChars="200"/>
        <w:rPr>
          <w:rStyle w:val="43"/>
          <w:rFonts w:ascii="宋体" w:hAnsi="宋体"/>
          <w:spacing w:val="6"/>
          <w:sz w:val="21"/>
          <w:szCs w:val="21"/>
        </w:rPr>
      </w:pPr>
      <w:r>
        <w:rPr>
          <w:rStyle w:val="43"/>
          <w:rFonts w:ascii="宋体" w:hAnsi="宋体"/>
          <w:spacing w:val="6"/>
          <w:sz w:val="21"/>
          <w:szCs w:val="21"/>
        </w:rPr>
        <w:t>2.采购文件获取方式：供应商登陆政采云平台http://www.zcygov.cn/，在线申请获取采购文件（进入“项目采购”应用，在获取采购文件菜单中选择项目，申请获取采购文件,仅需浏览采购文件的供应商可点击“游客，浏览采购文件”直接下载采购文件浏览）。</w:t>
      </w:r>
    </w:p>
    <w:p>
      <w:pPr>
        <w:spacing w:line="420" w:lineRule="exact"/>
        <w:ind w:firstLine="444" w:firstLineChars="200"/>
        <w:rPr>
          <w:rStyle w:val="43"/>
          <w:rFonts w:ascii="宋体" w:hAnsi="宋体"/>
          <w:spacing w:val="6"/>
          <w:sz w:val="21"/>
          <w:szCs w:val="21"/>
        </w:rPr>
      </w:pPr>
      <w:r>
        <w:rPr>
          <w:rStyle w:val="43"/>
          <w:rFonts w:ascii="宋体" w:hAnsi="宋体"/>
          <w:spacing w:val="6"/>
          <w:sz w:val="21"/>
          <w:szCs w:val="21"/>
        </w:rPr>
        <w:t>3.采购文件售价：免费。</w:t>
      </w:r>
    </w:p>
    <w:p>
      <w:pPr>
        <w:spacing w:line="420" w:lineRule="exact"/>
        <w:ind w:firstLine="444" w:firstLineChars="200"/>
        <w:rPr>
          <w:rStyle w:val="43"/>
          <w:rFonts w:ascii="宋体" w:hAnsi="宋体"/>
          <w:spacing w:val="6"/>
          <w:sz w:val="21"/>
          <w:szCs w:val="21"/>
        </w:rPr>
      </w:pPr>
      <w:r>
        <w:rPr>
          <w:rStyle w:val="43"/>
          <w:rFonts w:ascii="宋体" w:hAnsi="宋体"/>
          <w:spacing w:val="6"/>
          <w:sz w:val="21"/>
          <w:szCs w:val="21"/>
        </w:rPr>
        <w:t>4.咨询：</w:t>
      </w:r>
      <w:r>
        <w:rPr>
          <w:rStyle w:val="43"/>
          <w:rFonts w:hint="eastAsia" w:ascii="宋体" w:hAnsi="宋体"/>
          <w:spacing w:val="6"/>
          <w:sz w:val="21"/>
          <w:szCs w:val="21"/>
        </w:rPr>
        <w:t>嵊州市达成路115号中天大楼4楼418室浙江省房地产管理咨询有限公司</w:t>
      </w:r>
      <w:r>
        <w:rPr>
          <w:rStyle w:val="43"/>
          <w:rFonts w:ascii="宋体" w:hAnsi="宋体"/>
          <w:spacing w:val="6"/>
          <w:sz w:val="21"/>
          <w:szCs w:val="21"/>
        </w:rPr>
        <w:t>。联系电话：</w:t>
      </w:r>
      <w:r>
        <w:rPr>
          <w:rStyle w:val="43"/>
          <w:rFonts w:hint="eastAsia" w:ascii="宋体" w:hAnsi="宋体"/>
          <w:spacing w:val="6"/>
          <w:sz w:val="21"/>
          <w:szCs w:val="21"/>
        </w:rPr>
        <w:t>0575-83905775</w:t>
      </w:r>
      <w:r>
        <w:rPr>
          <w:rStyle w:val="43"/>
          <w:rFonts w:ascii="宋体" w:hAnsi="宋体"/>
          <w:spacing w:val="6"/>
          <w:sz w:val="21"/>
          <w:szCs w:val="21"/>
        </w:rPr>
        <w:t>。</w:t>
      </w:r>
    </w:p>
    <w:p>
      <w:pPr>
        <w:spacing w:line="420" w:lineRule="exact"/>
        <w:ind w:firstLine="444" w:firstLineChars="200"/>
        <w:rPr>
          <w:rStyle w:val="43"/>
          <w:rFonts w:ascii="宋体" w:hAnsi="宋体"/>
          <w:spacing w:val="6"/>
          <w:sz w:val="21"/>
          <w:szCs w:val="21"/>
        </w:rPr>
      </w:pPr>
      <w:r>
        <w:rPr>
          <w:rStyle w:val="43"/>
          <w:rFonts w:ascii="宋体" w:hAnsi="宋体"/>
          <w:spacing w:val="6"/>
          <w:sz w:val="21"/>
          <w:szCs w:val="21"/>
        </w:rPr>
        <w:t>5.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pacing w:line="420" w:lineRule="exact"/>
        <w:ind w:firstLine="444" w:firstLineChars="200"/>
        <w:rPr>
          <w:rStyle w:val="43"/>
          <w:rFonts w:ascii="宋体" w:hAnsi="宋体"/>
          <w:spacing w:val="6"/>
          <w:sz w:val="21"/>
          <w:szCs w:val="21"/>
        </w:rPr>
      </w:pPr>
      <w:r>
        <w:rPr>
          <w:rStyle w:val="43"/>
          <w:rFonts w:ascii="宋体" w:hAnsi="宋体"/>
          <w:spacing w:val="6"/>
          <w:sz w:val="21"/>
          <w:szCs w:val="21"/>
        </w:rPr>
        <w:t>注：请供应商按上述要求获取采购文件，如未在“政采云”系统内完成相关流程，引起的投标无效责任自负。</w:t>
      </w:r>
    </w:p>
    <w:p>
      <w:pPr>
        <w:spacing w:line="420" w:lineRule="exact"/>
        <w:ind w:firstLine="444" w:firstLineChars="200"/>
        <w:rPr>
          <w:rStyle w:val="43"/>
          <w:rFonts w:ascii="宋体" w:hAnsi="宋体"/>
          <w:spacing w:val="6"/>
          <w:sz w:val="21"/>
          <w:szCs w:val="21"/>
        </w:rPr>
      </w:pPr>
      <w:r>
        <w:rPr>
          <w:rStyle w:val="43"/>
          <w:rFonts w:ascii="宋体" w:hAnsi="宋体"/>
          <w:spacing w:val="6"/>
          <w:sz w:val="21"/>
          <w:szCs w:val="21"/>
        </w:rPr>
        <w:t>6.公告信息及更正补充公告请自行登录浙江政府采购网，在采购公告及更正公告页面中下载。</w:t>
      </w:r>
    </w:p>
    <w:p>
      <w:pPr>
        <w:spacing w:line="420" w:lineRule="exact"/>
        <w:outlineLvl w:val="1"/>
        <w:rPr>
          <w:rStyle w:val="43"/>
          <w:rFonts w:ascii="宋体" w:hAnsi="宋体" w:cs="宋体"/>
          <w:b/>
          <w:bCs/>
          <w:spacing w:val="6"/>
          <w:sz w:val="21"/>
          <w:szCs w:val="21"/>
        </w:rPr>
      </w:pPr>
      <w:r>
        <w:rPr>
          <w:rStyle w:val="43"/>
          <w:rFonts w:ascii="宋体" w:hAnsi="宋体" w:cs="宋体"/>
          <w:b/>
          <w:bCs/>
          <w:spacing w:val="6"/>
          <w:sz w:val="21"/>
          <w:szCs w:val="21"/>
        </w:rPr>
        <w:t>四、提交投标文件截止时间、开标时间和地点</w:t>
      </w:r>
    </w:p>
    <w:p>
      <w:pPr>
        <w:spacing w:line="420" w:lineRule="exact"/>
        <w:ind w:firstLine="444" w:firstLineChars="200"/>
        <w:rPr>
          <w:rStyle w:val="43"/>
          <w:rFonts w:ascii="宋体" w:hAnsi="宋体"/>
          <w:spacing w:val="6"/>
          <w:sz w:val="21"/>
          <w:szCs w:val="21"/>
        </w:rPr>
      </w:pPr>
      <w:r>
        <w:rPr>
          <w:rStyle w:val="43"/>
          <w:rFonts w:ascii="宋体" w:hAnsi="宋体"/>
          <w:spacing w:val="6"/>
          <w:sz w:val="21"/>
          <w:szCs w:val="21"/>
        </w:rPr>
        <w:t>1.投标人应于</w:t>
      </w:r>
      <w:r>
        <w:rPr>
          <w:rStyle w:val="43"/>
          <w:rFonts w:hint="eastAsia" w:ascii="宋体" w:hAnsi="宋体"/>
          <w:spacing w:val="6"/>
          <w:sz w:val="21"/>
          <w:szCs w:val="21"/>
          <w:lang w:eastAsia="zh-CN"/>
        </w:rPr>
        <w:t>2023</w:t>
      </w:r>
      <w:r>
        <w:rPr>
          <w:rStyle w:val="43"/>
          <w:rFonts w:ascii="宋体" w:hAnsi="宋体"/>
          <w:spacing w:val="6"/>
          <w:sz w:val="21"/>
          <w:szCs w:val="21"/>
        </w:rPr>
        <w:t>年</w:t>
      </w:r>
      <w:r>
        <w:rPr>
          <w:rStyle w:val="43"/>
          <w:rFonts w:hint="eastAsia" w:ascii="宋体" w:hAnsi="宋体"/>
          <w:spacing w:val="6"/>
          <w:sz w:val="21"/>
          <w:szCs w:val="21"/>
          <w:lang w:val="en-US" w:eastAsia="zh-CN"/>
        </w:rPr>
        <w:t>2</w:t>
      </w:r>
      <w:r>
        <w:rPr>
          <w:rStyle w:val="43"/>
          <w:rFonts w:hint="eastAsia" w:ascii="宋体" w:hAnsi="宋体"/>
          <w:spacing w:val="6"/>
          <w:sz w:val="21"/>
          <w:szCs w:val="21"/>
        </w:rPr>
        <w:t xml:space="preserve"> </w:t>
      </w:r>
      <w:r>
        <w:rPr>
          <w:rStyle w:val="43"/>
          <w:rFonts w:ascii="宋体" w:hAnsi="宋体"/>
          <w:spacing w:val="6"/>
          <w:sz w:val="21"/>
          <w:szCs w:val="21"/>
        </w:rPr>
        <w:t>月</w:t>
      </w:r>
      <w:r>
        <w:rPr>
          <w:rStyle w:val="43"/>
          <w:rFonts w:hint="eastAsia" w:ascii="宋体" w:hAnsi="宋体"/>
          <w:spacing w:val="6"/>
          <w:sz w:val="21"/>
          <w:szCs w:val="21"/>
          <w:lang w:val="en-US" w:eastAsia="zh-CN"/>
        </w:rPr>
        <w:t>9</w:t>
      </w:r>
      <w:r>
        <w:rPr>
          <w:rStyle w:val="43"/>
          <w:rFonts w:hint="eastAsia" w:ascii="宋体" w:hAnsi="宋体"/>
          <w:spacing w:val="6"/>
          <w:sz w:val="21"/>
          <w:szCs w:val="21"/>
        </w:rPr>
        <w:t xml:space="preserve"> </w:t>
      </w:r>
      <w:r>
        <w:rPr>
          <w:rStyle w:val="43"/>
          <w:rFonts w:ascii="宋体" w:hAnsi="宋体"/>
          <w:spacing w:val="6"/>
          <w:sz w:val="21"/>
          <w:szCs w:val="21"/>
        </w:rPr>
        <w:t>日</w:t>
      </w:r>
      <w:r>
        <w:rPr>
          <w:rStyle w:val="43"/>
          <w:rFonts w:hint="eastAsia" w:ascii="宋体" w:hAnsi="宋体"/>
          <w:spacing w:val="6"/>
          <w:sz w:val="21"/>
          <w:szCs w:val="21"/>
          <w:lang w:val="en-US" w:eastAsia="zh-CN"/>
        </w:rPr>
        <w:t>14</w:t>
      </w:r>
      <w:r>
        <w:rPr>
          <w:rStyle w:val="43"/>
          <w:rFonts w:ascii="宋体" w:hAnsi="宋体"/>
          <w:spacing w:val="6"/>
          <w:sz w:val="21"/>
          <w:szCs w:val="21"/>
        </w:rPr>
        <w:t>点00分时整之前将电子投标文件上传到“政采云”平台。</w:t>
      </w:r>
    </w:p>
    <w:p>
      <w:pPr>
        <w:spacing w:line="420" w:lineRule="exact"/>
        <w:ind w:firstLine="444" w:firstLineChars="200"/>
        <w:rPr>
          <w:rStyle w:val="43"/>
          <w:rFonts w:ascii="宋体" w:hAnsi="宋体"/>
          <w:spacing w:val="6"/>
          <w:sz w:val="21"/>
          <w:szCs w:val="21"/>
        </w:rPr>
      </w:pPr>
      <w:r>
        <w:rPr>
          <w:rStyle w:val="43"/>
          <w:rFonts w:ascii="宋体" w:hAnsi="宋体"/>
          <w:spacing w:val="6"/>
          <w:sz w:val="21"/>
          <w:szCs w:val="21"/>
        </w:rPr>
        <w:t>2.</w:t>
      </w:r>
      <w:r>
        <w:rPr>
          <w:rStyle w:val="43"/>
          <w:rFonts w:hint="eastAsia" w:ascii="宋体" w:hAnsi="宋体"/>
          <w:spacing w:val="6"/>
          <w:sz w:val="21"/>
          <w:szCs w:val="21"/>
          <w:lang w:eastAsia="zh-CN"/>
        </w:rPr>
        <w:t>2023</w:t>
      </w:r>
      <w:r>
        <w:rPr>
          <w:rStyle w:val="43"/>
          <w:rFonts w:ascii="宋体" w:hAnsi="宋体"/>
          <w:spacing w:val="6"/>
          <w:sz w:val="21"/>
          <w:szCs w:val="21"/>
        </w:rPr>
        <w:t>年</w:t>
      </w:r>
      <w:r>
        <w:rPr>
          <w:rStyle w:val="43"/>
          <w:rFonts w:hint="eastAsia" w:ascii="宋体" w:hAnsi="宋体"/>
          <w:spacing w:val="6"/>
          <w:sz w:val="21"/>
          <w:szCs w:val="21"/>
        </w:rPr>
        <w:t xml:space="preserve"> </w:t>
      </w:r>
      <w:r>
        <w:rPr>
          <w:rStyle w:val="43"/>
          <w:rFonts w:hint="eastAsia" w:ascii="宋体" w:hAnsi="宋体"/>
          <w:spacing w:val="6"/>
          <w:sz w:val="21"/>
          <w:szCs w:val="21"/>
          <w:lang w:val="en-US" w:eastAsia="zh-CN"/>
        </w:rPr>
        <w:t>2</w:t>
      </w:r>
      <w:r>
        <w:rPr>
          <w:rStyle w:val="43"/>
          <w:rFonts w:hint="eastAsia" w:ascii="宋体" w:hAnsi="宋体"/>
          <w:spacing w:val="6"/>
          <w:sz w:val="21"/>
          <w:szCs w:val="21"/>
        </w:rPr>
        <w:t xml:space="preserve"> </w:t>
      </w:r>
      <w:r>
        <w:rPr>
          <w:rStyle w:val="43"/>
          <w:rFonts w:ascii="宋体" w:hAnsi="宋体"/>
          <w:spacing w:val="6"/>
          <w:sz w:val="21"/>
          <w:szCs w:val="21"/>
        </w:rPr>
        <w:t>月</w:t>
      </w:r>
      <w:r>
        <w:rPr>
          <w:rStyle w:val="43"/>
          <w:rFonts w:hint="eastAsia" w:ascii="宋体" w:hAnsi="宋体"/>
          <w:spacing w:val="6"/>
          <w:sz w:val="21"/>
          <w:szCs w:val="21"/>
          <w:lang w:val="en-US" w:eastAsia="zh-CN"/>
        </w:rPr>
        <w:t>9</w:t>
      </w:r>
      <w:r>
        <w:rPr>
          <w:rStyle w:val="43"/>
          <w:rFonts w:ascii="宋体" w:hAnsi="宋体"/>
          <w:spacing w:val="6"/>
          <w:sz w:val="21"/>
          <w:szCs w:val="21"/>
        </w:rPr>
        <w:t>日</w:t>
      </w:r>
      <w:r>
        <w:rPr>
          <w:rStyle w:val="43"/>
          <w:rFonts w:hint="eastAsia" w:ascii="宋体" w:hAnsi="宋体"/>
          <w:spacing w:val="6"/>
          <w:sz w:val="21"/>
          <w:szCs w:val="21"/>
          <w:lang w:val="en-US" w:eastAsia="zh-CN"/>
        </w:rPr>
        <w:t>14</w:t>
      </w:r>
      <w:r>
        <w:rPr>
          <w:rStyle w:val="43"/>
          <w:rFonts w:ascii="宋体" w:hAnsi="宋体"/>
          <w:spacing w:val="6"/>
          <w:sz w:val="21"/>
          <w:szCs w:val="21"/>
        </w:rPr>
        <w:t>点00分整在</w:t>
      </w:r>
      <w:r>
        <w:rPr>
          <w:rStyle w:val="43"/>
          <w:rFonts w:hint="eastAsia" w:ascii="宋体" w:hAnsi="宋体"/>
          <w:spacing w:val="6"/>
          <w:sz w:val="21"/>
          <w:szCs w:val="21"/>
        </w:rPr>
        <w:t>嵊州市达成路115号中天大楼4楼开标室浙江省房地产管理咨询有限公司</w:t>
      </w:r>
      <w:r>
        <w:rPr>
          <w:rStyle w:val="43"/>
          <w:rFonts w:ascii="宋体" w:hAnsi="宋体"/>
          <w:spacing w:val="6"/>
          <w:sz w:val="21"/>
          <w:szCs w:val="21"/>
        </w:rPr>
        <w:t>开标。</w:t>
      </w:r>
    </w:p>
    <w:p>
      <w:pPr>
        <w:spacing w:line="420" w:lineRule="exact"/>
        <w:ind w:firstLine="444" w:firstLineChars="200"/>
        <w:rPr>
          <w:rStyle w:val="43"/>
          <w:rFonts w:ascii="宋体" w:hAnsi="宋体"/>
          <w:spacing w:val="6"/>
          <w:sz w:val="21"/>
          <w:szCs w:val="21"/>
        </w:rPr>
      </w:pPr>
      <w:r>
        <w:rPr>
          <w:rStyle w:val="43"/>
          <w:rFonts w:ascii="宋体" w:hAnsi="宋体"/>
          <w:spacing w:val="6"/>
          <w:sz w:val="21"/>
          <w:szCs w:val="21"/>
        </w:rPr>
        <w:t>3.开标时间后30分钟内（</w:t>
      </w:r>
      <w:r>
        <w:rPr>
          <w:rStyle w:val="43"/>
          <w:rFonts w:hint="eastAsia" w:ascii="宋体" w:hAnsi="宋体"/>
          <w:spacing w:val="6"/>
          <w:sz w:val="21"/>
          <w:szCs w:val="21"/>
          <w:lang w:eastAsia="zh-CN"/>
        </w:rPr>
        <w:t>2023</w:t>
      </w:r>
      <w:r>
        <w:rPr>
          <w:rStyle w:val="43"/>
          <w:rFonts w:ascii="宋体" w:hAnsi="宋体"/>
          <w:spacing w:val="6"/>
          <w:sz w:val="21"/>
          <w:szCs w:val="21"/>
        </w:rPr>
        <w:t>年</w:t>
      </w:r>
      <w:r>
        <w:rPr>
          <w:rStyle w:val="43"/>
          <w:rFonts w:hint="eastAsia" w:ascii="宋体" w:hAnsi="宋体"/>
          <w:spacing w:val="6"/>
          <w:sz w:val="21"/>
          <w:szCs w:val="21"/>
          <w:lang w:val="en-US" w:eastAsia="zh-CN"/>
        </w:rPr>
        <w:t>2</w:t>
      </w:r>
      <w:r>
        <w:rPr>
          <w:rStyle w:val="43"/>
          <w:rFonts w:ascii="宋体" w:hAnsi="宋体"/>
          <w:spacing w:val="6"/>
          <w:sz w:val="21"/>
          <w:szCs w:val="21"/>
        </w:rPr>
        <w:t>月</w:t>
      </w:r>
      <w:r>
        <w:rPr>
          <w:rStyle w:val="43"/>
          <w:rFonts w:hint="eastAsia" w:ascii="宋体" w:hAnsi="宋体"/>
          <w:spacing w:val="6"/>
          <w:sz w:val="21"/>
          <w:szCs w:val="21"/>
          <w:lang w:val="en-US" w:eastAsia="zh-CN"/>
        </w:rPr>
        <w:t xml:space="preserve"> 9 </w:t>
      </w:r>
      <w:r>
        <w:rPr>
          <w:rStyle w:val="43"/>
          <w:rFonts w:ascii="宋体" w:hAnsi="宋体"/>
          <w:spacing w:val="6"/>
          <w:sz w:val="21"/>
          <w:szCs w:val="21"/>
        </w:rPr>
        <w:t>日</w:t>
      </w:r>
      <w:r>
        <w:rPr>
          <w:rStyle w:val="43"/>
          <w:rFonts w:hint="eastAsia" w:ascii="宋体" w:hAnsi="宋体"/>
          <w:spacing w:val="6"/>
          <w:sz w:val="21"/>
          <w:szCs w:val="21"/>
          <w:lang w:val="en-US" w:eastAsia="zh-CN"/>
        </w:rPr>
        <w:t>14</w:t>
      </w:r>
      <w:r>
        <w:rPr>
          <w:rStyle w:val="43"/>
          <w:rFonts w:ascii="宋体" w:hAnsi="宋体"/>
          <w:spacing w:val="6"/>
          <w:sz w:val="21"/>
          <w:szCs w:val="21"/>
        </w:rPr>
        <w:t>点30分前）供应商可以登录“政采云”平台，用“项目采购-开标评标”功能进行解密投标文件。</w:t>
      </w:r>
    </w:p>
    <w:p>
      <w:pPr>
        <w:spacing w:line="420" w:lineRule="exact"/>
        <w:outlineLvl w:val="1"/>
        <w:rPr>
          <w:rStyle w:val="43"/>
          <w:rFonts w:ascii="宋体" w:hAnsi="宋体" w:cs="宋体"/>
          <w:b/>
          <w:bCs/>
          <w:spacing w:val="6"/>
          <w:sz w:val="21"/>
          <w:szCs w:val="21"/>
        </w:rPr>
      </w:pPr>
      <w:r>
        <w:rPr>
          <w:rStyle w:val="43"/>
          <w:rFonts w:ascii="宋体" w:hAnsi="宋体" w:cs="宋体"/>
          <w:b/>
          <w:bCs/>
          <w:spacing w:val="6"/>
          <w:sz w:val="21"/>
          <w:szCs w:val="21"/>
        </w:rPr>
        <w:t>五、、投标保证金：无。</w:t>
      </w:r>
    </w:p>
    <w:p>
      <w:pPr>
        <w:spacing w:line="420" w:lineRule="exact"/>
        <w:outlineLvl w:val="1"/>
        <w:rPr>
          <w:rStyle w:val="43"/>
          <w:rFonts w:ascii="宋体" w:hAnsi="宋体" w:cs="宋体"/>
          <w:b/>
          <w:bCs/>
          <w:spacing w:val="6"/>
          <w:sz w:val="21"/>
          <w:szCs w:val="21"/>
        </w:rPr>
      </w:pPr>
      <w:r>
        <w:rPr>
          <w:rStyle w:val="43"/>
          <w:rFonts w:ascii="宋体" w:hAnsi="宋体" w:cs="宋体"/>
          <w:b/>
          <w:bCs/>
          <w:spacing w:val="6"/>
          <w:sz w:val="21"/>
          <w:szCs w:val="21"/>
        </w:rPr>
        <w:t>六、公告期限</w:t>
      </w:r>
    </w:p>
    <w:p>
      <w:pPr>
        <w:spacing w:line="420" w:lineRule="exact"/>
        <w:ind w:firstLine="420" w:firstLineChars="200"/>
        <w:rPr>
          <w:rStyle w:val="43"/>
          <w:rFonts w:ascii="宋体" w:hAnsi="宋体"/>
          <w:kern w:val="0"/>
          <w:sz w:val="21"/>
          <w:szCs w:val="21"/>
        </w:rPr>
      </w:pPr>
      <w:r>
        <w:rPr>
          <w:rStyle w:val="43"/>
          <w:rFonts w:ascii="宋体" w:hAnsi="宋体"/>
          <w:kern w:val="0"/>
          <w:sz w:val="21"/>
          <w:szCs w:val="21"/>
        </w:rPr>
        <w:t>自本公告发布之日起5个工作日。</w:t>
      </w:r>
    </w:p>
    <w:p>
      <w:pPr>
        <w:spacing w:line="420" w:lineRule="exact"/>
        <w:outlineLvl w:val="1"/>
        <w:rPr>
          <w:rStyle w:val="43"/>
          <w:rFonts w:ascii="宋体" w:hAnsi="宋体" w:cs="宋体"/>
          <w:b/>
          <w:bCs/>
          <w:spacing w:val="6"/>
          <w:sz w:val="21"/>
          <w:szCs w:val="21"/>
        </w:rPr>
      </w:pPr>
      <w:r>
        <w:rPr>
          <w:rStyle w:val="43"/>
          <w:rFonts w:ascii="宋体" w:hAnsi="宋体" w:cs="宋体"/>
          <w:b/>
          <w:bCs/>
          <w:spacing w:val="6"/>
          <w:sz w:val="21"/>
          <w:szCs w:val="21"/>
        </w:rPr>
        <w:t>七、在线投标响应（电子投标）说明：</w:t>
      </w:r>
    </w:p>
    <w:p>
      <w:pPr>
        <w:pStyle w:val="37"/>
        <w:snapToGrid w:val="0"/>
        <w:spacing w:line="420" w:lineRule="exact"/>
        <w:ind w:firstLine="446" w:firstLineChars="201"/>
        <w:rPr>
          <w:rStyle w:val="43"/>
          <w:rFonts w:hAnsi="宋体"/>
          <w:spacing w:val="6"/>
          <w:szCs w:val="21"/>
        </w:rPr>
      </w:pPr>
      <w:r>
        <w:rPr>
          <w:rStyle w:val="43"/>
          <w:rFonts w:hAnsi="宋体"/>
          <w:spacing w:val="6"/>
          <w:szCs w:val="21"/>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pStyle w:val="37"/>
        <w:snapToGrid w:val="0"/>
        <w:spacing w:line="420" w:lineRule="exact"/>
        <w:ind w:firstLine="446" w:firstLineChars="201"/>
        <w:rPr>
          <w:rStyle w:val="43"/>
          <w:rFonts w:hAnsi="宋体"/>
          <w:spacing w:val="6"/>
          <w:szCs w:val="21"/>
        </w:rPr>
      </w:pPr>
      <w:r>
        <w:rPr>
          <w:rStyle w:val="43"/>
          <w:rFonts w:hAnsi="宋体"/>
          <w:spacing w:val="6"/>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37"/>
        <w:snapToGrid w:val="0"/>
        <w:spacing w:line="420" w:lineRule="exact"/>
        <w:ind w:firstLine="446" w:firstLineChars="201"/>
        <w:rPr>
          <w:rStyle w:val="43"/>
          <w:rFonts w:hAnsi="宋体"/>
          <w:spacing w:val="6"/>
          <w:szCs w:val="21"/>
        </w:rPr>
      </w:pPr>
      <w:r>
        <w:rPr>
          <w:rStyle w:val="43"/>
          <w:rFonts w:hAnsi="宋体"/>
          <w:spacing w:val="6"/>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在使用政采云投标客户端时，建议使用WIN7及以上操作系统。完成CA数字证书办理在资料齐全的情况下预计7个工作日左右，建议供应商获取采购文件后立即办理。</w:t>
      </w:r>
    </w:p>
    <w:p>
      <w:pPr>
        <w:pStyle w:val="37"/>
        <w:snapToGrid w:val="0"/>
        <w:spacing w:line="420" w:lineRule="exact"/>
        <w:ind w:firstLine="446" w:firstLineChars="201"/>
        <w:rPr>
          <w:rStyle w:val="43"/>
          <w:rFonts w:hAnsi="宋体"/>
          <w:spacing w:val="6"/>
          <w:szCs w:val="21"/>
        </w:rPr>
      </w:pPr>
      <w:r>
        <w:rPr>
          <w:rStyle w:val="43"/>
          <w:rFonts w:hAnsi="宋体"/>
          <w:spacing w:val="6"/>
          <w:szCs w:val="21"/>
        </w:rPr>
        <w:t>3.投标供应商应当在投标截止时间前，将生成的“电子加密投标文件”上传至“政府采购云平台”。投标截止时间以后上传递交的投标文件将被“政府采购云平台”拒收。</w:t>
      </w:r>
    </w:p>
    <w:p>
      <w:pPr>
        <w:pStyle w:val="37"/>
        <w:snapToGrid w:val="0"/>
        <w:spacing w:line="420" w:lineRule="exact"/>
        <w:ind w:firstLine="446" w:firstLineChars="201"/>
        <w:rPr>
          <w:rStyle w:val="43"/>
          <w:rFonts w:hAnsi="宋体"/>
          <w:spacing w:val="6"/>
          <w:szCs w:val="21"/>
        </w:rPr>
      </w:pPr>
      <w:r>
        <w:rPr>
          <w:rStyle w:val="43"/>
          <w:rFonts w:hAnsi="宋体"/>
          <w:spacing w:val="6"/>
          <w:szCs w:val="21"/>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pPr>
        <w:pStyle w:val="37"/>
        <w:snapToGrid w:val="0"/>
        <w:spacing w:line="420" w:lineRule="exact"/>
        <w:ind w:firstLine="446" w:firstLineChars="201"/>
        <w:rPr>
          <w:rStyle w:val="43"/>
          <w:rFonts w:hAnsi="宋体"/>
          <w:spacing w:val="6"/>
          <w:szCs w:val="21"/>
        </w:rPr>
      </w:pPr>
      <w:r>
        <w:rPr>
          <w:rStyle w:val="43"/>
          <w:rFonts w:hAnsi="宋体"/>
          <w:spacing w:val="6"/>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420" w:lineRule="exact"/>
        <w:outlineLvl w:val="1"/>
        <w:rPr>
          <w:rStyle w:val="43"/>
          <w:rFonts w:ascii="宋体" w:hAnsi="宋体" w:cs="宋体"/>
          <w:b/>
          <w:bCs/>
          <w:spacing w:val="6"/>
          <w:sz w:val="21"/>
          <w:szCs w:val="21"/>
        </w:rPr>
      </w:pPr>
      <w:r>
        <w:rPr>
          <w:rStyle w:val="43"/>
          <w:rFonts w:ascii="宋体" w:hAnsi="宋体" w:cs="宋体"/>
          <w:b/>
          <w:bCs/>
          <w:spacing w:val="6"/>
          <w:sz w:val="21"/>
          <w:szCs w:val="21"/>
        </w:rPr>
        <w:t>八、其他补充事宜</w:t>
      </w:r>
    </w:p>
    <w:p>
      <w:pPr>
        <w:pStyle w:val="14"/>
        <w:adjustRightInd w:val="0"/>
        <w:snapToGrid w:val="0"/>
        <w:spacing w:line="420" w:lineRule="exact"/>
        <w:ind w:firstLine="422" w:firstLineChars="201"/>
        <w:rPr>
          <w:b/>
          <w:bCs/>
          <w:szCs w:val="21"/>
        </w:rPr>
      </w:pPr>
      <w:r>
        <w:rPr>
          <w:szCs w:val="21"/>
        </w:rPr>
        <w:t>1.为支持和促进中小企业发展，进一步发挥政府采购政策功能，鼓励供应商使用</w:t>
      </w:r>
      <w:r>
        <w:rPr>
          <w:b/>
          <w:bCs/>
          <w:szCs w:val="21"/>
        </w:rPr>
        <w:t>保险/保函替代保证金</w:t>
      </w:r>
      <w:r>
        <w:rPr>
          <w:szCs w:val="21"/>
        </w:rPr>
        <w:t>及</w:t>
      </w:r>
      <w:r>
        <w:rPr>
          <w:b/>
          <w:bCs/>
          <w:szCs w:val="21"/>
        </w:rPr>
        <w:t>进行预付款</w:t>
      </w:r>
      <w:r>
        <w:rPr>
          <w:b/>
          <w:bCs/>
          <w:szCs w:val="21"/>
          <w:lang w:val="zh-CN" w:bidi="zh-CN"/>
        </w:rPr>
        <w:t>增信</w:t>
      </w:r>
      <w:r>
        <w:rPr>
          <w:szCs w:val="21"/>
          <w:lang w:val="zh-CN" w:bidi="zh-CN"/>
        </w:rPr>
        <w:t>.</w:t>
      </w:r>
      <w:r>
        <w:rPr>
          <w:szCs w:val="21"/>
        </w:rPr>
        <w:t>支持供应商基于中标项目进行</w:t>
      </w:r>
      <w:r>
        <w:rPr>
          <w:b/>
          <w:bCs/>
          <w:szCs w:val="21"/>
        </w:rPr>
        <w:t>应收账款融资</w:t>
      </w:r>
      <w:r>
        <w:rPr>
          <w:rFonts w:hint="eastAsia"/>
          <w:szCs w:val="21"/>
        </w:rPr>
        <w:t>。</w:t>
      </w:r>
      <w:r>
        <w:rPr>
          <w:szCs w:val="21"/>
        </w:rPr>
        <w:t>中标供应商若想了解或使用相关服务, 可拨打</w:t>
      </w:r>
      <w:r>
        <w:rPr>
          <w:b/>
          <w:bCs/>
          <w:szCs w:val="21"/>
        </w:rPr>
        <w:t>政采云金融热线进行咨询</w:t>
      </w:r>
      <w:r>
        <w:rPr>
          <w:b/>
          <w:bCs/>
          <w:szCs w:val="21"/>
          <w:lang w:bidi="en-US"/>
        </w:rPr>
        <w:t>400-903-9583</w:t>
      </w:r>
      <w:r>
        <w:rPr>
          <w:rFonts w:hint="eastAsia"/>
          <w:szCs w:val="21"/>
          <w:lang w:bidi="en-US"/>
        </w:rPr>
        <w:t>，</w:t>
      </w:r>
      <w:r>
        <w:rPr>
          <w:szCs w:val="21"/>
        </w:rPr>
        <w:t>或登陆</w:t>
      </w:r>
      <w:r>
        <w:rPr>
          <w:b/>
          <w:bCs/>
          <w:szCs w:val="21"/>
        </w:rPr>
        <w:t>政采云平台查看相应政策文件及各相关服务方案：</w:t>
      </w:r>
      <w:r>
        <w:fldChar w:fldCharType="begin"/>
      </w:r>
      <w:r>
        <w:instrText xml:space="preserve"> HYPERLINK "https://jinrong.zcygov.en/finance-service/%23/home" </w:instrText>
      </w:r>
      <w:r>
        <w:fldChar w:fldCharType="separate"/>
      </w:r>
      <w:r>
        <w:rPr>
          <w:szCs w:val="21"/>
          <w:lang w:bidi="en-US"/>
        </w:rPr>
        <w:t>https://jinrong.zcygov.en/finance-service/#/home</w:t>
      </w:r>
      <w:r>
        <w:rPr>
          <w:szCs w:val="21"/>
          <w:lang w:bidi="en-US"/>
        </w:rPr>
        <w:fldChar w:fldCharType="end"/>
      </w:r>
      <w:r>
        <w:rPr>
          <w:rFonts w:hint="eastAsia"/>
          <w:szCs w:val="21"/>
        </w:rPr>
        <w:t>。</w:t>
      </w:r>
    </w:p>
    <w:p>
      <w:pPr>
        <w:spacing w:line="400" w:lineRule="exact"/>
        <w:ind w:firstLine="444" w:firstLineChars="200"/>
        <w:rPr>
          <w:rStyle w:val="43"/>
          <w:rFonts w:ascii="宋体" w:hAnsi="宋体"/>
          <w:spacing w:val="6"/>
          <w:sz w:val="21"/>
          <w:szCs w:val="21"/>
        </w:rPr>
      </w:pPr>
      <w:r>
        <w:rPr>
          <w:rStyle w:val="43"/>
          <w:rFonts w:hint="eastAsia" w:ascii="宋体" w:hAnsi="宋体"/>
          <w:spacing w:val="6"/>
          <w:sz w:val="21"/>
          <w:szCs w:val="21"/>
        </w:rPr>
        <w:t>2</w:t>
      </w:r>
      <w:r>
        <w:rPr>
          <w:rStyle w:val="43"/>
          <w:rFonts w:ascii="宋体" w:hAnsi="宋体"/>
          <w:spacing w:val="6"/>
          <w:sz w:val="21"/>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20" w:lineRule="exact"/>
        <w:ind w:firstLine="444" w:firstLineChars="200"/>
        <w:rPr>
          <w:rStyle w:val="43"/>
          <w:rFonts w:ascii="宋体" w:hAnsi="宋体"/>
          <w:spacing w:val="6"/>
          <w:sz w:val="21"/>
          <w:szCs w:val="21"/>
        </w:rPr>
      </w:pPr>
      <w:r>
        <w:rPr>
          <w:rStyle w:val="43"/>
          <w:rFonts w:hint="eastAsia" w:ascii="宋体" w:hAnsi="宋体"/>
          <w:spacing w:val="6"/>
          <w:sz w:val="21"/>
          <w:szCs w:val="21"/>
        </w:rPr>
        <w:t>3</w:t>
      </w:r>
      <w:r>
        <w:rPr>
          <w:rStyle w:val="43"/>
          <w:rFonts w:ascii="宋体" w:hAnsi="宋体"/>
          <w:spacing w:val="6"/>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20" w:lineRule="exact"/>
        <w:ind w:firstLine="446" w:firstLineChars="200"/>
        <w:rPr>
          <w:rStyle w:val="43"/>
          <w:rFonts w:ascii="宋体" w:hAnsi="宋体"/>
          <w:spacing w:val="6"/>
          <w:sz w:val="21"/>
          <w:szCs w:val="21"/>
        </w:rPr>
      </w:pPr>
      <w:r>
        <w:rPr>
          <w:rStyle w:val="43"/>
          <w:rFonts w:hint="eastAsia" w:ascii="宋体" w:hAnsi="宋体"/>
          <w:b/>
          <w:bCs/>
          <w:spacing w:val="6"/>
          <w:sz w:val="21"/>
          <w:szCs w:val="21"/>
        </w:rPr>
        <w:t>4</w:t>
      </w:r>
      <w:r>
        <w:rPr>
          <w:rStyle w:val="43"/>
          <w:rFonts w:ascii="宋体" w:hAnsi="宋体"/>
          <w:b/>
          <w:bCs/>
          <w:spacing w:val="6"/>
          <w:sz w:val="21"/>
          <w:szCs w:val="21"/>
        </w:rPr>
        <w:t>.</w:t>
      </w:r>
      <w:r>
        <w:rPr>
          <w:rStyle w:val="43"/>
          <w:rFonts w:ascii="宋体" w:hAnsi="宋体" w:cs="宋体"/>
          <w:b/>
          <w:bCs/>
          <w:spacing w:val="6"/>
          <w:sz w:val="21"/>
          <w:szCs w:val="21"/>
        </w:rPr>
        <w:t>采购文件获取截止时间为</w:t>
      </w:r>
      <w:r>
        <w:rPr>
          <w:rStyle w:val="43"/>
          <w:rFonts w:hint="eastAsia" w:ascii="宋体" w:hAnsi="宋体" w:cs="宋体"/>
          <w:b/>
          <w:bCs/>
          <w:spacing w:val="6"/>
          <w:sz w:val="21"/>
          <w:szCs w:val="21"/>
          <w:lang w:eastAsia="zh-CN"/>
        </w:rPr>
        <w:t>2023</w:t>
      </w:r>
      <w:r>
        <w:rPr>
          <w:rStyle w:val="43"/>
          <w:rFonts w:ascii="宋体" w:hAnsi="宋体" w:cs="宋体"/>
          <w:b/>
          <w:bCs/>
          <w:spacing w:val="6"/>
          <w:sz w:val="21"/>
          <w:szCs w:val="21"/>
        </w:rPr>
        <w:t>年</w:t>
      </w:r>
      <w:r>
        <w:rPr>
          <w:rStyle w:val="43"/>
          <w:rFonts w:hint="eastAsia" w:ascii="宋体" w:hAnsi="宋体" w:cs="宋体"/>
          <w:b/>
          <w:bCs/>
          <w:spacing w:val="6"/>
          <w:sz w:val="21"/>
          <w:szCs w:val="21"/>
          <w:lang w:val="en-US" w:eastAsia="zh-CN"/>
        </w:rPr>
        <w:t>2</w:t>
      </w:r>
      <w:r>
        <w:rPr>
          <w:rStyle w:val="43"/>
          <w:rFonts w:ascii="宋体" w:hAnsi="宋体" w:cs="宋体"/>
          <w:b/>
          <w:bCs/>
          <w:spacing w:val="6"/>
          <w:sz w:val="21"/>
          <w:szCs w:val="21"/>
        </w:rPr>
        <w:t>月</w:t>
      </w:r>
      <w:r>
        <w:rPr>
          <w:rStyle w:val="43"/>
          <w:rFonts w:hint="eastAsia" w:ascii="宋体" w:hAnsi="宋体" w:cs="宋体"/>
          <w:b/>
          <w:bCs/>
          <w:spacing w:val="6"/>
          <w:sz w:val="21"/>
          <w:szCs w:val="21"/>
          <w:lang w:val="en-US" w:eastAsia="zh-CN"/>
        </w:rPr>
        <w:t>9</w:t>
      </w:r>
      <w:r>
        <w:rPr>
          <w:rStyle w:val="43"/>
          <w:rFonts w:ascii="宋体" w:hAnsi="宋体" w:cs="宋体"/>
          <w:b/>
          <w:bCs/>
          <w:spacing w:val="6"/>
          <w:sz w:val="21"/>
          <w:szCs w:val="21"/>
        </w:rPr>
        <w:t>日</w:t>
      </w:r>
      <w:r>
        <w:rPr>
          <w:rStyle w:val="43"/>
          <w:rFonts w:hint="eastAsia" w:ascii="宋体" w:hAnsi="宋体" w:cs="宋体"/>
          <w:b/>
          <w:bCs/>
          <w:spacing w:val="6"/>
          <w:sz w:val="21"/>
          <w:szCs w:val="21"/>
          <w:lang w:val="en-US" w:eastAsia="zh-CN"/>
        </w:rPr>
        <w:t>14</w:t>
      </w:r>
      <w:r>
        <w:rPr>
          <w:rStyle w:val="43"/>
          <w:rFonts w:ascii="宋体" w:hAnsi="宋体" w:cs="宋体"/>
          <w:b/>
          <w:bCs/>
          <w:spacing w:val="6"/>
          <w:sz w:val="21"/>
          <w:szCs w:val="21"/>
        </w:rPr>
        <w:t>点00分止</w:t>
      </w:r>
      <w:r>
        <w:rPr>
          <w:rStyle w:val="43"/>
          <w:rFonts w:ascii="宋体" w:hAnsi="宋体"/>
          <w:b/>
          <w:bCs/>
          <w:spacing w:val="6"/>
          <w:sz w:val="21"/>
          <w:szCs w:val="21"/>
        </w:rPr>
        <w:t>。</w:t>
      </w:r>
      <w:r>
        <w:rPr>
          <w:rStyle w:val="43"/>
          <w:rFonts w:ascii="宋体" w:hAnsi="宋体"/>
          <w:spacing w:val="6"/>
          <w:sz w:val="21"/>
          <w:szCs w:val="21"/>
        </w:rPr>
        <w:t>如对采购文件有异议应该按财政部第94号令《政府采购质疑和投诉办法》规定的时间</w:t>
      </w:r>
      <w:r>
        <w:rPr>
          <w:rStyle w:val="43"/>
          <w:rFonts w:ascii="宋体" w:hAnsi="宋体"/>
          <w:sz w:val="21"/>
          <w:szCs w:val="21"/>
        </w:rPr>
        <w:t>要求一次性提出针对同一采购程序环节的质疑</w:t>
      </w:r>
      <w:r>
        <w:rPr>
          <w:rStyle w:val="43"/>
          <w:rFonts w:ascii="宋体" w:hAnsi="宋体"/>
          <w:spacing w:val="6"/>
          <w:sz w:val="21"/>
          <w:szCs w:val="21"/>
        </w:rPr>
        <w:t>，逾期提出的，代理机构不予受理、答复。对未按上述方式获取采购文件的供应商对该文件提出的质疑，采购代理机构将不予处理。</w:t>
      </w:r>
    </w:p>
    <w:p>
      <w:pPr>
        <w:spacing w:line="420" w:lineRule="exact"/>
        <w:ind w:firstLine="444" w:firstLineChars="200"/>
        <w:rPr>
          <w:rStyle w:val="43"/>
          <w:rFonts w:ascii="宋体" w:hAnsi="宋体"/>
          <w:spacing w:val="6"/>
          <w:sz w:val="21"/>
          <w:szCs w:val="21"/>
        </w:rPr>
      </w:pPr>
      <w:r>
        <w:rPr>
          <w:rStyle w:val="43"/>
          <w:rFonts w:hint="eastAsia" w:ascii="宋体" w:hAnsi="宋体"/>
          <w:spacing w:val="6"/>
          <w:sz w:val="21"/>
          <w:szCs w:val="21"/>
        </w:rPr>
        <w:t>5</w:t>
      </w:r>
      <w:r>
        <w:rPr>
          <w:rStyle w:val="43"/>
          <w:rFonts w:ascii="宋体" w:hAnsi="宋体"/>
          <w:spacing w:val="6"/>
          <w:sz w:val="21"/>
          <w:szCs w:val="21"/>
        </w:rPr>
        <w:t>.书面质疑受理地点：</w:t>
      </w:r>
      <w:r>
        <w:rPr>
          <w:rStyle w:val="43"/>
          <w:rFonts w:hint="eastAsia" w:ascii="宋体" w:hAnsi="宋体"/>
          <w:spacing w:val="6"/>
          <w:sz w:val="21"/>
          <w:szCs w:val="21"/>
        </w:rPr>
        <w:t>浙江省房地产管理咨询有限公司</w:t>
      </w:r>
      <w:r>
        <w:rPr>
          <w:rStyle w:val="43"/>
          <w:rFonts w:ascii="宋体" w:hAnsi="宋体"/>
          <w:spacing w:val="6"/>
          <w:sz w:val="21"/>
          <w:szCs w:val="21"/>
        </w:rPr>
        <w:t>（</w:t>
      </w:r>
      <w:r>
        <w:rPr>
          <w:rStyle w:val="43"/>
          <w:rFonts w:hint="eastAsia" w:ascii="宋体" w:hAnsi="宋体"/>
          <w:spacing w:val="6"/>
          <w:sz w:val="21"/>
          <w:szCs w:val="21"/>
        </w:rPr>
        <w:t>嵊州市达成路115号中天大楼4楼418室</w:t>
      </w:r>
      <w:r>
        <w:rPr>
          <w:rStyle w:val="43"/>
          <w:rFonts w:ascii="宋体" w:hAnsi="宋体"/>
          <w:spacing w:val="6"/>
          <w:sz w:val="21"/>
          <w:szCs w:val="21"/>
        </w:rPr>
        <w:t>），</w:t>
      </w:r>
      <w:r>
        <w:rPr>
          <w:rStyle w:val="43"/>
          <w:rFonts w:hint="eastAsia" w:ascii="宋体" w:hAnsi="宋体"/>
          <w:spacing w:val="6"/>
          <w:sz w:val="21"/>
          <w:szCs w:val="21"/>
        </w:rPr>
        <w:t>钱工</w:t>
      </w:r>
      <w:r>
        <w:rPr>
          <w:rStyle w:val="43"/>
          <w:rFonts w:ascii="宋体" w:hAnsi="宋体"/>
          <w:spacing w:val="6"/>
          <w:sz w:val="21"/>
          <w:szCs w:val="21"/>
        </w:rPr>
        <w:t>收，</w:t>
      </w:r>
      <w:r>
        <w:rPr>
          <w:rStyle w:val="43"/>
          <w:rFonts w:hint="eastAsia" w:ascii="宋体" w:hAnsi="宋体"/>
          <w:spacing w:val="6"/>
          <w:sz w:val="21"/>
          <w:szCs w:val="21"/>
        </w:rPr>
        <w:t>0575-83905775</w:t>
      </w:r>
      <w:r>
        <w:rPr>
          <w:rStyle w:val="43"/>
          <w:rFonts w:ascii="宋体" w:hAnsi="宋体"/>
          <w:spacing w:val="6"/>
          <w:sz w:val="21"/>
          <w:szCs w:val="21"/>
        </w:rPr>
        <w:t>。</w:t>
      </w:r>
    </w:p>
    <w:p>
      <w:pPr>
        <w:spacing w:line="420" w:lineRule="exact"/>
        <w:ind w:firstLine="444" w:firstLineChars="200"/>
        <w:rPr>
          <w:rStyle w:val="43"/>
          <w:rFonts w:ascii="宋体" w:hAnsi="宋体"/>
          <w:kern w:val="0"/>
          <w:sz w:val="21"/>
          <w:szCs w:val="21"/>
        </w:rPr>
      </w:pPr>
      <w:r>
        <w:rPr>
          <w:rStyle w:val="43"/>
          <w:rFonts w:hint="eastAsia" w:ascii="宋体" w:hAnsi="宋体"/>
          <w:spacing w:val="6"/>
          <w:sz w:val="21"/>
          <w:szCs w:val="21"/>
        </w:rPr>
        <w:t>6</w:t>
      </w:r>
      <w:r>
        <w:rPr>
          <w:rStyle w:val="43"/>
          <w:rFonts w:ascii="宋体" w:hAnsi="宋体"/>
          <w:spacing w:val="6"/>
          <w:sz w:val="21"/>
          <w:szCs w:val="21"/>
        </w:rPr>
        <w:t>.</w:t>
      </w:r>
      <w:r>
        <w:rPr>
          <w:rStyle w:val="43"/>
          <w:rFonts w:ascii="宋体" w:hAnsi="宋体"/>
          <w:kern w:val="0"/>
          <w:sz w:val="21"/>
          <w:szCs w:val="21"/>
        </w:rPr>
        <w:t>本项目对符合财政扶持政策的中小企业（小型、微型）、监狱企业、残疾人福利性单位给予价格优惠扶持，执行节能产品政府强制采购和优先采购政策，执行环境标志产品政府优先采购政策</w:t>
      </w:r>
      <w:r>
        <w:rPr>
          <w:rStyle w:val="43"/>
          <w:rFonts w:hint="eastAsia" w:ascii="宋体" w:hAnsi="宋体"/>
          <w:kern w:val="0"/>
          <w:sz w:val="21"/>
          <w:szCs w:val="21"/>
        </w:rPr>
        <w:t>。</w:t>
      </w:r>
    </w:p>
    <w:p>
      <w:pPr>
        <w:spacing w:line="420" w:lineRule="exact"/>
        <w:outlineLvl w:val="1"/>
        <w:rPr>
          <w:rStyle w:val="43"/>
          <w:rFonts w:ascii="宋体" w:hAnsi="宋体" w:cs="宋体"/>
          <w:b/>
          <w:bCs/>
          <w:spacing w:val="6"/>
          <w:sz w:val="21"/>
          <w:szCs w:val="21"/>
        </w:rPr>
      </w:pPr>
      <w:r>
        <w:rPr>
          <w:rStyle w:val="43"/>
          <w:rFonts w:ascii="宋体" w:hAnsi="宋体" w:cs="宋体"/>
          <w:b/>
          <w:bCs/>
          <w:spacing w:val="6"/>
          <w:sz w:val="21"/>
          <w:szCs w:val="21"/>
        </w:rPr>
        <w:t>九、对本次采购提出询问，请按以下方式联系</w:t>
      </w:r>
    </w:p>
    <w:p>
      <w:pPr>
        <w:spacing w:line="420" w:lineRule="exact"/>
        <w:ind w:firstLine="420" w:firstLineChars="200"/>
        <w:jc w:val="left"/>
        <w:outlineLvl w:val="2"/>
        <w:rPr>
          <w:rStyle w:val="43"/>
          <w:rFonts w:ascii="宋体" w:hAnsi="宋体"/>
          <w:sz w:val="21"/>
          <w:szCs w:val="21"/>
        </w:rPr>
      </w:pPr>
      <w:r>
        <w:rPr>
          <w:rStyle w:val="43"/>
          <w:rFonts w:ascii="宋体" w:hAnsi="宋体"/>
          <w:sz w:val="21"/>
          <w:szCs w:val="21"/>
        </w:rPr>
        <w:t>1.采购人信息</w:t>
      </w:r>
    </w:p>
    <w:p>
      <w:pPr>
        <w:spacing w:line="420" w:lineRule="exact"/>
        <w:ind w:firstLine="420" w:firstLineChars="200"/>
        <w:jc w:val="left"/>
        <w:rPr>
          <w:rStyle w:val="43"/>
          <w:rFonts w:ascii="宋体" w:hAnsi="宋体"/>
          <w:sz w:val="21"/>
          <w:szCs w:val="21"/>
        </w:rPr>
      </w:pPr>
      <w:r>
        <w:rPr>
          <w:rStyle w:val="43"/>
          <w:rFonts w:ascii="宋体" w:hAnsi="宋体"/>
          <w:sz w:val="21"/>
          <w:szCs w:val="21"/>
        </w:rPr>
        <w:t>名 称：</w:t>
      </w:r>
      <w:r>
        <w:rPr>
          <w:rStyle w:val="43"/>
          <w:rFonts w:hint="eastAsia" w:ascii="宋体" w:hAnsi="宋体"/>
          <w:sz w:val="21"/>
          <w:szCs w:val="21"/>
        </w:rPr>
        <w:t>嵊州市经济和信息化局</w:t>
      </w:r>
    </w:p>
    <w:p>
      <w:pPr>
        <w:spacing w:line="420" w:lineRule="exact"/>
        <w:ind w:firstLine="420" w:firstLineChars="200"/>
        <w:jc w:val="left"/>
        <w:rPr>
          <w:rStyle w:val="43"/>
          <w:rFonts w:ascii="宋体" w:hAnsi="宋体"/>
          <w:sz w:val="21"/>
          <w:szCs w:val="21"/>
        </w:rPr>
      </w:pPr>
      <w:r>
        <w:rPr>
          <w:rStyle w:val="43"/>
          <w:rFonts w:ascii="宋体" w:hAnsi="宋体"/>
          <w:sz w:val="21"/>
          <w:szCs w:val="21"/>
        </w:rPr>
        <w:t>地址：嵊州市</w:t>
      </w:r>
      <w:r>
        <w:rPr>
          <w:rStyle w:val="43"/>
          <w:rFonts w:hint="eastAsia" w:ascii="宋体" w:hAnsi="宋体"/>
          <w:sz w:val="21"/>
          <w:szCs w:val="21"/>
        </w:rPr>
        <w:t>领带园1路403号</w:t>
      </w:r>
    </w:p>
    <w:p>
      <w:pPr>
        <w:spacing w:line="420" w:lineRule="exact"/>
        <w:ind w:firstLine="420" w:firstLineChars="200"/>
        <w:jc w:val="left"/>
        <w:rPr>
          <w:rStyle w:val="43"/>
          <w:rFonts w:ascii="宋体" w:hAnsi="宋体"/>
          <w:sz w:val="21"/>
          <w:szCs w:val="21"/>
        </w:rPr>
      </w:pPr>
      <w:r>
        <w:rPr>
          <w:rStyle w:val="43"/>
          <w:rFonts w:ascii="宋体" w:hAnsi="宋体"/>
          <w:sz w:val="21"/>
          <w:szCs w:val="21"/>
        </w:rPr>
        <w:t>联系人：</w:t>
      </w:r>
      <w:r>
        <w:rPr>
          <w:rStyle w:val="43"/>
          <w:rFonts w:hint="eastAsia" w:ascii="宋体" w:hAnsi="宋体"/>
          <w:sz w:val="21"/>
          <w:szCs w:val="21"/>
        </w:rPr>
        <w:t xml:space="preserve">魏老师       </w:t>
      </w:r>
      <w:r>
        <w:rPr>
          <w:rStyle w:val="43"/>
          <w:rFonts w:ascii="宋体" w:hAnsi="宋体"/>
          <w:sz w:val="21"/>
          <w:szCs w:val="21"/>
        </w:rPr>
        <w:t xml:space="preserve">        </w:t>
      </w:r>
      <w:r>
        <w:rPr>
          <w:rStyle w:val="43"/>
          <w:rFonts w:hint="eastAsia" w:ascii="宋体" w:hAnsi="宋体"/>
          <w:sz w:val="21"/>
          <w:szCs w:val="21"/>
        </w:rPr>
        <w:t xml:space="preserve"> </w:t>
      </w:r>
      <w:r>
        <w:rPr>
          <w:rStyle w:val="43"/>
          <w:rFonts w:ascii="宋体" w:hAnsi="宋体"/>
          <w:sz w:val="21"/>
          <w:szCs w:val="21"/>
        </w:rPr>
        <w:t xml:space="preserve"> </w:t>
      </w:r>
      <w:r>
        <w:rPr>
          <w:rStyle w:val="43"/>
          <w:rFonts w:hint="eastAsia" w:ascii="宋体" w:hAnsi="宋体"/>
          <w:sz w:val="21"/>
          <w:szCs w:val="21"/>
        </w:rPr>
        <w:t xml:space="preserve">           </w:t>
      </w:r>
      <w:r>
        <w:rPr>
          <w:rStyle w:val="43"/>
          <w:rFonts w:ascii="宋体" w:hAnsi="宋体"/>
          <w:sz w:val="21"/>
          <w:szCs w:val="21"/>
        </w:rPr>
        <w:t xml:space="preserve">   </w:t>
      </w:r>
      <w:r>
        <w:rPr>
          <w:rStyle w:val="43"/>
          <w:rFonts w:hint="eastAsia" w:ascii="宋体" w:hAnsi="宋体"/>
          <w:sz w:val="21"/>
          <w:szCs w:val="21"/>
        </w:rPr>
        <w:t xml:space="preserve">          </w:t>
      </w:r>
      <w:r>
        <w:rPr>
          <w:rStyle w:val="43"/>
          <w:rFonts w:ascii="宋体" w:hAnsi="宋体"/>
          <w:sz w:val="21"/>
          <w:szCs w:val="21"/>
        </w:rPr>
        <w:t xml:space="preserve">                </w:t>
      </w:r>
    </w:p>
    <w:p>
      <w:pPr>
        <w:spacing w:line="420" w:lineRule="exact"/>
        <w:ind w:firstLine="420" w:firstLineChars="200"/>
        <w:jc w:val="left"/>
        <w:rPr>
          <w:rStyle w:val="43"/>
          <w:rFonts w:ascii="宋体" w:hAnsi="宋体"/>
          <w:sz w:val="21"/>
          <w:szCs w:val="21"/>
        </w:rPr>
      </w:pPr>
      <w:r>
        <w:rPr>
          <w:rStyle w:val="43"/>
          <w:rFonts w:ascii="宋体" w:hAnsi="宋体"/>
          <w:sz w:val="21"/>
          <w:szCs w:val="21"/>
        </w:rPr>
        <w:t>联系方式：</w:t>
      </w:r>
      <w:r>
        <w:rPr>
          <w:rStyle w:val="43"/>
          <w:rFonts w:hint="eastAsia" w:ascii="宋体" w:hAnsi="宋体"/>
          <w:sz w:val="21"/>
          <w:szCs w:val="21"/>
        </w:rPr>
        <w:t>0575-83182858</w:t>
      </w:r>
      <w:r>
        <w:rPr>
          <w:rStyle w:val="43"/>
          <w:rFonts w:ascii="宋体" w:hAnsi="宋体"/>
          <w:sz w:val="21"/>
          <w:szCs w:val="21"/>
        </w:rPr>
        <w:t xml:space="preserve">                  </w:t>
      </w:r>
    </w:p>
    <w:p>
      <w:pPr>
        <w:spacing w:line="420" w:lineRule="exact"/>
        <w:ind w:firstLine="420" w:firstLineChars="200"/>
        <w:jc w:val="left"/>
        <w:outlineLvl w:val="2"/>
        <w:rPr>
          <w:rStyle w:val="43"/>
          <w:rFonts w:ascii="宋体" w:hAnsi="宋体"/>
          <w:sz w:val="21"/>
          <w:szCs w:val="21"/>
        </w:rPr>
      </w:pPr>
      <w:r>
        <w:rPr>
          <w:rStyle w:val="43"/>
          <w:rFonts w:ascii="宋体" w:hAnsi="宋体"/>
          <w:sz w:val="21"/>
          <w:szCs w:val="21"/>
        </w:rPr>
        <w:t>2.采购代理机构信息</w:t>
      </w:r>
    </w:p>
    <w:p>
      <w:pPr>
        <w:spacing w:line="420" w:lineRule="exact"/>
        <w:ind w:firstLine="420" w:firstLineChars="200"/>
        <w:rPr>
          <w:rStyle w:val="43"/>
          <w:rFonts w:ascii="宋体" w:hAnsi="宋体"/>
          <w:sz w:val="21"/>
          <w:szCs w:val="21"/>
        </w:rPr>
      </w:pPr>
      <w:r>
        <w:rPr>
          <w:rStyle w:val="43"/>
          <w:rFonts w:ascii="宋体" w:hAnsi="宋体"/>
          <w:sz w:val="21"/>
          <w:szCs w:val="21"/>
        </w:rPr>
        <w:t>名 称：</w:t>
      </w:r>
      <w:r>
        <w:rPr>
          <w:rStyle w:val="43"/>
          <w:rFonts w:hint="eastAsia" w:ascii="宋体" w:hAnsi="宋体"/>
          <w:sz w:val="21"/>
          <w:szCs w:val="21"/>
        </w:rPr>
        <w:t>浙江省房地产管理咨询有限公司</w:t>
      </w:r>
    </w:p>
    <w:p>
      <w:pPr>
        <w:spacing w:line="420" w:lineRule="exact"/>
        <w:ind w:firstLine="420" w:firstLineChars="200"/>
        <w:rPr>
          <w:rStyle w:val="43"/>
          <w:rFonts w:ascii="宋体" w:hAnsi="宋体"/>
          <w:sz w:val="21"/>
          <w:szCs w:val="21"/>
        </w:rPr>
      </w:pPr>
      <w:r>
        <w:rPr>
          <w:rStyle w:val="43"/>
          <w:rFonts w:ascii="宋体" w:hAnsi="宋体"/>
          <w:sz w:val="21"/>
          <w:szCs w:val="21"/>
        </w:rPr>
        <w:t>地　址：</w:t>
      </w:r>
      <w:r>
        <w:rPr>
          <w:rStyle w:val="43"/>
          <w:rFonts w:hint="eastAsia" w:ascii="宋体" w:hAnsi="宋体"/>
          <w:sz w:val="21"/>
          <w:szCs w:val="21"/>
        </w:rPr>
        <w:t>嵊州市达成路115号中天大楼4楼418室</w:t>
      </w:r>
    </w:p>
    <w:p>
      <w:pPr>
        <w:pStyle w:val="37"/>
        <w:spacing w:line="420" w:lineRule="exact"/>
        <w:ind w:firstLine="420" w:firstLineChars="200"/>
        <w:rPr>
          <w:rStyle w:val="43"/>
          <w:rFonts w:hAnsi="宋体"/>
          <w:szCs w:val="21"/>
        </w:rPr>
      </w:pPr>
      <w:r>
        <w:rPr>
          <w:rStyle w:val="43"/>
          <w:rFonts w:hAnsi="宋体"/>
          <w:szCs w:val="21"/>
        </w:rPr>
        <w:t>项目联系人：</w:t>
      </w:r>
      <w:r>
        <w:rPr>
          <w:rStyle w:val="43"/>
          <w:rFonts w:hint="eastAsia" w:hAnsi="宋体"/>
          <w:szCs w:val="21"/>
        </w:rPr>
        <w:t>钱工</w:t>
      </w:r>
      <w:r>
        <w:rPr>
          <w:rStyle w:val="43"/>
          <w:rFonts w:hAnsi="宋体"/>
          <w:szCs w:val="21"/>
        </w:rPr>
        <w:t xml:space="preserve">                </w:t>
      </w:r>
    </w:p>
    <w:p>
      <w:pPr>
        <w:spacing w:line="400" w:lineRule="exact"/>
        <w:ind w:firstLine="420" w:firstLineChars="200"/>
        <w:rPr>
          <w:rStyle w:val="43"/>
          <w:rFonts w:ascii="宋体" w:hAnsi="宋体"/>
          <w:sz w:val="21"/>
          <w:szCs w:val="21"/>
        </w:rPr>
      </w:pPr>
      <w:r>
        <w:rPr>
          <w:rStyle w:val="43"/>
          <w:rFonts w:ascii="宋体" w:hAnsi="宋体"/>
          <w:sz w:val="21"/>
          <w:szCs w:val="21"/>
        </w:rPr>
        <w:t>电　话：</w:t>
      </w:r>
      <w:r>
        <w:rPr>
          <w:rStyle w:val="43"/>
          <w:rFonts w:hint="eastAsia" w:ascii="宋体" w:hAnsi="宋体"/>
          <w:sz w:val="21"/>
          <w:szCs w:val="21"/>
        </w:rPr>
        <w:t>0575-83905775</w:t>
      </w:r>
    </w:p>
    <w:p>
      <w:pPr>
        <w:spacing w:line="420" w:lineRule="exact"/>
        <w:ind w:firstLine="420" w:firstLineChars="200"/>
        <w:jc w:val="left"/>
        <w:outlineLvl w:val="2"/>
        <w:rPr>
          <w:rStyle w:val="43"/>
          <w:rFonts w:ascii="宋体" w:hAnsi="宋体"/>
          <w:sz w:val="21"/>
          <w:szCs w:val="21"/>
        </w:rPr>
      </w:pPr>
      <w:r>
        <w:rPr>
          <w:rStyle w:val="43"/>
          <w:rFonts w:hint="eastAsia" w:ascii="宋体" w:hAnsi="宋体"/>
          <w:sz w:val="21"/>
          <w:szCs w:val="21"/>
        </w:rPr>
        <w:t>3.同级政府采购监督管理部门</w:t>
      </w:r>
    </w:p>
    <w:p>
      <w:pPr>
        <w:spacing w:line="420" w:lineRule="exact"/>
        <w:ind w:firstLine="420" w:firstLineChars="200"/>
        <w:jc w:val="left"/>
        <w:rPr>
          <w:rStyle w:val="43"/>
          <w:rFonts w:ascii="宋体" w:hAnsi="宋体"/>
          <w:sz w:val="21"/>
          <w:szCs w:val="21"/>
        </w:rPr>
      </w:pPr>
      <w:r>
        <w:rPr>
          <w:rStyle w:val="43"/>
          <w:rFonts w:hint="eastAsia" w:ascii="宋体" w:hAnsi="宋体"/>
          <w:sz w:val="21"/>
          <w:szCs w:val="21"/>
        </w:rPr>
        <w:t xml:space="preserve">名 称：嵊州市采购监管    </w:t>
      </w:r>
    </w:p>
    <w:p>
      <w:pPr>
        <w:spacing w:line="420" w:lineRule="exact"/>
        <w:ind w:firstLine="420" w:firstLineChars="200"/>
        <w:jc w:val="left"/>
        <w:rPr>
          <w:rStyle w:val="43"/>
          <w:rFonts w:ascii="宋体" w:hAnsi="宋体"/>
          <w:sz w:val="21"/>
          <w:szCs w:val="21"/>
        </w:rPr>
      </w:pPr>
      <w:r>
        <w:rPr>
          <w:rStyle w:val="43"/>
          <w:rFonts w:hint="eastAsia" w:ascii="宋体" w:hAnsi="宋体"/>
          <w:sz w:val="21"/>
          <w:szCs w:val="21"/>
        </w:rPr>
        <w:t>地 址：浙江省绍兴市嵊州市三江街道国资综合大楼1004室</w:t>
      </w:r>
    </w:p>
    <w:p>
      <w:pPr>
        <w:spacing w:line="420" w:lineRule="exact"/>
        <w:ind w:firstLine="420" w:firstLineChars="200"/>
        <w:jc w:val="left"/>
        <w:rPr>
          <w:rStyle w:val="43"/>
          <w:rFonts w:ascii="宋体" w:hAnsi="宋体"/>
          <w:sz w:val="21"/>
          <w:szCs w:val="21"/>
        </w:rPr>
      </w:pPr>
      <w:r>
        <w:rPr>
          <w:rStyle w:val="43"/>
          <w:rFonts w:hint="eastAsia" w:ascii="宋体" w:hAnsi="宋体"/>
          <w:sz w:val="21"/>
          <w:szCs w:val="21"/>
        </w:rPr>
        <w:t xml:space="preserve">联系人：郑老师   </w:t>
      </w:r>
    </w:p>
    <w:p>
      <w:pPr>
        <w:spacing w:line="420" w:lineRule="exact"/>
        <w:ind w:firstLine="420" w:firstLineChars="200"/>
        <w:jc w:val="left"/>
        <w:rPr>
          <w:rStyle w:val="43"/>
          <w:rFonts w:ascii="宋体" w:hAnsi="宋体"/>
          <w:sz w:val="21"/>
          <w:szCs w:val="21"/>
        </w:rPr>
      </w:pPr>
      <w:r>
        <w:rPr>
          <w:rStyle w:val="43"/>
          <w:rFonts w:hint="eastAsia" w:ascii="宋体" w:hAnsi="宋体"/>
          <w:sz w:val="21"/>
          <w:szCs w:val="21"/>
        </w:rPr>
        <w:t xml:space="preserve">监督投诉电话：0575-83032507  </w:t>
      </w:r>
      <w:r>
        <w:rPr>
          <w:rStyle w:val="43"/>
          <w:rFonts w:hint="eastAsia" w:ascii="宋体" w:hAnsi="宋体"/>
          <w:sz w:val="21"/>
          <w:szCs w:val="21"/>
          <w:u w:val="single"/>
        </w:rPr>
        <w:t xml:space="preserve">  </w:t>
      </w:r>
    </w:p>
    <w:p>
      <w:pPr>
        <w:pStyle w:val="11"/>
      </w:pPr>
    </w:p>
    <w:p>
      <w:pPr>
        <w:pStyle w:val="32"/>
        <w:spacing w:line="700" w:lineRule="exact"/>
        <w:ind w:left="477"/>
        <w:outlineLvl w:val="0"/>
        <w:rPr>
          <w:rStyle w:val="43"/>
          <w:rFonts w:hAnsi="宋体"/>
          <w:color w:val="auto"/>
          <w:szCs w:val="36"/>
        </w:rPr>
      </w:pPr>
      <w:bookmarkStart w:id="1" w:name="_Toc2017453813"/>
      <w:r>
        <w:rPr>
          <w:rStyle w:val="43"/>
          <w:rFonts w:hAnsi="宋体"/>
          <w:color w:val="auto"/>
          <w:szCs w:val="36"/>
        </w:rPr>
        <w:t>第二部分  投标须知</w:t>
      </w:r>
      <w:bookmarkEnd w:id="1"/>
    </w:p>
    <w:p>
      <w:pPr>
        <w:pStyle w:val="33"/>
        <w:spacing w:line="500" w:lineRule="exact"/>
        <w:ind w:left="357"/>
        <w:outlineLvl w:val="1"/>
        <w:rPr>
          <w:rStyle w:val="43"/>
          <w:rFonts w:ascii="宋体" w:hAnsi="宋体" w:cs="宋体"/>
          <w:bCs/>
          <w:sz w:val="28"/>
          <w:szCs w:val="28"/>
        </w:rPr>
      </w:pPr>
      <w:r>
        <w:rPr>
          <w:rStyle w:val="43"/>
          <w:rFonts w:ascii="宋体" w:hAnsi="宋体" w:cs="宋体"/>
          <w:bCs/>
          <w:sz w:val="28"/>
          <w:szCs w:val="28"/>
        </w:rPr>
        <w:t>一、投标须知前附表</w:t>
      </w:r>
    </w:p>
    <w:tbl>
      <w:tblPr>
        <w:tblStyle w:val="26"/>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560"/>
        <w:gridCol w:w="6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项目</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编  例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exac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1</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采购人</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名称：</w:t>
            </w:r>
            <w:r>
              <w:rPr>
                <w:rStyle w:val="43"/>
                <w:rFonts w:hint="eastAsia" w:ascii="宋体" w:hAnsi="宋体"/>
                <w:sz w:val="21"/>
                <w:szCs w:val="21"/>
              </w:rPr>
              <w:t>嵊州市经济和信息化局</w:t>
            </w:r>
          </w:p>
          <w:p>
            <w:pPr>
              <w:snapToGrid w:val="0"/>
              <w:spacing w:line="400" w:lineRule="exact"/>
              <w:textAlignment w:val="bottom"/>
              <w:rPr>
                <w:rStyle w:val="43"/>
                <w:rFonts w:ascii="宋体" w:hAnsi="宋体"/>
                <w:sz w:val="21"/>
                <w:szCs w:val="21"/>
              </w:rPr>
            </w:pPr>
            <w:r>
              <w:rPr>
                <w:rStyle w:val="43"/>
                <w:rFonts w:ascii="宋体" w:hAnsi="宋体"/>
                <w:sz w:val="21"/>
                <w:szCs w:val="21"/>
              </w:rPr>
              <w:t>地址：嵊州市</w:t>
            </w:r>
            <w:r>
              <w:rPr>
                <w:rStyle w:val="43"/>
                <w:rFonts w:hint="eastAsia" w:ascii="宋体" w:hAnsi="宋体"/>
                <w:sz w:val="21"/>
                <w:szCs w:val="21"/>
              </w:rPr>
              <w:t>领带园1路403号</w:t>
            </w:r>
          </w:p>
          <w:p>
            <w:pPr>
              <w:snapToGrid w:val="0"/>
              <w:spacing w:line="400" w:lineRule="exact"/>
              <w:textAlignment w:val="bottom"/>
              <w:rPr>
                <w:rStyle w:val="43"/>
                <w:rFonts w:ascii="宋体" w:hAnsi="宋体"/>
                <w:sz w:val="21"/>
                <w:szCs w:val="21"/>
              </w:rPr>
            </w:pPr>
            <w:r>
              <w:rPr>
                <w:rStyle w:val="43"/>
                <w:rFonts w:ascii="宋体" w:hAnsi="宋体"/>
                <w:sz w:val="21"/>
                <w:szCs w:val="21"/>
              </w:rPr>
              <w:t>联系人：</w:t>
            </w:r>
            <w:r>
              <w:rPr>
                <w:rStyle w:val="43"/>
                <w:rFonts w:hint="eastAsia" w:ascii="宋体" w:hAnsi="宋体"/>
                <w:sz w:val="21"/>
                <w:szCs w:val="21"/>
              </w:rPr>
              <w:t>魏老师</w:t>
            </w:r>
          </w:p>
          <w:p>
            <w:pPr>
              <w:snapToGrid w:val="0"/>
              <w:spacing w:line="400" w:lineRule="exact"/>
              <w:textAlignment w:val="bottom"/>
              <w:rPr>
                <w:rStyle w:val="43"/>
                <w:rFonts w:ascii="宋体" w:hAnsi="宋体"/>
                <w:sz w:val="21"/>
                <w:szCs w:val="21"/>
              </w:rPr>
            </w:pPr>
            <w:r>
              <w:rPr>
                <w:rStyle w:val="43"/>
                <w:rFonts w:ascii="宋体" w:hAnsi="宋体"/>
                <w:sz w:val="21"/>
                <w:szCs w:val="21"/>
              </w:rPr>
              <w:t>联系电话：</w:t>
            </w:r>
            <w:r>
              <w:rPr>
                <w:rStyle w:val="43"/>
                <w:rFonts w:hint="eastAsia" w:ascii="宋体" w:hAnsi="宋体"/>
                <w:sz w:val="21"/>
                <w:szCs w:val="21"/>
              </w:rPr>
              <w:t>0575-83182858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exac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2</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采购代理机构</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名称：</w:t>
            </w:r>
            <w:r>
              <w:rPr>
                <w:rStyle w:val="43"/>
                <w:rFonts w:hint="eastAsia" w:ascii="宋体" w:hAnsi="宋体"/>
                <w:sz w:val="21"/>
                <w:szCs w:val="21"/>
              </w:rPr>
              <w:t>浙江省房地产管理咨询有限公司</w:t>
            </w:r>
          </w:p>
          <w:p>
            <w:pPr>
              <w:snapToGrid w:val="0"/>
              <w:spacing w:line="400" w:lineRule="exact"/>
              <w:textAlignment w:val="bottom"/>
              <w:rPr>
                <w:rStyle w:val="43"/>
                <w:rFonts w:ascii="宋体" w:hAnsi="宋体"/>
                <w:sz w:val="21"/>
                <w:szCs w:val="21"/>
              </w:rPr>
            </w:pPr>
            <w:r>
              <w:rPr>
                <w:rStyle w:val="43"/>
                <w:rFonts w:ascii="宋体" w:hAnsi="宋体"/>
                <w:sz w:val="21"/>
                <w:szCs w:val="21"/>
              </w:rPr>
              <w:t>地址：</w:t>
            </w:r>
            <w:r>
              <w:rPr>
                <w:rStyle w:val="43"/>
                <w:rFonts w:hint="eastAsia" w:ascii="宋体" w:hAnsi="宋体"/>
                <w:sz w:val="21"/>
                <w:szCs w:val="21"/>
              </w:rPr>
              <w:t>嵊州市达成路115号中天大楼4楼418室</w:t>
            </w:r>
          </w:p>
          <w:p>
            <w:pPr>
              <w:snapToGrid w:val="0"/>
              <w:spacing w:line="400" w:lineRule="exact"/>
              <w:textAlignment w:val="bottom"/>
              <w:rPr>
                <w:rStyle w:val="43"/>
                <w:rFonts w:ascii="宋体" w:hAnsi="宋体"/>
                <w:sz w:val="21"/>
                <w:szCs w:val="21"/>
              </w:rPr>
            </w:pPr>
            <w:r>
              <w:rPr>
                <w:rStyle w:val="43"/>
                <w:rFonts w:ascii="宋体" w:hAnsi="宋体"/>
                <w:sz w:val="21"/>
                <w:szCs w:val="21"/>
              </w:rPr>
              <w:t>联系人：</w:t>
            </w:r>
            <w:r>
              <w:rPr>
                <w:rStyle w:val="43"/>
                <w:rFonts w:hint="eastAsia" w:ascii="宋体" w:hAnsi="宋体"/>
                <w:sz w:val="21"/>
                <w:szCs w:val="21"/>
              </w:rPr>
              <w:t>钱工</w:t>
            </w:r>
          </w:p>
          <w:p>
            <w:pPr>
              <w:snapToGrid w:val="0"/>
              <w:spacing w:line="400" w:lineRule="exact"/>
              <w:textAlignment w:val="bottom"/>
              <w:rPr>
                <w:rStyle w:val="43"/>
                <w:rFonts w:ascii="宋体" w:hAnsi="宋体"/>
              </w:rPr>
            </w:pPr>
            <w:r>
              <w:rPr>
                <w:rStyle w:val="43"/>
                <w:rFonts w:ascii="宋体" w:hAnsi="宋体"/>
                <w:sz w:val="21"/>
                <w:szCs w:val="21"/>
              </w:rPr>
              <w:t xml:space="preserve">联系电话： </w:t>
            </w:r>
            <w:r>
              <w:rPr>
                <w:rStyle w:val="43"/>
                <w:rFonts w:hint="eastAsia" w:ascii="宋体" w:hAnsi="宋体"/>
                <w:sz w:val="21"/>
                <w:szCs w:val="21"/>
              </w:rPr>
              <w:t>0575-83905775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3</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cs="宋体"/>
                <w:bCs/>
                <w:sz w:val="21"/>
                <w:szCs w:val="21"/>
              </w:rPr>
            </w:pPr>
            <w:r>
              <w:rPr>
                <w:rStyle w:val="43"/>
                <w:rFonts w:ascii="宋体" w:hAnsi="宋体" w:cs="宋体"/>
                <w:bCs/>
                <w:sz w:val="21"/>
                <w:szCs w:val="21"/>
              </w:rPr>
              <w:t>现场踏勘</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本项目不组织现场踏勘，投标人如有需要，经采购人同意后可自行前往，踏勘期间发生的费用或意外导致伤亡等一切责任和损失均由投标人自负。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4</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cs="宋体"/>
                <w:bCs/>
                <w:sz w:val="21"/>
                <w:szCs w:val="21"/>
              </w:rPr>
            </w:pPr>
            <w:r>
              <w:rPr>
                <w:rStyle w:val="43"/>
                <w:rFonts w:ascii="宋体" w:hAnsi="宋体" w:cs="宋体"/>
                <w:bCs/>
                <w:sz w:val="21"/>
                <w:szCs w:val="21"/>
              </w:rPr>
              <w:t>答疑会</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5</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质疑与澄清</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pacing w:val="6"/>
                <w:sz w:val="21"/>
                <w:szCs w:val="21"/>
              </w:rPr>
              <w:t>投标人如对采购文件有异议应该按财政部第94号令《政府采购质疑和投诉办法》规定的时间</w:t>
            </w:r>
            <w:r>
              <w:rPr>
                <w:rStyle w:val="43"/>
                <w:rFonts w:ascii="宋体" w:hAnsi="宋体"/>
                <w:sz w:val="21"/>
                <w:szCs w:val="21"/>
              </w:rPr>
              <w:t>要求一次性提出针对同一采购程序环节的质疑</w:t>
            </w:r>
            <w:r>
              <w:rPr>
                <w:rStyle w:val="43"/>
                <w:rFonts w:ascii="宋体" w:hAnsi="宋体"/>
                <w:spacing w:val="6"/>
                <w:sz w:val="21"/>
                <w:szCs w:val="21"/>
              </w:rPr>
              <w:t>，逾期提出的，代理机构不予受理、答复。对未按上述方式获取采购文件的供应商对该文件提出的质疑，采购代理机构将不予处理。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6</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投标保证金</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cs="宋体"/>
                <w:b/>
                <w:bCs/>
                <w:sz w:val="21"/>
                <w:szCs w:val="21"/>
              </w:rPr>
            </w:pPr>
            <w:r>
              <w:rPr>
                <w:rStyle w:val="43"/>
                <w:rFonts w:ascii="宋体" w:hAnsi="宋体" w:cs="宋体"/>
                <w:b/>
                <w:bCs/>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7</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投标文件组成</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由“资格证明文件”、“报价文件”和“资信技术文件”三个部分组成。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8</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投标文件编制</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供应商应先安装“政采云电子交易客户端”，并按照本采购文件和“政府采购云平台”的要求，通过“政采云电子交易客户端”编制并加密投标文件。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9</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签字或盖章要求</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1. 电子投标文件必须有电子签章；</w:t>
            </w:r>
          </w:p>
          <w:p>
            <w:pPr>
              <w:snapToGrid w:val="0"/>
              <w:spacing w:line="400" w:lineRule="exact"/>
              <w:textAlignment w:val="bottom"/>
              <w:rPr>
                <w:rStyle w:val="43"/>
                <w:rFonts w:ascii="宋体" w:hAnsi="宋体"/>
                <w:sz w:val="21"/>
                <w:szCs w:val="21"/>
              </w:rPr>
            </w:pPr>
            <w:r>
              <w:rPr>
                <w:rStyle w:val="43"/>
                <w:rFonts w:ascii="宋体" w:hAnsi="宋体"/>
                <w:sz w:val="21"/>
                <w:szCs w:val="21"/>
              </w:rPr>
              <w:t>2. 开标后，相关信息记录确认、澄清说明、回复等内容，电子签章、或者签章后上传相关文件，均认可；</w:t>
            </w:r>
          </w:p>
          <w:p>
            <w:pPr>
              <w:snapToGrid w:val="0"/>
              <w:spacing w:line="400" w:lineRule="exact"/>
              <w:textAlignment w:val="bottom"/>
              <w:rPr>
                <w:rStyle w:val="43"/>
                <w:rFonts w:ascii="宋体" w:hAnsi="宋体"/>
                <w:sz w:val="21"/>
                <w:szCs w:val="21"/>
              </w:rPr>
            </w:pPr>
            <w:r>
              <w:rPr>
                <w:rStyle w:val="43"/>
                <w:rFonts w:ascii="宋体" w:hAnsi="宋体"/>
                <w:sz w:val="21"/>
                <w:szCs w:val="21"/>
              </w:rPr>
              <w:t>3. 政采云系统平台有新的操作流程的，按其规定。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10</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投标文件的形式</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电子投标文件（包括“电子加密投标文件”和“备份投标文件”，在投标文件编制完成后同时生成）；</w:t>
            </w:r>
          </w:p>
          <w:p>
            <w:pPr>
              <w:snapToGrid w:val="0"/>
              <w:spacing w:line="400" w:lineRule="exact"/>
              <w:textAlignment w:val="bottom"/>
              <w:rPr>
                <w:rStyle w:val="43"/>
                <w:rFonts w:ascii="宋体" w:hAnsi="宋体"/>
                <w:sz w:val="21"/>
                <w:szCs w:val="21"/>
              </w:rPr>
            </w:pPr>
            <w:r>
              <w:rPr>
                <w:rStyle w:val="43"/>
                <w:rFonts w:ascii="宋体" w:hAnsi="宋体"/>
                <w:sz w:val="21"/>
                <w:szCs w:val="21"/>
              </w:rPr>
              <w:t>（1）“电子加密投标文件”是指通过“政采云电子交易客户端”完成投标文件编制后生成并加密的数据电文形式的投标文件。</w:t>
            </w:r>
          </w:p>
          <w:p>
            <w:pPr>
              <w:snapToGrid w:val="0"/>
              <w:spacing w:line="400" w:lineRule="exact"/>
              <w:textAlignment w:val="bottom"/>
              <w:rPr>
                <w:rStyle w:val="43"/>
                <w:rFonts w:ascii="宋体" w:hAnsi="宋体"/>
                <w:sz w:val="21"/>
                <w:szCs w:val="21"/>
              </w:rPr>
            </w:pPr>
            <w:r>
              <w:rPr>
                <w:rStyle w:val="43"/>
                <w:rFonts w:ascii="宋体" w:hAnsi="宋体"/>
                <w:sz w:val="21"/>
                <w:szCs w:val="21"/>
              </w:rPr>
              <w:t>（2）“备份投标文件”是指与“电子加密投标文件”同时生成的以介质（U盘）存储的数据电文形式的电子文件（备份标书），其他方式编制的备份投标文件视为无效备份投标文件。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11</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投标文件份数</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1、一份电子加密标书（后缀格式为.jmbs），一份备份标书文件（后缀格式为.bfbs）。</w:t>
            </w:r>
          </w:p>
          <w:p>
            <w:pPr>
              <w:snapToGrid w:val="0"/>
              <w:spacing w:line="400" w:lineRule="exact"/>
              <w:textAlignment w:val="bottom"/>
              <w:rPr>
                <w:rStyle w:val="43"/>
                <w:rFonts w:ascii="宋体" w:hAnsi="宋体"/>
                <w:sz w:val="21"/>
                <w:szCs w:val="21"/>
              </w:rPr>
            </w:pPr>
            <w:r>
              <w:rPr>
                <w:rStyle w:val="43"/>
                <w:rFonts w:ascii="宋体" w:hAnsi="宋体"/>
                <w:sz w:val="21"/>
                <w:szCs w:val="21"/>
              </w:rPr>
              <w:t>每份电子投标文件应包括资格证明文件、资信技术文件及报价文件三部分内容。</w:t>
            </w:r>
          </w:p>
          <w:p>
            <w:pPr>
              <w:numPr>
                <w:ilvl w:val="0"/>
                <w:numId w:val="2"/>
              </w:numPr>
              <w:snapToGrid w:val="0"/>
              <w:spacing w:line="400" w:lineRule="exact"/>
              <w:textAlignment w:val="bottom"/>
              <w:rPr>
                <w:rStyle w:val="43"/>
                <w:rFonts w:ascii="宋体" w:hAnsi="宋体" w:cs="宋体"/>
                <w:b/>
                <w:bCs/>
                <w:sz w:val="21"/>
                <w:szCs w:val="21"/>
              </w:rPr>
            </w:pPr>
            <w:r>
              <w:rPr>
                <w:rStyle w:val="43"/>
                <w:rFonts w:ascii="宋体" w:hAnsi="宋体" w:cs="宋体"/>
                <w:b/>
                <w:bCs/>
                <w:sz w:val="21"/>
                <w:szCs w:val="21"/>
              </w:rPr>
              <w:t>如中标，中标人需根据采购人要求提供纸质投标文件（与电子投标文件一致）至少三份，在领取中标通知书时递交至代理公司（邮寄地址：</w:t>
            </w:r>
            <w:r>
              <w:rPr>
                <w:rStyle w:val="43"/>
                <w:rFonts w:hint="eastAsia" w:ascii="宋体" w:hAnsi="宋体" w:cs="宋体"/>
                <w:b/>
                <w:bCs/>
                <w:sz w:val="21"/>
                <w:szCs w:val="21"/>
              </w:rPr>
              <w:t>嵊州市达成路115号中天大楼4楼418室</w:t>
            </w:r>
            <w:r>
              <w:rPr>
                <w:rStyle w:val="43"/>
                <w:rFonts w:ascii="宋体" w:hAnsi="宋体" w:cs="宋体"/>
                <w:b/>
                <w:bCs/>
                <w:sz w:val="21"/>
                <w:szCs w:val="21"/>
              </w:rPr>
              <w:t>），如与电子投标文件不符将影响中标人领取中标通知书。</w:t>
            </w:r>
          </w:p>
          <w:p>
            <w:pPr>
              <w:numPr>
                <w:ilvl w:val="0"/>
                <w:numId w:val="2"/>
              </w:numPr>
              <w:snapToGrid w:val="0"/>
              <w:spacing w:line="400" w:lineRule="exact"/>
              <w:textAlignment w:val="bottom"/>
              <w:rPr>
                <w:rStyle w:val="43"/>
                <w:rFonts w:ascii="宋体" w:hAnsi="宋体"/>
                <w:sz w:val="21"/>
                <w:szCs w:val="21"/>
              </w:rPr>
            </w:pPr>
            <w:r>
              <w:rPr>
                <w:rStyle w:val="43"/>
                <w:rFonts w:ascii="宋体" w:hAnsi="宋体"/>
                <w:sz w:val="21"/>
                <w:szCs w:val="21"/>
              </w:rPr>
              <w:t>“备份投标文件”：密封包装后（邮寄形式）投标截止时间前递交一份（邮寄地址：</w:t>
            </w:r>
            <w:r>
              <w:rPr>
                <w:rStyle w:val="43"/>
                <w:rFonts w:hint="eastAsia" w:ascii="宋体" w:hAnsi="宋体"/>
                <w:sz w:val="21"/>
                <w:szCs w:val="21"/>
              </w:rPr>
              <w:t>嵊州市达成路115号中天大楼4楼418室</w:t>
            </w:r>
            <w:r>
              <w:rPr>
                <w:rStyle w:val="43"/>
                <w:rFonts w:ascii="宋体" w:hAnsi="宋体"/>
                <w:sz w:val="21"/>
                <w:szCs w:val="21"/>
              </w:rPr>
              <w:t>，</w:t>
            </w:r>
            <w:r>
              <w:rPr>
                <w:rStyle w:val="43"/>
                <w:rFonts w:hint="eastAsia" w:ascii="宋体" w:hAnsi="宋体"/>
                <w:sz w:val="21"/>
                <w:szCs w:val="21"/>
              </w:rPr>
              <w:t>钱工</w:t>
            </w:r>
            <w:r>
              <w:rPr>
                <w:rStyle w:val="43"/>
                <w:rFonts w:ascii="宋体" w:hAnsi="宋体"/>
                <w:sz w:val="21"/>
                <w:szCs w:val="21"/>
              </w:rPr>
              <w:t>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12</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电子加密投标文件的上传、递交</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（1）投标供应商应在投标截止时间前将“电子加密投标文件”成功上传递交至“政府采购云平台”，否则投标无效。</w:t>
            </w:r>
          </w:p>
          <w:p>
            <w:pPr>
              <w:snapToGrid w:val="0"/>
              <w:spacing w:line="400" w:lineRule="exact"/>
              <w:textAlignment w:val="bottom"/>
              <w:rPr>
                <w:rStyle w:val="43"/>
                <w:rFonts w:ascii="宋体" w:hAnsi="宋体"/>
                <w:sz w:val="21"/>
                <w:szCs w:val="21"/>
              </w:rPr>
            </w:pPr>
            <w:r>
              <w:rPr>
                <w:rStyle w:val="43"/>
                <w:rFonts w:ascii="宋体" w:hAnsi="宋体"/>
                <w:sz w:val="21"/>
                <w:szCs w:val="21"/>
              </w:rPr>
              <w:t>（2）“电子加密投标文件”成功上传递交后，供应商可自行打印投标文件接收回执。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13</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备份投标文件的密封包装、递交</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（1）投标供应商在“政府采购云平台”完成“电子加密投标文件”的上传递交后，还可以（邮寄形式）在投标截止时间前递交以介质（U盘）存储的“备份投标文件”（一份）；</w:t>
            </w:r>
          </w:p>
          <w:p>
            <w:pPr>
              <w:snapToGrid w:val="0"/>
              <w:spacing w:line="400" w:lineRule="exact"/>
              <w:textAlignment w:val="bottom"/>
              <w:rPr>
                <w:rStyle w:val="43"/>
                <w:rFonts w:ascii="宋体" w:hAnsi="宋体"/>
                <w:sz w:val="21"/>
                <w:szCs w:val="21"/>
              </w:rPr>
            </w:pPr>
            <w:r>
              <w:rPr>
                <w:rStyle w:val="43"/>
                <w:rFonts w:ascii="宋体" w:hAnsi="宋体"/>
                <w:sz w:val="21"/>
                <w:szCs w:val="21"/>
              </w:rPr>
              <w:t>（2）“备份投标文件”应当密封包装，并在包装上标注投标项目名称、投标单位名称并加盖公章。没有密封包装或者逾期邮寄送达至投标地点的“备份投标文件”将不予接收；</w:t>
            </w:r>
          </w:p>
          <w:p>
            <w:pPr>
              <w:snapToGrid w:val="0"/>
              <w:spacing w:line="400" w:lineRule="exact"/>
              <w:textAlignment w:val="bottom"/>
              <w:rPr>
                <w:rStyle w:val="43"/>
                <w:rFonts w:ascii="宋体" w:hAnsi="宋体"/>
                <w:sz w:val="21"/>
                <w:szCs w:val="21"/>
              </w:rPr>
            </w:pPr>
            <w:r>
              <w:rPr>
                <w:rStyle w:val="43"/>
                <w:rFonts w:ascii="宋体" w:hAnsi="宋体"/>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14</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电子加密投标文件的解密和异常情况处理</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（1）开标后，采购组织机构将向各投标供应商发出“电子加密投标文件”的解密通知，各投标供应商代表应当在接到解密通知后30分钟内自行完成“电子加密投标文件”的在线解密。</w:t>
            </w:r>
          </w:p>
          <w:p>
            <w:pPr>
              <w:snapToGrid w:val="0"/>
              <w:spacing w:line="400" w:lineRule="exact"/>
              <w:textAlignment w:val="bottom"/>
              <w:rPr>
                <w:rStyle w:val="43"/>
                <w:rFonts w:ascii="宋体" w:hAnsi="宋体"/>
                <w:sz w:val="21"/>
                <w:szCs w:val="21"/>
              </w:rPr>
            </w:pPr>
            <w:r>
              <w:rPr>
                <w:rStyle w:val="43"/>
                <w:rFonts w:ascii="宋体" w:hAnsi="宋体"/>
                <w:sz w:val="2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400" w:lineRule="exact"/>
              <w:textAlignment w:val="bottom"/>
              <w:rPr>
                <w:rStyle w:val="43"/>
                <w:rFonts w:ascii="宋体" w:hAnsi="宋体"/>
                <w:sz w:val="21"/>
                <w:szCs w:val="21"/>
              </w:rPr>
            </w:pPr>
            <w:r>
              <w:rPr>
                <w:rStyle w:val="43"/>
                <w:rFonts w:ascii="宋体" w:hAnsi="宋体"/>
                <w:sz w:val="21"/>
                <w:szCs w:val="21"/>
              </w:rPr>
              <w:t>（3）投标截止时间前，投标供应商仅递交了“备份投标文件”而未将电子加密投标文件上传至“政府采购云平台”的，投标无效。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15</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投标有效期</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投标截止时间后90天。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hint="eastAsia" w:ascii="宋体" w:hAnsi="宋体"/>
                <w:sz w:val="21"/>
                <w:szCs w:val="21"/>
              </w:rPr>
              <w:t>16</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Fonts w:ascii="宋体" w:hAnsi="宋体" w:cs="宋体"/>
                <w:b/>
                <w:bCs/>
                <w:sz w:val="21"/>
                <w:szCs w:val="21"/>
              </w:rPr>
            </w:pPr>
            <w:r>
              <w:rPr>
                <w:rFonts w:hint="eastAsia" w:ascii="宋体" w:hAnsi="宋体" w:cs="宋体"/>
                <w:b/>
                <w:bCs/>
                <w:sz w:val="21"/>
                <w:szCs w:val="21"/>
              </w:rPr>
              <w:t>放弃投标函</w:t>
            </w:r>
          </w:p>
        </w:tc>
        <w:tc>
          <w:tcPr>
            <w:tcW w:w="6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textAlignment w:val="bottom"/>
              <w:rPr>
                <w:rFonts w:ascii="宋体" w:hAnsi="宋体" w:cs="宋体"/>
                <w:b/>
                <w:bCs/>
                <w:sz w:val="21"/>
                <w:szCs w:val="21"/>
              </w:rPr>
            </w:pPr>
            <w:r>
              <w:rPr>
                <w:rFonts w:hint="eastAsia" w:ascii="宋体" w:hAnsi="宋体" w:cs="宋体"/>
                <w:b/>
                <w:bCs/>
                <w:sz w:val="21"/>
                <w:szCs w:val="21"/>
              </w:rPr>
              <w:t>采购文件获取后不参加投标的供应商，须在投标截止时间前三个工作日向采购代理机构提供书面说明并加盖公章。</w:t>
            </w:r>
            <w:r>
              <w:rPr>
                <w:rFonts w:hint="eastAsia" w:ascii="宋体" w:hAnsi="宋体" w:cs="宋体"/>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hint="eastAsia" w:ascii="宋体" w:hAnsi="宋体"/>
                <w:sz w:val="21"/>
                <w:szCs w:val="21"/>
              </w:rPr>
              <w:t>17</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Style w:val="43"/>
                <w:rFonts w:ascii="宋体" w:hAnsi="宋体" w:cs="宋体"/>
                <w:b/>
                <w:bCs/>
                <w:sz w:val="21"/>
                <w:szCs w:val="21"/>
              </w:rPr>
            </w:pPr>
            <w:r>
              <w:rPr>
                <w:rFonts w:hint="eastAsia" w:ascii="宋体" w:hAnsi="宋体" w:cs="宋体"/>
                <w:b/>
                <w:bCs/>
                <w:sz w:val="21"/>
                <w:szCs w:val="21"/>
              </w:rPr>
              <w:t>履约保证金</w:t>
            </w:r>
          </w:p>
        </w:tc>
        <w:tc>
          <w:tcPr>
            <w:tcW w:w="6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textAlignment w:val="bottom"/>
              <w:rPr>
                <w:rStyle w:val="43"/>
                <w:rFonts w:ascii="宋体" w:hAnsi="宋体" w:cs="宋体"/>
                <w:b/>
                <w:bCs/>
                <w:sz w:val="21"/>
                <w:szCs w:val="21"/>
              </w:rPr>
            </w:pPr>
            <w:r>
              <w:rPr>
                <w:rFonts w:hint="eastAsia" w:ascii="宋体" w:hAnsi="宋体" w:cs="宋体"/>
                <w:b/>
                <w:bCs/>
                <w:sz w:val="21"/>
                <w:szCs w:val="21"/>
              </w:rPr>
              <w:t>中标供应商须按照年合同价的1%向采购人一次性缴纳履约保证金。履约保证金在承包期满后，并经采购人考评合格且中标人办理完移交给采购人手续后一个月内无息退还。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hint="eastAsia" w:ascii="宋体" w:hAnsi="宋体"/>
                <w:sz w:val="21"/>
                <w:szCs w:val="21"/>
              </w:rPr>
              <w:t>18</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Fonts w:hint="eastAsia" w:ascii="宋体" w:hAnsi="宋体" w:cs="宋体"/>
                <w:b/>
                <w:bCs/>
                <w:sz w:val="21"/>
                <w:szCs w:val="21"/>
              </w:rPr>
              <w:t>付款方式</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b/>
                <w:bCs/>
                <w:color w:val="FF0000"/>
                <w:sz w:val="21"/>
                <w:szCs w:val="21"/>
              </w:rPr>
            </w:pPr>
            <w:r>
              <w:rPr>
                <w:rStyle w:val="43"/>
                <w:rFonts w:hint="eastAsia" w:ascii="宋体" w:hAnsi="宋体"/>
                <w:b/>
                <w:bCs/>
                <w:color w:val="FF0000"/>
                <w:sz w:val="21"/>
                <w:szCs w:val="21"/>
              </w:rPr>
              <w:t>合同签订后支付合同价款（不含运营费）的40%，项目初验后10个工作日内付至合同价款（不含运营费）的80%，项目验收合格后10个工作日内付至合同价款（不含运营费）的95%，项目免费运维期满1年后10个工作日内付清余款。</w:t>
            </w:r>
          </w:p>
          <w:p>
            <w:pPr>
              <w:snapToGrid w:val="0"/>
              <w:spacing w:line="400" w:lineRule="exact"/>
              <w:textAlignment w:val="bottom"/>
              <w:rPr>
                <w:rStyle w:val="43"/>
                <w:rFonts w:ascii="宋体" w:hAnsi="宋体"/>
                <w:sz w:val="21"/>
                <w:szCs w:val="21"/>
              </w:rPr>
            </w:pPr>
            <w:r>
              <w:rPr>
                <w:rStyle w:val="43"/>
                <w:rFonts w:hint="eastAsia" w:ascii="宋体" w:hAnsi="宋体"/>
                <w:b/>
                <w:bCs/>
                <w:color w:val="FF0000"/>
                <w:sz w:val="21"/>
                <w:szCs w:val="21"/>
              </w:rPr>
              <w:t>运营费在运营满一年后10个工作日内付清。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hint="eastAsia" w:ascii="宋体" w:hAnsi="宋体"/>
                <w:sz w:val="21"/>
                <w:szCs w:val="21"/>
              </w:rPr>
              <w:t>19</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开标时间和地点</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sz w:val="21"/>
                <w:szCs w:val="21"/>
              </w:rPr>
            </w:pPr>
            <w:r>
              <w:rPr>
                <w:rStyle w:val="43"/>
                <w:rFonts w:ascii="宋体" w:hAnsi="宋体"/>
                <w:sz w:val="21"/>
                <w:szCs w:val="21"/>
              </w:rPr>
              <w:t>按“采购公告”规定。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3"/>
                <w:rFonts w:ascii="宋体" w:hAnsi="宋体"/>
                <w:kern w:val="0"/>
                <w:sz w:val="21"/>
                <w:szCs w:val="21"/>
              </w:rPr>
            </w:pPr>
            <w:r>
              <w:rPr>
                <w:rStyle w:val="43"/>
                <w:rFonts w:hint="eastAsia" w:ascii="宋体" w:hAnsi="宋体"/>
                <w:kern w:val="0"/>
                <w:sz w:val="21"/>
                <w:szCs w:val="21"/>
              </w:rPr>
              <w:t>20</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3"/>
                <w:rFonts w:ascii="宋体" w:hAnsi="宋体"/>
                <w:sz w:val="21"/>
                <w:szCs w:val="21"/>
              </w:rPr>
            </w:pPr>
            <w:r>
              <w:rPr>
                <w:rStyle w:val="43"/>
                <w:rFonts w:ascii="宋体" w:hAnsi="宋体" w:cs="宋体"/>
                <w:bCs/>
                <w:sz w:val="21"/>
                <w:szCs w:val="21"/>
              </w:rPr>
              <w:t>采购标的对应的中小企业划分标准所属行业</w:t>
            </w:r>
          </w:p>
        </w:tc>
        <w:tc>
          <w:tcPr>
            <w:tcW w:w="688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43"/>
                <w:rFonts w:ascii="宋体" w:hAnsi="宋体"/>
                <w:sz w:val="21"/>
                <w:szCs w:val="21"/>
              </w:rPr>
            </w:pPr>
            <w:r>
              <w:rPr>
                <w:rStyle w:val="43"/>
                <w:rFonts w:ascii="宋体" w:hAnsi="宋体"/>
                <w:sz w:val="21"/>
                <w:szCs w:val="21"/>
              </w:rPr>
              <w:t>根据《工业和信息化部、国家统计局、国家发展和改革委员会、财政部关于印发中小企业划型标准规定的通知》（工信部联企业[2011]300号）规定（有最新中小企业划型标准的以更新后的为准）：</w:t>
            </w:r>
          </w:p>
          <w:p>
            <w:pPr>
              <w:spacing w:line="400" w:lineRule="exact"/>
              <w:rPr>
                <w:rStyle w:val="43"/>
                <w:rFonts w:ascii="宋体" w:hAnsi="宋体"/>
                <w:sz w:val="21"/>
                <w:szCs w:val="21"/>
                <w:u w:val="single"/>
              </w:rPr>
            </w:pPr>
            <w:r>
              <w:rPr>
                <w:rStyle w:val="43"/>
                <w:rFonts w:ascii="宋体" w:hAnsi="宋体"/>
                <w:sz w:val="21"/>
                <w:szCs w:val="21"/>
              </w:rPr>
              <w:t>（1）标的：</w:t>
            </w:r>
            <w:r>
              <w:rPr>
                <w:rStyle w:val="43"/>
                <w:rFonts w:ascii="宋体" w:hAnsi="宋体"/>
                <w:sz w:val="21"/>
                <w:szCs w:val="21"/>
                <w:u w:val="single"/>
              </w:rPr>
              <w:t xml:space="preserve"> </w:t>
            </w:r>
            <w:r>
              <w:rPr>
                <w:rStyle w:val="43"/>
                <w:rFonts w:hint="eastAsia" w:ascii="宋体" w:hAnsi="宋体"/>
                <w:sz w:val="21"/>
                <w:szCs w:val="21"/>
                <w:u w:val="single"/>
                <w:lang w:eastAsia="zh-CN"/>
              </w:rPr>
              <w:t>嵊州智能厨电产业大脑建设项目（一期）</w:t>
            </w:r>
            <w:r>
              <w:rPr>
                <w:rStyle w:val="43"/>
                <w:rFonts w:ascii="宋体" w:hAnsi="宋体"/>
                <w:sz w:val="21"/>
                <w:szCs w:val="21"/>
                <w:u w:val="single"/>
              </w:rPr>
              <w:t xml:space="preserve"> ，</w:t>
            </w:r>
            <w:r>
              <w:rPr>
                <w:rStyle w:val="43"/>
                <w:rFonts w:ascii="宋体" w:hAnsi="宋体"/>
                <w:sz w:val="21"/>
                <w:szCs w:val="21"/>
              </w:rPr>
              <w:t>属于</w:t>
            </w:r>
            <w:r>
              <w:rPr>
                <w:rFonts w:hint="eastAsia" w:ascii="宋体" w:hAnsi="宋体" w:cs="宋体"/>
                <w:sz w:val="21"/>
                <w:szCs w:val="21"/>
                <w:u w:val="single"/>
              </w:rPr>
              <w:t>软件和信息技术服务业</w:t>
            </w:r>
            <w:r>
              <w:rPr>
                <w:rStyle w:val="43"/>
                <w:rFonts w:ascii="宋体" w:hAnsi="宋体"/>
                <w:sz w:val="21"/>
                <w:szCs w:val="21"/>
                <w:u w:val="single"/>
              </w:rPr>
              <w:t>；</w:t>
            </w:r>
          </w:p>
          <w:p>
            <w:pPr>
              <w:spacing w:line="400" w:lineRule="exact"/>
              <w:rPr>
                <w:rStyle w:val="43"/>
                <w:rFonts w:ascii="宋体" w:hAnsi="宋体"/>
                <w:sz w:val="21"/>
                <w:szCs w:val="21"/>
              </w:rPr>
            </w:pPr>
            <w:r>
              <w:rPr>
                <w:rStyle w:val="43"/>
                <w:rFonts w:ascii="宋体" w:hAnsi="宋体"/>
                <w:sz w:val="21"/>
                <w:szCs w:val="21"/>
              </w:rPr>
              <w:t>说明：声明函中所列行业与采购文件所明确的行业不一致但不改变划型结果情形的，不影响声明有效性，也不作为虚假资料情形认定。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3"/>
                <w:rFonts w:ascii="宋体" w:hAnsi="宋体"/>
                <w:kern w:val="0"/>
                <w:sz w:val="21"/>
                <w:szCs w:val="21"/>
              </w:rPr>
            </w:pPr>
            <w:r>
              <w:rPr>
                <w:rStyle w:val="43"/>
                <w:rFonts w:hint="eastAsia" w:ascii="宋体" w:hAnsi="宋体"/>
                <w:kern w:val="0"/>
                <w:sz w:val="21"/>
                <w:szCs w:val="21"/>
              </w:rPr>
              <w:t>21</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支持中小企业财政扶持政策</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20" w:firstLineChars="200"/>
              <w:textAlignment w:val="bottom"/>
              <w:rPr>
                <w:rStyle w:val="43"/>
                <w:rFonts w:ascii="宋体" w:hAnsi="宋体"/>
                <w:sz w:val="21"/>
                <w:szCs w:val="21"/>
              </w:rPr>
            </w:pPr>
            <w:r>
              <w:rPr>
                <w:rStyle w:val="43"/>
                <w:rFonts w:ascii="宋体" w:hAnsi="宋体"/>
                <w:sz w:val="21"/>
                <w:szCs w:val="21"/>
              </w:rPr>
              <w:t>小微企业是指在中华人民共和国境内依法设立，依据国务院批准的中小企业划分标准确定的小型企业和微型企业，但与大企业的负责人为同一人，或者与大企业存在直接控股、管理关系的除外。</w:t>
            </w:r>
          </w:p>
          <w:p>
            <w:pPr>
              <w:snapToGrid w:val="0"/>
              <w:spacing w:line="400" w:lineRule="exact"/>
              <w:ind w:firstLine="420" w:firstLineChars="200"/>
              <w:textAlignment w:val="bottom"/>
              <w:rPr>
                <w:rStyle w:val="43"/>
                <w:rFonts w:ascii="宋体" w:hAnsi="宋体"/>
                <w:sz w:val="21"/>
                <w:szCs w:val="21"/>
              </w:rPr>
            </w:pPr>
            <w:r>
              <w:rPr>
                <w:rStyle w:val="43"/>
                <w:rFonts w:ascii="宋体" w:hAnsi="宋体"/>
                <w:sz w:val="21"/>
                <w:szCs w:val="21"/>
              </w:rPr>
              <w:t>符合中小企业划分标准的个体工商户，在政府采购活动中视同中小企业。</w:t>
            </w:r>
          </w:p>
          <w:p>
            <w:pPr>
              <w:snapToGrid w:val="0"/>
              <w:spacing w:line="400" w:lineRule="exact"/>
              <w:ind w:firstLine="420" w:firstLineChars="200"/>
              <w:textAlignment w:val="bottom"/>
              <w:rPr>
                <w:rStyle w:val="43"/>
                <w:rFonts w:ascii="宋体" w:hAnsi="宋体"/>
                <w:sz w:val="21"/>
                <w:szCs w:val="21"/>
              </w:rPr>
            </w:pPr>
            <w:r>
              <w:rPr>
                <w:rStyle w:val="43"/>
                <w:rFonts w:ascii="宋体" w:hAnsi="宋体"/>
                <w:sz w:val="21"/>
                <w:szCs w:val="21"/>
              </w:rPr>
              <w:t>在货物采购项目中，货物由小微企业制造，即货物由小微企业生产且使用该小微企业商号或者注册商标。供应商提供的货物既有中小企业制造货物，也有大型企业制造货物的，不享受中小企业扶持政策。</w:t>
            </w:r>
          </w:p>
          <w:p>
            <w:pPr>
              <w:snapToGrid w:val="0"/>
              <w:spacing w:line="400" w:lineRule="exact"/>
              <w:ind w:firstLine="420" w:firstLineChars="200"/>
              <w:textAlignment w:val="bottom"/>
              <w:rPr>
                <w:rStyle w:val="43"/>
                <w:rFonts w:ascii="宋体" w:hAnsi="宋体"/>
                <w:sz w:val="21"/>
                <w:szCs w:val="21"/>
              </w:rPr>
            </w:pPr>
            <w:r>
              <w:rPr>
                <w:rStyle w:val="43"/>
                <w:rFonts w:ascii="宋体" w:hAnsi="宋体"/>
                <w:sz w:val="21"/>
                <w:szCs w:val="21"/>
              </w:rPr>
              <w:t>在服务采购项目中，服务由小微企业承接，即提供服务的人员为小微企业依照《中华人民共和国劳动合同法》订立劳动合同的从业人员。</w:t>
            </w:r>
          </w:p>
          <w:p>
            <w:pPr>
              <w:snapToGrid w:val="0"/>
              <w:spacing w:line="400" w:lineRule="exact"/>
              <w:ind w:firstLine="420" w:firstLineChars="200"/>
              <w:textAlignment w:val="bottom"/>
              <w:rPr>
                <w:rStyle w:val="43"/>
                <w:rFonts w:ascii="宋体" w:hAnsi="宋体"/>
                <w:sz w:val="21"/>
                <w:szCs w:val="21"/>
              </w:rPr>
            </w:pPr>
            <w:r>
              <w:rPr>
                <w:rStyle w:val="43"/>
                <w:rFonts w:ascii="宋体" w:hAnsi="宋体"/>
                <w:sz w:val="21"/>
                <w:szCs w:val="21"/>
              </w:rPr>
              <w:t>小微企业应按照采购文件附件1</w:t>
            </w:r>
            <w:r>
              <w:rPr>
                <w:rStyle w:val="43"/>
                <w:rFonts w:hint="eastAsia" w:ascii="宋体" w:hAnsi="宋体"/>
                <w:sz w:val="21"/>
                <w:szCs w:val="21"/>
              </w:rPr>
              <w:t>9</w:t>
            </w:r>
            <w:r>
              <w:rPr>
                <w:rStyle w:val="43"/>
                <w:rFonts w:ascii="宋体" w:hAnsi="宋体"/>
                <w:sz w:val="21"/>
                <w:szCs w:val="21"/>
              </w:rPr>
              <w:t>要求提供《中小企业声明函》。</w:t>
            </w:r>
          </w:p>
          <w:p>
            <w:pPr>
              <w:snapToGrid w:val="0"/>
              <w:spacing w:line="400" w:lineRule="exact"/>
              <w:ind w:firstLine="420" w:firstLineChars="200"/>
              <w:textAlignment w:val="bottom"/>
              <w:rPr>
                <w:rStyle w:val="43"/>
                <w:rFonts w:ascii="宋体" w:hAnsi="宋体"/>
                <w:sz w:val="21"/>
                <w:szCs w:val="21"/>
              </w:rPr>
            </w:pPr>
            <w:r>
              <w:rPr>
                <w:rStyle w:val="43"/>
                <w:rFonts w:ascii="宋体" w:hAnsi="宋体"/>
                <w:sz w:val="21"/>
                <w:szCs w:val="21"/>
              </w:rPr>
              <w:t>对于经主管预算单位统筹后未预留份额专门面向中小企业采购的采购项目，以及预留份额项目中的非预留部分采购包，采购人、采购代理机构将对符合规定的小微企业报价给予</w:t>
            </w:r>
            <w:r>
              <w:rPr>
                <w:rStyle w:val="43"/>
                <w:rFonts w:hint="eastAsia" w:ascii="宋体" w:hAnsi="宋体"/>
                <w:sz w:val="21"/>
                <w:szCs w:val="21"/>
                <w:lang w:val="en-US" w:eastAsia="zh-CN"/>
              </w:rPr>
              <w:t>1</w:t>
            </w:r>
            <w:r>
              <w:rPr>
                <w:rStyle w:val="43"/>
                <w:rFonts w:ascii="宋体" w:hAnsi="宋体"/>
                <w:sz w:val="21"/>
                <w:szCs w:val="21"/>
              </w:rPr>
              <w:t>0%的扣除，用扣除后的价格参加评审。</w:t>
            </w:r>
          </w:p>
          <w:p>
            <w:pPr>
              <w:snapToGrid w:val="0"/>
              <w:spacing w:line="400" w:lineRule="exact"/>
              <w:ind w:firstLine="420" w:firstLineChars="200"/>
              <w:textAlignment w:val="bottom"/>
              <w:rPr>
                <w:rStyle w:val="43"/>
                <w:rFonts w:ascii="宋体" w:hAnsi="宋体"/>
                <w:sz w:val="21"/>
                <w:szCs w:val="21"/>
              </w:rPr>
            </w:pPr>
            <w:r>
              <w:rPr>
                <w:rStyle w:val="43"/>
                <w:rFonts w:ascii="宋体" w:hAnsi="宋体"/>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400" w:lineRule="exact"/>
              <w:ind w:firstLine="420" w:firstLineChars="200"/>
              <w:textAlignment w:val="bottom"/>
              <w:rPr>
                <w:rStyle w:val="43"/>
                <w:rFonts w:ascii="宋体" w:hAnsi="宋体"/>
                <w:sz w:val="21"/>
                <w:szCs w:val="21"/>
              </w:rPr>
            </w:pPr>
            <w:r>
              <w:rPr>
                <w:rStyle w:val="43"/>
                <w:rFonts w:ascii="宋体" w:hAnsi="宋体"/>
                <w:sz w:val="21"/>
                <w:szCs w:val="21"/>
              </w:rPr>
              <w:t>以联合体形式参加政府采购活动， 联合体各方均为中小企业的，联合体视同中小企业。其中，联合体各方均为小微企业的，联合体视同小微企业。</w:t>
            </w:r>
          </w:p>
          <w:p>
            <w:pPr>
              <w:snapToGrid w:val="0"/>
              <w:spacing w:line="400" w:lineRule="exact"/>
              <w:ind w:firstLine="420" w:firstLineChars="200"/>
              <w:textAlignment w:val="bottom"/>
              <w:rPr>
                <w:rStyle w:val="43"/>
                <w:rFonts w:ascii="宋体" w:hAnsi="宋体"/>
                <w:sz w:val="21"/>
                <w:szCs w:val="21"/>
              </w:rPr>
            </w:pPr>
            <w:r>
              <w:rPr>
                <w:rStyle w:val="43"/>
                <w:rFonts w:ascii="宋体" w:hAnsi="宋体"/>
                <w:sz w:val="21"/>
                <w:szCs w:val="21"/>
              </w:rPr>
              <w:t>符合《关于促进残疾人就业政府采购政策的通知》（财库〔2017〕141号）规定的条件并提供《残疾人福利性单位声明函》（附件</w:t>
            </w:r>
            <w:r>
              <w:rPr>
                <w:rStyle w:val="43"/>
                <w:rFonts w:hint="eastAsia" w:ascii="宋体" w:hAnsi="宋体"/>
                <w:sz w:val="21"/>
                <w:szCs w:val="21"/>
              </w:rPr>
              <w:t>20</w:t>
            </w:r>
            <w:r>
              <w:rPr>
                <w:rStyle w:val="43"/>
                <w:rFonts w:ascii="宋体" w:hAnsi="宋体"/>
                <w:sz w:val="21"/>
                <w:szCs w:val="21"/>
              </w:rPr>
              <w:t>）的残疾人福利性单位视同小微企业；</w:t>
            </w:r>
          </w:p>
          <w:p>
            <w:pPr>
              <w:snapToGrid w:val="0"/>
              <w:spacing w:line="400" w:lineRule="exact"/>
              <w:ind w:firstLine="420" w:firstLineChars="200"/>
              <w:textAlignment w:val="bottom"/>
              <w:rPr>
                <w:rStyle w:val="43"/>
                <w:rFonts w:ascii="宋体" w:hAnsi="宋体"/>
                <w:sz w:val="21"/>
                <w:szCs w:val="21"/>
              </w:rPr>
            </w:pPr>
            <w:r>
              <w:rPr>
                <w:rStyle w:val="43"/>
                <w:rFonts w:ascii="宋体" w:hAnsi="宋体"/>
                <w:sz w:val="21"/>
                <w:szCs w:val="21"/>
              </w:rPr>
              <w:t>符合《关于政府采购支持监狱企业发展有关问题的通知》（财库[2014]68号）规定的监狱企业并提供由省级以上监狱管理局、戒毒管理局（含新疆生产建设兵团）出具的属于监狱企业证明文件的，视同为小微企业。</w:t>
            </w:r>
          </w:p>
          <w:p>
            <w:pPr>
              <w:snapToGrid w:val="0"/>
              <w:spacing w:line="400" w:lineRule="exact"/>
              <w:ind w:firstLine="420" w:firstLineChars="200"/>
              <w:textAlignment w:val="bottom"/>
              <w:rPr>
                <w:rStyle w:val="43"/>
                <w:rFonts w:ascii="宋体" w:hAnsi="宋体"/>
                <w:sz w:val="21"/>
                <w:szCs w:val="21"/>
              </w:rPr>
            </w:pPr>
            <w:r>
              <w:rPr>
                <w:rStyle w:val="43"/>
                <w:rFonts w:ascii="宋体" w:hAnsi="宋体"/>
                <w:sz w:val="21"/>
                <w:szCs w:val="21"/>
              </w:rPr>
              <w:t>中小企业享受扶持政策获得政府采购合同的，小微企业不得将合同分包给大中型企业，中型企业不得将合同分包给大型企业。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3"/>
                <w:rFonts w:ascii="宋体" w:hAnsi="宋体"/>
                <w:kern w:val="0"/>
                <w:sz w:val="21"/>
                <w:szCs w:val="21"/>
              </w:rPr>
            </w:pPr>
            <w:r>
              <w:rPr>
                <w:rStyle w:val="43"/>
                <w:rFonts w:hint="eastAsia" w:ascii="宋体" w:hAnsi="宋体"/>
                <w:kern w:val="0"/>
                <w:sz w:val="21"/>
                <w:szCs w:val="21"/>
              </w:rPr>
              <w:t>22</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Style w:val="43"/>
                <w:rFonts w:ascii="宋体" w:hAnsi="宋体"/>
                <w:sz w:val="21"/>
                <w:szCs w:val="21"/>
              </w:rPr>
            </w:pPr>
            <w:r>
              <w:rPr>
                <w:rFonts w:hint="eastAsia" w:ascii="宋体" w:hAnsi="宋体" w:cs="宋体"/>
                <w:sz w:val="21"/>
                <w:szCs w:val="21"/>
              </w:rPr>
              <w:t>金融支持</w:t>
            </w:r>
          </w:p>
        </w:tc>
        <w:tc>
          <w:tcPr>
            <w:tcW w:w="6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textAlignment w:val="bottom"/>
              <w:rPr>
                <w:rStyle w:val="43"/>
                <w:rFonts w:ascii="宋体" w:hAnsi="宋体"/>
                <w:sz w:val="21"/>
                <w:szCs w:val="21"/>
              </w:rPr>
            </w:pPr>
            <w:r>
              <w:rPr>
                <w:rFonts w:hint="eastAsia" w:ascii="宋体" w:hAnsi="宋体" w:cs="宋体"/>
                <w:sz w:val="21"/>
                <w:szCs w:val="21"/>
              </w:rPr>
              <w:t>为支持和促进中小企业发展，进一步发挥政府采购政策功能，浙江省财政厅出台浙财采监【2022】3号文件，企业若有融资意向，可登陆政采云平台融资服务（</w:t>
            </w:r>
            <w:r>
              <w:fldChar w:fldCharType="begin"/>
            </w:r>
            <w:r>
              <w:instrText xml:space="preserve"> HYPERLINK "https://jinrong.zcygov.en/finance-service/%23/home" </w:instrText>
            </w:r>
            <w:r>
              <w:fldChar w:fldCharType="separate"/>
            </w:r>
            <w:r>
              <w:rPr>
                <w:rFonts w:hint="eastAsia" w:ascii="宋体" w:hAnsi="宋体" w:cs="宋体"/>
                <w:sz w:val="21"/>
                <w:szCs w:val="21"/>
              </w:rPr>
              <w:t>https://jinrong.zcygov.en/finance-service/#/home</w:t>
            </w:r>
            <w:r>
              <w:rPr>
                <w:rFonts w:hint="eastAsia" w:ascii="宋体" w:hAnsi="宋体" w:cs="宋体"/>
                <w:sz w:val="21"/>
                <w:szCs w:val="21"/>
              </w:rPr>
              <w:fldChar w:fldCharType="end"/>
            </w:r>
            <w:r>
              <w:rPr>
                <w:rFonts w:hint="eastAsia" w:ascii="宋体" w:hAnsi="宋体" w:cs="宋体"/>
                <w:sz w:val="21"/>
                <w:szCs w:val="21"/>
              </w:rPr>
              <w:t>），查看相应融资政策文件及各相关银行服务方案。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3"/>
                <w:rFonts w:ascii="宋体" w:hAnsi="宋体"/>
                <w:kern w:val="0"/>
                <w:sz w:val="21"/>
                <w:szCs w:val="21"/>
              </w:rPr>
            </w:pPr>
            <w:r>
              <w:rPr>
                <w:rStyle w:val="43"/>
                <w:rFonts w:hint="eastAsia" w:ascii="宋体" w:hAnsi="宋体"/>
                <w:kern w:val="0"/>
                <w:sz w:val="21"/>
                <w:szCs w:val="21"/>
              </w:rPr>
              <w:t>23</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节能产品、环境标志产品相关政策</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cs="宋体"/>
                <w:b/>
                <w:bCs/>
                <w:sz w:val="21"/>
                <w:szCs w:val="21"/>
              </w:rPr>
            </w:pPr>
            <w:r>
              <w:rPr>
                <w:rStyle w:val="43"/>
                <w:rFonts w:ascii="宋体" w:hAnsi="宋体" w:cs="宋体"/>
                <w:b/>
                <w:bCs/>
                <w:sz w:val="21"/>
                <w:szCs w:val="21"/>
              </w:rPr>
              <w:t>节能产品、环境标志产品的强制采购政策：</w:t>
            </w:r>
          </w:p>
          <w:p>
            <w:pPr>
              <w:snapToGrid w:val="0"/>
              <w:spacing w:line="400" w:lineRule="exact"/>
              <w:ind w:firstLine="420" w:firstLineChars="200"/>
              <w:textAlignment w:val="bottom"/>
              <w:rPr>
                <w:rStyle w:val="43"/>
                <w:rFonts w:ascii="宋体" w:hAnsi="宋体"/>
                <w:sz w:val="21"/>
                <w:szCs w:val="21"/>
              </w:rPr>
            </w:pPr>
            <w:r>
              <w:rPr>
                <w:rStyle w:val="43"/>
                <w:rFonts w:ascii="宋体" w:hAnsi="宋体"/>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3"/>
                <w:rFonts w:ascii="宋体" w:hAnsi="宋体"/>
                <w:kern w:val="0"/>
                <w:sz w:val="21"/>
                <w:szCs w:val="21"/>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3"/>
                <w:rFonts w:ascii="宋体" w:hAnsi="宋体" w:cs="宋体"/>
                <w:b/>
                <w:bCs/>
                <w:sz w:val="21"/>
                <w:szCs w:val="21"/>
              </w:rPr>
            </w:pPr>
            <w:r>
              <w:rPr>
                <w:rStyle w:val="43"/>
                <w:rFonts w:ascii="宋体" w:hAnsi="宋体" w:cs="宋体"/>
                <w:b/>
                <w:bCs/>
                <w:sz w:val="21"/>
                <w:szCs w:val="21"/>
              </w:rPr>
              <w:t>节能产品、环境标志产品的优先采购政策：</w:t>
            </w:r>
          </w:p>
          <w:p>
            <w:pPr>
              <w:snapToGrid w:val="0"/>
              <w:spacing w:line="400" w:lineRule="exact"/>
              <w:ind w:firstLine="420" w:firstLineChars="200"/>
              <w:textAlignment w:val="bottom"/>
              <w:rPr>
                <w:rStyle w:val="43"/>
                <w:rFonts w:ascii="宋体" w:hAnsi="宋体"/>
                <w:sz w:val="21"/>
                <w:szCs w:val="21"/>
              </w:rPr>
            </w:pPr>
            <w:r>
              <w:rPr>
                <w:rStyle w:val="43"/>
                <w:rFonts w:ascii="宋体" w:hAnsi="宋体"/>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负责无效。（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hint="eastAsia" w:ascii="宋体" w:hAnsi="宋体"/>
                <w:sz w:val="21"/>
                <w:szCs w:val="21"/>
              </w:rPr>
              <w:t>24</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b/>
                <w:sz w:val="21"/>
                <w:szCs w:val="21"/>
              </w:rPr>
              <w:t>投标人信用信息事项</w:t>
            </w: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43"/>
                <w:rFonts w:ascii="宋体" w:hAnsi="宋体"/>
                <w:b/>
                <w:sz w:val="21"/>
                <w:szCs w:val="21"/>
              </w:rPr>
            </w:pPr>
            <w:r>
              <w:rPr>
                <w:rStyle w:val="43"/>
                <w:rFonts w:ascii="宋体" w:hAnsi="宋体"/>
                <w:b/>
                <w:sz w:val="21"/>
                <w:szCs w:val="21"/>
              </w:rPr>
              <w:t>信用信息查询渠道及截止时间：</w:t>
            </w:r>
            <w:r>
              <w:rPr>
                <w:rStyle w:val="43"/>
                <w:rFonts w:ascii="宋体" w:hAnsi="宋体"/>
                <w:sz w:val="21"/>
                <w:szCs w:val="21"/>
              </w:rPr>
              <w:t>项目评审组织人员将通过“信用中国”网站(www.creditchina.gov.cn)、中国政府采购网(www.ccgp.gov.cn)渠道查询投标人</w:t>
            </w:r>
            <w:r>
              <w:rPr>
                <w:rStyle w:val="43"/>
                <w:rFonts w:ascii="宋体" w:hAnsi="宋体"/>
                <w:b/>
                <w:sz w:val="21"/>
                <w:szCs w:val="21"/>
              </w:rPr>
              <w:t>投标截止时间前</w:t>
            </w:r>
            <w:r>
              <w:rPr>
                <w:rStyle w:val="43"/>
                <w:rFonts w:ascii="宋体" w:hAnsi="宋体"/>
                <w:sz w:val="21"/>
                <w:szCs w:val="21"/>
              </w:rPr>
              <w:t>的信用记录。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43"/>
                <w:rFonts w:ascii="宋体" w:hAnsi="宋体"/>
                <w:b/>
                <w:sz w:val="21"/>
                <w:szCs w:val="21"/>
              </w:rPr>
            </w:pPr>
            <w:r>
              <w:rPr>
                <w:rStyle w:val="43"/>
                <w:rFonts w:ascii="宋体" w:hAnsi="宋体"/>
                <w:b/>
                <w:sz w:val="21"/>
                <w:szCs w:val="21"/>
              </w:rPr>
              <w:t>信用信息查询记录和证据留存的具体方式：</w:t>
            </w:r>
            <w:r>
              <w:rPr>
                <w:rStyle w:val="43"/>
                <w:rFonts w:ascii="宋体" w:hAnsi="宋体"/>
                <w:sz w:val="21"/>
                <w:szCs w:val="21"/>
              </w:rPr>
              <w:t>项目评审组织人员现场查询投标人的信用记录，查询结果经确认后与采购文件一起存档。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p>
        </w:tc>
        <w:tc>
          <w:tcPr>
            <w:tcW w:w="68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43"/>
                <w:rFonts w:ascii="宋体" w:hAnsi="宋体"/>
                <w:b/>
                <w:sz w:val="21"/>
                <w:szCs w:val="21"/>
              </w:rPr>
            </w:pPr>
            <w:r>
              <w:rPr>
                <w:rStyle w:val="43"/>
                <w:rFonts w:ascii="宋体" w:hAnsi="宋体"/>
                <w:b/>
                <w:sz w:val="21"/>
                <w:szCs w:val="21"/>
              </w:rPr>
              <w:t>信用信息的使用规则：</w:t>
            </w:r>
            <w:r>
              <w:rPr>
                <w:rStyle w:val="43"/>
                <w:rFonts w:ascii="宋体" w:hAnsi="宋体"/>
                <w:sz w:val="21"/>
                <w:szCs w:val="21"/>
              </w:rPr>
              <w:t>经查询列入失信被执行人名单、重大税收违法案件当事人名单、政府采购严重违法失信行为记录名单的投标人的投标文件将被拒绝。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hint="eastAsia" w:ascii="宋体" w:hAnsi="宋体"/>
                <w:sz w:val="21"/>
                <w:szCs w:val="21"/>
              </w:rPr>
              <w:t>25</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特别说明</w:t>
            </w:r>
          </w:p>
        </w:tc>
        <w:tc>
          <w:tcPr>
            <w:tcW w:w="6886" w:type="dxa"/>
            <w:tcBorders>
              <w:top w:val="single" w:color="000000" w:sz="4" w:space="0"/>
              <w:left w:val="single" w:color="000000" w:sz="4" w:space="0"/>
              <w:bottom w:val="single" w:color="000000" w:sz="4" w:space="0"/>
              <w:right w:val="single" w:color="000000" w:sz="4" w:space="0"/>
            </w:tcBorders>
            <w:vAlign w:val="center"/>
          </w:tcPr>
          <w:p>
            <w:pPr>
              <w:pStyle w:val="433"/>
              <w:snapToGrid w:val="0"/>
              <w:spacing w:line="400" w:lineRule="exact"/>
              <w:textAlignment w:val="bottom"/>
              <w:rPr>
                <w:rStyle w:val="43"/>
                <w:rFonts w:hAnsi="宋体"/>
                <w:color w:val="auto"/>
                <w:sz w:val="21"/>
                <w:szCs w:val="21"/>
              </w:rPr>
            </w:pPr>
            <w:r>
              <w:rPr>
                <w:rStyle w:val="43"/>
                <w:rFonts w:hAnsi="宋体"/>
                <w:color w:val="auto"/>
                <w:sz w:val="21"/>
                <w:szCs w:val="21"/>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hint="eastAsia" w:ascii="宋体" w:hAnsi="宋体"/>
                <w:sz w:val="21"/>
                <w:szCs w:val="21"/>
              </w:rPr>
              <w:t>26</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ascii="宋体" w:hAnsi="宋体"/>
                <w:sz w:val="21"/>
                <w:szCs w:val="21"/>
              </w:rPr>
              <w:t>有关费用</w:t>
            </w:r>
          </w:p>
        </w:tc>
        <w:tc>
          <w:tcPr>
            <w:tcW w:w="6886" w:type="dxa"/>
            <w:tcBorders>
              <w:top w:val="single" w:color="000000" w:sz="4" w:space="0"/>
              <w:left w:val="single" w:color="000000" w:sz="4" w:space="0"/>
              <w:bottom w:val="single" w:color="000000" w:sz="4" w:space="0"/>
              <w:right w:val="single" w:color="000000" w:sz="4" w:space="0"/>
            </w:tcBorders>
            <w:vAlign w:val="center"/>
          </w:tcPr>
          <w:p>
            <w:pPr>
              <w:pStyle w:val="433"/>
              <w:snapToGrid w:val="0"/>
              <w:spacing w:line="400" w:lineRule="exact"/>
              <w:textAlignment w:val="bottom"/>
              <w:rPr>
                <w:rStyle w:val="43"/>
                <w:rFonts w:hAnsi="宋体"/>
                <w:color w:val="auto"/>
                <w:sz w:val="21"/>
                <w:szCs w:val="21"/>
              </w:rPr>
            </w:pPr>
            <w:r>
              <w:rPr>
                <w:rStyle w:val="43"/>
                <w:rFonts w:hAnsi="宋体"/>
                <w:color w:val="auto"/>
                <w:sz w:val="21"/>
                <w:szCs w:val="21"/>
              </w:rPr>
              <w:t>中标人须向招标代理机构按如下标准和规定交纳中标服务费，请在投标报价中自行考虑：</w:t>
            </w:r>
          </w:p>
          <w:p>
            <w:pPr>
              <w:pStyle w:val="433"/>
              <w:snapToGrid w:val="0"/>
              <w:spacing w:line="400" w:lineRule="exact"/>
              <w:textAlignment w:val="bottom"/>
              <w:rPr>
                <w:rStyle w:val="43"/>
                <w:rFonts w:hAnsi="宋体"/>
                <w:color w:val="auto"/>
                <w:sz w:val="21"/>
                <w:szCs w:val="21"/>
              </w:rPr>
            </w:pPr>
            <w:r>
              <w:rPr>
                <w:rStyle w:val="43"/>
                <w:rFonts w:hAnsi="宋体"/>
                <w:color w:val="auto"/>
                <w:sz w:val="21"/>
                <w:szCs w:val="21"/>
              </w:rPr>
              <w:t>①参照《国家计委关于印发&lt;招标代理服务费管理暂行办法&gt;的通知》（计价格〔2002〕1980号）、〔2011〕534号的规定执行；</w:t>
            </w:r>
          </w:p>
          <w:p>
            <w:pPr>
              <w:pStyle w:val="433"/>
              <w:snapToGrid w:val="0"/>
              <w:spacing w:line="400" w:lineRule="exact"/>
              <w:textAlignment w:val="bottom"/>
              <w:rPr>
                <w:rStyle w:val="43"/>
                <w:rFonts w:hAnsi="宋体"/>
                <w:color w:val="auto"/>
                <w:sz w:val="21"/>
                <w:szCs w:val="21"/>
              </w:rPr>
            </w:pPr>
            <w:r>
              <w:rPr>
                <w:rStyle w:val="43"/>
                <w:rFonts w:hAnsi="宋体"/>
                <w:color w:val="auto"/>
                <w:sz w:val="21"/>
                <w:szCs w:val="21"/>
              </w:rPr>
              <w:t>②中标服务费的交纳方式：</w:t>
            </w:r>
          </w:p>
          <w:p>
            <w:pPr>
              <w:pStyle w:val="433"/>
              <w:snapToGrid w:val="0"/>
              <w:spacing w:line="400" w:lineRule="exact"/>
              <w:textAlignment w:val="bottom"/>
              <w:rPr>
                <w:rStyle w:val="43"/>
                <w:rFonts w:hAnsi="宋体"/>
                <w:color w:val="auto"/>
                <w:sz w:val="21"/>
                <w:szCs w:val="21"/>
              </w:rPr>
            </w:pPr>
            <w:r>
              <w:rPr>
                <w:rStyle w:val="43"/>
                <w:rFonts w:hAnsi="宋体"/>
                <w:color w:val="auto"/>
                <w:sz w:val="21"/>
                <w:szCs w:val="21"/>
              </w:rPr>
              <w:t>用银行支票、汇票、电汇、现金等付款方式直接交纳中标服务费。</w:t>
            </w:r>
          </w:p>
          <w:p>
            <w:pPr>
              <w:pStyle w:val="433"/>
              <w:snapToGrid w:val="0"/>
              <w:spacing w:line="400" w:lineRule="exact"/>
              <w:textAlignment w:val="bottom"/>
              <w:rPr>
                <w:rStyle w:val="43"/>
                <w:rFonts w:hAnsi="宋体"/>
                <w:color w:val="auto"/>
                <w:sz w:val="21"/>
                <w:szCs w:val="21"/>
              </w:rPr>
            </w:pPr>
            <w:r>
              <w:rPr>
                <w:rStyle w:val="43"/>
                <w:rFonts w:hAnsi="宋体"/>
                <w:color w:val="auto"/>
                <w:sz w:val="21"/>
                <w:szCs w:val="21"/>
              </w:rPr>
              <w:t>公司名称：</w:t>
            </w:r>
            <w:r>
              <w:rPr>
                <w:rStyle w:val="43"/>
                <w:rFonts w:hint="eastAsia" w:hAnsi="宋体"/>
                <w:color w:val="auto"/>
                <w:sz w:val="21"/>
                <w:szCs w:val="21"/>
              </w:rPr>
              <w:t>浙江省房地产管理咨询有限公司</w:t>
            </w:r>
          </w:p>
          <w:p>
            <w:pPr>
              <w:pStyle w:val="433"/>
              <w:snapToGrid w:val="0"/>
              <w:spacing w:line="400" w:lineRule="exact"/>
              <w:textAlignment w:val="bottom"/>
              <w:rPr>
                <w:rStyle w:val="43"/>
                <w:rFonts w:hAnsi="宋体"/>
                <w:color w:val="auto"/>
                <w:sz w:val="21"/>
                <w:szCs w:val="21"/>
              </w:rPr>
            </w:pPr>
            <w:r>
              <w:rPr>
                <w:rStyle w:val="43"/>
                <w:rFonts w:hAnsi="宋体"/>
                <w:color w:val="auto"/>
                <w:sz w:val="21"/>
                <w:szCs w:val="21"/>
              </w:rPr>
              <w:t>开户行：工商银行嵊州支行</w:t>
            </w:r>
          </w:p>
          <w:p>
            <w:pPr>
              <w:pStyle w:val="433"/>
              <w:snapToGrid w:val="0"/>
              <w:spacing w:line="400" w:lineRule="exact"/>
              <w:textAlignment w:val="bottom"/>
              <w:rPr>
                <w:rStyle w:val="43"/>
                <w:rFonts w:hAnsi="宋体"/>
                <w:color w:val="auto"/>
                <w:sz w:val="21"/>
                <w:szCs w:val="21"/>
              </w:rPr>
            </w:pPr>
            <w:r>
              <w:rPr>
                <w:rStyle w:val="43"/>
                <w:rFonts w:hAnsi="宋体"/>
                <w:color w:val="auto"/>
                <w:sz w:val="21"/>
                <w:szCs w:val="21"/>
              </w:rPr>
              <w:t>账  号：1211026009200820957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3"/>
                <w:rFonts w:ascii="宋体" w:hAnsi="宋体"/>
                <w:sz w:val="21"/>
                <w:szCs w:val="21"/>
              </w:rPr>
            </w:pPr>
            <w:r>
              <w:rPr>
                <w:rStyle w:val="43"/>
                <w:rFonts w:hint="eastAsia" w:ascii="宋体" w:hAnsi="宋体"/>
                <w:sz w:val="21"/>
                <w:szCs w:val="21"/>
              </w:rPr>
              <w:t>27</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433"/>
              <w:snapToGrid w:val="0"/>
              <w:spacing w:line="400" w:lineRule="exact"/>
              <w:jc w:val="center"/>
              <w:textAlignment w:val="bottom"/>
              <w:rPr>
                <w:rStyle w:val="43"/>
                <w:rFonts w:hAnsi="宋体"/>
                <w:color w:val="auto"/>
                <w:sz w:val="21"/>
                <w:szCs w:val="21"/>
              </w:rPr>
            </w:pPr>
            <w:r>
              <w:rPr>
                <w:rStyle w:val="43"/>
                <w:rFonts w:hAnsi="宋体"/>
                <w:color w:val="auto"/>
                <w:sz w:val="21"/>
                <w:szCs w:val="21"/>
              </w:rPr>
              <w:t>解释</w:t>
            </w:r>
          </w:p>
        </w:tc>
        <w:tc>
          <w:tcPr>
            <w:tcW w:w="6886" w:type="dxa"/>
            <w:tcBorders>
              <w:top w:val="single" w:color="000000" w:sz="4" w:space="0"/>
              <w:left w:val="single" w:color="000000" w:sz="4" w:space="0"/>
              <w:bottom w:val="single" w:color="000000" w:sz="4" w:space="0"/>
              <w:right w:val="single" w:color="000000" w:sz="4" w:space="0"/>
            </w:tcBorders>
            <w:vAlign w:val="center"/>
          </w:tcPr>
          <w:p>
            <w:pPr>
              <w:pStyle w:val="433"/>
              <w:snapToGrid w:val="0"/>
              <w:spacing w:line="400" w:lineRule="exact"/>
              <w:textAlignment w:val="bottom"/>
              <w:rPr>
                <w:rStyle w:val="43"/>
                <w:rFonts w:hAnsi="宋体"/>
                <w:color w:val="auto"/>
                <w:sz w:val="21"/>
                <w:szCs w:val="21"/>
              </w:rPr>
            </w:pPr>
            <w:r>
              <w:rPr>
                <w:rStyle w:val="43"/>
                <w:rFonts w:hAnsi="宋体"/>
                <w:color w:val="auto"/>
                <w:sz w:val="21"/>
                <w:szCs w:val="21"/>
              </w:rPr>
              <w:t>凡涉及本采购文件的解释权属于招标采购单位。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9096" w:type="dxa"/>
            <w:gridSpan w:val="3"/>
            <w:tcBorders>
              <w:top w:val="single" w:color="000000" w:sz="4" w:space="0"/>
              <w:left w:val="single" w:color="000000" w:sz="4" w:space="0"/>
              <w:bottom w:val="single" w:color="000000" w:sz="4" w:space="0"/>
              <w:right w:val="single" w:color="000000" w:sz="4" w:space="0"/>
            </w:tcBorders>
            <w:vAlign w:val="center"/>
          </w:tcPr>
          <w:p>
            <w:pPr>
              <w:pStyle w:val="433"/>
              <w:snapToGrid w:val="0"/>
              <w:spacing w:line="400" w:lineRule="exact"/>
              <w:textAlignment w:val="bottom"/>
              <w:rPr>
                <w:rStyle w:val="43"/>
                <w:rFonts w:hAnsi="宋体"/>
                <w:color w:val="auto"/>
                <w:sz w:val="21"/>
                <w:szCs w:val="21"/>
              </w:rPr>
            </w:pPr>
            <w:r>
              <w:rPr>
                <w:rStyle w:val="43"/>
                <w:rFonts w:hAnsi="宋体"/>
                <w:color w:val="auto"/>
                <w:sz w:val="21"/>
                <w:szCs w:val="21"/>
              </w:rPr>
              <w:t>注：排名第一的预中标候选人放弃中标资格或因质疑、投诉被取消预中标资格或不能履行合同的，招标人可以按照评标委员会提出的中标候选人名单排序依次确定其他中标候选人为中标人,也可以重新招标。</w:t>
            </w:r>
          </w:p>
        </w:tc>
      </w:tr>
    </w:tbl>
    <w:p>
      <w:pPr>
        <w:pStyle w:val="33"/>
        <w:spacing w:line="460" w:lineRule="exact"/>
        <w:ind w:left="0" w:leftChars="0" w:firstLine="0" w:firstLineChars="0"/>
        <w:jc w:val="center"/>
        <w:outlineLvl w:val="1"/>
        <w:rPr>
          <w:rStyle w:val="43"/>
          <w:rFonts w:ascii="宋体" w:hAnsi="宋体"/>
          <w:b/>
          <w:sz w:val="21"/>
          <w:szCs w:val="21"/>
        </w:rPr>
      </w:pPr>
      <w:r>
        <w:rPr>
          <w:rStyle w:val="43"/>
          <w:rFonts w:ascii="宋体" w:hAnsi="宋体"/>
          <w:b/>
          <w:sz w:val="21"/>
          <w:szCs w:val="21"/>
        </w:rPr>
        <w:t>二、总则</w:t>
      </w:r>
    </w:p>
    <w:p>
      <w:pPr>
        <w:spacing w:line="460" w:lineRule="exact"/>
        <w:ind w:firstLine="420"/>
        <w:outlineLvl w:val="2"/>
        <w:rPr>
          <w:rStyle w:val="43"/>
          <w:rFonts w:ascii="宋体" w:hAnsi="宋体"/>
          <w:sz w:val="21"/>
          <w:szCs w:val="21"/>
        </w:rPr>
      </w:pPr>
      <w:r>
        <w:rPr>
          <w:rStyle w:val="43"/>
          <w:rFonts w:ascii="宋体" w:hAnsi="宋体"/>
          <w:sz w:val="21"/>
          <w:szCs w:val="21"/>
        </w:rPr>
        <w:t>2.1、实施依据</w:t>
      </w:r>
    </w:p>
    <w:p>
      <w:pPr>
        <w:spacing w:line="460" w:lineRule="exact"/>
        <w:ind w:firstLine="420"/>
        <w:rPr>
          <w:rStyle w:val="43"/>
          <w:rFonts w:ascii="宋体" w:hAnsi="宋体"/>
          <w:sz w:val="21"/>
          <w:szCs w:val="21"/>
        </w:rPr>
      </w:pPr>
      <w:r>
        <w:rPr>
          <w:rStyle w:val="43"/>
          <w:rFonts w:ascii="宋体" w:hAnsi="宋体"/>
          <w:sz w:val="21"/>
          <w:szCs w:val="21"/>
        </w:rPr>
        <w:t>本次招标工作是按照</w:t>
      </w:r>
      <w:r>
        <w:rPr>
          <w:rStyle w:val="43"/>
          <w:rFonts w:ascii="宋体" w:hAnsi="宋体"/>
          <w:kern w:val="0"/>
          <w:sz w:val="21"/>
          <w:szCs w:val="21"/>
        </w:rPr>
        <w:t>《中华人民共和国政府采购法》、《中华人民共和国政府采购法实施条例》</w:t>
      </w:r>
      <w:r>
        <w:rPr>
          <w:rStyle w:val="43"/>
          <w:rFonts w:ascii="宋体" w:hAnsi="宋体"/>
          <w:sz w:val="21"/>
          <w:szCs w:val="21"/>
        </w:rPr>
        <w:t>等招标投标有关法律、法规、规章、文件的规定组织和实施。</w:t>
      </w:r>
    </w:p>
    <w:p>
      <w:pPr>
        <w:spacing w:line="460" w:lineRule="exact"/>
        <w:ind w:firstLine="420"/>
        <w:outlineLvl w:val="2"/>
        <w:rPr>
          <w:rStyle w:val="43"/>
          <w:rFonts w:ascii="宋体" w:hAnsi="宋体"/>
          <w:sz w:val="21"/>
          <w:szCs w:val="21"/>
        </w:rPr>
      </w:pPr>
      <w:r>
        <w:rPr>
          <w:rStyle w:val="43"/>
          <w:rFonts w:ascii="宋体" w:hAnsi="宋体"/>
          <w:sz w:val="21"/>
          <w:szCs w:val="21"/>
        </w:rPr>
        <w:t>2.2、定义</w:t>
      </w:r>
    </w:p>
    <w:p>
      <w:pPr>
        <w:spacing w:line="460" w:lineRule="exact"/>
        <w:ind w:firstLine="420"/>
        <w:rPr>
          <w:rStyle w:val="43"/>
          <w:rFonts w:ascii="宋体" w:hAnsi="宋体"/>
          <w:sz w:val="21"/>
          <w:szCs w:val="21"/>
        </w:rPr>
      </w:pPr>
      <w:r>
        <w:rPr>
          <w:rStyle w:val="43"/>
          <w:rFonts w:ascii="宋体" w:hAnsi="宋体"/>
          <w:sz w:val="21"/>
          <w:szCs w:val="21"/>
        </w:rPr>
        <w:t>采购人：是指依法进行招标采购的国家机关、事业单位、团体组织，见“投标人须知前附表”；</w:t>
      </w:r>
    </w:p>
    <w:p>
      <w:pPr>
        <w:spacing w:line="460" w:lineRule="exact"/>
        <w:ind w:firstLine="420"/>
        <w:rPr>
          <w:rStyle w:val="43"/>
          <w:rFonts w:ascii="宋体" w:hAnsi="宋体"/>
          <w:sz w:val="21"/>
          <w:szCs w:val="21"/>
        </w:rPr>
      </w:pPr>
      <w:r>
        <w:rPr>
          <w:rStyle w:val="43"/>
          <w:rFonts w:ascii="宋体" w:hAnsi="宋体"/>
          <w:sz w:val="21"/>
          <w:szCs w:val="21"/>
        </w:rPr>
        <w:t>采购代理机构：受采购人委托，在委托的范围内办理政府采购事宜的机构，见“投标人须知前附表”；</w:t>
      </w:r>
    </w:p>
    <w:p>
      <w:pPr>
        <w:spacing w:line="460" w:lineRule="exact"/>
        <w:ind w:firstLine="420"/>
        <w:rPr>
          <w:rStyle w:val="43"/>
          <w:rFonts w:ascii="宋体" w:hAnsi="宋体"/>
          <w:sz w:val="21"/>
          <w:szCs w:val="21"/>
        </w:rPr>
      </w:pPr>
      <w:r>
        <w:rPr>
          <w:rStyle w:val="43"/>
          <w:rFonts w:ascii="宋体" w:hAnsi="宋体"/>
          <w:sz w:val="21"/>
          <w:szCs w:val="21"/>
        </w:rPr>
        <w:t>投标人：是指参加本采购项目投标的供应商；</w:t>
      </w:r>
    </w:p>
    <w:p>
      <w:pPr>
        <w:spacing w:line="460" w:lineRule="exact"/>
        <w:ind w:firstLine="420"/>
        <w:rPr>
          <w:rStyle w:val="43"/>
          <w:rFonts w:ascii="宋体" w:hAnsi="宋体"/>
          <w:sz w:val="21"/>
          <w:szCs w:val="21"/>
        </w:rPr>
      </w:pPr>
      <w:r>
        <w:rPr>
          <w:rStyle w:val="43"/>
          <w:rFonts w:ascii="宋体" w:hAnsi="宋体"/>
          <w:sz w:val="21"/>
          <w:szCs w:val="21"/>
        </w:rPr>
        <w:t>投标人代表：是指参加本项目投标活动的投标人法定代表人或法定代表人授权代表；</w:t>
      </w:r>
    </w:p>
    <w:p>
      <w:pPr>
        <w:spacing w:line="460" w:lineRule="exact"/>
        <w:ind w:firstLine="420"/>
        <w:rPr>
          <w:rStyle w:val="43"/>
          <w:rFonts w:ascii="宋体" w:hAnsi="宋体"/>
          <w:sz w:val="21"/>
          <w:szCs w:val="21"/>
        </w:rPr>
      </w:pPr>
      <w:r>
        <w:rPr>
          <w:rStyle w:val="43"/>
          <w:rFonts w:ascii="宋体" w:hAnsi="宋体"/>
          <w:sz w:val="21"/>
          <w:szCs w:val="21"/>
        </w:rPr>
        <w:t>投标联合体：是指两个以上供应商组成联合体，以一个投标人的身份参加投标；</w:t>
      </w:r>
    </w:p>
    <w:p>
      <w:pPr>
        <w:spacing w:line="460" w:lineRule="exact"/>
        <w:ind w:firstLine="420"/>
        <w:rPr>
          <w:rStyle w:val="43"/>
          <w:rFonts w:ascii="宋体" w:hAnsi="宋体"/>
          <w:sz w:val="21"/>
          <w:szCs w:val="21"/>
        </w:rPr>
      </w:pPr>
      <w:r>
        <w:rPr>
          <w:rStyle w:val="43"/>
          <w:rFonts w:ascii="宋体" w:hAnsi="宋体"/>
          <w:sz w:val="21"/>
          <w:szCs w:val="21"/>
        </w:rPr>
        <w:t>甲方：是指合同签订的一方，一般与采购人、用户相同；</w:t>
      </w:r>
    </w:p>
    <w:p>
      <w:pPr>
        <w:spacing w:line="460" w:lineRule="exact"/>
        <w:ind w:firstLine="420"/>
        <w:rPr>
          <w:rStyle w:val="43"/>
          <w:rFonts w:ascii="宋体" w:hAnsi="宋体"/>
          <w:sz w:val="21"/>
          <w:szCs w:val="21"/>
        </w:rPr>
      </w:pPr>
      <w:r>
        <w:rPr>
          <w:rStyle w:val="43"/>
          <w:rFonts w:ascii="宋体" w:hAnsi="宋体"/>
          <w:sz w:val="21"/>
          <w:szCs w:val="21"/>
        </w:rPr>
        <w:t>乙方：是指合同签订的另一方，与中标人相同；</w:t>
      </w:r>
    </w:p>
    <w:p>
      <w:pPr>
        <w:spacing w:line="460" w:lineRule="exact"/>
        <w:ind w:firstLine="420"/>
        <w:rPr>
          <w:rStyle w:val="43"/>
          <w:rFonts w:ascii="宋体" w:hAnsi="宋体"/>
          <w:sz w:val="21"/>
          <w:szCs w:val="21"/>
        </w:rPr>
      </w:pPr>
      <w:r>
        <w:rPr>
          <w:rStyle w:val="43"/>
          <w:rFonts w:ascii="宋体" w:hAnsi="宋体"/>
          <w:sz w:val="21"/>
          <w:szCs w:val="21"/>
        </w:rPr>
        <w:t>货物和服务：是指按采购文件要求的货物和服务；</w:t>
      </w:r>
    </w:p>
    <w:p>
      <w:pPr>
        <w:spacing w:line="460" w:lineRule="exact"/>
        <w:ind w:firstLine="420"/>
        <w:rPr>
          <w:rStyle w:val="43"/>
          <w:rFonts w:ascii="宋体" w:hAnsi="宋体"/>
          <w:sz w:val="21"/>
          <w:szCs w:val="21"/>
        </w:rPr>
      </w:pPr>
      <w:r>
        <w:rPr>
          <w:rStyle w:val="43"/>
          <w:rFonts w:ascii="宋体" w:hAnsi="宋体"/>
          <w:sz w:val="21"/>
          <w:szCs w:val="21"/>
        </w:rPr>
        <w:t>政府采购监管部门：嵊州市财政局采购监管处；</w:t>
      </w:r>
    </w:p>
    <w:p>
      <w:pPr>
        <w:spacing w:line="460" w:lineRule="exact"/>
        <w:ind w:firstLine="420"/>
        <w:rPr>
          <w:rStyle w:val="43"/>
          <w:rFonts w:ascii="宋体" w:hAnsi="宋体"/>
          <w:sz w:val="21"/>
          <w:szCs w:val="21"/>
        </w:rPr>
      </w:pPr>
      <w:r>
        <w:rPr>
          <w:rStyle w:val="43"/>
          <w:rFonts w:ascii="宋体" w:hAnsi="宋体"/>
          <w:sz w:val="21"/>
          <w:szCs w:val="21"/>
        </w:rPr>
        <w:t>“★”系指实质性指标要求条款，“▲”系指主要性能指标要求条款。如任意一条打“★”的指标出现负偏离视为实质性不响应采购文件要求，作无效投标处理；如任意一条打“▲”的指标出现负偏离按评分标准规定处理。</w:t>
      </w:r>
    </w:p>
    <w:p>
      <w:pPr>
        <w:spacing w:line="460" w:lineRule="exact"/>
        <w:ind w:firstLine="420"/>
        <w:outlineLvl w:val="2"/>
        <w:rPr>
          <w:rStyle w:val="43"/>
          <w:rFonts w:ascii="宋体" w:hAnsi="宋体"/>
          <w:sz w:val="21"/>
          <w:szCs w:val="21"/>
        </w:rPr>
      </w:pPr>
      <w:r>
        <w:rPr>
          <w:rStyle w:val="43"/>
          <w:rFonts w:ascii="宋体" w:hAnsi="宋体"/>
          <w:sz w:val="21"/>
          <w:szCs w:val="21"/>
        </w:rPr>
        <w:t>2.3、投标人须知前附表规定接受联合体投标的，应遵守以下规定：</w:t>
      </w:r>
    </w:p>
    <w:p>
      <w:pPr>
        <w:spacing w:line="460" w:lineRule="exact"/>
        <w:ind w:firstLine="420"/>
        <w:rPr>
          <w:rStyle w:val="43"/>
          <w:rFonts w:ascii="宋体" w:hAnsi="宋体"/>
          <w:sz w:val="21"/>
          <w:szCs w:val="21"/>
        </w:rPr>
      </w:pPr>
      <w:r>
        <w:rPr>
          <w:rStyle w:val="43"/>
          <w:rFonts w:ascii="宋体" w:hAnsi="宋体"/>
          <w:sz w:val="21"/>
          <w:szCs w:val="21"/>
        </w:rPr>
        <w:t>1）两个以上供应商可以组成一个联合体，以一个供应商的身份共同参加投标；</w:t>
      </w:r>
    </w:p>
    <w:p>
      <w:pPr>
        <w:spacing w:line="460" w:lineRule="exact"/>
        <w:ind w:firstLine="420"/>
        <w:rPr>
          <w:rStyle w:val="43"/>
          <w:rFonts w:ascii="宋体" w:hAnsi="宋体"/>
          <w:sz w:val="21"/>
          <w:szCs w:val="21"/>
        </w:rPr>
      </w:pPr>
      <w:r>
        <w:rPr>
          <w:rStyle w:val="43"/>
          <w:rFonts w:ascii="宋体" w:hAnsi="宋体"/>
          <w:sz w:val="21"/>
          <w:szCs w:val="21"/>
        </w:rPr>
        <w:t>2）组成联合体参加本项目投标的，投标人须在购买采购文件时向采购代理机构作出相关书面说明，否则投标无效；</w:t>
      </w:r>
    </w:p>
    <w:p>
      <w:pPr>
        <w:spacing w:line="460" w:lineRule="exact"/>
        <w:ind w:firstLine="420"/>
        <w:rPr>
          <w:rStyle w:val="43"/>
          <w:rFonts w:ascii="宋体" w:hAnsi="宋体"/>
          <w:sz w:val="21"/>
          <w:szCs w:val="21"/>
        </w:rPr>
      </w:pPr>
      <w:r>
        <w:rPr>
          <w:rStyle w:val="43"/>
          <w:rFonts w:ascii="宋体" w:hAnsi="宋体"/>
          <w:sz w:val="21"/>
          <w:szCs w:val="21"/>
        </w:rPr>
        <w:t>3）以联合体形式参加本项目投标的，联合体的各成员均应当具备《中华人民共和国政府采购法》第二十二条规定的条件，联合体各方中至少应当有一方符合采购人规定的特定条件</w:t>
      </w:r>
      <w:r>
        <w:rPr>
          <w:rStyle w:val="43"/>
          <w:rFonts w:ascii="宋体" w:hAnsi="宋体"/>
          <w:kern w:val="0"/>
          <w:sz w:val="21"/>
          <w:szCs w:val="21"/>
        </w:rPr>
        <w:t>，但同一专业的投标人组成的联合体以资质最低的一方为依据；</w:t>
      </w:r>
    </w:p>
    <w:p>
      <w:pPr>
        <w:spacing w:line="460" w:lineRule="exact"/>
        <w:ind w:firstLine="420"/>
        <w:rPr>
          <w:rStyle w:val="43"/>
          <w:rFonts w:ascii="宋体" w:hAnsi="宋体"/>
          <w:sz w:val="21"/>
          <w:szCs w:val="21"/>
        </w:rPr>
      </w:pPr>
      <w:r>
        <w:rPr>
          <w:rStyle w:val="43"/>
          <w:rFonts w:ascii="宋体" w:hAnsi="宋体"/>
          <w:sz w:val="21"/>
          <w:szCs w:val="21"/>
        </w:rPr>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pPr>
        <w:spacing w:line="460" w:lineRule="exact"/>
        <w:ind w:firstLine="420"/>
        <w:rPr>
          <w:rStyle w:val="43"/>
          <w:rFonts w:ascii="宋体" w:hAnsi="宋体"/>
          <w:sz w:val="21"/>
          <w:szCs w:val="21"/>
        </w:rPr>
      </w:pPr>
      <w:r>
        <w:rPr>
          <w:rStyle w:val="43"/>
          <w:rFonts w:ascii="宋体" w:hAnsi="宋体"/>
          <w:sz w:val="21"/>
          <w:szCs w:val="21"/>
        </w:rPr>
        <w:t>5）联合体各方签订投标联合协议后，不得再以自己名义单独在本项目中参加投标，也不得组成新的联合体参加本项目投标；</w:t>
      </w:r>
    </w:p>
    <w:p>
      <w:pPr>
        <w:spacing w:line="460" w:lineRule="exact"/>
        <w:ind w:firstLine="420"/>
        <w:rPr>
          <w:rStyle w:val="43"/>
          <w:rFonts w:ascii="宋体" w:hAnsi="宋体"/>
          <w:sz w:val="21"/>
          <w:szCs w:val="21"/>
        </w:rPr>
      </w:pPr>
      <w:r>
        <w:rPr>
          <w:rStyle w:val="43"/>
          <w:rFonts w:ascii="宋体" w:hAnsi="宋体"/>
          <w:sz w:val="21"/>
          <w:szCs w:val="21"/>
        </w:rPr>
        <w:t>6）联合体各方共同与采购人签订采购合同，就采购合同约定的事项对采购人承担连带责任；</w:t>
      </w:r>
    </w:p>
    <w:p>
      <w:pPr>
        <w:spacing w:line="460" w:lineRule="exact"/>
        <w:ind w:firstLine="420"/>
        <w:outlineLvl w:val="2"/>
        <w:rPr>
          <w:rStyle w:val="43"/>
          <w:rFonts w:ascii="宋体" w:hAnsi="宋体" w:cs="宋体"/>
          <w:bCs/>
          <w:sz w:val="21"/>
          <w:szCs w:val="21"/>
        </w:rPr>
      </w:pPr>
      <w:r>
        <w:rPr>
          <w:rStyle w:val="43"/>
          <w:rFonts w:ascii="宋体" w:hAnsi="宋体" w:cs="宋体"/>
          <w:bCs/>
          <w:sz w:val="21"/>
          <w:szCs w:val="21"/>
        </w:rPr>
        <w:t>2.4、费用</w:t>
      </w:r>
    </w:p>
    <w:p>
      <w:pPr>
        <w:spacing w:line="460" w:lineRule="exact"/>
        <w:ind w:firstLine="420"/>
        <w:rPr>
          <w:rStyle w:val="43"/>
          <w:rFonts w:ascii="宋体" w:hAnsi="宋体" w:cs="宋体"/>
          <w:b/>
          <w:bCs/>
          <w:sz w:val="21"/>
          <w:szCs w:val="21"/>
        </w:rPr>
      </w:pPr>
      <w:r>
        <w:rPr>
          <w:rStyle w:val="43"/>
          <w:rFonts w:ascii="宋体" w:hAnsi="宋体"/>
          <w:sz w:val="21"/>
          <w:szCs w:val="21"/>
        </w:rPr>
        <w:t>无论招投标过程中的做法和结果如何，投标人自行承担招投标活动中所发生的全部费用。</w:t>
      </w:r>
    </w:p>
    <w:p>
      <w:pPr>
        <w:spacing w:line="460" w:lineRule="exact"/>
        <w:ind w:firstLine="420"/>
        <w:outlineLvl w:val="2"/>
        <w:rPr>
          <w:rStyle w:val="43"/>
          <w:rFonts w:ascii="宋体" w:hAnsi="宋体"/>
          <w:sz w:val="21"/>
          <w:szCs w:val="21"/>
        </w:rPr>
      </w:pPr>
      <w:r>
        <w:rPr>
          <w:rStyle w:val="43"/>
          <w:rFonts w:ascii="宋体" w:hAnsi="宋体"/>
          <w:sz w:val="21"/>
          <w:szCs w:val="21"/>
        </w:rPr>
        <w:t>2.5、保密</w:t>
      </w:r>
    </w:p>
    <w:p>
      <w:pPr>
        <w:spacing w:line="460" w:lineRule="exact"/>
        <w:ind w:firstLine="420"/>
        <w:rPr>
          <w:rStyle w:val="43"/>
          <w:rFonts w:ascii="宋体" w:hAnsi="宋体"/>
          <w:sz w:val="21"/>
          <w:szCs w:val="21"/>
        </w:rPr>
      </w:pPr>
      <w:r>
        <w:rPr>
          <w:rStyle w:val="43"/>
          <w:rFonts w:ascii="宋体" w:hAnsi="宋体"/>
          <w:sz w:val="21"/>
          <w:szCs w:val="21"/>
        </w:rPr>
        <w:t>参与招标投标活动的各方应对采购文件和投标文件中的商业和技术等秘密保密，违者应对此造成的后果承担法律责任。</w:t>
      </w:r>
    </w:p>
    <w:p>
      <w:pPr>
        <w:spacing w:line="460" w:lineRule="exact"/>
        <w:ind w:firstLine="420"/>
        <w:outlineLvl w:val="2"/>
        <w:rPr>
          <w:rStyle w:val="43"/>
          <w:rFonts w:ascii="宋体" w:hAnsi="宋体"/>
          <w:sz w:val="21"/>
          <w:szCs w:val="21"/>
        </w:rPr>
      </w:pPr>
      <w:r>
        <w:rPr>
          <w:rStyle w:val="43"/>
          <w:rFonts w:ascii="宋体" w:hAnsi="宋体"/>
          <w:sz w:val="21"/>
          <w:szCs w:val="21"/>
        </w:rPr>
        <w:t>2.6、语言文字</w:t>
      </w:r>
    </w:p>
    <w:p>
      <w:pPr>
        <w:spacing w:line="460" w:lineRule="exact"/>
        <w:ind w:firstLine="420"/>
        <w:rPr>
          <w:rStyle w:val="43"/>
          <w:rFonts w:ascii="宋体" w:hAnsi="宋体"/>
          <w:sz w:val="21"/>
          <w:szCs w:val="21"/>
        </w:rPr>
      </w:pPr>
      <w:r>
        <w:rPr>
          <w:rStyle w:val="43"/>
          <w:rFonts w:ascii="宋体" w:hAnsi="宋体"/>
          <w:sz w:val="21"/>
          <w:szCs w:val="21"/>
        </w:rPr>
        <w:t>除专用术语外，与招标投标有关的语言使用中文。专用术语应附有中文注释。</w:t>
      </w:r>
    </w:p>
    <w:p>
      <w:pPr>
        <w:spacing w:line="460" w:lineRule="exact"/>
        <w:ind w:firstLine="420"/>
        <w:outlineLvl w:val="2"/>
        <w:rPr>
          <w:rStyle w:val="43"/>
          <w:rFonts w:ascii="宋体" w:hAnsi="宋体"/>
          <w:sz w:val="21"/>
          <w:szCs w:val="21"/>
        </w:rPr>
      </w:pPr>
      <w:r>
        <w:rPr>
          <w:rStyle w:val="43"/>
          <w:rFonts w:ascii="宋体" w:hAnsi="宋体"/>
          <w:sz w:val="21"/>
          <w:szCs w:val="21"/>
        </w:rPr>
        <w:t>2.7、计量单位</w:t>
      </w:r>
    </w:p>
    <w:p>
      <w:pPr>
        <w:spacing w:line="460" w:lineRule="exact"/>
        <w:ind w:firstLine="420"/>
        <w:rPr>
          <w:rStyle w:val="43"/>
          <w:rFonts w:ascii="宋体" w:hAnsi="宋体"/>
          <w:sz w:val="21"/>
          <w:szCs w:val="21"/>
        </w:rPr>
      </w:pPr>
      <w:r>
        <w:rPr>
          <w:rStyle w:val="43"/>
          <w:rFonts w:ascii="宋体" w:hAnsi="宋体"/>
          <w:sz w:val="21"/>
          <w:szCs w:val="21"/>
        </w:rPr>
        <w:t>所有计量均采用中华人民共和国法定计量单位。</w:t>
      </w:r>
    </w:p>
    <w:p>
      <w:pPr>
        <w:spacing w:line="460" w:lineRule="exact"/>
        <w:ind w:firstLine="420"/>
        <w:outlineLvl w:val="2"/>
        <w:rPr>
          <w:rStyle w:val="43"/>
          <w:rFonts w:ascii="宋体" w:hAnsi="宋体"/>
          <w:sz w:val="21"/>
          <w:szCs w:val="21"/>
        </w:rPr>
      </w:pPr>
      <w:r>
        <w:rPr>
          <w:rStyle w:val="43"/>
          <w:rFonts w:ascii="宋体" w:hAnsi="宋体"/>
          <w:sz w:val="21"/>
          <w:szCs w:val="21"/>
        </w:rPr>
        <w:t>2.8、踏勘现场</w:t>
      </w:r>
    </w:p>
    <w:p>
      <w:pPr>
        <w:spacing w:line="460" w:lineRule="exact"/>
        <w:ind w:firstLine="420"/>
        <w:rPr>
          <w:rStyle w:val="43"/>
          <w:rFonts w:ascii="宋体" w:hAnsi="宋体"/>
          <w:sz w:val="21"/>
          <w:szCs w:val="21"/>
        </w:rPr>
      </w:pPr>
      <w:r>
        <w:rPr>
          <w:rStyle w:val="43"/>
          <w:rFonts w:ascii="宋体" w:hAnsi="宋体"/>
          <w:sz w:val="21"/>
          <w:szCs w:val="21"/>
        </w:rPr>
        <w:t>2.8.1投标人须知前附表规定组织踏勘现场的，采购人按投标人须知前附表规定的时间、地点组织投标人踏勘项目现场。</w:t>
      </w:r>
    </w:p>
    <w:p>
      <w:pPr>
        <w:spacing w:line="460" w:lineRule="exact"/>
        <w:ind w:firstLine="420"/>
        <w:rPr>
          <w:rStyle w:val="43"/>
          <w:rFonts w:ascii="宋体" w:hAnsi="宋体"/>
          <w:sz w:val="21"/>
          <w:szCs w:val="21"/>
        </w:rPr>
      </w:pPr>
      <w:r>
        <w:rPr>
          <w:rStyle w:val="43"/>
          <w:rFonts w:ascii="宋体" w:hAnsi="宋体"/>
          <w:sz w:val="21"/>
          <w:szCs w:val="21"/>
        </w:rPr>
        <w:t>2.8.2投标人踏勘现场发生的费用自理。</w:t>
      </w:r>
    </w:p>
    <w:p>
      <w:pPr>
        <w:spacing w:line="460" w:lineRule="exact"/>
        <w:ind w:firstLine="420"/>
        <w:rPr>
          <w:rStyle w:val="43"/>
          <w:rFonts w:ascii="宋体" w:hAnsi="宋体"/>
          <w:sz w:val="21"/>
          <w:szCs w:val="21"/>
        </w:rPr>
      </w:pPr>
      <w:r>
        <w:rPr>
          <w:rStyle w:val="43"/>
          <w:rFonts w:ascii="宋体" w:hAnsi="宋体"/>
          <w:sz w:val="21"/>
          <w:szCs w:val="21"/>
        </w:rPr>
        <w:t>2.8.3除采购人的原因外，投标人自行负责在踏勘现场中所发生的人员伤亡和财产损失。</w:t>
      </w:r>
    </w:p>
    <w:p>
      <w:pPr>
        <w:spacing w:line="460" w:lineRule="exact"/>
        <w:ind w:firstLine="420"/>
        <w:rPr>
          <w:rStyle w:val="43"/>
          <w:rFonts w:ascii="宋体" w:hAnsi="宋体"/>
          <w:sz w:val="21"/>
          <w:szCs w:val="21"/>
        </w:rPr>
      </w:pPr>
      <w:r>
        <w:rPr>
          <w:rStyle w:val="43"/>
          <w:rFonts w:ascii="宋体" w:hAnsi="宋体"/>
          <w:sz w:val="21"/>
          <w:szCs w:val="21"/>
        </w:rPr>
        <w:t>2.8.4采购人在踏勘现场中介绍的场地和相关的周边环境情况，供投标人在编制投标文件时参考，采购人不对投标人据此作出的判断和决策负责。</w:t>
      </w:r>
    </w:p>
    <w:p>
      <w:pPr>
        <w:spacing w:line="460" w:lineRule="exact"/>
        <w:ind w:firstLine="420"/>
        <w:outlineLvl w:val="2"/>
        <w:rPr>
          <w:rStyle w:val="43"/>
          <w:rFonts w:ascii="宋体" w:hAnsi="宋体"/>
          <w:sz w:val="21"/>
          <w:szCs w:val="21"/>
        </w:rPr>
      </w:pPr>
      <w:r>
        <w:rPr>
          <w:rStyle w:val="43"/>
          <w:rFonts w:ascii="宋体" w:hAnsi="宋体"/>
          <w:sz w:val="21"/>
          <w:szCs w:val="21"/>
        </w:rPr>
        <w:t>2.9、答疑会</w:t>
      </w:r>
    </w:p>
    <w:p>
      <w:pPr>
        <w:spacing w:line="460" w:lineRule="exact"/>
        <w:ind w:firstLine="420"/>
        <w:rPr>
          <w:rStyle w:val="43"/>
          <w:rFonts w:ascii="宋体" w:hAnsi="宋体"/>
          <w:sz w:val="21"/>
          <w:szCs w:val="21"/>
        </w:rPr>
      </w:pPr>
      <w:r>
        <w:rPr>
          <w:rStyle w:val="43"/>
          <w:rFonts w:ascii="宋体" w:hAnsi="宋体"/>
          <w:sz w:val="21"/>
          <w:szCs w:val="21"/>
        </w:rPr>
        <w:t>2.9.1投标人须知前附表规定召开答疑会的，采购人按投标人须知前附表规定的时间和地点召开答疑会，澄清投标人提出的问题。</w:t>
      </w:r>
    </w:p>
    <w:p>
      <w:pPr>
        <w:spacing w:line="460" w:lineRule="exact"/>
        <w:ind w:firstLine="420"/>
        <w:rPr>
          <w:rStyle w:val="43"/>
          <w:rFonts w:ascii="宋体" w:hAnsi="宋体"/>
          <w:sz w:val="21"/>
          <w:szCs w:val="21"/>
        </w:rPr>
      </w:pPr>
      <w:r>
        <w:rPr>
          <w:rStyle w:val="43"/>
          <w:rFonts w:ascii="宋体" w:hAnsi="宋体"/>
          <w:sz w:val="21"/>
          <w:szCs w:val="21"/>
        </w:rPr>
        <w:t>2.9.2投标人应在答疑会时间的前一天，以书面形式将提出的问题送达采购人，以便采购人在会议期间澄清。</w:t>
      </w:r>
    </w:p>
    <w:p>
      <w:pPr>
        <w:spacing w:line="460" w:lineRule="exact"/>
        <w:ind w:firstLine="420"/>
        <w:rPr>
          <w:rStyle w:val="43"/>
          <w:rFonts w:ascii="宋体" w:hAnsi="宋体"/>
          <w:sz w:val="21"/>
          <w:szCs w:val="21"/>
        </w:rPr>
      </w:pPr>
      <w:r>
        <w:rPr>
          <w:rStyle w:val="43"/>
          <w:rFonts w:ascii="宋体" w:hAnsi="宋体"/>
          <w:sz w:val="21"/>
          <w:szCs w:val="21"/>
        </w:rPr>
        <w:t>2.9.3答疑会后，采购人按本章3.4款规定对投标人所提问题进行澄清答复。</w:t>
      </w:r>
    </w:p>
    <w:p>
      <w:pPr>
        <w:spacing w:line="460" w:lineRule="exact"/>
        <w:ind w:firstLine="420"/>
        <w:outlineLvl w:val="2"/>
        <w:rPr>
          <w:rStyle w:val="43"/>
          <w:rFonts w:ascii="宋体" w:hAnsi="宋体"/>
          <w:sz w:val="21"/>
          <w:szCs w:val="21"/>
        </w:rPr>
      </w:pPr>
      <w:r>
        <w:rPr>
          <w:rStyle w:val="43"/>
          <w:rFonts w:ascii="宋体" w:hAnsi="宋体"/>
          <w:sz w:val="21"/>
          <w:szCs w:val="21"/>
        </w:rPr>
        <w:t>2.10、转包与分包</w:t>
      </w:r>
    </w:p>
    <w:p>
      <w:pPr>
        <w:spacing w:line="460" w:lineRule="exact"/>
        <w:ind w:firstLine="420"/>
        <w:rPr>
          <w:rStyle w:val="43"/>
          <w:rFonts w:ascii="宋体" w:hAnsi="宋体"/>
          <w:sz w:val="21"/>
          <w:szCs w:val="21"/>
        </w:rPr>
      </w:pPr>
      <w:r>
        <w:rPr>
          <w:rStyle w:val="43"/>
          <w:rFonts w:ascii="宋体" w:hAnsi="宋体"/>
          <w:sz w:val="21"/>
          <w:szCs w:val="21"/>
        </w:rPr>
        <w:t>本项目不允许转包。</w:t>
      </w:r>
    </w:p>
    <w:p>
      <w:pPr>
        <w:spacing w:line="460" w:lineRule="exact"/>
        <w:ind w:firstLine="420"/>
        <w:outlineLvl w:val="2"/>
        <w:rPr>
          <w:rStyle w:val="43"/>
          <w:rFonts w:ascii="宋体" w:hAnsi="宋体"/>
          <w:sz w:val="21"/>
          <w:szCs w:val="21"/>
        </w:rPr>
      </w:pPr>
      <w:r>
        <w:rPr>
          <w:rStyle w:val="43"/>
          <w:rFonts w:ascii="宋体" w:hAnsi="宋体"/>
          <w:sz w:val="21"/>
          <w:szCs w:val="21"/>
        </w:rPr>
        <w:t>2.11、偏离</w:t>
      </w:r>
    </w:p>
    <w:p>
      <w:pPr>
        <w:spacing w:line="460" w:lineRule="exact"/>
        <w:ind w:firstLine="420"/>
        <w:rPr>
          <w:rStyle w:val="43"/>
          <w:rFonts w:ascii="宋体" w:hAnsi="宋体"/>
          <w:sz w:val="21"/>
          <w:szCs w:val="21"/>
        </w:rPr>
      </w:pPr>
      <w:r>
        <w:rPr>
          <w:rStyle w:val="43"/>
          <w:rFonts w:ascii="宋体" w:hAnsi="宋体"/>
          <w:sz w:val="21"/>
          <w:szCs w:val="21"/>
        </w:rPr>
        <w:t>投标文件应完全响应采购文件规定的实质性内容和条件。</w:t>
      </w:r>
    </w:p>
    <w:p>
      <w:pPr>
        <w:spacing w:line="460" w:lineRule="exact"/>
        <w:ind w:firstLine="420"/>
        <w:outlineLvl w:val="2"/>
        <w:rPr>
          <w:rStyle w:val="43"/>
          <w:rFonts w:ascii="宋体" w:hAnsi="宋体"/>
          <w:sz w:val="21"/>
          <w:szCs w:val="21"/>
        </w:rPr>
      </w:pPr>
      <w:r>
        <w:rPr>
          <w:rStyle w:val="43"/>
          <w:rFonts w:ascii="宋体" w:hAnsi="宋体"/>
          <w:sz w:val="21"/>
          <w:szCs w:val="21"/>
        </w:rPr>
        <w:t>2.12、其他</w:t>
      </w:r>
    </w:p>
    <w:p>
      <w:pPr>
        <w:spacing w:line="460" w:lineRule="exact"/>
        <w:ind w:firstLine="420"/>
        <w:rPr>
          <w:rStyle w:val="43"/>
          <w:rFonts w:ascii="宋体" w:hAnsi="宋体" w:cs="宋体"/>
          <w:b/>
          <w:bCs/>
          <w:sz w:val="21"/>
          <w:szCs w:val="21"/>
          <w:u w:val="single" w:color="000000"/>
        </w:rPr>
      </w:pPr>
      <w:r>
        <w:rPr>
          <w:rStyle w:val="43"/>
          <w:rFonts w:ascii="宋体" w:hAnsi="宋体"/>
          <w:sz w:val="21"/>
          <w:szCs w:val="21"/>
        </w:rPr>
        <w:t>2.12.1</w:t>
      </w:r>
      <w:r>
        <w:rPr>
          <w:rStyle w:val="43"/>
          <w:rFonts w:hint="eastAsia" w:ascii="宋体" w:hAnsi="宋体" w:cs="宋体"/>
          <w:sz w:val="21"/>
          <w:szCs w:val="21"/>
        </w:rPr>
        <w:t>★</w:t>
      </w:r>
      <w:r>
        <w:rPr>
          <w:rStyle w:val="43"/>
          <w:rFonts w:ascii="宋体" w:hAnsi="宋体" w:cs="宋体"/>
          <w:b/>
          <w:bCs/>
          <w:sz w:val="21"/>
          <w:szCs w:val="21"/>
          <w:u w:val="single" w:color="000000"/>
        </w:rPr>
        <w:t>投标人对所投标项内的产品或服务必须按采购数量全部进行报价。</w:t>
      </w:r>
    </w:p>
    <w:p>
      <w:pPr>
        <w:spacing w:line="460" w:lineRule="exact"/>
        <w:ind w:firstLine="420"/>
        <w:rPr>
          <w:rStyle w:val="43"/>
          <w:rFonts w:ascii="宋体" w:hAnsi="宋体" w:cs="宋体"/>
          <w:bCs/>
          <w:sz w:val="21"/>
          <w:szCs w:val="21"/>
        </w:rPr>
      </w:pPr>
      <w:r>
        <w:rPr>
          <w:rStyle w:val="43"/>
          <w:rFonts w:ascii="宋体" w:hAnsi="宋体"/>
          <w:b/>
          <w:sz w:val="21"/>
          <w:szCs w:val="21"/>
          <w:u w:val="single" w:color="000000"/>
        </w:rPr>
        <w:t>2.12.2</w:t>
      </w:r>
      <w:r>
        <w:rPr>
          <w:rStyle w:val="43"/>
          <w:rFonts w:ascii="宋体" w:hAnsi="宋体" w:cs="宋体"/>
          <w:b/>
          <w:bCs/>
          <w:sz w:val="21"/>
          <w:szCs w:val="21"/>
          <w:u w:val="single" w:color="000000"/>
        </w:rPr>
        <w:t>投标人</w:t>
      </w:r>
      <w:r>
        <w:rPr>
          <w:rStyle w:val="43"/>
          <w:rFonts w:ascii="宋体" w:hAnsi="宋体"/>
          <w:b/>
          <w:sz w:val="21"/>
          <w:szCs w:val="21"/>
          <w:u w:val="single" w:color="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60" w:lineRule="exact"/>
        <w:ind w:firstLine="420"/>
        <w:rPr>
          <w:rStyle w:val="43"/>
          <w:rFonts w:ascii="宋体" w:hAnsi="宋体"/>
          <w:sz w:val="21"/>
          <w:szCs w:val="21"/>
          <w:u w:val="thick" w:color="000000"/>
        </w:rPr>
      </w:pPr>
      <w:r>
        <w:rPr>
          <w:rStyle w:val="43"/>
          <w:rFonts w:ascii="宋体" w:hAnsi="宋体"/>
          <w:sz w:val="21"/>
          <w:szCs w:val="21"/>
        </w:rPr>
        <w:t>2.12.3投标截止后投标人不足3家或者通过资格审查或符合性审查的投标人不足3家的，除采购任务取消情形外，按照以下方式处理：采购文件没有不合理条款、招标程序符合规定，需要采用其他采购方式采购的，采购人应当依法报财政部门批准。</w:t>
      </w:r>
    </w:p>
    <w:p>
      <w:pPr>
        <w:spacing w:line="460" w:lineRule="exact"/>
        <w:ind w:firstLine="420"/>
        <w:rPr>
          <w:rStyle w:val="43"/>
          <w:rFonts w:ascii="宋体" w:hAnsi="宋体" w:cs="宋体"/>
          <w:bCs/>
          <w:sz w:val="21"/>
          <w:szCs w:val="21"/>
        </w:rPr>
      </w:pPr>
      <w:r>
        <w:rPr>
          <w:rStyle w:val="43"/>
          <w:rFonts w:ascii="宋体" w:hAnsi="宋体"/>
          <w:sz w:val="21"/>
          <w:szCs w:val="21"/>
        </w:rPr>
        <w:t>2.12.4</w:t>
      </w:r>
      <w:r>
        <w:rPr>
          <w:rStyle w:val="43"/>
          <w:rFonts w:ascii="宋体" w:hAnsi="宋体" w:cs="宋体"/>
          <w:bCs/>
          <w:sz w:val="21"/>
          <w:szCs w:val="21"/>
        </w:rPr>
        <w:t>采购文件中如有描述歧义或前后不一致的地方，评标委员会有权按公平、合理的原则进行评判，但对同一条款的评判适用于每个投标人。</w:t>
      </w:r>
    </w:p>
    <w:p>
      <w:pPr>
        <w:spacing w:line="460" w:lineRule="exact"/>
        <w:ind w:firstLine="420"/>
        <w:rPr>
          <w:rStyle w:val="43"/>
          <w:rFonts w:ascii="宋体" w:hAnsi="宋体"/>
          <w:sz w:val="21"/>
          <w:szCs w:val="21"/>
        </w:rPr>
      </w:pPr>
      <w:r>
        <w:rPr>
          <w:rStyle w:val="43"/>
          <w:rFonts w:ascii="宋体" w:hAnsi="宋体" w:cs="宋体"/>
          <w:bCs/>
          <w:sz w:val="21"/>
          <w:szCs w:val="21"/>
        </w:rPr>
        <w:t>2.12.5投标文件的响应内容必须真实、明确、准确。否则，评标委员会将对其作出不利的评审。</w:t>
      </w:r>
    </w:p>
    <w:p>
      <w:pPr>
        <w:spacing w:line="460" w:lineRule="exact"/>
        <w:ind w:firstLine="420"/>
        <w:rPr>
          <w:rStyle w:val="43"/>
          <w:rFonts w:ascii="宋体" w:hAnsi="宋体"/>
          <w:sz w:val="21"/>
          <w:szCs w:val="21"/>
        </w:rPr>
      </w:pPr>
      <w:r>
        <w:rPr>
          <w:rStyle w:val="43"/>
          <w:rFonts w:ascii="宋体" w:hAnsi="宋体"/>
          <w:sz w:val="21"/>
          <w:szCs w:val="21"/>
        </w:rPr>
        <w:t>2.</w:t>
      </w:r>
      <w:r>
        <w:rPr>
          <w:rStyle w:val="43"/>
          <w:rFonts w:ascii="宋体" w:hAnsi="宋体" w:cs="宋体"/>
          <w:bCs/>
          <w:sz w:val="21"/>
          <w:szCs w:val="21"/>
        </w:rPr>
        <w:t>12.6乙</w:t>
      </w:r>
      <w:r>
        <w:rPr>
          <w:rStyle w:val="43"/>
          <w:rFonts w:ascii="宋体" w:hAnsi="宋体"/>
          <w:sz w:val="21"/>
          <w:szCs w:val="21"/>
        </w:rPr>
        <w:t>方为履行合同引起的相关人员的差旅费、食宿费以及其它不可预知的费用由乙方自理。合同实施过程中，须与甲方积极配合。</w:t>
      </w:r>
    </w:p>
    <w:p>
      <w:pPr>
        <w:spacing w:line="460" w:lineRule="exact"/>
        <w:ind w:firstLine="420"/>
        <w:rPr>
          <w:rStyle w:val="43"/>
          <w:rFonts w:ascii="宋体" w:hAnsi="宋体"/>
          <w:sz w:val="21"/>
          <w:szCs w:val="21"/>
        </w:rPr>
      </w:pPr>
      <w:r>
        <w:rPr>
          <w:rStyle w:val="43"/>
          <w:rFonts w:ascii="宋体" w:hAnsi="宋体"/>
          <w:sz w:val="21"/>
          <w:szCs w:val="21"/>
        </w:rPr>
        <w:t>2.12.7项目资金已落实。</w:t>
      </w:r>
    </w:p>
    <w:p>
      <w:pPr>
        <w:pStyle w:val="33"/>
        <w:spacing w:line="460" w:lineRule="exact"/>
        <w:ind w:left="778"/>
        <w:jc w:val="center"/>
        <w:outlineLvl w:val="1"/>
        <w:rPr>
          <w:rStyle w:val="43"/>
          <w:rFonts w:ascii="宋体" w:hAnsi="宋体"/>
          <w:b/>
          <w:sz w:val="21"/>
          <w:szCs w:val="21"/>
        </w:rPr>
      </w:pPr>
      <w:r>
        <w:rPr>
          <w:rStyle w:val="43"/>
          <w:rFonts w:ascii="宋体" w:hAnsi="宋体"/>
          <w:b/>
          <w:sz w:val="21"/>
          <w:szCs w:val="21"/>
        </w:rPr>
        <w:t>三、采购文件</w:t>
      </w:r>
    </w:p>
    <w:p>
      <w:pPr>
        <w:spacing w:line="460" w:lineRule="exact"/>
        <w:ind w:firstLine="420"/>
        <w:outlineLvl w:val="2"/>
        <w:rPr>
          <w:rStyle w:val="43"/>
          <w:rFonts w:ascii="宋体" w:hAnsi="宋体"/>
          <w:sz w:val="21"/>
          <w:szCs w:val="21"/>
        </w:rPr>
      </w:pPr>
      <w:r>
        <w:rPr>
          <w:rStyle w:val="43"/>
          <w:rFonts w:ascii="宋体" w:hAnsi="宋体"/>
          <w:sz w:val="21"/>
          <w:szCs w:val="21"/>
        </w:rPr>
        <w:t>3.1、采购文件组成</w:t>
      </w:r>
    </w:p>
    <w:p>
      <w:pPr>
        <w:spacing w:line="460" w:lineRule="exact"/>
        <w:ind w:firstLine="420"/>
        <w:rPr>
          <w:rStyle w:val="43"/>
          <w:rFonts w:ascii="宋体" w:hAnsi="宋体"/>
          <w:sz w:val="21"/>
          <w:szCs w:val="21"/>
        </w:rPr>
      </w:pPr>
      <w:r>
        <w:rPr>
          <w:rStyle w:val="43"/>
          <w:rFonts w:ascii="宋体" w:hAnsi="宋体"/>
          <w:sz w:val="21"/>
          <w:szCs w:val="21"/>
        </w:rPr>
        <w:t>3.1.1第一章 采购公告</w:t>
      </w:r>
    </w:p>
    <w:p>
      <w:pPr>
        <w:spacing w:line="460" w:lineRule="exact"/>
        <w:ind w:firstLine="420"/>
        <w:rPr>
          <w:rStyle w:val="43"/>
          <w:rFonts w:ascii="宋体" w:hAnsi="宋体"/>
          <w:sz w:val="21"/>
          <w:szCs w:val="21"/>
        </w:rPr>
      </w:pPr>
      <w:r>
        <w:rPr>
          <w:rStyle w:val="43"/>
          <w:rFonts w:ascii="宋体" w:hAnsi="宋体"/>
          <w:sz w:val="21"/>
          <w:szCs w:val="21"/>
        </w:rPr>
        <w:t>3.1.2第二章 投标须知</w:t>
      </w:r>
    </w:p>
    <w:p>
      <w:pPr>
        <w:spacing w:line="460" w:lineRule="exact"/>
        <w:ind w:firstLine="420"/>
        <w:rPr>
          <w:rStyle w:val="43"/>
          <w:rFonts w:ascii="宋体" w:hAnsi="宋体"/>
          <w:sz w:val="21"/>
          <w:szCs w:val="21"/>
        </w:rPr>
      </w:pPr>
      <w:r>
        <w:rPr>
          <w:rStyle w:val="43"/>
          <w:rFonts w:ascii="宋体" w:hAnsi="宋体"/>
          <w:sz w:val="21"/>
          <w:szCs w:val="21"/>
        </w:rPr>
        <w:t>3.1.3第三章 项目招标范围及服务要求</w:t>
      </w:r>
    </w:p>
    <w:p>
      <w:pPr>
        <w:spacing w:line="460" w:lineRule="exact"/>
        <w:ind w:firstLine="420"/>
        <w:rPr>
          <w:rStyle w:val="43"/>
          <w:rFonts w:ascii="宋体" w:hAnsi="宋体"/>
          <w:sz w:val="21"/>
          <w:szCs w:val="21"/>
        </w:rPr>
      </w:pPr>
      <w:r>
        <w:rPr>
          <w:rStyle w:val="43"/>
          <w:rFonts w:ascii="宋体" w:hAnsi="宋体"/>
          <w:sz w:val="21"/>
          <w:szCs w:val="21"/>
        </w:rPr>
        <w:t>3.1.4第四章 评标办法</w:t>
      </w:r>
    </w:p>
    <w:p>
      <w:pPr>
        <w:spacing w:line="460" w:lineRule="exact"/>
        <w:ind w:firstLine="420"/>
        <w:rPr>
          <w:rStyle w:val="43"/>
          <w:rFonts w:ascii="宋体" w:hAnsi="宋体"/>
          <w:sz w:val="21"/>
          <w:szCs w:val="21"/>
        </w:rPr>
      </w:pPr>
      <w:r>
        <w:rPr>
          <w:rStyle w:val="43"/>
          <w:rFonts w:ascii="宋体" w:hAnsi="宋体"/>
          <w:sz w:val="21"/>
          <w:szCs w:val="21"/>
        </w:rPr>
        <w:t>3.1.5第五章 合同主要条款</w:t>
      </w:r>
    </w:p>
    <w:p>
      <w:pPr>
        <w:spacing w:line="460" w:lineRule="exact"/>
        <w:ind w:firstLine="420"/>
        <w:rPr>
          <w:rStyle w:val="43"/>
          <w:rFonts w:ascii="宋体" w:hAnsi="宋体"/>
          <w:sz w:val="21"/>
          <w:szCs w:val="21"/>
        </w:rPr>
      </w:pPr>
      <w:r>
        <w:rPr>
          <w:rStyle w:val="43"/>
          <w:rFonts w:ascii="宋体" w:hAnsi="宋体"/>
          <w:sz w:val="21"/>
          <w:szCs w:val="21"/>
        </w:rPr>
        <w:t>3.1.6第六章 投标文件格式</w:t>
      </w:r>
    </w:p>
    <w:p>
      <w:pPr>
        <w:spacing w:line="460" w:lineRule="exact"/>
        <w:ind w:firstLine="420"/>
        <w:rPr>
          <w:rStyle w:val="43"/>
          <w:rFonts w:ascii="宋体" w:hAnsi="宋体"/>
          <w:sz w:val="21"/>
          <w:szCs w:val="21"/>
        </w:rPr>
      </w:pPr>
      <w:r>
        <w:rPr>
          <w:rStyle w:val="43"/>
          <w:rFonts w:ascii="宋体" w:hAnsi="宋体"/>
          <w:sz w:val="21"/>
          <w:szCs w:val="21"/>
        </w:rPr>
        <w:t>3.1.7补充文件（如有）</w:t>
      </w:r>
    </w:p>
    <w:p>
      <w:pPr>
        <w:spacing w:line="460" w:lineRule="exact"/>
        <w:ind w:firstLine="420"/>
        <w:outlineLvl w:val="2"/>
        <w:rPr>
          <w:rStyle w:val="43"/>
          <w:rFonts w:ascii="宋体" w:hAnsi="宋体"/>
          <w:sz w:val="21"/>
          <w:szCs w:val="21"/>
        </w:rPr>
      </w:pPr>
      <w:r>
        <w:rPr>
          <w:rStyle w:val="43"/>
          <w:rFonts w:ascii="宋体" w:hAnsi="宋体"/>
          <w:sz w:val="21"/>
          <w:szCs w:val="21"/>
        </w:rPr>
        <w:t>3.2、采购文件的解释权</w:t>
      </w:r>
    </w:p>
    <w:p>
      <w:pPr>
        <w:spacing w:line="460" w:lineRule="exact"/>
        <w:ind w:firstLine="420"/>
        <w:rPr>
          <w:rStyle w:val="43"/>
          <w:rFonts w:ascii="宋体" w:hAnsi="宋体"/>
          <w:sz w:val="21"/>
          <w:szCs w:val="21"/>
        </w:rPr>
      </w:pPr>
      <w:r>
        <w:rPr>
          <w:rStyle w:val="43"/>
          <w:rFonts w:ascii="宋体" w:hAnsi="宋体"/>
          <w:sz w:val="21"/>
          <w:szCs w:val="21"/>
        </w:rPr>
        <w:t>采购文件的解释权归采购组织机构所有。</w:t>
      </w:r>
    </w:p>
    <w:p>
      <w:pPr>
        <w:spacing w:line="460" w:lineRule="exact"/>
        <w:ind w:firstLine="420"/>
        <w:outlineLvl w:val="2"/>
        <w:rPr>
          <w:rStyle w:val="43"/>
          <w:rFonts w:ascii="宋体" w:hAnsi="宋体"/>
          <w:sz w:val="21"/>
          <w:szCs w:val="21"/>
        </w:rPr>
      </w:pPr>
      <w:r>
        <w:rPr>
          <w:rStyle w:val="43"/>
          <w:rFonts w:ascii="宋体" w:hAnsi="宋体"/>
          <w:sz w:val="21"/>
          <w:szCs w:val="21"/>
        </w:rPr>
        <w:t>3.3、采购文件的澄清</w:t>
      </w:r>
    </w:p>
    <w:p>
      <w:pPr>
        <w:spacing w:line="460" w:lineRule="exact"/>
        <w:ind w:firstLine="420"/>
        <w:rPr>
          <w:rStyle w:val="43"/>
          <w:rFonts w:ascii="宋体" w:hAnsi="宋体"/>
          <w:sz w:val="21"/>
          <w:szCs w:val="21"/>
        </w:rPr>
      </w:pPr>
      <w:r>
        <w:rPr>
          <w:rStyle w:val="43"/>
          <w:rFonts w:ascii="宋体" w:hAnsi="宋体"/>
          <w:sz w:val="21"/>
          <w:szCs w:val="21"/>
        </w:rPr>
        <w:t>3.3.1投标人在获取采购文件后，若有问题需要澄清或认为有必要与采购人进行技术交流，应于前附表规定的时间前，将问题发电子邮件至</w:t>
      </w:r>
      <w:r>
        <w:rPr>
          <w:rStyle w:val="43"/>
          <w:rFonts w:hint="eastAsia" w:ascii="宋体" w:hAnsi="宋体"/>
          <w:sz w:val="21"/>
          <w:szCs w:val="21"/>
        </w:rPr>
        <w:t>512922469</w:t>
      </w:r>
      <w:r>
        <w:rPr>
          <w:rStyle w:val="43"/>
          <w:rFonts w:ascii="宋体" w:hAnsi="宋体"/>
          <w:sz w:val="21"/>
          <w:szCs w:val="21"/>
        </w:rPr>
        <w:t>@qq.com（电子邮件与书面文件有不一致的，以书面文件为准）。截止期后的疑问将不予受理、答复。</w:t>
      </w:r>
    </w:p>
    <w:p>
      <w:pPr>
        <w:spacing w:line="460" w:lineRule="exact"/>
        <w:ind w:firstLine="420"/>
        <w:rPr>
          <w:rStyle w:val="43"/>
          <w:rFonts w:ascii="宋体" w:hAnsi="宋体"/>
          <w:sz w:val="21"/>
          <w:szCs w:val="21"/>
        </w:rPr>
      </w:pPr>
      <w:r>
        <w:rPr>
          <w:rStyle w:val="43"/>
          <w:rFonts w:ascii="宋体" w:hAnsi="宋体"/>
          <w:sz w:val="21"/>
          <w:szCs w:val="21"/>
        </w:rPr>
        <w:t>3.3.2 投标人要求解释或澄清的问题应以书面形式送达，并加盖公章、写明日期。</w:t>
      </w:r>
    </w:p>
    <w:p>
      <w:pPr>
        <w:spacing w:line="460" w:lineRule="exact"/>
        <w:ind w:firstLine="420"/>
        <w:rPr>
          <w:rStyle w:val="43"/>
          <w:rFonts w:ascii="宋体" w:hAnsi="宋体"/>
          <w:sz w:val="21"/>
          <w:szCs w:val="21"/>
        </w:rPr>
      </w:pPr>
      <w:r>
        <w:rPr>
          <w:rStyle w:val="43"/>
          <w:rFonts w:ascii="宋体" w:hAnsi="宋体"/>
          <w:sz w:val="21"/>
          <w:szCs w:val="21"/>
        </w:rPr>
        <w:t>3.3.3 所有要求解释或澄清的问题都予以解答，答疑内容与补充内容以更正（澄清）公告形式告知所有购买采购文件的投标人。</w:t>
      </w:r>
    </w:p>
    <w:p>
      <w:pPr>
        <w:spacing w:line="460" w:lineRule="exact"/>
        <w:ind w:firstLine="420"/>
        <w:outlineLvl w:val="2"/>
        <w:rPr>
          <w:rStyle w:val="43"/>
          <w:rFonts w:ascii="宋体" w:hAnsi="宋体"/>
          <w:sz w:val="21"/>
          <w:szCs w:val="21"/>
        </w:rPr>
      </w:pPr>
      <w:r>
        <w:rPr>
          <w:rStyle w:val="43"/>
          <w:rFonts w:ascii="宋体" w:hAnsi="宋体"/>
          <w:sz w:val="21"/>
          <w:szCs w:val="21"/>
        </w:rPr>
        <w:t>3.4、采购文件的修改</w:t>
      </w:r>
    </w:p>
    <w:p>
      <w:pPr>
        <w:spacing w:line="460" w:lineRule="exact"/>
        <w:ind w:firstLine="420"/>
        <w:rPr>
          <w:rStyle w:val="43"/>
          <w:rFonts w:ascii="宋体" w:hAnsi="宋体"/>
          <w:sz w:val="21"/>
          <w:szCs w:val="21"/>
        </w:rPr>
      </w:pPr>
      <w:r>
        <w:rPr>
          <w:rStyle w:val="43"/>
          <w:rFonts w:ascii="宋体" w:hAnsi="宋体"/>
          <w:sz w:val="21"/>
          <w:szCs w:val="21"/>
        </w:rPr>
        <w:t>3.4.1采购人或者采购代理机构可以对已发出的采购文件进行必要的澄清或者修改。澄清或者修改的内容可能影响投标文件编制的，采购代理机构应当在投标截止时间至少15日前，以更正（澄清）公告形式通知所有获取采购文件的潜在投标人；不足15日的，采购代理机构应当顺延提交投标文件的截止时间。</w:t>
      </w:r>
    </w:p>
    <w:p>
      <w:pPr>
        <w:spacing w:line="460" w:lineRule="exact"/>
        <w:ind w:firstLine="420"/>
        <w:rPr>
          <w:rStyle w:val="43"/>
          <w:rFonts w:ascii="宋体" w:hAnsi="宋体"/>
          <w:sz w:val="21"/>
          <w:szCs w:val="21"/>
        </w:rPr>
      </w:pPr>
      <w:r>
        <w:rPr>
          <w:rStyle w:val="43"/>
          <w:rFonts w:ascii="宋体" w:hAnsi="宋体"/>
          <w:sz w:val="21"/>
          <w:szCs w:val="21"/>
        </w:rPr>
        <w:t>3.4.2 采购文件的修改将以更正（澄清）公告通知所有购买采购文件的投标人，并对其具有约束力。投标人应及时关注浙江政府采购网上该项目的公告信息。</w:t>
      </w:r>
    </w:p>
    <w:p>
      <w:pPr>
        <w:spacing w:line="460" w:lineRule="exact"/>
        <w:ind w:firstLine="420"/>
        <w:rPr>
          <w:rStyle w:val="43"/>
          <w:rFonts w:ascii="宋体" w:hAnsi="宋体"/>
          <w:sz w:val="21"/>
          <w:szCs w:val="21"/>
        </w:rPr>
      </w:pPr>
      <w:r>
        <w:rPr>
          <w:rStyle w:val="43"/>
          <w:rFonts w:ascii="宋体" w:hAnsi="宋体"/>
          <w:sz w:val="21"/>
          <w:szCs w:val="21"/>
        </w:rPr>
        <w:t>3.4.3 在更正（澄清）公告发布后，如果投标人认为编制投标文件的时间不充分的，必须在公告发布之日的24小时内通知采购人和采购代理机构。否则，视同投标人有充足时间编制投标文件。</w:t>
      </w:r>
    </w:p>
    <w:p>
      <w:pPr>
        <w:spacing w:line="460" w:lineRule="exact"/>
        <w:ind w:firstLine="420"/>
        <w:rPr>
          <w:rStyle w:val="43"/>
          <w:rFonts w:ascii="宋体" w:hAnsi="宋体"/>
          <w:sz w:val="21"/>
          <w:szCs w:val="21"/>
        </w:rPr>
      </w:pPr>
      <w:r>
        <w:rPr>
          <w:rStyle w:val="43"/>
          <w:rFonts w:ascii="宋体" w:hAnsi="宋体"/>
          <w:sz w:val="21"/>
          <w:szCs w:val="21"/>
        </w:rPr>
        <w:t>3.4.4采购文件澄清、答复、修改、补充的内容为采购文件的组成部分。当采购文件与采购文件的答复、澄清、修改、补充通知就同一内容的表述不一致时，以最后发出的更正（澄清）公告为准。</w:t>
      </w:r>
    </w:p>
    <w:p>
      <w:pPr>
        <w:spacing w:line="460" w:lineRule="exact"/>
        <w:ind w:firstLine="420"/>
        <w:rPr>
          <w:rStyle w:val="43"/>
          <w:rFonts w:ascii="宋体" w:hAnsi="宋体"/>
          <w:sz w:val="21"/>
          <w:szCs w:val="21"/>
        </w:rPr>
      </w:pPr>
      <w:r>
        <w:rPr>
          <w:rStyle w:val="43"/>
          <w:rFonts w:ascii="宋体" w:hAnsi="宋体"/>
          <w:sz w:val="21"/>
          <w:szCs w:val="21"/>
        </w:rPr>
        <w:t>3.4.6 采购文件的澄清、答复、修改或补充都应该通过本代理机构以法定形式发布，除此以外的发布不属于采购文件的组成部分。</w:t>
      </w:r>
    </w:p>
    <w:p>
      <w:pPr>
        <w:pStyle w:val="33"/>
        <w:spacing w:line="460" w:lineRule="exact"/>
        <w:ind w:left="778"/>
        <w:jc w:val="center"/>
        <w:outlineLvl w:val="1"/>
        <w:rPr>
          <w:rStyle w:val="43"/>
          <w:rFonts w:ascii="宋体" w:hAnsi="宋体"/>
          <w:b/>
          <w:sz w:val="21"/>
          <w:szCs w:val="21"/>
        </w:rPr>
      </w:pPr>
      <w:r>
        <w:rPr>
          <w:rStyle w:val="43"/>
          <w:rFonts w:ascii="宋体" w:hAnsi="宋体"/>
          <w:b/>
          <w:sz w:val="21"/>
          <w:szCs w:val="21"/>
        </w:rPr>
        <w:t>四、投标文件</w:t>
      </w:r>
    </w:p>
    <w:p>
      <w:pPr>
        <w:spacing w:line="460" w:lineRule="exact"/>
        <w:ind w:firstLine="420"/>
        <w:outlineLvl w:val="2"/>
        <w:rPr>
          <w:rStyle w:val="43"/>
          <w:rFonts w:ascii="宋体" w:hAnsi="宋体"/>
          <w:sz w:val="21"/>
          <w:szCs w:val="21"/>
        </w:rPr>
      </w:pPr>
      <w:r>
        <w:rPr>
          <w:rStyle w:val="43"/>
          <w:rFonts w:ascii="宋体" w:hAnsi="宋体"/>
          <w:sz w:val="21"/>
          <w:szCs w:val="21"/>
        </w:rPr>
        <w:t>4.1、投标文件</w:t>
      </w:r>
    </w:p>
    <w:p>
      <w:pPr>
        <w:spacing w:line="460" w:lineRule="exact"/>
        <w:ind w:firstLine="420"/>
        <w:rPr>
          <w:rStyle w:val="43"/>
          <w:rFonts w:ascii="宋体" w:hAnsi="宋体"/>
          <w:sz w:val="21"/>
          <w:szCs w:val="21"/>
        </w:rPr>
      </w:pPr>
      <w:r>
        <w:rPr>
          <w:rStyle w:val="43"/>
          <w:rFonts w:ascii="宋体" w:hAnsi="宋体"/>
          <w:sz w:val="21"/>
          <w:szCs w:val="21"/>
        </w:rPr>
        <w:t>4.1.1 投标人应仔细阅读采购文件规定的所有内容，以保证能全面准确理解采购文件，并按照采购文件要求，详细编制投标文件，投标文件内容必须针对本次招标响应。</w:t>
      </w:r>
    </w:p>
    <w:p>
      <w:pPr>
        <w:spacing w:line="460" w:lineRule="exact"/>
        <w:ind w:firstLine="420"/>
        <w:rPr>
          <w:rStyle w:val="43"/>
          <w:rFonts w:ascii="宋体" w:hAnsi="宋体" w:cs="宋体"/>
          <w:bCs/>
          <w:sz w:val="21"/>
          <w:szCs w:val="21"/>
        </w:rPr>
      </w:pPr>
      <w:r>
        <w:rPr>
          <w:rStyle w:val="43"/>
          <w:rFonts w:ascii="宋体" w:hAnsi="宋体"/>
          <w:sz w:val="21"/>
          <w:szCs w:val="21"/>
        </w:rPr>
        <w:t>4.1.2投标人必须按采购文件的要求提供相关资料，并对采购文件中提出的所有内容要求给予实质性响应，须保证投标文件的准确、真实、明确</w:t>
      </w:r>
      <w:r>
        <w:rPr>
          <w:rStyle w:val="43"/>
          <w:rFonts w:ascii="宋体" w:hAnsi="宋体" w:cs="宋体"/>
          <w:bCs/>
          <w:sz w:val="21"/>
          <w:szCs w:val="21"/>
        </w:rPr>
        <w:t>。投标文件响应内容对采购文件要求如有偏离均应填写偏离表，如不填写，采购人有权视作投标文件完全响应采购文件要求。</w:t>
      </w:r>
    </w:p>
    <w:p>
      <w:pPr>
        <w:spacing w:line="460" w:lineRule="exact"/>
        <w:ind w:firstLine="420"/>
        <w:outlineLvl w:val="2"/>
        <w:rPr>
          <w:rStyle w:val="43"/>
          <w:rFonts w:ascii="宋体" w:hAnsi="宋体"/>
          <w:sz w:val="21"/>
          <w:szCs w:val="21"/>
        </w:rPr>
      </w:pPr>
      <w:r>
        <w:rPr>
          <w:rStyle w:val="43"/>
          <w:rFonts w:ascii="宋体" w:hAnsi="宋体"/>
          <w:sz w:val="21"/>
          <w:szCs w:val="21"/>
        </w:rPr>
        <w:t>4.2、投标文件组成</w:t>
      </w:r>
    </w:p>
    <w:p>
      <w:pPr>
        <w:spacing w:line="460" w:lineRule="exact"/>
        <w:ind w:firstLine="420"/>
        <w:rPr>
          <w:rStyle w:val="43"/>
          <w:rFonts w:ascii="宋体" w:hAnsi="宋体" w:cs="宋体"/>
          <w:b/>
          <w:bCs/>
          <w:sz w:val="21"/>
          <w:szCs w:val="21"/>
        </w:rPr>
      </w:pPr>
      <w:r>
        <w:rPr>
          <w:rStyle w:val="43"/>
          <w:rFonts w:ascii="宋体" w:hAnsi="宋体" w:cs="宋体"/>
          <w:b/>
          <w:bCs/>
          <w:sz w:val="21"/>
          <w:szCs w:val="21"/>
        </w:rPr>
        <w:t>4.2.1资格证明文件部分</w:t>
      </w:r>
    </w:p>
    <w:p>
      <w:pPr>
        <w:spacing w:line="460" w:lineRule="exact"/>
        <w:ind w:firstLine="420"/>
        <w:rPr>
          <w:rStyle w:val="43"/>
          <w:rFonts w:ascii="宋体" w:hAnsi="宋体"/>
          <w:sz w:val="21"/>
          <w:szCs w:val="21"/>
        </w:rPr>
      </w:pPr>
      <w:r>
        <w:rPr>
          <w:rStyle w:val="43"/>
          <w:rFonts w:ascii="宋体" w:hAnsi="宋体"/>
          <w:sz w:val="21"/>
          <w:szCs w:val="21"/>
        </w:rPr>
        <w:t>1）</w:t>
      </w:r>
      <w:r>
        <w:rPr>
          <w:rStyle w:val="43"/>
          <w:rFonts w:ascii="宋体" w:hAnsi="宋体"/>
          <w:sz w:val="21"/>
          <w:szCs w:val="21"/>
          <w:lang w:val="zh-CN"/>
        </w:rPr>
        <w:t>提供</w:t>
      </w:r>
      <w:r>
        <w:rPr>
          <w:rStyle w:val="43"/>
          <w:rFonts w:ascii="宋体" w:hAnsi="宋体"/>
          <w:sz w:val="21"/>
          <w:szCs w:val="21"/>
        </w:rPr>
        <w:t>投标人</w:t>
      </w:r>
      <w:r>
        <w:rPr>
          <w:rStyle w:val="43"/>
          <w:rFonts w:ascii="宋体" w:hAnsi="宋体"/>
          <w:sz w:val="21"/>
          <w:szCs w:val="21"/>
          <w:lang w:val="zh-CN"/>
        </w:rPr>
        <w:t>营业执照</w:t>
      </w:r>
      <w:r>
        <w:rPr>
          <w:rStyle w:val="43"/>
          <w:rFonts w:ascii="宋体" w:hAnsi="宋体"/>
          <w:sz w:val="21"/>
          <w:szCs w:val="21"/>
        </w:rPr>
        <w:t>扫描</w:t>
      </w:r>
      <w:r>
        <w:rPr>
          <w:rStyle w:val="43"/>
          <w:rFonts w:ascii="宋体" w:hAnsi="宋体"/>
          <w:sz w:val="21"/>
          <w:szCs w:val="21"/>
          <w:lang w:val="zh-CN"/>
        </w:rPr>
        <w:t>件；</w:t>
      </w:r>
    </w:p>
    <w:p>
      <w:pPr>
        <w:spacing w:line="460" w:lineRule="exact"/>
        <w:ind w:firstLine="420"/>
        <w:rPr>
          <w:rStyle w:val="43"/>
          <w:rFonts w:ascii="宋体" w:hAnsi="宋体"/>
          <w:sz w:val="21"/>
          <w:szCs w:val="21"/>
        </w:rPr>
      </w:pPr>
      <w:r>
        <w:rPr>
          <w:rStyle w:val="43"/>
          <w:rFonts w:ascii="宋体" w:hAnsi="宋体"/>
          <w:sz w:val="21"/>
          <w:szCs w:val="21"/>
        </w:rPr>
        <w:t>2）具有履行合同所必需的设备和专业技术能力的承诺函（格式</w:t>
      </w:r>
      <w:r>
        <w:rPr>
          <w:rStyle w:val="43"/>
          <w:rFonts w:hint="eastAsia" w:ascii="宋体" w:hAnsi="宋体"/>
          <w:sz w:val="21"/>
          <w:szCs w:val="21"/>
          <w:lang w:eastAsia="zh-CN"/>
        </w:rPr>
        <w:t>自拟</w:t>
      </w:r>
      <w:r>
        <w:rPr>
          <w:rStyle w:val="43"/>
          <w:rFonts w:ascii="宋体" w:hAnsi="宋体"/>
          <w:sz w:val="21"/>
          <w:szCs w:val="21"/>
        </w:rPr>
        <w:t>）；</w:t>
      </w:r>
    </w:p>
    <w:p>
      <w:pPr>
        <w:spacing w:line="460" w:lineRule="exact"/>
        <w:ind w:firstLine="420"/>
        <w:rPr>
          <w:rStyle w:val="43"/>
          <w:rFonts w:ascii="宋体" w:hAnsi="宋体"/>
          <w:sz w:val="21"/>
          <w:szCs w:val="21"/>
          <w:lang w:val="zh-CN"/>
        </w:rPr>
      </w:pPr>
      <w:r>
        <w:rPr>
          <w:rStyle w:val="43"/>
          <w:rFonts w:ascii="宋体" w:hAnsi="宋体"/>
          <w:sz w:val="21"/>
          <w:szCs w:val="21"/>
        </w:rPr>
        <w:t>3</w:t>
      </w:r>
      <w:r>
        <w:rPr>
          <w:rStyle w:val="43"/>
          <w:rFonts w:ascii="宋体" w:hAnsi="宋体"/>
          <w:sz w:val="21"/>
          <w:szCs w:val="21"/>
          <w:lang w:val="zh-CN"/>
        </w:rPr>
        <w:t>）符合参加政府采购活动应当具备的一般条件的承诺函</w:t>
      </w:r>
      <w:r>
        <w:rPr>
          <w:rStyle w:val="43"/>
          <w:rFonts w:ascii="宋体" w:hAnsi="宋体"/>
          <w:sz w:val="21"/>
          <w:szCs w:val="21"/>
        </w:rPr>
        <w:t>（格式见附件）</w:t>
      </w:r>
      <w:r>
        <w:rPr>
          <w:rStyle w:val="43"/>
          <w:rFonts w:ascii="宋体" w:hAnsi="宋体"/>
          <w:sz w:val="21"/>
          <w:szCs w:val="21"/>
          <w:lang w:val="zh-CN"/>
        </w:rPr>
        <w:t>；</w:t>
      </w:r>
    </w:p>
    <w:p>
      <w:pPr>
        <w:spacing w:line="460" w:lineRule="exact"/>
        <w:ind w:firstLine="420"/>
      </w:pPr>
      <w:r>
        <w:rPr>
          <w:rStyle w:val="43"/>
          <w:rFonts w:hint="eastAsia" w:ascii="宋体" w:hAnsi="宋体"/>
          <w:sz w:val="21"/>
          <w:szCs w:val="21"/>
          <w:highlight w:val="none"/>
          <w:lang w:val="en-US" w:eastAsia="zh-CN"/>
        </w:rPr>
        <w:t>4）</w:t>
      </w:r>
      <w:r>
        <w:rPr>
          <w:rStyle w:val="43"/>
          <w:rFonts w:hint="eastAsia" w:ascii="宋体" w:hAnsi="宋体"/>
          <w:sz w:val="21"/>
          <w:szCs w:val="21"/>
          <w:highlight w:val="none"/>
          <w:lang w:val="zh-CN"/>
        </w:rPr>
        <w:t>投标人认为需要提供的与投标评标有关的其他资料。</w:t>
      </w:r>
    </w:p>
    <w:p>
      <w:pPr>
        <w:spacing w:line="460" w:lineRule="exact"/>
        <w:ind w:firstLine="420"/>
        <w:rPr>
          <w:rStyle w:val="43"/>
          <w:rFonts w:ascii="宋体" w:hAnsi="宋体"/>
          <w:b/>
          <w:sz w:val="21"/>
          <w:szCs w:val="21"/>
          <w:highlight w:val="none"/>
        </w:rPr>
      </w:pPr>
      <w:r>
        <w:rPr>
          <w:rStyle w:val="43"/>
          <w:rFonts w:ascii="宋体" w:hAnsi="宋体"/>
          <w:b/>
          <w:sz w:val="21"/>
          <w:szCs w:val="21"/>
          <w:highlight w:val="none"/>
        </w:rPr>
        <w:t>4.2.2资信技术部分</w:t>
      </w:r>
    </w:p>
    <w:p>
      <w:pPr>
        <w:spacing w:line="460" w:lineRule="exact"/>
        <w:ind w:firstLine="420"/>
        <w:rPr>
          <w:rStyle w:val="43"/>
          <w:rFonts w:ascii="宋体" w:hAnsi="宋体"/>
          <w:sz w:val="21"/>
          <w:szCs w:val="21"/>
          <w:highlight w:val="none"/>
        </w:rPr>
      </w:pPr>
      <w:r>
        <w:rPr>
          <w:rStyle w:val="43"/>
          <w:rFonts w:ascii="宋体" w:hAnsi="宋体"/>
          <w:sz w:val="21"/>
          <w:szCs w:val="21"/>
          <w:highlight w:val="none"/>
        </w:rPr>
        <w:t>1）评分索引表；</w:t>
      </w:r>
    </w:p>
    <w:p>
      <w:pPr>
        <w:spacing w:line="460" w:lineRule="exact"/>
        <w:ind w:firstLine="420"/>
        <w:rPr>
          <w:rStyle w:val="43"/>
          <w:rFonts w:ascii="宋体" w:hAnsi="宋体"/>
          <w:sz w:val="21"/>
          <w:szCs w:val="21"/>
          <w:highlight w:val="none"/>
          <w:lang w:val="zh-CN"/>
        </w:rPr>
      </w:pPr>
      <w:r>
        <w:rPr>
          <w:rStyle w:val="43"/>
          <w:rFonts w:ascii="宋体" w:hAnsi="宋体"/>
          <w:sz w:val="21"/>
          <w:szCs w:val="21"/>
          <w:highlight w:val="none"/>
          <w:lang w:val="zh-CN"/>
        </w:rPr>
        <w:t>2）投标函（格式见附件）；</w:t>
      </w:r>
    </w:p>
    <w:p>
      <w:pPr>
        <w:spacing w:line="460" w:lineRule="exact"/>
        <w:ind w:firstLine="420"/>
        <w:rPr>
          <w:rStyle w:val="43"/>
          <w:rFonts w:ascii="宋体" w:hAnsi="宋体"/>
          <w:sz w:val="21"/>
          <w:szCs w:val="21"/>
          <w:highlight w:val="none"/>
          <w:lang w:val="zh-CN"/>
        </w:rPr>
      </w:pPr>
      <w:r>
        <w:rPr>
          <w:rStyle w:val="43"/>
          <w:rFonts w:hint="eastAsia" w:ascii="宋体" w:hAnsi="宋体"/>
          <w:sz w:val="21"/>
          <w:szCs w:val="21"/>
          <w:highlight w:val="none"/>
        </w:rPr>
        <w:t>3</w:t>
      </w:r>
      <w:r>
        <w:rPr>
          <w:rStyle w:val="43"/>
          <w:rFonts w:ascii="宋体" w:hAnsi="宋体"/>
          <w:sz w:val="21"/>
          <w:szCs w:val="21"/>
          <w:highlight w:val="none"/>
          <w:lang w:val="zh-CN"/>
        </w:rPr>
        <w:t>）联合协议（如为联合体投标）（格式见附件）；</w:t>
      </w:r>
    </w:p>
    <w:p>
      <w:pPr>
        <w:spacing w:line="460" w:lineRule="exact"/>
        <w:ind w:firstLine="420"/>
        <w:rPr>
          <w:rStyle w:val="43"/>
          <w:rFonts w:ascii="宋体" w:hAnsi="宋体"/>
          <w:sz w:val="21"/>
          <w:szCs w:val="21"/>
          <w:highlight w:val="none"/>
          <w:lang w:val="zh-CN"/>
        </w:rPr>
      </w:pPr>
      <w:r>
        <w:rPr>
          <w:rStyle w:val="43"/>
          <w:rFonts w:hint="eastAsia" w:ascii="宋体" w:hAnsi="宋体"/>
          <w:sz w:val="21"/>
          <w:szCs w:val="21"/>
          <w:highlight w:val="none"/>
        </w:rPr>
        <w:t>4</w:t>
      </w:r>
      <w:r>
        <w:rPr>
          <w:rStyle w:val="43"/>
          <w:rFonts w:ascii="宋体" w:hAnsi="宋体"/>
          <w:sz w:val="21"/>
          <w:szCs w:val="21"/>
          <w:highlight w:val="none"/>
          <w:lang w:val="zh-CN"/>
        </w:rPr>
        <w:t>）</w:t>
      </w:r>
      <w:r>
        <w:rPr>
          <w:rStyle w:val="43"/>
          <w:rFonts w:hint="eastAsia" w:ascii="宋体" w:hAnsi="宋体"/>
          <w:sz w:val="21"/>
          <w:szCs w:val="21"/>
          <w:highlight w:val="none"/>
          <w:lang w:val="zh-CN"/>
        </w:rPr>
        <w:t>投标人情况表</w:t>
      </w:r>
      <w:r>
        <w:rPr>
          <w:rStyle w:val="43"/>
          <w:rFonts w:ascii="宋体" w:hAnsi="宋体"/>
          <w:sz w:val="21"/>
          <w:szCs w:val="21"/>
          <w:highlight w:val="none"/>
          <w:lang w:val="zh-CN"/>
        </w:rPr>
        <w:t>（格式见附件）；</w:t>
      </w:r>
    </w:p>
    <w:p>
      <w:pPr>
        <w:spacing w:line="460" w:lineRule="exact"/>
        <w:ind w:firstLine="420"/>
        <w:rPr>
          <w:rStyle w:val="43"/>
          <w:rFonts w:ascii="宋体" w:hAnsi="宋体"/>
          <w:sz w:val="21"/>
          <w:szCs w:val="21"/>
          <w:highlight w:val="none"/>
          <w:lang w:val="zh-CN"/>
        </w:rPr>
      </w:pPr>
      <w:r>
        <w:rPr>
          <w:rStyle w:val="43"/>
          <w:rFonts w:hint="eastAsia" w:ascii="宋体" w:hAnsi="宋体"/>
          <w:sz w:val="21"/>
          <w:szCs w:val="21"/>
          <w:highlight w:val="none"/>
        </w:rPr>
        <w:t>5</w:t>
      </w:r>
      <w:r>
        <w:rPr>
          <w:rStyle w:val="43"/>
          <w:rFonts w:ascii="宋体" w:hAnsi="宋体"/>
          <w:sz w:val="21"/>
          <w:szCs w:val="21"/>
          <w:highlight w:val="none"/>
          <w:lang w:val="zh-CN"/>
        </w:rPr>
        <w:t>）法定代表人授权委托书、法定代表人和授权委托人身份证复印件（格式见附件）；</w:t>
      </w:r>
    </w:p>
    <w:p>
      <w:pPr>
        <w:spacing w:line="460" w:lineRule="exact"/>
        <w:ind w:firstLine="420"/>
        <w:rPr>
          <w:rStyle w:val="43"/>
          <w:rFonts w:ascii="宋体" w:hAnsi="宋体"/>
          <w:sz w:val="21"/>
          <w:szCs w:val="21"/>
          <w:highlight w:val="none"/>
          <w:lang w:val="zh-CN"/>
        </w:rPr>
      </w:pPr>
      <w:r>
        <w:rPr>
          <w:rStyle w:val="43"/>
          <w:rFonts w:hint="eastAsia" w:ascii="宋体" w:hAnsi="宋体"/>
          <w:sz w:val="21"/>
          <w:szCs w:val="21"/>
          <w:highlight w:val="none"/>
        </w:rPr>
        <w:t>6</w:t>
      </w:r>
      <w:r>
        <w:rPr>
          <w:rStyle w:val="43"/>
          <w:rFonts w:hint="eastAsia" w:ascii="宋体" w:hAnsi="宋体"/>
          <w:sz w:val="21"/>
          <w:szCs w:val="21"/>
          <w:highlight w:val="none"/>
          <w:lang w:val="zh-CN"/>
        </w:rPr>
        <w:t>）业绩</w:t>
      </w:r>
      <w:r>
        <w:rPr>
          <w:rStyle w:val="43"/>
          <w:rFonts w:ascii="宋体" w:hAnsi="宋体"/>
          <w:sz w:val="21"/>
          <w:szCs w:val="21"/>
          <w:highlight w:val="none"/>
          <w:lang w:val="zh-CN"/>
        </w:rPr>
        <w:t>（格式见附件）</w:t>
      </w:r>
      <w:r>
        <w:rPr>
          <w:rStyle w:val="43"/>
          <w:rFonts w:hint="eastAsia" w:ascii="宋体" w:hAnsi="宋体"/>
          <w:sz w:val="21"/>
          <w:szCs w:val="21"/>
          <w:highlight w:val="none"/>
          <w:lang w:val="zh-CN"/>
        </w:rPr>
        <w:t>；</w:t>
      </w:r>
    </w:p>
    <w:p>
      <w:pPr>
        <w:spacing w:line="460" w:lineRule="exact"/>
        <w:ind w:firstLine="420"/>
        <w:rPr>
          <w:rStyle w:val="43"/>
          <w:rFonts w:ascii="宋体" w:hAnsi="宋体"/>
          <w:sz w:val="21"/>
          <w:szCs w:val="21"/>
          <w:highlight w:val="none"/>
          <w:lang w:val="zh-CN"/>
        </w:rPr>
      </w:pPr>
      <w:r>
        <w:rPr>
          <w:rStyle w:val="43"/>
          <w:rFonts w:hint="eastAsia" w:ascii="宋体" w:hAnsi="宋体"/>
          <w:sz w:val="21"/>
          <w:szCs w:val="21"/>
          <w:highlight w:val="none"/>
        </w:rPr>
        <w:t>7</w:t>
      </w:r>
      <w:r>
        <w:rPr>
          <w:rStyle w:val="43"/>
          <w:rFonts w:hint="eastAsia" w:ascii="宋体" w:hAnsi="宋体"/>
          <w:sz w:val="21"/>
          <w:szCs w:val="21"/>
          <w:highlight w:val="none"/>
          <w:lang w:val="zh-CN"/>
        </w:rPr>
        <w:t>）项目负责人简历表、拟投入本项目的管理人员配备表</w:t>
      </w:r>
      <w:r>
        <w:rPr>
          <w:rStyle w:val="43"/>
          <w:rFonts w:ascii="宋体" w:hAnsi="宋体"/>
          <w:sz w:val="21"/>
          <w:szCs w:val="21"/>
          <w:highlight w:val="none"/>
          <w:lang w:val="zh-CN"/>
        </w:rPr>
        <w:t>（格式见附件）</w:t>
      </w:r>
      <w:r>
        <w:rPr>
          <w:rStyle w:val="43"/>
          <w:rFonts w:hint="eastAsia" w:ascii="宋体" w:hAnsi="宋体"/>
          <w:sz w:val="21"/>
          <w:szCs w:val="21"/>
          <w:highlight w:val="none"/>
          <w:lang w:val="zh-CN"/>
        </w:rPr>
        <w:t>；</w:t>
      </w:r>
    </w:p>
    <w:p>
      <w:pPr>
        <w:spacing w:line="460" w:lineRule="exact"/>
        <w:ind w:firstLine="420"/>
        <w:rPr>
          <w:rStyle w:val="43"/>
          <w:rFonts w:ascii="宋体" w:hAnsi="宋体"/>
          <w:sz w:val="21"/>
          <w:szCs w:val="21"/>
          <w:highlight w:val="none"/>
          <w:lang w:val="zh-CN"/>
        </w:rPr>
      </w:pPr>
      <w:r>
        <w:rPr>
          <w:rStyle w:val="43"/>
          <w:rFonts w:hint="eastAsia" w:ascii="宋体" w:hAnsi="宋体"/>
          <w:sz w:val="21"/>
          <w:szCs w:val="21"/>
          <w:highlight w:val="none"/>
        </w:rPr>
        <w:t>8</w:t>
      </w:r>
      <w:r>
        <w:rPr>
          <w:rStyle w:val="43"/>
          <w:rFonts w:hint="eastAsia" w:ascii="宋体" w:hAnsi="宋体"/>
          <w:sz w:val="21"/>
          <w:szCs w:val="21"/>
          <w:highlight w:val="none"/>
          <w:lang w:val="zh-CN"/>
        </w:rPr>
        <w:t>）商务资信响应表、技术偏离表</w:t>
      </w:r>
      <w:r>
        <w:rPr>
          <w:rStyle w:val="43"/>
          <w:rFonts w:ascii="宋体" w:hAnsi="宋体"/>
          <w:sz w:val="21"/>
          <w:szCs w:val="21"/>
          <w:highlight w:val="none"/>
          <w:lang w:val="zh-CN"/>
        </w:rPr>
        <w:t>（格式见附件）</w:t>
      </w:r>
      <w:r>
        <w:rPr>
          <w:rStyle w:val="43"/>
          <w:rFonts w:hint="eastAsia" w:ascii="宋体" w:hAnsi="宋体"/>
          <w:sz w:val="21"/>
          <w:szCs w:val="21"/>
          <w:highlight w:val="none"/>
          <w:lang w:val="zh-CN"/>
        </w:rPr>
        <w:t>；</w:t>
      </w:r>
    </w:p>
    <w:p>
      <w:pPr>
        <w:spacing w:line="460" w:lineRule="exact"/>
        <w:ind w:firstLine="420"/>
        <w:rPr>
          <w:rStyle w:val="43"/>
          <w:rFonts w:ascii="宋体" w:hAnsi="宋体"/>
          <w:sz w:val="21"/>
          <w:szCs w:val="21"/>
          <w:highlight w:val="none"/>
          <w:lang w:val="zh-CN"/>
        </w:rPr>
      </w:pPr>
      <w:r>
        <w:rPr>
          <w:rStyle w:val="43"/>
          <w:rFonts w:hint="eastAsia" w:ascii="宋体" w:hAnsi="宋体"/>
          <w:sz w:val="21"/>
          <w:szCs w:val="21"/>
          <w:highlight w:val="none"/>
        </w:rPr>
        <w:t>9</w:t>
      </w:r>
      <w:r>
        <w:rPr>
          <w:rStyle w:val="43"/>
          <w:rFonts w:hint="eastAsia" w:ascii="宋体" w:hAnsi="宋体"/>
          <w:sz w:val="21"/>
          <w:szCs w:val="21"/>
          <w:highlight w:val="none"/>
          <w:lang w:val="zh-CN"/>
        </w:rPr>
        <w:t>）技术方案；</w:t>
      </w:r>
    </w:p>
    <w:p>
      <w:pPr>
        <w:spacing w:line="460" w:lineRule="exact"/>
        <w:ind w:firstLine="420"/>
        <w:rPr>
          <w:rStyle w:val="43"/>
          <w:rFonts w:ascii="宋体" w:hAnsi="宋体"/>
          <w:sz w:val="21"/>
          <w:szCs w:val="21"/>
          <w:highlight w:val="none"/>
        </w:rPr>
      </w:pPr>
      <w:r>
        <w:rPr>
          <w:rStyle w:val="43"/>
          <w:rFonts w:hint="eastAsia" w:ascii="宋体" w:hAnsi="宋体"/>
          <w:sz w:val="21"/>
          <w:szCs w:val="21"/>
          <w:highlight w:val="none"/>
        </w:rPr>
        <w:t>1</w:t>
      </w:r>
      <w:r>
        <w:rPr>
          <w:rStyle w:val="43"/>
          <w:rFonts w:hint="eastAsia" w:ascii="宋体" w:hAnsi="宋体"/>
          <w:sz w:val="21"/>
          <w:szCs w:val="21"/>
          <w:highlight w:val="none"/>
          <w:lang w:val="en-US" w:eastAsia="zh-CN"/>
        </w:rPr>
        <w:t>0</w:t>
      </w:r>
      <w:r>
        <w:rPr>
          <w:rStyle w:val="43"/>
          <w:rFonts w:hint="eastAsia" w:ascii="宋体" w:hAnsi="宋体"/>
          <w:sz w:val="21"/>
          <w:szCs w:val="21"/>
          <w:highlight w:val="none"/>
        </w:rPr>
        <w:t>）系统及云资源安全；</w:t>
      </w:r>
    </w:p>
    <w:p>
      <w:pPr>
        <w:spacing w:line="460" w:lineRule="exact"/>
        <w:ind w:firstLine="420"/>
        <w:rPr>
          <w:rStyle w:val="43"/>
          <w:rFonts w:ascii="宋体" w:hAnsi="宋体"/>
          <w:sz w:val="21"/>
          <w:szCs w:val="21"/>
          <w:highlight w:val="none"/>
        </w:rPr>
      </w:pPr>
      <w:r>
        <w:rPr>
          <w:rStyle w:val="43"/>
          <w:rFonts w:hint="eastAsia" w:ascii="宋体" w:hAnsi="宋体"/>
          <w:sz w:val="21"/>
          <w:szCs w:val="21"/>
          <w:highlight w:val="none"/>
        </w:rPr>
        <w:t>1</w:t>
      </w:r>
      <w:r>
        <w:rPr>
          <w:rStyle w:val="43"/>
          <w:rFonts w:hint="eastAsia" w:ascii="宋体" w:hAnsi="宋体"/>
          <w:sz w:val="21"/>
          <w:szCs w:val="21"/>
          <w:highlight w:val="none"/>
          <w:lang w:val="en-US" w:eastAsia="zh-CN"/>
        </w:rPr>
        <w:t>1</w:t>
      </w:r>
      <w:r>
        <w:rPr>
          <w:rStyle w:val="43"/>
          <w:rFonts w:hint="eastAsia" w:ascii="宋体" w:hAnsi="宋体"/>
          <w:sz w:val="21"/>
          <w:szCs w:val="21"/>
          <w:highlight w:val="none"/>
        </w:rPr>
        <w:t>）技术指标；</w:t>
      </w:r>
    </w:p>
    <w:p>
      <w:pPr>
        <w:spacing w:line="460" w:lineRule="exact"/>
        <w:ind w:firstLine="420"/>
        <w:rPr>
          <w:rStyle w:val="43"/>
          <w:rFonts w:ascii="宋体" w:hAnsi="宋体"/>
          <w:sz w:val="21"/>
          <w:szCs w:val="21"/>
          <w:highlight w:val="none"/>
        </w:rPr>
      </w:pPr>
      <w:r>
        <w:rPr>
          <w:rStyle w:val="43"/>
          <w:rFonts w:hint="eastAsia" w:ascii="宋体" w:hAnsi="宋体"/>
          <w:sz w:val="21"/>
          <w:szCs w:val="21"/>
          <w:highlight w:val="none"/>
        </w:rPr>
        <w:t>1</w:t>
      </w:r>
      <w:r>
        <w:rPr>
          <w:rStyle w:val="43"/>
          <w:rFonts w:hint="eastAsia" w:ascii="宋体" w:hAnsi="宋体"/>
          <w:sz w:val="21"/>
          <w:szCs w:val="21"/>
          <w:highlight w:val="none"/>
          <w:lang w:val="en-US" w:eastAsia="zh-CN"/>
        </w:rPr>
        <w:t>2</w:t>
      </w:r>
      <w:r>
        <w:rPr>
          <w:rStyle w:val="43"/>
          <w:rFonts w:hint="eastAsia" w:ascii="宋体" w:hAnsi="宋体"/>
          <w:sz w:val="21"/>
          <w:szCs w:val="21"/>
          <w:highlight w:val="none"/>
        </w:rPr>
        <w:t>）</w:t>
      </w:r>
      <w:r>
        <w:rPr>
          <w:rStyle w:val="43"/>
          <w:rFonts w:hint="eastAsia" w:ascii="宋体" w:hAnsi="宋体"/>
          <w:sz w:val="21"/>
          <w:szCs w:val="21"/>
          <w:highlight w:val="none"/>
          <w:lang w:val="zh-CN"/>
        </w:rPr>
        <w:t>培训计划</w:t>
      </w:r>
      <w:r>
        <w:rPr>
          <w:rStyle w:val="43"/>
          <w:rFonts w:hint="eastAsia" w:ascii="宋体" w:hAnsi="宋体"/>
          <w:sz w:val="21"/>
          <w:szCs w:val="21"/>
          <w:highlight w:val="none"/>
        </w:rPr>
        <w:t>；</w:t>
      </w:r>
    </w:p>
    <w:p>
      <w:pPr>
        <w:spacing w:line="460" w:lineRule="exact"/>
        <w:ind w:firstLine="420"/>
        <w:rPr>
          <w:rStyle w:val="43"/>
          <w:rFonts w:ascii="宋体" w:hAnsi="宋体"/>
          <w:sz w:val="21"/>
          <w:szCs w:val="21"/>
          <w:highlight w:val="none"/>
        </w:rPr>
      </w:pPr>
      <w:r>
        <w:rPr>
          <w:rStyle w:val="43"/>
          <w:rFonts w:hint="eastAsia" w:ascii="宋体" w:hAnsi="宋体"/>
          <w:sz w:val="21"/>
          <w:szCs w:val="21"/>
          <w:highlight w:val="none"/>
        </w:rPr>
        <w:t>1</w:t>
      </w:r>
      <w:r>
        <w:rPr>
          <w:rStyle w:val="43"/>
          <w:rFonts w:hint="eastAsia" w:ascii="宋体" w:hAnsi="宋体"/>
          <w:sz w:val="21"/>
          <w:szCs w:val="21"/>
          <w:highlight w:val="none"/>
          <w:lang w:val="en-US" w:eastAsia="zh-CN"/>
        </w:rPr>
        <w:t>3</w:t>
      </w:r>
      <w:r>
        <w:rPr>
          <w:rStyle w:val="43"/>
          <w:rFonts w:hint="eastAsia" w:ascii="宋体" w:hAnsi="宋体"/>
          <w:sz w:val="21"/>
          <w:szCs w:val="21"/>
          <w:highlight w:val="none"/>
        </w:rPr>
        <w:t>）</w:t>
      </w:r>
      <w:r>
        <w:rPr>
          <w:rStyle w:val="43"/>
          <w:rFonts w:hint="eastAsia" w:ascii="宋体" w:hAnsi="宋体"/>
          <w:sz w:val="21"/>
          <w:szCs w:val="21"/>
          <w:highlight w:val="none"/>
          <w:lang w:val="zh-CN"/>
        </w:rPr>
        <w:t>售后服务</w:t>
      </w:r>
      <w:r>
        <w:rPr>
          <w:rStyle w:val="43"/>
          <w:rFonts w:hint="eastAsia" w:ascii="宋体" w:hAnsi="宋体"/>
          <w:sz w:val="21"/>
          <w:szCs w:val="21"/>
          <w:highlight w:val="none"/>
        </w:rPr>
        <w:t>；</w:t>
      </w:r>
    </w:p>
    <w:p>
      <w:pPr>
        <w:spacing w:line="460" w:lineRule="exact"/>
        <w:ind w:firstLine="420"/>
        <w:rPr>
          <w:rStyle w:val="43"/>
          <w:rFonts w:ascii="宋体" w:hAnsi="宋体"/>
          <w:sz w:val="21"/>
          <w:szCs w:val="21"/>
          <w:highlight w:val="none"/>
          <w:lang w:val="zh-CN"/>
        </w:rPr>
      </w:pPr>
      <w:r>
        <w:rPr>
          <w:rStyle w:val="43"/>
          <w:rFonts w:hint="eastAsia" w:ascii="宋体" w:hAnsi="宋体"/>
          <w:sz w:val="21"/>
          <w:szCs w:val="21"/>
          <w:highlight w:val="none"/>
        </w:rPr>
        <w:t>1</w:t>
      </w:r>
      <w:r>
        <w:rPr>
          <w:rStyle w:val="43"/>
          <w:rFonts w:hint="eastAsia" w:ascii="宋体" w:hAnsi="宋体"/>
          <w:sz w:val="21"/>
          <w:szCs w:val="21"/>
          <w:highlight w:val="none"/>
          <w:lang w:val="en-US" w:eastAsia="zh-CN"/>
        </w:rPr>
        <w:t>4</w:t>
      </w:r>
      <w:r>
        <w:rPr>
          <w:rStyle w:val="43"/>
          <w:rFonts w:hint="eastAsia" w:ascii="宋体" w:hAnsi="宋体"/>
          <w:sz w:val="21"/>
          <w:szCs w:val="21"/>
          <w:highlight w:val="none"/>
        </w:rPr>
        <w:t>）</w:t>
      </w:r>
      <w:r>
        <w:rPr>
          <w:rStyle w:val="43"/>
          <w:rFonts w:hint="eastAsia" w:ascii="宋体" w:hAnsi="宋体"/>
          <w:sz w:val="21"/>
          <w:szCs w:val="21"/>
          <w:highlight w:val="none"/>
          <w:lang w:val="zh-CN"/>
        </w:rPr>
        <w:t>运营方案</w:t>
      </w:r>
    </w:p>
    <w:p>
      <w:pPr>
        <w:spacing w:line="460" w:lineRule="exact"/>
        <w:ind w:firstLine="420"/>
        <w:rPr>
          <w:rStyle w:val="43"/>
          <w:rFonts w:ascii="宋体" w:hAnsi="宋体"/>
          <w:sz w:val="21"/>
          <w:szCs w:val="21"/>
          <w:highlight w:val="none"/>
        </w:rPr>
      </w:pPr>
      <w:r>
        <w:rPr>
          <w:rStyle w:val="43"/>
          <w:rFonts w:hint="eastAsia" w:ascii="宋体" w:hAnsi="宋体"/>
          <w:sz w:val="21"/>
          <w:szCs w:val="21"/>
          <w:highlight w:val="none"/>
        </w:rPr>
        <w:t>1</w:t>
      </w:r>
      <w:r>
        <w:rPr>
          <w:rStyle w:val="43"/>
          <w:rFonts w:hint="eastAsia" w:ascii="宋体" w:hAnsi="宋体"/>
          <w:sz w:val="21"/>
          <w:szCs w:val="21"/>
          <w:highlight w:val="none"/>
          <w:lang w:val="en-US" w:eastAsia="zh-CN"/>
        </w:rPr>
        <w:t>5</w:t>
      </w:r>
      <w:r>
        <w:rPr>
          <w:rStyle w:val="43"/>
          <w:rFonts w:hint="eastAsia" w:ascii="宋体" w:hAnsi="宋体"/>
          <w:sz w:val="21"/>
          <w:szCs w:val="21"/>
          <w:highlight w:val="none"/>
        </w:rPr>
        <w:t>）廉政承诺书；</w:t>
      </w:r>
    </w:p>
    <w:p>
      <w:pPr>
        <w:spacing w:line="460" w:lineRule="exact"/>
        <w:ind w:firstLine="420"/>
        <w:rPr>
          <w:rStyle w:val="43"/>
          <w:rFonts w:hint="eastAsia" w:ascii="宋体" w:hAnsi="宋体"/>
          <w:sz w:val="21"/>
          <w:szCs w:val="21"/>
          <w:highlight w:val="none"/>
          <w:lang w:eastAsia="zh-CN"/>
        </w:rPr>
      </w:pPr>
      <w:r>
        <w:rPr>
          <w:rStyle w:val="43"/>
          <w:rFonts w:hint="eastAsia" w:ascii="宋体" w:hAnsi="宋体"/>
          <w:sz w:val="21"/>
          <w:szCs w:val="21"/>
          <w:highlight w:val="none"/>
        </w:rPr>
        <w:t>1</w:t>
      </w:r>
      <w:r>
        <w:rPr>
          <w:rStyle w:val="43"/>
          <w:rFonts w:hint="eastAsia" w:ascii="宋体" w:hAnsi="宋体"/>
          <w:sz w:val="21"/>
          <w:szCs w:val="21"/>
          <w:highlight w:val="none"/>
          <w:lang w:val="en-US" w:eastAsia="zh-CN"/>
        </w:rPr>
        <w:t>6</w:t>
      </w:r>
      <w:r>
        <w:rPr>
          <w:rStyle w:val="43"/>
          <w:rFonts w:hint="eastAsia" w:ascii="宋体" w:hAnsi="宋体"/>
          <w:sz w:val="21"/>
          <w:szCs w:val="21"/>
          <w:highlight w:val="none"/>
        </w:rPr>
        <w:t>）</w:t>
      </w:r>
      <w:r>
        <w:rPr>
          <w:rStyle w:val="43"/>
          <w:rFonts w:hint="eastAsia" w:ascii="宋体" w:hAnsi="宋体"/>
          <w:sz w:val="21"/>
          <w:szCs w:val="21"/>
          <w:highlight w:val="none"/>
          <w:lang w:eastAsia="zh-CN"/>
        </w:rPr>
        <w:t>应答情况；</w:t>
      </w:r>
    </w:p>
    <w:p>
      <w:pPr>
        <w:spacing w:line="460" w:lineRule="exact"/>
        <w:ind w:firstLine="420"/>
        <w:rPr>
          <w:rStyle w:val="43"/>
          <w:rFonts w:ascii="宋体" w:hAnsi="宋体"/>
          <w:sz w:val="21"/>
          <w:szCs w:val="21"/>
          <w:highlight w:val="none"/>
          <w:lang w:val="zh-CN"/>
        </w:rPr>
      </w:pPr>
      <w:r>
        <w:rPr>
          <w:rStyle w:val="43"/>
          <w:rFonts w:hint="eastAsia" w:ascii="宋体" w:hAnsi="宋体"/>
          <w:sz w:val="21"/>
          <w:szCs w:val="21"/>
          <w:highlight w:val="none"/>
          <w:lang w:val="en-US" w:eastAsia="zh-CN"/>
        </w:rPr>
        <w:t>17）</w:t>
      </w:r>
      <w:r>
        <w:rPr>
          <w:rStyle w:val="43"/>
          <w:rFonts w:hint="eastAsia" w:ascii="宋体" w:hAnsi="宋体"/>
          <w:sz w:val="21"/>
          <w:szCs w:val="21"/>
          <w:highlight w:val="none"/>
          <w:lang w:val="zh-CN"/>
        </w:rPr>
        <w:t>投标人认为需要提供的与投标评标有关的其他资料。</w:t>
      </w:r>
    </w:p>
    <w:p>
      <w:pPr>
        <w:spacing w:line="460" w:lineRule="exact"/>
        <w:ind w:firstLine="420"/>
        <w:rPr>
          <w:rStyle w:val="43"/>
          <w:rFonts w:ascii="宋体" w:hAnsi="宋体" w:cs="宋体"/>
          <w:b/>
          <w:bCs/>
          <w:sz w:val="21"/>
          <w:szCs w:val="21"/>
        </w:rPr>
      </w:pPr>
      <w:r>
        <w:rPr>
          <w:rStyle w:val="43"/>
          <w:rFonts w:ascii="宋体" w:hAnsi="宋体" w:cs="宋体"/>
          <w:b/>
          <w:bCs/>
          <w:sz w:val="21"/>
          <w:szCs w:val="21"/>
        </w:rPr>
        <w:t>4.2.3报价部分</w:t>
      </w:r>
    </w:p>
    <w:p>
      <w:pPr>
        <w:spacing w:line="460" w:lineRule="exact"/>
        <w:ind w:firstLine="420"/>
        <w:rPr>
          <w:rStyle w:val="43"/>
          <w:rFonts w:ascii="宋体" w:hAnsi="宋体"/>
          <w:sz w:val="21"/>
          <w:szCs w:val="21"/>
          <w:lang w:val="zh-CN"/>
        </w:rPr>
      </w:pPr>
      <w:r>
        <w:rPr>
          <w:rStyle w:val="43"/>
          <w:rFonts w:ascii="宋体" w:hAnsi="宋体"/>
          <w:sz w:val="21"/>
          <w:szCs w:val="21"/>
        </w:rPr>
        <w:t>1）</w:t>
      </w:r>
      <w:r>
        <w:rPr>
          <w:rStyle w:val="43"/>
          <w:rFonts w:ascii="宋体" w:hAnsi="宋体"/>
          <w:sz w:val="21"/>
          <w:szCs w:val="21"/>
          <w:lang w:val="zh-CN"/>
        </w:rPr>
        <w:t>开标一览表（见附件）；</w:t>
      </w:r>
    </w:p>
    <w:p>
      <w:pPr>
        <w:spacing w:line="460" w:lineRule="exact"/>
        <w:ind w:firstLine="420"/>
        <w:rPr>
          <w:rStyle w:val="43"/>
          <w:rFonts w:ascii="宋体" w:hAnsi="宋体"/>
          <w:sz w:val="21"/>
          <w:szCs w:val="21"/>
        </w:rPr>
      </w:pPr>
      <w:r>
        <w:rPr>
          <w:rStyle w:val="43"/>
          <w:rFonts w:ascii="宋体" w:hAnsi="宋体"/>
          <w:sz w:val="21"/>
          <w:szCs w:val="21"/>
        </w:rPr>
        <w:t>2）投标报价明细表</w:t>
      </w:r>
      <w:r>
        <w:rPr>
          <w:rStyle w:val="43"/>
          <w:rFonts w:ascii="宋体" w:hAnsi="宋体"/>
          <w:sz w:val="21"/>
          <w:szCs w:val="21"/>
          <w:lang w:val="zh-CN"/>
        </w:rPr>
        <w:t>（见附件）；</w:t>
      </w:r>
    </w:p>
    <w:p>
      <w:pPr>
        <w:spacing w:line="460" w:lineRule="exact"/>
        <w:ind w:firstLine="420"/>
        <w:rPr>
          <w:rStyle w:val="43"/>
          <w:rFonts w:ascii="宋体" w:hAnsi="宋体"/>
          <w:sz w:val="21"/>
          <w:szCs w:val="21"/>
        </w:rPr>
      </w:pPr>
      <w:r>
        <w:rPr>
          <w:rStyle w:val="43"/>
          <w:rFonts w:ascii="宋体" w:hAnsi="宋体"/>
          <w:sz w:val="21"/>
          <w:szCs w:val="21"/>
        </w:rPr>
        <w:t>3）中小企业声明函</w:t>
      </w:r>
      <w:r>
        <w:rPr>
          <w:rStyle w:val="43"/>
          <w:rFonts w:ascii="宋体" w:hAnsi="宋体"/>
          <w:sz w:val="21"/>
          <w:szCs w:val="21"/>
          <w:lang w:val="zh-CN"/>
        </w:rPr>
        <w:t>（见附件）</w:t>
      </w:r>
      <w:r>
        <w:rPr>
          <w:rStyle w:val="43"/>
          <w:rFonts w:ascii="宋体" w:hAnsi="宋体"/>
          <w:sz w:val="21"/>
          <w:szCs w:val="21"/>
        </w:rPr>
        <w:t>；</w:t>
      </w:r>
    </w:p>
    <w:p>
      <w:pPr>
        <w:spacing w:line="460" w:lineRule="exact"/>
        <w:ind w:firstLine="420"/>
        <w:rPr>
          <w:rStyle w:val="43"/>
          <w:rFonts w:ascii="宋体" w:hAnsi="宋体"/>
          <w:sz w:val="21"/>
          <w:szCs w:val="21"/>
        </w:rPr>
      </w:pPr>
      <w:r>
        <w:rPr>
          <w:rStyle w:val="43"/>
          <w:rFonts w:ascii="宋体" w:hAnsi="宋体"/>
          <w:sz w:val="21"/>
          <w:szCs w:val="21"/>
        </w:rPr>
        <w:t>4）残疾人福利性单位声明函</w:t>
      </w:r>
      <w:r>
        <w:rPr>
          <w:rStyle w:val="43"/>
          <w:rFonts w:ascii="宋体" w:hAnsi="宋体"/>
          <w:sz w:val="21"/>
          <w:szCs w:val="21"/>
          <w:lang w:val="zh-CN"/>
        </w:rPr>
        <w:t>（见附件）</w:t>
      </w:r>
      <w:r>
        <w:rPr>
          <w:rStyle w:val="43"/>
          <w:rFonts w:ascii="宋体" w:hAnsi="宋体"/>
          <w:sz w:val="21"/>
          <w:szCs w:val="21"/>
        </w:rPr>
        <w:t>；</w:t>
      </w:r>
    </w:p>
    <w:p>
      <w:pPr>
        <w:spacing w:line="460" w:lineRule="exact"/>
        <w:ind w:firstLine="420"/>
        <w:rPr>
          <w:rStyle w:val="43"/>
          <w:rFonts w:ascii="宋体" w:hAnsi="宋体"/>
          <w:sz w:val="21"/>
          <w:szCs w:val="21"/>
        </w:rPr>
      </w:pPr>
      <w:r>
        <w:rPr>
          <w:rStyle w:val="43"/>
          <w:rFonts w:ascii="宋体" w:hAnsi="宋体"/>
          <w:sz w:val="21"/>
          <w:szCs w:val="21"/>
        </w:rPr>
        <w:t>5）投标人针对报价需要说明的其他文件和说明，格式自拟。（如备品备件、附件和易损件清单）。</w:t>
      </w:r>
    </w:p>
    <w:p>
      <w:pPr>
        <w:tabs>
          <w:tab w:val="left" w:pos="399"/>
        </w:tabs>
        <w:spacing w:line="460" w:lineRule="exact"/>
        <w:ind w:firstLine="420"/>
        <w:rPr>
          <w:rStyle w:val="43"/>
          <w:rFonts w:ascii="宋体" w:hAnsi="宋体"/>
          <w:sz w:val="21"/>
          <w:szCs w:val="21"/>
        </w:rPr>
      </w:pPr>
      <w:r>
        <w:rPr>
          <w:rStyle w:val="43"/>
          <w:rFonts w:ascii="宋体" w:hAnsi="宋体" w:cs="宋体"/>
          <w:b/>
          <w:bCs/>
          <w:sz w:val="21"/>
          <w:szCs w:val="21"/>
        </w:rPr>
        <w:t>4.2.4投标时提供的人员、业绩、荣誉、资质、项目案例等，必须为投标人本身所具有。</w:t>
      </w:r>
    </w:p>
    <w:p>
      <w:pPr>
        <w:spacing w:line="460" w:lineRule="exact"/>
        <w:ind w:firstLine="420"/>
        <w:rPr>
          <w:rStyle w:val="43"/>
          <w:rFonts w:ascii="宋体" w:hAnsi="宋体" w:cs="宋体"/>
          <w:b/>
          <w:bCs/>
          <w:sz w:val="21"/>
          <w:szCs w:val="21"/>
        </w:rPr>
      </w:pPr>
      <w:r>
        <w:rPr>
          <w:rStyle w:val="43"/>
          <w:rFonts w:ascii="宋体" w:hAnsi="宋体" w:cs="宋体"/>
          <w:b/>
          <w:bCs/>
          <w:sz w:val="21"/>
          <w:szCs w:val="21"/>
        </w:rPr>
        <w:t>4.2.5注意事项：投标人提供的各类资信证明文件必须是真实可靠且在有效期内的，否则有可能导致被认定为无效、取消投标资格等后果。未按技术资信文件需要提供的资料和顺序标注页码并编制目录的投标文件，其不利于评审的风险由投标人自行承担。</w:t>
      </w:r>
    </w:p>
    <w:p>
      <w:pPr>
        <w:spacing w:line="460" w:lineRule="exact"/>
        <w:ind w:firstLine="420"/>
        <w:outlineLvl w:val="2"/>
        <w:rPr>
          <w:rStyle w:val="43"/>
          <w:rFonts w:ascii="宋体" w:hAnsi="宋体"/>
          <w:sz w:val="21"/>
          <w:szCs w:val="21"/>
        </w:rPr>
      </w:pPr>
      <w:r>
        <w:rPr>
          <w:rStyle w:val="43"/>
          <w:rFonts w:ascii="宋体" w:hAnsi="宋体"/>
          <w:sz w:val="21"/>
          <w:szCs w:val="21"/>
        </w:rPr>
        <w:t>4.3、投标文件的编制</w:t>
      </w:r>
    </w:p>
    <w:p>
      <w:pPr>
        <w:spacing w:line="460" w:lineRule="exact"/>
        <w:ind w:firstLine="420"/>
        <w:rPr>
          <w:rStyle w:val="43"/>
          <w:rFonts w:ascii="宋体" w:hAnsi="宋体"/>
          <w:sz w:val="21"/>
          <w:szCs w:val="21"/>
        </w:rPr>
      </w:pPr>
      <w:r>
        <w:rPr>
          <w:rStyle w:val="43"/>
          <w:rFonts w:ascii="宋体" w:hAnsi="宋体"/>
          <w:sz w:val="21"/>
          <w:szCs w:val="21"/>
        </w:rPr>
        <w:t>4.3.1本项目通过“政府采购云平台（www.zcygov.cn）”实行在线投标响应（电子投标）。供应商应通过“政采云电子交易客户端”，并按照本采购文件和“政府采购云平台”的要求编制并加密投标文件。</w:t>
      </w:r>
    </w:p>
    <w:p>
      <w:pPr>
        <w:spacing w:line="460" w:lineRule="exact"/>
        <w:ind w:firstLine="420"/>
        <w:rPr>
          <w:rStyle w:val="43"/>
          <w:rFonts w:ascii="宋体" w:hAnsi="宋体"/>
          <w:sz w:val="21"/>
          <w:szCs w:val="21"/>
        </w:rPr>
      </w:pPr>
      <w:r>
        <w:rPr>
          <w:rStyle w:val="43"/>
          <w:rFonts w:ascii="宋体" w:hAnsi="宋体"/>
          <w:sz w:val="21"/>
          <w:szCs w:val="21"/>
        </w:rPr>
        <w:t>4.3.2投标供应商应当按照本章4.2款中规定的内容及顺序在“政采云电子交易客户端”编制投标文件。其中《资格证明文件》和《资信技术文件》中不得出现本项目投标报价，如因投标人原因提前泄露投标报价，是投标供应商的责任。</w:t>
      </w:r>
    </w:p>
    <w:p>
      <w:pPr>
        <w:spacing w:line="460" w:lineRule="exact"/>
        <w:ind w:firstLine="420"/>
        <w:rPr>
          <w:rStyle w:val="43"/>
          <w:rFonts w:ascii="宋体" w:hAnsi="宋体"/>
          <w:sz w:val="21"/>
          <w:szCs w:val="21"/>
        </w:rPr>
      </w:pPr>
      <w:r>
        <w:rPr>
          <w:rStyle w:val="43"/>
          <w:rFonts w:ascii="宋体" w:hAnsi="宋体"/>
          <w:sz w:val="21"/>
          <w:szCs w:val="21"/>
        </w:rPr>
        <w:t>4.3.3本文件《第六章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pPr>
        <w:spacing w:line="460" w:lineRule="exact"/>
        <w:ind w:firstLine="420"/>
        <w:rPr>
          <w:rStyle w:val="43"/>
          <w:rFonts w:ascii="宋体" w:hAnsi="宋体"/>
          <w:sz w:val="21"/>
          <w:szCs w:val="21"/>
        </w:rPr>
      </w:pPr>
      <w:r>
        <w:rPr>
          <w:rStyle w:val="43"/>
          <w:rFonts w:ascii="宋体" w:hAnsi="宋体"/>
          <w:sz w:val="21"/>
          <w:szCs w:val="21"/>
        </w:rPr>
        <w:t>4.3.4投标文件应当对采购文件规定的内容进行明确，对采购文件规定的实质性内容应当作出响应。</w:t>
      </w:r>
    </w:p>
    <w:p>
      <w:pPr>
        <w:spacing w:line="460" w:lineRule="exact"/>
        <w:ind w:firstLine="420"/>
        <w:rPr>
          <w:rStyle w:val="43"/>
          <w:rFonts w:ascii="宋体" w:hAnsi="宋体"/>
          <w:sz w:val="21"/>
          <w:szCs w:val="21"/>
        </w:rPr>
      </w:pPr>
      <w:r>
        <w:rPr>
          <w:rStyle w:val="43"/>
          <w:rFonts w:ascii="宋体" w:hAnsi="宋体"/>
          <w:sz w:val="21"/>
          <w:szCs w:val="21"/>
        </w:rPr>
        <w:t>4.3.5投标文件由于字迹模糊或表达不清引起的后果由投标人负责。</w:t>
      </w:r>
    </w:p>
    <w:p>
      <w:pPr>
        <w:spacing w:line="460" w:lineRule="exact"/>
        <w:ind w:firstLine="420"/>
        <w:rPr>
          <w:rStyle w:val="43"/>
          <w:rFonts w:ascii="宋体" w:hAnsi="宋体"/>
          <w:sz w:val="21"/>
          <w:szCs w:val="21"/>
        </w:rPr>
      </w:pPr>
      <w:r>
        <w:rPr>
          <w:rStyle w:val="43"/>
          <w:rFonts w:ascii="宋体" w:hAnsi="宋体"/>
          <w:sz w:val="21"/>
          <w:szCs w:val="21"/>
        </w:rPr>
        <w:t>4.3.6投标供应商没有按照本章节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pPr>
        <w:spacing w:line="460" w:lineRule="exact"/>
        <w:ind w:firstLine="420"/>
        <w:outlineLvl w:val="2"/>
        <w:rPr>
          <w:rStyle w:val="43"/>
          <w:rFonts w:ascii="宋体" w:hAnsi="宋体"/>
          <w:sz w:val="21"/>
          <w:szCs w:val="21"/>
        </w:rPr>
      </w:pPr>
      <w:r>
        <w:rPr>
          <w:rStyle w:val="43"/>
          <w:rFonts w:ascii="宋体" w:hAnsi="宋体"/>
          <w:sz w:val="21"/>
          <w:szCs w:val="21"/>
        </w:rPr>
        <w:t>4.4、投标报价</w:t>
      </w:r>
    </w:p>
    <w:p>
      <w:pPr>
        <w:spacing w:line="460" w:lineRule="exact"/>
        <w:ind w:firstLine="420"/>
        <w:rPr>
          <w:rStyle w:val="43"/>
          <w:rFonts w:ascii="宋体" w:hAnsi="宋体"/>
          <w:sz w:val="21"/>
          <w:szCs w:val="21"/>
          <w:u w:val="thick" w:color="000000"/>
        </w:rPr>
      </w:pPr>
      <w:r>
        <w:rPr>
          <w:rStyle w:val="43"/>
          <w:rFonts w:ascii="宋体" w:hAnsi="宋体"/>
          <w:sz w:val="21"/>
          <w:szCs w:val="21"/>
        </w:rPr>
        <w:t>4.4.1 ★</w:t>
      </w:r>
      <w:r>
        <w:rPr>
          <w:rStyle w:val="43"/>
          <w:rFonts w:ascii="宋体" w:hAnsi="宋体"/>
          <w:b/>
          <w:sz w:val="21"/>
          <w:szCs w:val="21"/>
          <w:u w:val="thick" w:color="000000"/>
        </w:rPr>
        <w:t>本次投标报价为人民币</w:t>
      </w:r>
      <w:r>
        <w:rPr>
          <w:rStyle w:val="43"/>
          <w:rFonts w:ascii="宋体" w:hAnsi="宋体"/>
          <w:sz w:val="21"/>
          <w:szCs w:val="21"/>
          <w:u w:val="thick" w:color="000000"/>
        </w:rPr>
        <w:t>。</w:t>
      </w:r>
      <w:r>
        <w:rPr>
          <w:rStyle w:val="43"/>
          <w:rFonts w:ascii="宋体" w:hAnsi="宋体"/>
          <w:b/>
          <w:sz w:val="21"/>
          <w:szCs w:val="21"/>
          <w:u w:val="thick" w:color="000000"/>
        </w:rPr>
        <w:t>超过预算价的作无效标处理。（预算价为</w:t>
      </w:r>
      <w:r>
        <w:rPr>
          <w:rStyle w:val="43"/>
          <w:rFonts w:hint="eastAsia" w:ascii="宋体" w:hAnsi="宋体"/>
          <w:b/>
          <w:sz w:val="21"/>
          <w:szCs w:val="21"/>
          <w:u w:val="thick" w:color="000000"/>
        </w:rPr>
        <w:t>13888910</w:t>
      </w:r>
      <w:r>
        <w:rPr>
          <w:rStyle w:val="43"/>
          <w:rFonts w:ascii="宋体" w:hAnsi="宋体"/>
          <w:b/>
          <w:sz w:val="21"/>
          <w:szCs w:val="21"/>
          <w:u w:val="thick" w:color="000000"/>
        </w:rPr>
        <w:t>元）</w:t>
      </w:r>
    </w:p>
    <w:p>
      <w:pPr>
        <w:spacing w:line="460" w:lineRule="exact"/>
        <w:ind w:firstLine="420"/>
        <w:rPr>
          <w:rStyle w:val="43"/>
          <w:rFonts w:ascii="宋体" w:hAnsi="宋体"/>
          <w:sz w:val="21"/>
          <w:szCs w:val="21"/>
        </w:rPr>
      </w:pPr>
      <w:r>
        <w:rPr>
          <w:rStyle w:val="43"/>
          <w:rFonts w:ascii="宋体" w:hAnsi="宋体"/>
          <w:sz w:val="21"/>
          <w:szCs w:val="21"/>
        </w:rPr>
        <w:t>4.4.2费用须包含产品价、耗材、校准品、质控品、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pPr>
        <w:spacing w:line="460" w:lineRule="exact"/>
        <w:ind w:firstLine="420"/>
        <w:rPr>
          <w:rStyle w:val="43"/>
          <w:rFonts w:ascii="宋体" w:hAnsi="宋体"/>
          <w:sz w:val="21"/>
          <w:szCs w:val="21"/>
        </w:rPr>
      </w:pPr>
      <w:r>
        <w:rPr>
          <w:rStyle w:val="43"/>
          <w:rFonts w:ascii="宋体" w:hAnsi="宋体"/>
          <w:sz w:val="21"/>
          <w:szCs w:val="21"/>
        </w:rPr>
        <w:t>4.</w:t>
      </w:r>
      <w:r>
        <w:rPr>
          <w:rStyle w:val="43"/>
          <w:rFonts w:ascii="宋体" w:hAnsi="宋体" w:cs="宋体"/>
          <w:bCs/>
          <w:sz w:val="21"/>
          <w:szCs w:val="21"/>
        </w:rPr>
        <w:t xml:space="preserve">4.3 </w:t>
      </w:r>
      <w:r>
        <w:rPr>
          <w:rStyle w:val="43"/>
          <w:rFonts w:ascii="宋体" w:hAnsi="宋体"/>
          <w:sz w:val="21"/>
          <w:szCs w:val="21"/>
        </w:rPr>
        <w:t>投标报价应按不同费用类别分开填写，具体详见“投标文件格式”。</w:t>
      </w:r>
    </w:p>
    <w:p>
      <w:pPr>
        <w:spacing w:line="460" w:lineRule="exact"/>
        <w:ind w:firstLine="420"/>
        <w:rPr>
          <w:rStyle w:val="43"/>
          <w:rFonts w:ascii="宋体" w:hAnsi="宋体"/>
          <w:b/>
          <w:sz w:val="21"/>
          <w:szCs w:val="21"/>
          <w:u w:val="thick" w:color="000000"/>
        </w:rPr>
      </w:pPr>
      <w:r>
        <w:rPr>
          <w:rStyle w:val="43"/>
          <w:rFonts w:ascii="宋体" w:hAnsi="宋体"/>
          <w:sz w:val="21"/>
          <w:szCs w:val="21"/>
        </w:rPr>
        <w:t>4.4.4 ★</w:t>
      </w:r>
      <w:r>
        <w:rPr>
          <w:rStyle w:val="43"/>
          <w:rFonts w:ascii="宋体" w:hAnsi="宋体"/>
          <w:b/>
          <w:sz w:val="21"/>
          <w:szCs w:val="21"/>
          <w:u w:val="thick" w:color="000000"/>
        </w:rPr>
        <w:t>所投标项只允许有一个报价，不接受有选择报价的投标文件。</w:t>
      </w:r>
    </w:p>
    <w:p>
      <w:pPr>
        <w:spacing w:line="460" w:lineRule="exact"/>
        <w:ind w:firstLine="420"/>
        <w:outlineLvl w:val="2"/>
        <w:rPr>
          <w:rStyle w:val="43"/>
          <w:rFonts w:ascii="宋体" w:hAnsi="宋体"/>
          <w:sz w:val="21"/>
          <w:szCs w:val="21"/>
        </w:rPr>
      </w:pPr>
      <w:r>
        <w:rPr>
          <w:rStyle w:val="43"/>
          <w:rFonts w:ascii="宋体" w:hAnsi="宋体"/>
          <w:sz w:val="21"/>
          <w:szCs w:val="21"/>
        </w:rPr>
        <w:t>4.5、投标保证金</w:t>
      </w:r>
    </w:p>
    <w:p>
      <w:pPr>
        <w:spacing w:line="460" w:lineRule="exact"/>
        <w:ind w:firstLine="420"/>
        <w:rPr>
          <w:rStyle w:val="43"/>
          <w:rFonts w:ascii="宋体" w:hAnsi="宋体"/>
          <w:kern w:val="0"/>
          <w:sz w:val="21"/>
          <w:szCs w:val="21"/>
        </w:rPr>
      </w:pPr>
      <w:r>
        <w:rPr>
          <w:rStyle w:val="43"/>
          <w:rFonts w:ascii="宋体" w:hAnsi="宋体"/>
          <w:kern w:val="0"/>
          <w:sz w:val="21"/>
          <w:szCs w:val="21"/>
        </w:rPr>
        <w:t>本项目不收取投标保证金。但违反政府采购相关规定给采购人造成损失的，投标人应当承担赔偿责任。</w:t>
      </w:r>
    </w:p>
    <w:p>
      <w:pPr>
        <w:spacing w:line="460" w:lineRule="exact"/>
        <w:ind w:firstLine="420"/>
        <w:outlineLvl w:val="2"/>
        <w:rPr>
          <w:rStyle w:val="43"/>
          <w:rFonts w:ascii="宋体" w:hAnsi="宋体"/>
          <w:sz w:val="21"/>
          <w:szCs w:val="21"/>
        </w:rPr>
      </w:pPr>
      <w:r>
        <w:rPr>
          <w:rStyle w:val="43"/>
          <w:rFonts w:ascii="宋体" w:hAnsi="宋体"/>
          <w:sz w:val="21"/>
          <w:szCs w:val="21"/>
        </w:rPr>
        <w:t>4.6、投标文件有效期</w:t>
      </w:r>
    </w:p>
    <w:p>
      <w:pPr>
        <w:spacing w:line="460" w:lineRule="exact"/>
        <w:ind w:firstLine="420"/>
        <w:rPr>
          <w:rStyle w:val="43"/>
          <w:rFonts w:ascii="宋体" w:hAnsi="宋体"/>
          <w:kern w:val="0"/>
          <w:sz w:val="21"/>
          <w:szCs w:val="21"/>
        </w:rPr>
      </w:pPr>
      <w:r>
        <w:rPr>
          <w:rStyle w:val="43"/>
          <w:rFonts w:ascii="宋体" w:hAnsi="宋体"/>
          <w:kern w:val="0"/>
          <w:sz w:val="21"/>
          <w:szCs w:val="21"/>
        </w:rPr>
        <w:t>4.6.1 投标文件在开标之日起90个日历天内有效。</w:t>
      </w:r>
    </w:p>
    <w:p>
      <w:pPr>
        <w:spacing w:line="460" w:lineRule="exact"/>
        <w:ind w:firstLine="420"/>
        <w:rPr>
          <w:rStyle w:val="43"/>
          <w:rFonts w:ascii="宋体" w:hAnsi="宋体"/>
          <w:kern w:val="0"/>
          <w:sz w:val="21"/>
          <w:szCs w:val="21"/>
        </w:rPr>
      </w:pPr>
      <w:r>
        <w:rPr>
          <w:rStyle w:val="43"/>
          <w:rFonts w:ascii="宋体" w:hAnsi="宋体"/>
          <w:kern w:val="0"/>
          <w:sz w:val="21"/>
          <w:szCs w:val="21"/>
        </w:rPr>
        <w:t>4.6.2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spacing w:line="460" w:lineRule="exact"/>
        <w:ind w:firstLine="420"/>
        <w:rPr>
          <w:rStyle w:val="43"/>
          <w:rFonts w:ascii="宋体" w:hAnsi="宋体"/>
          <w:sz w:val="21"/>
          <w:szCs w:val="21"/>
        </w:rPr>
      </w:pPr>
      <w:r>
        <w:rPr>
          <w:rStyle w:val="43"/>
          <w:rFonts w:ascii="宋体" w:hAnsi="宋体"/>
          <w:kern w:val="0"/>
          <w:sz w:val="21"/>
          <w:szCs w:val="21"/>
        </w:rPr>
        <w:t>4.6.3 中标人的投标文件自开标之日起至合同履行完毕止均应保持有效。</w:t>
      </w:r>
    </w:p>
    <w:p>
      <w:pPr>
        <w:spacing w:line="460" w:lineRule="exact"/>
        <w:ind w:firstLine="420"/>
        <w:outlineLvl w:val="2"/>
        <w:rPr>
          <w:rStyle w:val="43"/>
          <w:rFonts w:ascii="宋体" w:hAnsi="宋体"/>
          <w:sz w:val="21"/>
          <w:szCs w:val="21"/>
        </w:rPr>
      </w:pPr>
      <w:r>
        <w:rPr>
          <w:rStyle w:val="43"/>
          <w:rFonts w:ascii="宋体" w:hAnsi="宋体"/>
          <w:sz w:val="21"/>
          <w:szCs w:val="21"/>
        </w:rPr>
        <w:t>4.7、投标文件的式样</w:t>
      </w:r>
    </w:p>
    <w:p>
      <w:pPr>
        <w:spacing w:line="460" w:lineRule="exact"/>
        <w:ind w:firstLine="420"/>
        <w:rPr>
          <w:rStyle w:val="43"/>
          <w:rFonts w:ascii="宋体" w:hAnsi="宋体"/>
          <w:sz w:val="21"/>
          <w:szCs w:val="21"/>
        </w:rPr>
      </w:pPr>
      <w:r>
        <w:rPr>
          <w:rStyle w:val="43"/>
          <w:rFonts w:ascii="宋体" w:hAnsi="宋体"/>
          <w:sz w:val="21"/>
          <w:szCs w:val="21"/>
        </w:rPr>
        <w:t>4.7.1 投标人通过“政采云”平台制作电子投标文件，投标文件制作详见“供应商-政府采购项目电子交易操作指南”。</w:t>
      </w:r>
    </w:p>
    <w:p>
      <w:pPr>
        <w:spacing w:line="460" w:lineRule="exact"/>
        <w:ind w:firstLine="420"/>
        <w:rPr>
          <w:rStyle w:val="43"/>
          <w:rFonts w:ascii="宋体" w:hAnsi="宋体"/>
          <w:sz w:val="21"/>
          <w:szCs w:val="21"/>
        </w:rPr>
      </w:pPr>
      <w:r>
        <w:rPr>
          <w:rStyle w:val="43"/>
          <w:rFonts w:ascii="宋体" w:hAnsi="宋体"/>
          <w:sz w:val="21"/>
          <w:szCs w:val="21"/>
        </w:rPr>
        <w:t>4.7.2 投标文件是电子投标文件，包括“电子加密投标文件”和“备份投标文件”，在投标文件编制完成后同时生成。</w:t>
      </w:r>
    </w:p>
    <w:p>
      <w:pPr>
        <w:spacing w:line="460" w:lineRule="exact"/>
        <w:ind w:firstLine="420"/>
        <w:rPr>
          <w:rStyle w:val="43"/>
          <w:rFonts w:ascii="宋体" w:hAnsi="宋体"/>
          <w:sz w:val="21"/>
          <w:szCs w:val="21"/>
        </w:rPr>
      </w:pPr>
      <w:r>
        <w:rPr>
          <w:rStyle w:val="43"/>
          <w:rFonts w:ascii="宋体" w:hAnsi="宋体"/>
          <w:sz w:val="21"/>
          <w:szCs w:val="21"/>
        </w:rPr>
        <w:t>（1）“电子加密投标文件”是指通过“政采云电子交易客户端”完成投标文件编制后生成并加密的数据电文形式的投标文件。</w:t>
      </w:r>
    </w:p>
    <w:p>
      <w:pPr>
        <w:spacing w:line="460" w:lineRule="exact"/>
        <w:ind w:firstLine="420"/>
        <w:rPr>
          <w:rStyle w:val="43"/>
          <w:rFonts w:ascii="宋体" w:hAnsi="宋体"/>
          <w:sz w:val="21"/>
          <w:szCs w:val="21"/>
        </w:rPr>
      </w:pPr>
      <w:r>
        <w:rPr>
          <w:rStyle w:val="43"/>
          <w:rFonts w:ascii="宋体" w:hAnsi="宋体"/>
          <w:sz w:val="21"/>
          <w:szCs w:val="21"/>
        </w:rPr>
        <w:t>（2）“备份投标文件”是指与“电子加密投标文件”同时生成的数据电文形式的电子文件（备份标书，用于供应商标书解密异常时应急使用），其他方式编制的备份投标文件视为无效备份投标文件。</w:t>
      </w:r>
    </w:p>
    <w:p>
      <w:pPr>
        <w:spacing w:line="460" w:lineRule="exact"/>
        <w:ind w:firstLine="420"/>
        <w:rPr>
          <w:rStyle w:val="43"/>
          <w:rFonts w:ascii="宋体" w:hAnsi="宋体"/>
          <w:sz w:val="21"/>
          <w:szCs w:val="21"/>
        </w:rPr>
      </w:pPr>
      <w:r>
        <w:rPr>
          <w:rStyle w:val="43"/>
          <w:rFonts w:ascii="宋体" w:hAnsi="宋体"/>
          <w:sz w:val="21"/>
          <w:szCs w:val="21"/>
        </w:rPr>
        <w:t>（3）一份电子加密标书（后缀格式为.jmbs），一份备份标书文件（后缀格式为.bfbs）</w:t>
      </w:r>
    </w:p>
    <w:p>
      <w:pPr>
        <w:spacing w:line="460" w:lineRule="exact"/>
        <w:ind w:firstLine="420"/>
        <w:rPr>
          <w:rStyle w:val="43"/>
          <w:rFonts w:ascii="宋体" w:hAnsi="宋体"/>
          <w:sz w:val="21"/>
          <w:szCs w:val="21"/>
        </w:rPr>
      </w:pPr>
      <w:r>
        <w:rPr>
          <w:rStyle w:val="43"/>
          <w:rFonts w:ascii="宋体" w:hAnsi="宋体"/>
          <w:sz w:val="21"/>
          <w:szCs w:val="21"/>
        </w:rPr>
        <w:t>（4）每份电子投标文件应包括资格证明文件、资信技术文件、报价文件三部分内容。</w:t>
      </w:r>
    </w:p>
    <w:p>
      <w:pPr>
        <w:spacing w:line="460" w:lineRule="exact"/>
        <w:ind w:firstLine="420"/>
        <w:rPr>
          <w:rStyle w:val="43"/>
          <w:rFonts w:ascii="宋体" w:hAnsi="宋体"/>
          <w:sz w:val="21"/>
          <w:szCs w:val="21"/>
        </w:rPr>
      </w:pPr>
      <w:r>
        <w:rPr>
          <w:rStyle w:val="43"/>
          <w:rFonts w:ascii="宋体" w:hAnsi="宋体"/>
          <w:sz w:val="21"/>
          <w:szCs w:val="21"/>
        </w:rPr>
        <w:t>4.7.3 投标文件中投标函、</w:t>
      </w:r>
      <w:r>
        <w:rPr>
          <w:rStyle w:val="43"/>
          <w:rFonts w:ascii="宋体" w:hAnsi="宋体"/>
          <w:sz w:val="21"/>
          <w:szCs w:val="21"/>
          <w:lang w:val="zh-CN"/>
        </w:rPr>
        <w:t>法定代表人授权委托书</w:t>
      </w:r>
      <w:r>
        <w:rPr>
          <w:rStyle w:val="43"/>
          <w:rFonts w:ascii="宋体" w:hAnsi="宋体"/>
          <w:sz w:val="21"/>
          <w:szCs w:val="21"/>
        </w:rPr>
        <w:t>的格式、签字、盖章及内容均应符合采购文件格式要求，否则投标文件无效。</w:t>
      </w:r>
    </w:p>
    <w:p>
      <w:pPr>
        <w:spacing w:line="460" w:lineRule="exact"/>
        <w:ind w:firstLine="420"/>
        <w:rPr>
          <w:rStyle w:val="43"/>
          <w:rFonts w:ascii="宋体" w:hAnsi="宋体"/>
          <w:sz w:val="21"/>
          <w:szCs w:val="21"/>
        </w:rPr>
      </w:pPr>
      <w:r>
        <w:rPr>
          <w:rStyle w:val="43"/>
          <w:rFonts w:ascii="宋体" w:hAnsi="宋体"/>
          <w:sz w:val="21"/>
          <w:szCs w:val="21"/>
        </w:rPr>
        <w:t>4.7.4投标人应根据“政采云供应商项目采购-电子招投标操作指南”及本采购文件规定编制电子投标文件并进行关联定位，以便评标委员会在评标时，点击评分项，可直接定位到该评分项内容。</w:t>
      </w:r>
    </w:p>
    <w:p>
      <w:pPr>
        <w:spacing w:line="460" w:lineRule="exact"/>
        <w:ind w:firstLine="420"/>
        <w:rPr>
          <w:rStyle w:val="43"/>
          <w:rFonts w:ascii="宋体" w:hAnsi="宋体"/>
          <w:sz w:val="21"/>
          <w:szCs w:val="21"/>
        </w:rPr>
      </w:pPr>
      <w:r>
        <w:rPr>
          <w:rStyle w:val="43"/>
          <w:rFonts w:ascii="宋体" w:hAnsi="宋体"/>
          <w:sz w:val="21"/>
          <w:szCs w:val="21"/>
        </w:rPr>
        <w:t>如对采购文件的某项要求，投标人的投标响应文件未能提供相应的内容与其对应，则评标委员会在评审时会提示投标人未对此项招标要求提供相应内容。由此产生的评分影响由投标人自行承担。</w:t>
      </w:r>
    </w:p>
    <w:p>
      <w:pPr>
        <w:spacing w:line="460" w:lineRule="exact"/>
        <w:ind w:firstLine="420"/>
        <w:rPr>
          <w:rStyle w:val="43"/>
          <w:rFonts w:ascii="宋体" w:hAnsi="宋体"/>
          <w:sz w:val="21"/>
          <w:szCs w:val="21"/>
        </w:rPr>
      </w:pPr>
      <w:r>
        <w:rPr>
          <w:rStyle w:val="43"/>
          <w:rFonts w:ascii="宋体" w:hAnsi="宋体"/>
          <w:sz w:val="21"/>
          <w:szCs w:val="21"/>
        </w:rPr>
        <w:t>投标文件内容不完整、编排混乱导致投标文件被误读、漏读，或者在按采购文件规定的部分查找不到相关内容的，是投标人的责任。</w:t>
      </w:r>
    </w:p>
    <w:p>
      <w:pPr>
        <w:pStyle w:val="33"/>
        <w:spacing w:line="460" w:lineRule="exact"/>
        <w:ind w:left="778"/>
        <w:jc w:val="center"/>
        <w:outlineLvl w:val="1"/>
        <w:rPr>
          <w:rStyle w:val="43"/>
          <w:rFonts w:ascii="宋体" w:hAnsi="宋体"/>
          <w:b/>
          <w:sz w:val="21"/>
          <w:szCs w:val="21"/>
        </w:rPr>
      </w:pPr>
      <w:r>
        <w:rPr>
          <w:rStyle w:val="43"/>
          <w:rFonts w:ascii="宋体" w:hAnsi="宋体"/>
          <w:b/>
          <w:sz w:val="21"/>
          <w:szCs w:val="21"/>
        </w:rPr>
        <w:t>五、投标</w:t>
      </w:r>
    </w:p>
    <w:p>
      <w:pPr>
        <w:spacing w:line="460" w:lineRule="exact"/>
        <w:ind w:firstLine="420"/>
        <w:outlineLvl w:val="2"/>
        <w:rPr>
          <w:rStyle w:val="43"/>
          <w:rFonts w:ascii="宋体" w:hAnsi="宋体"/>
          <w:sz w:val="21"/>
          <w:szCs w:val="21"/>
        </w:rPr>
      </w:pPr>
      <w:r>
        <w:rPr>
          <w:rStyle w:val="43"/>
          <w:rFonts w:ascii="宋体" w:hAnsi="宋体"/>
          <w:sz w:val="21"/>
          <w:szCs w:val="21"/>
        </w:rPr>
        <w:t>5.1、投标文件的上传、递交</w:t>
      </w:r>
    </w:p>
    <w:p>
      <w:pPr>
        <w:spacing w:line="460" w:lineRule="exact"/>
        <w:ind w:firstLine="420"/>
        <w:rPr>
          <w:rStyle w:val="43"/>
          <w:rFonts w:ascii="宋体" w:hAnsi="宋体"/>
          <w:sz w:val="21"/>
          <w:szCs w:val="21"/>
        </w:rPr>
      </w:pPr>
      <w:r>
        <w:rPr>
          <w:rStyle w:val="43"/>
          <w:rFonts w:ascii="宋体" w:hAnsi="宋体"/>
          <w:sz w:val="21"/>
          <w:szCs w:val="21"/>
        </w:rPr>
        <w:t>5.1.1电子加密投标文件的上传、递交：</w:t>
      </w:r>
    </w:p>
    <w:p>
      <w:pPr>
        <w:spacing w:line="460" w:lineRule="exact"/>
        <w:ind w:firstLine="420"/>
        <w:rPr>
          <w:rStyle w:val="43"/>
          <w:rFonts w:ascii="宋体" w:hAnsi="宋体"/>
          <w:sz w:val="21"/>
          <w:szCs w:val="21"/>
        </w:rPr>
      </w:pPr>
      <w:r>
        <w:rPr>
          <w:rStyle w:val="43"/>
          <w:rFonts w:ascii="宋体" w:hAnsi="宋体"/>
          <w:sz w:val="21"/>
          <w:szCs w:val="21"/>
        </w:rPr>
        <w:t>（1）投标供应商应在投标截止时间前将“电子加密投标文件”成功上传递交至“政府采购云平台”，否则投标无效。</w:t>
      </w:r>
    </w:p>
    <w:p>
      <w:pPr>
        <w:spacing w:line="460" w:lineRule="exact"/>
        <w:ind w:firstLine="420"/>
        <w:rPr>
          <w:rStyle w:val="43"/>
          <w:rFonts w:ascii="宋体" w:hAnsi="宋体"/>
          <w:sz w:val="21"/>
          <w:szCs w:val="21"/>
        </w:rPr>
      </w:pPr>
      <w:r>
        <w:rPr>
          <w:rStyle w:val="43"/>
          <w:rFonts w:ascii="宋体" w:hAnsi="宋体"/>
          <w:sz w:val="21"/>
          <w:szCs w:val="21"/>
        </w:rPr>
        <w:t>（2）“电子加密投标文件”成功上传递交后，供应商可自行打印投标文件接收回执。</w:t>
      </w:r>
    </w:p>
    <w:p>
      <w:pPr>
        <w:spacing w:line="460" w:lineRule="exact"/>
        <w:ind w:firstLine="420"/>
        <w:rPr>
          <w:rStyle w:val="43"/>
          <w:rFonts w:ascii="宋体" w:hAnsi="宋体"/>
          <w:sz w:val="21"/>
          <w:szCs w:val="21"/>
        </w:rPr>
      </w:pPr>
      <w:r>
        <w:rPr>
          <w:rStyle w:val="43"/>
          <w:rFonts w:ascii="宋体" w:hAnsi="宋体"/>
          <w:sz w:val="21"/>
          <w:szCs w:val="21"/>
        </w:rPr>
        <w:t>5.1.2备份投标文件的密封包装、递交：</w:t>
      </w:r>
    </w:p>
    <w:p>
      <w:pPr>
        <w:spacing w:line="460" w:lineRule="exact"/>
        <w:ind w:firstLine="420"/>
        <w:rPr>
          <w:rStyle w:val="43"/>
          <w:rFonts w:ascii="宋体" w:hAnsi="宋体"/>
          <w:sz w:val="21"/>
          <w:szCs w:val="21"/>
        </w:rPr>
      </w:pPr>
      <w:r>
        <w:rPr>
          <w:rStyle w:val="43"/>
          <w:rFonts w:ascii="宋体" w:hAnsi="宋体"/>
          <w:sz w:val="21"/>
          <w:szCs w:val="21"/>
        </w:rPr>
        <w:t>（1）投标供应商在“政府采购云平台”完成“电子加密投标文件”的上传递交后，还可以（邮寄形式）在投标截止时间前递交以介质（U盘）存储的“备份投标文件”（一份）；</w:t>
      </w:r>
    </w:p>
    <w:p>
      <w:pPr>
        <w:spacing w:line="460" w:lineRule="exact"/>
        <w:ind w:firstLine="420"/>
        <w:rPr>
          <w:rStyle w:val="43"/>
          <w:rFonts w:ascii="宋体" w:hAnsi="宋体"/>
          <w:sz w:val="21"/>
          <w:szCs w:val="21"/>
        </w:rPr>
      </w:pPr>
      <w:r>
        <w:rPr>
          <w:rStyle w:val="43"/>
          <w:rFonts w:ascii="宋体" w:hAnsi="宋体"/>
          <w:sz w:val="21"/>
          <w:szCs w:val="21"/>
        </w:rPr>
        <w:t>（2）“备份投标文件”应当密封包装，并在包装上标注投标项目名称、投标单位名称并加盖公章。没有密封包装或者逾期邮寄送达至投标地点的“备份投标文件”将不予接收，（邮寄公司采用EMS或顺丰，以代理机构工作人员签收时间为准），采用邮寄的方式的请提前一天通知代理机构；</w:t>
      </w:r>
    </w:p>
    <w:p>
      <w:pPr>
        <w:spacing w:line="460" w:lineRule="exact"/>
        <w:ind w:firstLine="420"/>
        <w:rPr>
          <w:rStyle w:val="43"/>
          <w:rFonts w:ascii="宋体" w:hAnsi="宋体"/>
          <w:sz w:val="21"/>
          <w:szCs w:val="21"/>
        </w:rPr>
      </w:pPr>
      <w:r>
        <w:rPr>
          <w:rStyle w:val="43"/>
          <w:rFonts w:ascii="宋体" w:hAnsi="宋体"/>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460" w:lineRule="exact"/>
        <w:ind w:firstLine="420"/>
        <w:outlineLvl w:val="2"/>
        <w:rPr>
          <w:rStyle w:val="43"/>
          <w:rFonts w:ascii="宋体" w:hAnsi="宋体"/>
          <w:sz w:val="21"/>
          <w:szCs w:val="21"/>
        </w:rPr>
      </w:pPr>
      <w:r>
        <w:rPr>
          <w:rStyle w:val="43"/>
          <w:rFonts w:ascii="宋体" w:hAnsi="宋体"/>
          <w:sz w:val="21"/>
          <w:szCs w:val="21"/>
        </w:rPr>
        <w:t>5.2、解密和异常情况处理</w:t>
      </w:r>
    </w:p>
    <w:p>
      <w:pPr>
        <w:spacing w:line="460" w:lineRule="exact"/>
        <w:ind w:firstLine="420"/>
        <w:rPr>
          <w:rStyle w:val="43"/>
          <w:rFonts w:ascii="宋体" w:hAnsi="宋体"/>
          <w:sz w:val="21"/>
          <w:szCs w:val="21"/>
        </w:rPr>
      </w:pPr>
      <w:r>
        <w:rPr>
          <w:rStyle w:val="43"/>
          <w:rFonts w:ascii="宋体" w:hAnsi="宋体"/>
          <w:sz w:val="21"/>
          <w:szCs w:val="21"/>
        </w:rPr>
        <w:t>5.2.1开标后，采购组织机构将向各投标供应商发出“电子加密投标文件”的解密通知，各投标供应商代表应当在接到解密通知后30分钟内自行完成“电子加密投标文件”的在线解密。</w:t>
      </w:r>
    </w:p>
    <w:p>
      <w:pPr>
        <w:spacing w:line="460" w:lineRule="exact"/>
        <w:ind w:firstLine="420"/>
        <w:rPr>
          <w:rStyle w:val="43"/>
          <w:rFonts w:ascii="宋体" w:hAnsi="宋体"/>
          <w:sz w:val="21"/>
          <w:szCs w:val="21"/>
        </w:rPr>
      </w:pPr>
      <w:r>
        <w:rPr>
          <w:rStyle w:val="43"/>
          <w:rFonts w:ascii="宋体" w:hAnsi="宋体"/>
          <w:sz w:val="21"/>
          <w:szCs w:val="21"/>
        </w:rPr>
        <w:t>5.2.2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ind w:firstLine="420"/>
        <w:rPr>
          <w:rStyle w:val="43"/>
          <w:rFonts w:ascii="宋体" w:hAnsi="宋体"/>
          <w:sz w:val="21"/>
          <w:szCs w:val="21"/>
        </w:rPr>
      </w:pPr>
      <w:r>
        <w:rPr>
          <w:rStyle w:val="43"/>
          <w:rFonts w:ascii="宋体" w:hAnsi="宋体"/>
          <w:sz w:val="21"/>
          <w:szCs w:val="21"/>
        </w:rPr>
        <w:t>5.2.3投标截止时间前，投标供应商仅递交了“备份投标文件”而未将电子加密投标文件上传至“政府采购云平台”的，投标无效。</w:t>
      </w:r>
    </w:p>
    <w:p>
      <w:pPr>
        <w:spacing w:line="460" w:lineRule="exact"/>
        <w:ind w:firstLine="420"/>
        <w:outlineLvl w:val="2"/>
        <w:rPr>
          <w:rStyle w:val="43"/>
          <w:rFonts w:ascii="宋体" w:hAnsi="宋体"/>
          <w:sz w:val="21"/>
          <w:szCs w:val="21"/>
        </w:rPr>
      </w:pPr>
      <w:r>
        <w:rPr>
          <w:rStyle w:val="43"/>
          <w:rFonts w:ascii="宋体" w:hAnsi="宋体"/>
          <w:sz w:val="21"/>
          <w:szCs w:val="21"/>
        </w:rPr>
        <w:t>5.3、投标文件的修改和撤回</w:t>
      </w:r>
    </w:p>
    <w:p>
      <w:pPr>
        <w:spacing w:line="460" w:lineRule="exact"/>
        <w:ind w:firstLine="420"/>
        <w:rPr>
          <w:rStyle w:val="43"/>
          <w:rFonts w:ascii="宋体" w:hAnsi="宋体"/>
          <w:sz w:val="21"/>
          <w:szCs w:val="21"/>
        </w:rPr>
      </w:pPr>
      <w:r>
        <w:rPr>
          <w:rStyle w:val="43"/>
          <w:rFonts w:ascii="宋体" w:hAnsi="宋体"/>
          <w:sz w:val="21"/>
          <w:szCs w:val="21"/>
        </w:rPr>
        <w:t>5.3.1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420"/>
        <w:rPr>
          <w:rStyle w:val="43"/>
          <w:rFonts w:ascii="宋体" w:hAnsi="宋体"/>
          <w:sz w:val="21"/>
          <w:szCs w:val="21"/>
        </w:rPr>
      </w:pPr>
      <w:r>
        <w:rPr>
          <w:rStyle w:val="43"/>
          <w:rFonts w:ascii="宋体" w:hAnsi="宋体"/>
          <w:sz w:val="21"/>
          <w:szCs w:val="21"/>
        </w:rPr>
        <w:t>5.3.2投标截止时间后，投标供应商不得撤回、修改投标文件。</w:t>
      </w:r>
    </w:p>
    <w:p>
      <w:pPr>
        <w:spacing w:line="460" w:lineRule="exact"/>
        <w:ind w:firstLine="420"/>
        <w:outlineLvl w:val="2"/>
        <w:rPr>
          <w:rStyle w:val="43"/>
          <w:rFonts w:ascii="宋体" w:hAnsi="宋体"/>
          <w:sz w:val="21"/>
          <w:szCs w:val="21"/>
        </w:rPr>
      </w:pPr>
      <w:r>
        <w:rPr>
          <w:rStyle w:val="43"/>
          <w:rFonts w:ascii="宋体" w:hAnsi="宋体"/>
          <w:sz w:val="21"/>
          <w:szCs w:val="21"/>
        </w:rPr>
        <w:t>5.4、备选投标方案</w:t>
      </w:r>
    </w:p>
    <w:p>
      <w:pPr>
        <w:spacing w:line="460" w:lineRule="exact"/>
        <w:ind w:firstLine="420"/>
        <w:rPr>
          <w:rStyle w:val="43"/>
          <w:rFonts w:ascii="宋体" w:hAnsi="宋体"/>
          <w:sz w:val="21"/>
          <w:szCs w:val="21"/>
        </w:rPr>
      </w:pPr>
      <w:r>
        <w:rPr>
          <w:rStyle w:val="43"/>
          <w:rFonts w:ascii="宋体" w:hAnsi="宋体"/>
          <w:sz w:val="21"/>
          <w:szCs w:val="21"/>
        </w:rPr>
        <w:t>投标人不得提交备选投标方案，否则，投标文件将被判定为无效标。（与“电子加密投标文件”同时生成的“备份投标文件”不是投标备选（替代）方案）</w:t>
      </w:r>
    </w:p>
    <w:p>
      <w:pPr>
        <w:pStyle w:val="33"/>
        <w:spacing w:line="460" w:lineRule="exact"/>
        <w:ind w:left="778"/>
        <w:jc w:val="center"/>
        <w:outlineLvl w:val="1"/>
        <w:rPr>
          <w:rStyle w:val="43"/>
          <w:rFonts w:ascii="宋体" w:hAnsi="宋体"/>
          <w:b/>
          <w:sz w:val="21"/>
          <w:szCs w:val="21"/>
        </w:rPr>
      </w:pPr>
      <w:r>
        <w:rPr>
          <w:rStyle w:val="43"/>
          <w:rFonts w:ascii="宋体" w:hAnsi="宋体"/>
          <w:b/>
          <w:sz w:val="21"/>
          <w:szCs w:val="21"/>
        </w:rPr>
        <w:t>六、开标、评标</w:t>
      </w:r>
    </w:p>
    <w:p>
      <w:pPr>
        <w:spacing w:line="460" w:lineRule="exact"/>
        <w:ind w:firstLine="420"/>
        <w:outlineLvl w:val="2"/>
        <w:rPr>
          <w:rStyle w:val="43"/>
          <w:rFonts w:ascii="宋体" w:hAnsi="宋体"/>
          <w:sz w:val="21"/>
          <w:szCs w:val="21"/>
        </w:rPr>
      </w:pPr>
      <w:r>
        <w:rPr>
          <w:rStyle w:val="43"/>
          <w:rFonts w:ascii="宋体" w:hAnsi="宋体"/>
          <w:sz w:val="21"/>
          <w:szCs w:val="21"/>
        </w:rPr>
        <w:t>6.1．开标</w:t>
      </w:r>
    </w:p>
    <w:p>
      <w:pPr>
        <w:spacing w:line="460" w:lineRule="exact"/>
        <w:ind w:firstLine="420"/>
        <w:rPr>
          <w:rStyle w:val="43"/>
          <w:rFonts w:ascii="宋体" w:hAnsi="宋体"/>
          <w:sz w:val="21"/>
          <w:szCs w:val="21"/>
        </w:rPr>
      </w:pPr>
      <w:r>
        <w:rPr>
          <w:rStyle w:val="43"/>
          <w:rFonts w:ascii="宋体" w:hAnsi="宋体"/>
          <w:sz w:val="21"/>
          <w:szCs w:val="21"/>
        </w:rPr>
        <w:t>6.1.1 采购人将于前附表规定的时间和地点公开开标。若采购人通过修改采购文件更改了开标时间和地点的，以后者为准。</w:t>
      </w:r>
    </w:p>
    <w:p>
      <w:pPr>
        <w:spacing w:line="460" w:lineRule="exact"/>
        <w:ind w:firstLine="420"/>
        <w:rPr>
          <w:rStyle w:val="43"/>
          <w:rFonts w:ascii="宋体" w:hAnsi="宋体"/>
          <w:sz w:val="21"/>
          <w:szCs w:val="21"/>
        </w:rPr>
      </w:pPr>
      <w:r>
        <w:rPr>
          <w:rStyle w:val="43"/>
          <w:rFonts w:ascii="宋体" w:hAnsi="宋体"/>
          <w:sz w:val="21"/>
          <w:szCs w:val="21"/>
        </w:rPr>
        <w:t>6.1.2开评标期间，投标人代表应在线操作，并关注政采云有关信息公布、澄清等情况。投标人代表不参加开标程序的，事后不得对采购相关人员、开标过程和开标结果提出异议。</w:t>
      </w:r>
    </w:p>
    <w:p>
      <w:pPr>
        <w:spacing w:line="460" w:lineRule="exact"/>
        <w:ind w:firstLine="420"/>
        <w:rPr>
          <w:rStyle w:val="43"/>
          <w:rFonts w:ascii="宋体" w:hAnsi="宋体"/>
          <w:sz w:val="21"/>
          <w:szCs w:val="21"/>
        </w:rPr>
      </w:pPr>
      <w:r>
        <w:rPr>
          <w:rStyle w:val="43"/>
          <w:rFonts w:ascii="宋体" w:hAnsi="宋体"/>
          <w:sz w:val="21"/>
          <w:szCs w:val="21"/>
        </w:rPr>
        <w:t>6.1.3 开标程序</w:t>
      </w:r>
    </w:p>
    <w:p>
      <w:pPr>
        <w:spacing w:line="460" w:lineRule="exact"/>
        <w:ind w:firstLine="420"/>
        <w:rPr>
          <w:rStyle w:val="43"/>
          <w:rFonts w:ascii="宋体" w:hAnsi="宋体"/>
          <w:sz w:val="21"/>
          <w:szCs w:val="21"/>
        </w:rPr>
      </w:pPr>
      <w:r>
        <w:rPr>
          <w:rStyle w:val="43"/>
          <w:rFonts w:ascii="宋体" w:hAnsi="宋体"/>
          <w:sz w:val="21"/>
          <w:szCs w:val="21"/>
        </w:rPr>
        <w:t>6.1.3.1开标第一阶段</w:t>
      </w:r>
    </w:p>
    <w:p>
      <w:pPr>
        <w:spacing w:line="460" w:lineRule="exact"/>
        <w:ind w:firstLine="420"/>
        <w:rPr>
          <w:rStyle w:val="43"/>
          <w:rFonts w:ascii="宋体" w:hAnsi="宋体"/>
          <w:sz w:val="21"/>
          <w:szCs w:val="21"/>
        </w:rPr>
      </w:pPr>
      <w:r>
        <w:rPr>
          <w:rStyle w:val="43"/>
          <w:rFonts w:ascii="宋体" w:hAnsi="宋体"/>
          <w:sz w:val="21"/>
          <w:szCs w:val="21"/>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60" w:lineRule="exact"/>
        <w:ind w:firstLine="420"/>
        <w:rPr>
          <w:rStyle w:val="43"/>
          <w:rFonts w:ascii="宋体" w:hAnsi="宋体"/>
          <w:sz w:val="21"/>
          <w:szCs w:val="21"/>
        </w:rPr>
      </w:pPr>
      <w:r>
        <w:rPr>
          <w:rStyle w:val="43"/>
          <w:rFonts w:ascii="宋体" w:hAnsi="宋体"/>
          <w:sz w:val="21"/>
          <w:szCs w:val="21"/>
        </w:rPr>
        <w:t>（2）投标文件解密结束，通过邮件形式发送各投标人组织签署《政府采购活动现场确认声明书》；</w:t>
      </w:r>
    </w:p>
    <w:p>
      <w:pPr>
        <w:spacing w:line="460" w:lineRule="exact"/>
        <w:ind w:firstLine="420"/>
        <w:rPr>
          <w:rStyle w:val="43"/>
          <w:rFonts w:ascii="宋体" w:hAnsi="宋体"/>
          <w:sz w:val="21"/>
          <w:szCs w:val="21"/>
        </w:rPr>
      </w:pPr>
      <w:r>
        <w:rPr>
          <w:rStyle w:val="43"/>
          <w:rFonts w:ascii="宋体" w:hAnsi="宋体"/>
          <w:sz w:val="21"/>
          <w:szCs w:val="21"/>
        </w:rPr>
        <w:t>（3）开启投标文件，进入资格审查；</w:t>
      </w:r>
    </w:p>
    <w:p>
      <w:pPr>
        <w:spacing w:line="460" w:lineRule="exact"/>
        <w:ind w:firstLine="420"/>
        <w:rPr>
          <w:rStyle w:val="43"/>
          <w:rFonts w:ascii="宋体" w:hAnsi="宋体"/>
          <w:sz w:val="21"/>
          <w:szCs w:val="21"/>
        </w:rPr>
      </w:pPr>
      <w:r>
        <w:rPr>
          <w:rStyle w:val="43"/>
          <w:rFonts w:ascii="宋体" w:hAnsi="宋体"/>
          <w:sz w:val="21"/>
          <w:szCs w:val="21"/>
        </w:rPr>
        <w:t>（4）开启资格审查通过的投标供应商的商务技术文件进入符合性审查、商务技术评审；</w:t>
      </w:r>
    </w:p>
    <w:p>
      <w:pPr>
        <w:spacing w:line="460" w:lineRule="exact"/>
        <w:ind w:firstLine="420"/>
        <w:rPr>
          <w:rStyle w:val="43"/>
          <w:rFonts w:ascii="宋体" w:hAnsi="宋体"/>
          <w:sz w:val="21"/>
          <w:szCs w:val="21"/>
        </w:rPr>
      </w:pPr>
      <w:r>
        <w:rPr>
          <w:rStyle w:val="43"/>
          <w:rFonts w:ascii="宋体" w:hAnsi="宋体"/>
          <w:sz w:val="21"/>
          <w:szCs w:val="21"/>
        </w:rPr>
        <w:t>（5）第一阶段开标结束。</w:t>
      </w:r>
    </w:p>
    <w:p>
      <w:pPr>
        <w:spacing w:line="460" w:lineRule="exact"/>
        <w:ind w:firstLine="420"/>
        <w:rPr>
          <w:rStyle w:val="43"/>
          <w:rFonts w:ascii="宋体" w:hAnsi="宋体"/>
          <w:sz w:val="21"/>
          <w:szCs w:val="21"/>
        </w:rPr>
      </w:pPr>
      <w:r>
        <w:rPr>
          <w:rStyle w:val="43"/>
          <w:rFonts w:ascii="宋体" w:hAnsi="宋体"/>
          <w:sz w:val="21"/>
          <w:szCs w:val="21"/>
        </w:rPr>
        <w:t>备注：开标程序的第一阶段结束后，采购人或采购代理机构将对依法对投标供应商的资格进行审查，资格审查结束后进入符合性审查和商务技术的评审工作。</w:t>
      </w:r>
    </w:p>
    <w:p>
      <w:pPr>
        <w:spacing w:line="460" w:lineRule="exact"/>
        <w:ind w:firstLine="420"/>
        <w:rPr>
          <w:rStyle w:val="43"/>
          <w:rFonts w:ascii="宋体" w:hAnsi="宋体"/>
          <w:sz w:val="21"/>
          <w:szCs w:val="21"/>
        </w:rPr>
      </w:pPr>
      <w:r>
        <w:rPr>
          <w:rStyle w:val="43"/>
          <w:rFonts w:ascii="宋体" w:hAnsi="宋体"/>
          <w:sz w:val="21"/>
          <w:szCs w:val="21"/>
        </w:rPr>
        <w:t>6.1.3.2开标第二阶段</w:t>
      </w:r>
    </w:p>
    <w:p>
      <w:pPr>
        <w:spacing w:line="460" w:lineRule="exact"/>
        <w:ind w:firstLine="420"/>
        <w:rPr>
          <w:rStyle w:val="43"/>
          <w:rFonts w:ascii="宋体" w:hAnsi="宋体"/>
          <w:sz w:val="21"/>
          <w:szCs w:val="21"/>
        </w:rPr>
      </w:pPr>
      <w:r>
        <w:rPr>
          <w:rStyle w:val="43"/>
          <w:rFonts w:ascii="宋体" w:hAnsi="宋体"/>
          <w:sz w:val="21"/>
          <w:szCs w:val="21"/>
        </w:rPr>
        <w:t>（1）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pPr>
        <w:spacing w:line="460" w:lineRule="exact"/>
        <w:ind w:firstLine="420"/>
        <w:rPr>
          <w:rStyle w:val="43"/>
          <w:rFonts w:ascii="宋体" w:hAnsi="宋体"/>
          <w:sz w:val="21"/>
          <w:szCs w:val="21"/>
        </w:rPr>
      </w:pPr>
      <w:r>
        <w:rPr>
          <w:rStyle w:val="43"/>
          <w:rFonts w:ascii="宋体" w:hAnsi="宋体"/>
          <w:sz w:val="21"/>
          <w:szCs w:val="21"/>
        </w:rPr>
        <w:t>（2）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pPr>
        <w:spacing w:line="460" w:lineRule="exact"/>
        <w:ind w:firstLine="420"/>
        <w:rPr>
          <w:rStyle w:val="43"/>
          <w:rFonts w:ascii="宋体" w:hAnsi="宋体"/>
          <w:sz w:val="21"/>
          <w:szCs w:val="21"/>
        </w:rPr>
      </w:pPr>
      <w:r>
        <w:rPr>
          <w:rStyle w:val="43"/>
          <w:rFonts w:ascii="宋体" w:hAnsi="宋体"/>
          <w:sz w:val="21"/>
          <w:szCs w:val="21"/>
        </w:rPr>
        <w:t>（3）评审结束后，通过发送邮件形式公布中标（成交）候选供应商名单，及采购人最终确定中标或成交供应商名单的时间和公告方式等。</w:t>
      </w:r>
    </w:p>
    <w:p>
      <w:pPr>
        <w:spacing w:line="460" w:lineRule="exact"/>
        <w:ind w:firstLine="420"/>
        <w:rPr>
          <w:rStyle w:val="43"/>
          <w:rFonts w:ascii="宋体" w:hAnsi="宋体"/>
          <w:sz w:val="21"/>
          <w:szCs w:val="21"/>
        </w:rPr>
      </w:pPr>
      <w:r>
        <w:rPr>
          <w:rStyle w:val="43"/>
          <w:rFonts w:ascii="宋体" w:hAnsi="宋体"/>
          <w:sz w:val="21"/>
          <w:szCs w:val="21"/>
        </w:rPr>
        <w:t>6.1.4如遇“政府采购云平台”电子化开标或评审程序调整的，或者政采云系统提供数据电文交互功能的，按其规定执行。</w:t>
      </w:r>
    </w:p>
    <w:p>
      <w:pPr>
        <w:spacing w:line="460" w:lineRule="exact"/>
        <w:ind w:firstLine="420"/>
        <w:outlineLvl w:val="2"/>
        <w:rPr>
          <w:rStyle w:val="43"/>
          <w:rFonts w:ascii="宋体" w:hAnsi="宋体"/>
          <w:sz w:val="21"/>
          <w:szCs w:val="21"/>
        </w:rPr>
      </w:pPr>
      <w:r>
        <w:rPr>
          <w:rStyle w:val="43"/>
          <w:rFonts w:ascii="宋体" w:hAnsi="宋体"/>
          <w:sz w:val="21"/>
          <w:szCs w:val="21"/>
        </w:rPr>
        <w:t>6.2评标</w:t>
      </w:r>
    </w:p>
    <w:p>
      <w:pPr>
        <w:spacing w:line="460" w:lineRule="exact"/>
        <w:ind w:firstLine="420"/>
        <w:rPr>
          <w:rStyle w:val="43"/>
          <w:rFonts w:ascii="宋体" w:hAnsi="宋体"/>
          <w:sz w:val="21"/>
          <w:szCs w:val="21"/>
        </w:rPr>
      </w:pPr>
      <w:r>
        <w:rPr>
          <w:rStyle w:val="43"/>
          <w:rFonts w:ascii="宋体" w:hAnsi="宋体"/>
          <w:sz w:val="21"/>
          <w:szCs w:val="21"/>
        </w:rPr>
        <w:t>6.2.1 评标组织</w:t>
      </w:r>
    </w:p>
    <w:p>
      <w:pPr>
        <w:spacing w:line="460" w:lineRule="exact"/>
        <w:ind w:firstLine="420"/>
        <w:rPr>
          <w:rStyle w:val="43"/>
          <w:rFonts w:ascii="宋体" w:hAnsi="宋体"/>
          <w:sz w:val="21"/>
          <w:szCs w:val="21"/>
        </w:rPr>
      </w:pPr>
      <w:r>
        <w:rPr>
          <w:rStyle w:val="43"/>
          <w:rFonts w:ascii="宋体" w:hAnsi="宋体"/>
          <w:sz w:val="21"/>
          <w:szCs w:val="21"/>
        </w:rPr>
        <w:t>评标工作由招标采购单位负责组织，具体评标事务由招标采购单位依法组建的评标委员会负责。评标委员会由采购人代表和有关技术、经济等方面的专家组成，成员人数应当为五人及以上单数。</w:t>
      </w:r>
    </w:p>
    <w:p>
      <w:pPr>
        <w:spacing w:line="460" w:lineRule="exact"/>
        <w:ind w:firstLine="420"/>
        <w:rPr>
          <w:rStyle w:val="43"/>
          <w:rFonts w:ascii="宋体" w:hAnsi="宋体"/>
          <w:sz w:val="21"/>
          <w:szCs w:val="21"/>
        </w:rPr>
      </w:pPr>
      <w:r>
        <w:rPr>
          <w:rStyle w:val="43"/>
          <w:rFonts w:ascii="宋体" w:hAnsi="宋体"/>
          <w:sz w:val="21"/>
          <w:szCs w:val="21"/>
        </w:rPr>
        <w:t>6.2.2评标纪律</w:t>
      </w:r>
    </w:p>
    <w:p>
      <w:pPr>
        <w:spacing w:line="460" w:lineRule="exact"/>
        <w:ind w:firstLine="420"/>
        <w:rPr>
          <w:rStyle w:val="43"/>
          <w:rFonts w:ascii="宋体" w:hAnsi="宋体"/>
          <w:sz w:val="21"/>
          <w:szCs w:val="21"/>
        </w:rPr>
      </w:pPr>
      <w:r>
        <w:rPr>
          <w:rStyle w:val="43"/>
          <w:rFonts w:ascii="宋体" w:hAnsi="宋体"/>
          <w:sz w:val="21"/>
          <w:szCs w:val="21"/>
        </w:rPr>
        <w:t>本次评标工作将在严格保密的情况下进行，评标委员会成员名单在定标前将保密。</w:t>
      </w:r>
    </w:p>
    <w:p>
      <w:pPr>
        <w:spacing w:line="460" w:lineRule="exact"/>
        <w:ind w:firstLine="420"/>
        <w:rPr>
          <w:rStyle w:val="43"/>
          <w:rFonts w:ascii="宋体" w:hAnsi="宋体"/>
          <w:sz w:val="21"/>
          <w:szCs w:val="21"/>
        </w:rPr>
      </w:pPr>
      <w:r>
        <w:rPr>
          <w:rStyle w:val="43"/>
          <w:rFonts w:ascii="宋体" w:hAnsi="宋体"/>
          <w:sz w:val="21"/>
          <w:szCs w:val="21"/>
        </w:rPr>
        <w:t>6.2.3评标办法</w:t>
      </w:r>
    </w:p>
    <w:p>
      <w:pPr>
        <w:spacing w:line="460" w:lineRule="exact"/>
        <w:ind w:firstLine="420"/>
        <w:rPr>
          <w:rStyle w:val="43"/>
          <w:rFonts w:ascii="宋体" w:hAnsi="宋体"/>
          <w:sz w:val="21"/>
          <w:szCs w:val="21"/>
        </w:rPr>
      </w:pPr>
      <w:r>
        <w:rPr>
          <w:rStyle w:val="43"/>
          <w:rFonts w:ascii="宋体" w:hAnsi="宋体"/>
          <w:sz w:val="21"/>
          <w:szCs w:val="21"/>
        </w:rPr>
        <w:t>采用综合评分法，详见采购文件第四章“评标办法”。</w:t>
      </w:r>
    </w:p>
    <w:p>
      <w:pPr>
        <w:spacing w:line="460" w:lineRule="exact"/>
        <w:ind w:firstLine="420"/>
        <w:rPr>
          <w:rStyle w:val="43"/>
          <w:rFonts w:ascii="宋体" w:hAnsi="宋体"/>
          <w:sz w:val="21"/>
          <w:szCs w:val="21"/>
        </w:rPr>
      </w:pPr>
      <w:r>
        <w:rPr>
          <w:rStyle w:val="43"/>
          <w:rFonts w:ascii="宋体" w:hAnsi="宋体"/>
          <w:sz w:val="21"/>
          <w:szCs w:val="21"/>
        </w:rPr>
        <w:t>6.2.4 评标程序</w:t>
      </w:r>
    </w:p>
    <w:p>
      <w:pPr>
        <w:spacing w:line="460" w:lineRule="exact"/>
        <w:ind w:firstLine="420"/>
        <w:rPr>
          <w:rStyle w:val="43"/>
          <w:rFonts w:ascii="宋体" w:hAnsi="宋体"/>
          <w:sz w:val="21"/>
          <w:szCs w:val="21"/>
        </w:rPr>
      </w:pPr>
      <w:r>
        <w:rPr>
          <w:rStyle w:val="43"/>
          <w:rFonts w:ascii="宋体" w:hAnsi="宋体"/>
          <w:sz w:val="21"/>
          <w:szCs w:val="21"/>
        </w:rPr>
        <w:t>6.2.4.1投标文件初审。初审分为资格性检查和符合性检查。</w:t>
      </w:r>
    </w:p>
    <w:p>
      <w:pPr>
        <w:spacing w:line="460" w:lineRule="exact"/>
        <w:ind w:firstLine="420"/>
        <w:rPr>
          <w:rStyle w:val="43"/>
          <w:rFonts w:ascii="宋体" w:hAnsi="宋体"/>
          <w:sz w:val="21"/>
          <w:szCs w:val="21"/>
        </w:rPr>
      </w:pPr>
      <w:r>
        <w:rPr>
          <w:rStyle w:val="43"/>
          <w:rFonts w:ascii="宋体" w:hAnsi="宋体"/>
          <w:sz w:val="21"/>
          <w:szCs w:val="21"/>
        </w:rPr>
        <w:t>（1）资格性检查。</w:t>
      </w:r>
    </w:p>
    <w:p>
      <w:pPr>
        <w:spacing w:line="460" w:lineRule="exact"/>
        <w:ind w:firstLine="420"/>
        <w:rPr>
          <w:rStyle w:val="43"/>
          <w:rFonts w:ascii="宋体" w:hAnsi="宋体"/>
          <w:sz w:val="21"/>
          <w:szCs w:val="21"/>
        </w:rPr>
      </w:pPr>
      <w:r>
        <w:rPr>
          <w:rStyle w:val="43"/>
          <w:rFonts w:ascii="宋体" w:hAnsi="宋体"/>
          <w:sz w:val="21"/>
          <w:szCs w:val="21"/>
        </w:rPr>
        <w:t>开标后，采购人或采购代理机构将依据法律法规和供应商资格条件对投标人的基本资格条件、特定资格条件进行审查。</w:t>
      </w:r>
    </w:p>
    <w:p>
      <w:pPr>
        <w:spacing w:line="460" w:lineRule="exact"/>
        <w:ind w:firstLine="420"/>
        <w:rPr>
          <w:rStyle w:val="43"/>
          <w:rFonts w:ascii="宋体" w:hAnsi="宋体"/>
          <w:sz w:val="21"/>
          <w:szCs w:val="21"/>
        </w:rPr>
      </w:pPr>
      <w:r>
        <w:rPr>
          <w:rStyle w:val="43"/>
          <w:rFonts w:ascii="宋体" w:hAnsi="宋体"/>
          <w:sz w:val="21"/>
          <w:szCs w:val="21"/>
        </w:rPr>
        <w:t>投标人未按照采购文件中供应商资格条件要求提供相应的有效资格证明材料的，视为投标人不具备采购文件中规定的资格要求，其资格审查不通过。</w:t>
      </w:r>
    </w:p>
    <w:p>
      <w:pPr>
        <w:spacing w:line="460" w:lineRule="exact"/>
        <w:ind w:firstLine="420"/>
        <w:rPr>
          <w:rStyle w:val="43"/>
          <w:rFonts w:ascii="宋体" w:hAnsi="宋体"/>
          <w:sz w:val="21"/>
          <w:szCs w:val="21"/>
        </w:rPr>
      </w:pPr>
      <w:r>
        <w:rPr>
          <w:rStyle w:val="43"/>
          <w:rFonts w:ascii="宋体" w:hAnsi="宋体"/>
          <w:sz w:val="21"/>
          <w:szCs w:val="21"/>
        </w:rPr>
        <w:t>（2）符合性检查。依据采购文件的规定，从投标文件的有效性、完整性和对采购文件的响应程度进行审查，以确定是否对采购文件的实质性要求作出响应。具体审查内容见投标须知6.3.1条“无效投标的认定”。</w:t>
      </w:r>
    </w:p>
    <w:p>
      <w:pPr>
        <w:spacing w:line="460" w:lineRule="exact"/>
        <w:ind w:firstLine="420"/>
        <w:rPr>
          <w:rStyle w:val="43"/>
          <w:rFonts w:ascii="宋体" w:hAnsi="宋体"/>
          <w:sz w:val="21"/>
          <w:szCs w:val="21"/>
        </w:rPr>
      </w:pPr>
      <w:r>
        <w:rPr>
          <w:rStyle w:val="43"/>
          <w:rFonts w:ascii="宋体" w:hAnsi="宋体"/>
          <w:sz w:val="21"/>
          <w:szCs w:val="21"/>
        </w:rPr>
        <w:t>评标委员会决定投标文件的响应性只根据投标文件本身的内容，而不寻求外部证据。</w:t>
      </w:r>
    </w:p>
    <w:p>
      <w:pPr>
        <w:spacing w:line="460" w:lineRule="exact"/>
        <w:ind w:firstLine="420"/>
        <w:rPr>
          <w:rStyle w:val="43"/>
          <w:rFonts w:ascii="宋体" w:hAnsi="宋体"/>
          <w:sz w:val="21"/>
          <w:szCs w:val="21"/>
        </w:rPr>
      </w:pPr>
      <w:r>
        <w:rPr>
          <w:rStyle w:val="43"/>
          <w:rFonts w:ascii="宋体" w:hAnsi="宋体"/>
          <w:sz w:val="21"/>
          <w:szCs w:val="21"/>
        </w:rPr>
        <w:t>如果投标文件没有实质上响应采购文件的要求，评标委员会将判定无效，投标人不得通过修改或撤销不合要求的偏离或保留而使其投标成为实质性响应的投标。</w:t>
      </w:r>
    </w:p>
    <w:p>
      <w:pPr>
        <w:spacing w:line="460" w:lineRule="exact"/>
        <w:ind w:firstLine="420"/>
        <w:rPr>
          <w:rStyle w:val="43"/>
          <w:rFonts w:ascii="宋体" w:hAnsi="宋体"/>
          <w:sz w:val="21"/>
          <w:szCs w:val="21"/>
        </w:rPr>
      </w:pPr>
      <w:r>
        <w:rPr>
          <w:rStyle w:val="43"/>
          <w:rFonts w:ascii="宋体" w:hAnsi="宋体"/>
          <w:sz w:val="21"/>
          <w:szCs w:val="21"/>
        </w:rPr>
        <w:t>6.2.4.2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spacing w:line="460" w:lineRule="exact"/>
        <w:ind w:firstLine="420"/>
        <w:rPr>
          <w:rStyle w:val="43"/>
          <w:rFonts w:ascii="宋体" w:hAnsi="宋体"/>
          <w:sz w:val="21"/>
          <w:szCs w:val="21"/>
        </w:rPr>
      </w:pPr>
      <w:r>
        <w:rPr>
          <w:rStyle w:val="43"/>
          <w:rFonts w:ascii="宋体" w:hAnsi="宋体"/>
          <w:sz w:val="21"/>
          <w:szCs w:val="21"/>
        </w:rPr>
        <w:t>投标供应商的澄清、说明或者补正应当由法定代表人或其授权的代表签字（或加盖公章）后扫描上传提交。</w:t>
      </w:r>
    </w:p>
    <w:p>
      <w:pPr>
        <w:spacing w:line="460" w:lineRule="exact"/>
        <w:ind w:firstLine="420"/>
        <w:rPr>
          <w:rStyle w:val="43"/>
          <w:rFonts w:ascii="宋体" w:hAnsi="宋体"/>
          <w:sz w:val="21"/>
          <w:szCs w:val="21"/>
        </w:rPr>
      </w:pPr>
      <w:r>
        <w:rPr>
          <w:rStyle w:val="43"/>
          <w:rFonts w:ascii="宋体" w:hAnsi="宋体"/>
          <w:sz w:val="21"/>
          <w:szCs w:val="21"/>
        </w:rPr>
        <w:t>授权代表对澄清、说明或者补正内容未签字确认的，将自行承担由此可能导致的对其不利的评审结果，评标委员会按少数服从多数原则对相关内容进行评判。</w:t>
      </w:r>
    </w:p>
    <w:p>
      <w:pPr>
        <w:spacing w:line="460" w:lineRule="exact"/>
        <w:ind w:firstLine="420"/>
        <w:rPr>
          <w:rStyle w:val="43"/>
          <w:rFonts w:ascii="宋体" w:hAnsi="宋体"/>
          <w:sz w:val="21"/>
          <w:szCs w:val="21"/>
        </w:rPr>
      </w:pPr>
      <w:r>
        <w:rPr>
          <w:rStyle w:val="43"/>
          <w:rFonts w:ascii="宋体" w:hAnsi="宋体"/>
          <w:sz w:val="21"/>
          <w:szCs w:val="21"/>
        </w:rPr>
        <w:t>除邮件交互外，如政采云平台提供信息发布、澄清说明、数据交换等操作方式的，或者政采云系统平台有新的操作流程的，按其规定。</w:t>
      </w:r>
    </w:p>
    <w:p>
      <w:pPr>
        <w:spacing w:line="460" w:lineRule="exact"/>
        <w:ind w:firstLine="420"/>
        <w:rPr>
          <w:rStyle w:val="43"/>
          <w:rFonts w:ascii="宋体" w:hAnsi="宋体"/>
          <w:sz w:val="21"/>
          <w:szCs w:val="21"/>
        </w:rPr>
      </w:pPr>
      <w:r>
        <w:rPr>
          <w:rStyle w:val="43"/>
          <w:rFonts w:ascii="宋体" w:hAnsi="宋体"/>
          <w:sz w:val="21"/>
          <w:szCs w:val="21"/>
        </w:rPr>
        <w:t>6.2.4.3修正原则</w:t>
      </w:r>
    </w:p>
    <w:p>
      <w:pPr>
        <w:spacing w:line="460" w:lineRule="exact"/>
        <w:ind w:firstLine="420"/>
        <w:rPr>
          <w:rStyle w:val="43"/>
          <w:rFonts w:ascii="宋体" w:hAnsi="宋体"/>
          <w:sz w:val="21"/>
          <w:szCs w:val="21"/>
        </w:rPr>
      </w:pPr>
      <w:r>
        <w:rPr>
          <w:rStyle w:val="43"/>
          <w:rFonts w:ascii="宋体" w:hAnsi="宋体"/>
          <w:sz w:val="21"/>
          <w:szCs w:val="21"/>
        </w:rPr>
        <w:t>投标文件报价出现前后不一致的，按照下列规定修正：</w:t>
      </w:r>
    </w:p>
    <w:p>
      <w:pPr>
        <w:spacing w:line="460" w:lineRule="exact"/>
        <w:ind w:firstLine="420"/>
        <w:rPr>
          <w:rStyle w:val="43"/>
          <w:rFonts w:ascii="宋体" w:hAnsi="宋体"/>
          <w:sz w:val="21"/>
          <w:szCs w:val="21"/>
        </w:rPr>
      </w:pPr>
      <w:r>
        <w:rPr>
          <w:rStyle w:val="43"/>
          <w:rFonts w:ascii="宋体" w:hAnsi="宋体"/>
          <w:sz w:val="21"/>
          <w:szCs w:val="21"/>
        </w:rPr>
        <w:t>(1)</w:t>
      </w:r>
      <w:r>
        <w:rPr>
          <w:rStyle w:val="43"/>
          <w:rFonts w:ascii="宋体" w:hAnsi="宋体"/>
          <w:sz w:val="21"/>
          <w:szCs w:val="21"/>
        </w:rPr>
        <w:tab/>
      </w:r>
      <w:r>
        <w:rPr>
          <w:rStyle w:val="43"/>
          <w:rFonts w:ascii="宋体" w:hAnsi="宋体"/>
          <w:sz w:val="21"/>
          <w:szCs w:val="21"/>
        </w:rPr>
        <w:t>投标文件中开标一览表(报价表)内容与投标文件中相应内容不一致的，以开标一览表(报价表)为准；</w:t>
      </w:r>
    </w:p>
    <w:p>
      <w:pPr>
        <w:spacing w:line="460" w:lineRule="exact"/>
        <w:ind w:firstLine="420"/>
        <w:rPr>
          <w:rStyle w:val="43"/>
          <w:rFonts w:ascii="宋体" w:hAnsi="宋体"/>
          <w:sz w:val="21"/>
          <w:szCs w:val="21"/>
        </w:rPr>
      </w:pPr>
      <w:r>
        <w:rPr>
          <w:rStyle w:val="43"/>
          <w:rFonts w:ascii="宋体" w:hAnsi="宋体"/>
          <w:sz w:val="21"/>
          <w:szCs w:val="21"/>
        </w:rPr>
        <w:t>(2)</w:t>
      </w:r>
      <w:r>
        <w:rPr>
          <w:rStyle w:val="43"/>
          <w:rFonts w:ascii="宋体" w:hAnsi="宋体"/>
          <w:sz w:val="21"/>
          <w:szCs w:val="21"/>
        </w:rPr>
        <w:tab/>
      </w:r>
      <w:r>
        <w:rPr>
          <w:rStyle w:val="43"/>
          <w:rFonts w:ascii="宋体" w:hAnsi="宋体"/>
          <w:sz w:val="21"/>
          <w:szCs w:val="21"/>
        </w:rPr>
        <w:t>大写金额和小写金额不一致的，以大写金额为准；</w:t>
      </w:r>
    </w:p>
    <w:p>
      <w:pPr>
        <w:spacing w:line="460" w:lineRule="exact"/>
        <w:ind w:firstLine="420"/>
        <w:rPr>
          <w:rStyle w:val="43"/>
          <w:rFonts w:ascii="宋体" w:hAnsi="宋体"/>
          <w:sz w:val="21"/>
          <w:szCs w:val="21"/>
        </w:rPr>
      </w:pPr>
      <w:r>
        <w:rPr>
          <w:rStyle w:val="43"/>
          <w:rFonts w:ascii="宋体" w:hAnsi="宋体"/>
          <w:sz w:val="21"/>
          <w:szCs w:val="21"/>
        </w:rPr>
        <w:t>(3)</w:t>
      </w:r>
      <w:r>
        <w:rPr>
          <w:rStyle w:val="43"/>
          <w:rFonts w:ascii="宋体" w:hAnsi="宋体"/>
          <w:sz w:val="21"/>
          <w:szCs w:val="21"/>
        </w:rPr>
        <w:tab/>
      </w:r>
      <w:r>
        <w:rPr>
          <w:rStyle w:val="43"/>
          <w:rFonts w:ascii="宋体" w:hAnsi="宋体"/>
          <w:sz w:val="21"/>
          <w:szCs w:val="21"/>
        </w:rPr>
        <w:t>单价金额小数点或者百分比有明显错位的，以开标一览表的总价为准，并修改单价；</w:t>
      </w:r>
    </w:p>
    <w:p>
      <w:pPr>
        <w:spacing w:line="460" w:lineRule="exact"/>
        <w:ind w:firstLine="420"/>
        <w:rPr>
          <w:rStyle w:val="43"/>
          <w:rFonts w:ascii="宋体" w:hAnsi="宋体"/>
          <w:sz w:val="21"/>
          <w:szCs w:val="21"/>
        </w:rPr>
      </w:pPr>
      <w:r>
        <w:rPr>
          <w:rStyle w:val="43"/>
          <w:rFonts w:ascii="宋体" w:hAnsi="宋体"/>
          <w:sz w:val="21"/>
          <w:szCs w:val="21"/>
        </w:rPr>
        <w:t>(4)</w:t>
      </w:r>
      <w:r>
        <w:rPr>
          <w:rStyle w:val="43"/>
          <w:rFonts w:ascii="宋体" w:hAnsi="宋体"/>
          <w:sz w:val="21"/>
          <w:szCs w:val="21"/>
        </w:rPr>
        <w:tab/>
      </w:r>
      <w:r>
        <w:rPr>
          <w:rStyle w:val="43"/>
          <w:rFonts w:ascii="宋体" w:hAnsi="宋体"/>
          <w:sz w:val="21"/>
          <w:szCs w:val="21"/>
        </w:rPr>
        <w:t>总价金额与按单价汇总金额不一致的，以单价金额计算结果为准。</w:t>
      </w:r>
    </w:p>
    <w:p>
      <w:pPr>
        <w:spacing w:line="460" w:lineRule="exact"/>
        <w:ind w:firstLine="420"/>
        <w:rPr>
          <w:rStyle w:val="43"/>
          <w:rFonts w:ascii="宋体" w:hAnsi="宋体"/>
          <w:sz w:val="21"/>
          <w:szCs w:val="21"/>
        </w:rPr>
      </w:pPr>
      <w:r>
        <w:rPr>
          <w:rStyle w:val="43"/>
          <w:rFonts w:ascii="宋体" w:hAnsi="宋体"/>
          <w:sz w:val="21"/>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spacing w:line="460" w:lineRule="exact"/>
        <w:ind w:firstLine="420"/>
        <w:rPr>
          <w:rStyle w:val="43"/>
          <w:rFonts w:ascii="宋体" w:hAnsi="宋体"/>
          <w:sz w:val="21"/>
          <w:szCs w:val="21"/>
        </w:rPr>
      </w:pPr>
      <w:r>
        <w:rPr>
          <w:rStyle w:val="43"/>
          <w:rFonts w:ascii="宋体" w:hAnsi="宋体"/>
          <w:sz w:val="21"/>
          <w:szCs w:val="21"/>
        </w:rPr>
        <w:t>6.2.4.4比较与评价。</w:t>
      </w:r>
    </w:p>
    <w:p>
      <w:pPr>
        <w:spacing w:line="460" w:lineRule="exact"/>
        <w:ind w:firstLine="420"/>
        <w:rPr>
          <w:rStyle w:val="43"/>
          <w:rFonts w:ascii="宋体" w:hAnsi="宋体"/>
          <w:sz w:val="21"/>
          <w:szCs w:val="21"/>
        </w:rPr>
      </w:pPr>
      <w:r>
        <w:rPr>
          <w:rStyle w:val="43"/>
          <w:rFonts w:ascii="宋体" w:hAnsi="宋体"/>
          <w:sz w:val="21"/>
          <w:szCs w:val="21"/>
        </w:rPr>
        <w:t>按采购文件中规定的评标方法和标准，对资格性检查和符合性检查合格的投标文件进行商务和技术评估，综合比较与评价。</w:t>
      </w:r>
    </w:p>
    <w:p>
      <w:pPr>
        <w:spacing w:line="460" w:lineRule="exact"/>
        <w:ind w:firstLine="420"/>
        <w:rPr>
          <w:rStyle w:val="43"/>
          <w:rFonts w:ascii="宋体" w:hAnsi="宋体"/>
          <w:sz w:val="21"/>
          <w:szCs w:val="21"/>
        </w:rPr>
      </w:pPr>
      <w:r>
        <w:rPr>
          <w:rStyle w:val="43"/>
          <w:rFonts w:ascii="宋体" w:hAnsi="宋体"/>
          <w:sz w:val="21"/>
          <w:szCs w:val="21"/>
        </w:rPr>
        <w:t>6.2.4.5按采购文件中规定的评标方法和标准，对投标人进行排序，并推荐中标候选人。</w:t>
      </w:r>
    </w:p>
    <w:p>
      <w:pPr>
        <w:spacing w:line="460" w:lineRule="exact"/>
        <w:ind w:firstLine="420"/>
        <w:rPr>
          <w:rStyle w:val="43"/>
          <w:rFonts w:ascii="宋体" w:hAnsi="宋体"/>
          <w:sz w:val="21"/>
          <w:szCs w:val="21"/>
        </w:rPr>
      </w:pPr>
      <w:r>
        <w:rPr>
          <w:rStyle w:val="43"/>
          <w:rFonts w:ascii="宋体" w:hAnsi="宋体"/>
          <w:sz w:val="21"/>
          <w:szCs w:val="21"/>
        </w:rPr>
        <w:t>6.2.4.6编写评标报告。</w:t>
      </w:r>
    </w:p>
    <w:p>
      <w:pPr>
        <w:spacing w:line="460" w:lineRule="exact"/>
        <w:ind w:firstLine="420"/>
        <w:outlineLvl w:val="2"/>
        <w:rPr>
          <w:rStyle w:val="43"/>
          <w:rFonts w:ascii="宋体" w:hAnsi="宋体"/>
          <w:sz w:val="21"/>
          <w:szCs w:val="21"/>
        </w:rPr>
      </w:pPr>
      <w:r>
        <w:rPr>
          <w:rStyle w:val="43"/>
          <w:rFonts w:ascii="宋体" w:hAnsi="宋体"/>
          <w:sz w:val="21"/>
          <w:szCs w:val="21"/>
        </w:rPr>
        <w:t>6.3无效投标的认定</w:t>
      </w:r>
    </w:p>
    <w:p>
      <w:pPr>
        <w:spacing w:line="460" w:lineRule="exact"/>
        <w:ind w:firstLine="420"/>
        <w:rPr>
          <w:rStyle w:val="43"/>
          <w:rFonts w:ascii="宋体" w:hAnsi="宋体"/>
          <w:sz w:val="21"/>
          <w:szCs w:val="21"/>
        </w:rPr>
      </w:pPr>
      <w:r>
        <w:rPr>
          <w:rStyle w:val="43"/>
          <w:rFonts w:ascii="宋体" w:hAnsi="宋体"/>
          <w:sz w:val="21"/>
          <w:szCs w:val="21"/>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460" w:lineRule="exact"/>
        <w:ind w:firstLine="420"/>
        <w:rPr>
          <w:rStyle w:val="43"/>
          <w:rFonts w:ascii="宋体" w:hAnsi="宋体"/>
          <w:sz w:val="21"/>
          <w:szCs w:val="21"/>
        </w:rPr>
      </w:pPr>
      <w:r>
        <w:rPr>
          <w:rStyle w:val="43"/>
          <w:rFonts w:ascii="宋体" w:hAnsi="宋体"/>
          <w:sz w:val="21"/>
          <w:szCs w:val="21"/>
        </w:rPr>
        <w:t>6.3.1如发现下列情形之一的，投标文件将被视为无效投标：</w:t>
      </w:r>
    </w:p>
    <w:p>
      <w:pPr>
        <w:numPr>
          <w:ilvl w:val="0"/>
          <w:numId w:val="3"/>
        </w:numPr>
        <w:spacing w:line="460" w:lineRule="exact"/>
        <w:ind w:firstLine="420"/>
        <w:rPr>
          <w:rStyle w:val="43"/>
          <w:rFonts w:ascii="宋体" w:hAnsi="宋体"/>
          <w:sz w:val="21"/>
          <w:szCs w:val="21"/>
        </w:rPr>
      </w:pPr>
      <w:r>
        <w:rPr>
          <w:rStyle w:val="43"/>
          <w:rFonts w:ascii="宋体" w:hAnsi="宋体"/>
          <w:sz w:val="21"/>
          <w:szCs w:val="21"/>
        </w:rPr>
        <w:t>未按时上传或按时解密电子投标文件的</w:t>
      </w:r>
    </w:p>
    <w:p>
      <w:pPr>
        <w:numPr>
          <w:ilvl w:val="0"/>
          <w:numId w:val="3"/>
        </w:numPr>
        <w:spacing w:line="460" w:lineRule="exact"/>
        <w:ind w:firstLine="420"/>
        <w:rPr>
          <w:rStyle w:val="43"/>
          <w:rFonts w:ascii="宋体" w:hAnsi="宋体"/>
          <w:sz w:val="21"/>
          <w:szCs w:val="21"/>
        </w:rPr>
      </w:pPr>
      <w:r>
        <w:rPr>
          <w:rStyle w:val="43"/>
          <w:rFonts w:ascii="宋体" w:hAnsi="宋体"/>
          <w:sz w:val="21"/>
          <w:szCs w:val="21"/>
        </w:rPr>
        <w:t>电子投标文件解密失败的，且未在规定时间内提交有效备份投标文件的；</w:t>
      </w:r>
    </w:p>
    <w:p>
      <w:pPr>
        <w:spacing w:line="460" w:lineRule="exact"/>
        <w:ind w:firstLine="420"/>
        <w:rPr>
          <w:rStyle w:val="43"/>
          <w:rFonts w:ascii="宋体" w:hAnsi="宋体"/>
          <w:sz w:val="21"/>
          <w:szCs w:val="21"/>
        </w:rPr>
      </w:pPr>
      <w:r>
        <w:rPr>
          <w:rStyle w:val="43"/>
          <w:rFonts w:ascii="宋体" w:hAnsi="宋体"/>
          <w:sz w:val="21"/>
          <w:szCs w:val="21"/>
        </w:rPr>
        <w:t>3）电子投标文件未按规定要求提供电子签章的；</w:t>
      </w:r>
    </w:p>
    <w:p>
      <w:pPr>
        <w:spacing w:line="460" w:lineRule="exact"/>
        <w:ind w:firstLine="420"/>
        <w:rPr>
          <w:rStyle w:val="43"/>
          <w:rFonts w:ascii="宋体" w:hAnsi="宋体"/>
          <w:sz w:val="21"/>
          <w:szCs w:val="21"/>
        </w:rPr>
      </w:pPr>
      <w:r>
        <w:rPr>
          <w:rStyle w:val="43"/>
          <w:rFonts w:ascii="宋体" w:hAnsi="宋体"/>
          <w:sz w:val="21"/>
          <w:szCs w:val="21"/>
        </w:rPr>
        <w:t>4）投标人的投标资格不满足国家有关规定和采购文件的要求；</w:t>
      </w:r>
    </w:p>
    <w:p>
      <w:pPr>
        <w:spacing w:line="460" w:lineRule="exact"/>
        <w:ind w:firstLine="420"/>
        <w:rPr>
          <w:rStyle w:val="43"/>
          <w:rFonts w:ascii="宋体" w:hAnsi="宋体"/>
          <w:sz w:val="21"/>
          <w:szCs w:val="21"/>
        </w:rPr>
      </w:pPr>
      <w:r>
        <w:rPr>
          <w:rStyle w:val="43"/>
          <w:rFonts w:ascii="宋体" w:hAnsi="宋体"/>
          <w:sz w:val="21"/>
          <w:szCs w:val="21"/>
        </w:rPr>
        <w:t>5）投标文件没有投标人的法定代表人或法定代表人授权委托人签字、投标文件应盖公章而未盖公章或盖非公司公章、未有效授权、法定代表人授权书填写不完整或有涂改的；</w:t>
      </w:r>
    </w:p>
    <w:p>
      <w:pPr>
        <w:spacing w:line="460" w:lineRule="exact"/>
        <w:ind w:firstLine="420"/>
        <w:rPr>
          <w:rStyle w:val="43"/>
          <w:rFonts w:ascii="宋体" w:hAnsi="宋体"/>
          <w:sz w:val="21"/>
          <w:szCs w:val="21"/>
        </w:rPr>
      </w:pPr>
      <w:r>
        <w:rPr>
          <w:rStyle w:val="43"/>
          <w:rFonts w:ascii="宋体" w:hAnsi="宋体"/>
          <w:sz w:val="21"/>
          <w:szCs w:val="21"/>
        </w:rPr>
        <w:t>6）招标文件不接受联合体投标而采用联合体投标的；以联合体形式进行投标的，在投标文件中未提交联合体协议的；</w:t>
      </w:r>
    </w:p>
    <w:p>
      <w:pPr>
        <w:spacing w:line="460" w:lineRule="exact"/>
        <w:ind w:firstLine="420"/>
        <w:rPr>
          <w:rStyle w:val="43"/>
          <w:rFonts w:ascii="宋体" w:hAnsi="宋体"/>
          <w:sz w:val="21"/>
          <w:szCs w:val="21"/>
        </w:rPr>
      </w:pPr>
      <w:r>
        <w:rPr>
          <w:rStyle w:val="43"/>
          <w:rFonts w:ascii="宋体" w:hAnsi="宋体"/>
          <w:sz w:val="21"/>
          <w:szCs w:val="21"/>
        </w:rPr>
        <w:t>7）不响应采购文件标注“★”条款要求的；</w:t>
      </w:r>
    </w:p>
    <w:p>
      <w:pPr>
        <w:spacing w:line="460" w:lineRule="exact"/>
        <w:ind w:firstLine="420"/>
        <w:rPr>
          <w:rStyle w:val="43"/>
          <w:rFonts w:ascii="宋体" w:hAnsi="宋体"/>
          <w:sz w:val="21"/>
          <w:szCs w:val="21"/>
        </w:rPr>
      </w:pPr>
      <w:r>
        <w:rPr>
          <w:rStyle w:val="43"/>
          <w:rFonts w:ascii="宋体" w:hAnsi="宋体"/>
          <w:sz w:val="21"/>
          <w:szCs w:val="21"/>
        </w:rPr>
        <w:t>8）投标文件载明的招标项目合同期或服务期少于采购文件规定期限的；</w:t>
      </w:r>
    </w:p>
    <w:p>
      <w:pPr>
        <w:spacing w:line="460" w:lineRule="exact"/>
        <w:ind w:firstLine="420"/>
        <w:rPr>
          <w:rStyle w:val="43"/>
          <w:rFonts w:ascii="宋体" w:hAnsi="宋体"/>
          <w:sz w:val="21"/>
          <w:szCs w:val="21"/>
        </w:rPr>
      </w:pPr>
      <w:r>
        <w:rPr>
          <w:rStyle w:val="43"/>
          <w:rFonts w:ascii="宋体" w:hAnsi="宋体"/>
          <w:sz w:val="21"/>
          <w:szCs w:val="21"/>
        </w:rPr>
        <w:t>9）投标文件未响应采购文件规定的付款方式的；</w:t>
      </w:r>
    </w:p>
    <w:p>
      <w:pPr>
        <w:spacing w:line="460" w:lineRule="exact"/>
        <w:ind w:firstLine="420"/>
        <w:rPr>
          <w:rStyle w:val="43"/>
          <w:rFonts w:ascii="宋体" w:hAnsi="宋体"/>
          <w:sz w:val="21"/>
          <w:szCs w:val="21"/>
        </w:rPr>
      </w:pPr>
      <w:r>
        <w:rPr>
          <w:rStyle w:val="43"/>
          <w:rFonts w:ascii="宋体" w:hAnsi="宋体"/>
          <w:sz w:val="21"/>
          <w:szCs w:val="21"/>
        </w:rPr>
        <w:t>10）投标报价超出预算或最高控制价，采购人无法接受的；</w:t>
      </w:r>
    </w:p>
    <w:p>
      <w:pPr>
        <w:spacing w:line="460" w:lineRule="exact"/>
        <w:ind w:firstLine="420"/>
        <w:rPr>
          <w:rStyle w:val="43"/>
          <w:rFonts w:ascii="宋体" w:hAnsi="宋体"/>
          <w:sz w:val="21"/>
          <w:szCs w:val="21"/>
        </w:rPr>
      </w:pPr>
      <w:r>
        <w:rPr>
          <w:rStyle w:val="43"/>
          <w:rFonts w:ascii="宋体" w:hAnsi="宋体"/>
          <w:sz w:val="21"/>
          <w:szCs w:val="21"/>
        </w:rPr>
        <w:t>11）投标货物的技术规范、技术标准明显不符合国家强制性要求的；</w:t>
      </w:r>
    </w:p>
    <w:p>
      <w:pPr>
        <w:spacing w:line="460" w:lineRule="exact"/>
        <w:ind w:firstLine="420"/>
        <w:rPr>
          <w:rStyle w:val="43"/>
          <w:rFonts w:ascii="宋体" w:hAnsi="宋体"/>
          <w:sz w:val="21"/>
          <w:szCs w:val="21"/>
        </w:rPr>
      </w:pPr>
      <w:r>
        <w:rPr>
          <w:rStyle w:val="43"/>
          <w:rFonts w:ascii="宋体" w:hAnsi="宋体"/>
          <w:sz w:val="21"/>
          <w:szCs w:val="21"/>
        </w:rPr>
        <w:t>12）投标人提交两份或多份内容不同的报价响应文件，或在一份报价响应文件中对同一内容报有两个或多个报价，且未声明哪一个为最终报价的；</w:t>
      </w:r>
    </w:p>
    <w:p>
      <w:pPr>
        <w:spacing w:line="460" w:lineRule="exact"/>
        <w:ind w:firstLine="420"/>
        <w:rPr>
          <w:rStyle w:val="43"/>
          <w:rFonts w:ascii="宋体" w:hAnsi="宋体"/>
          <w:sz w:val="21"/>
          <w:szCs w:val="21"/>
        </w:rPr>
      </w:pPr>
      <w:r>
        <w:rPr>
          <w:rStyle w:val="43"/>
          <w:rFonts w:ascii="宋体" w:hAnsi="宋体"/>
          <w:sz w:val="21"/>
          <w:szCs w:val="21"/>
        </w:rPr>
        <w:t>13）投标人的报价明显低于其他通过符合性审查投标人的报价，有可能影响服务质量或者不能诚信履约，未能按评标委员会要求其在评标现场合理的时间内提供书面说明及相关证明材料以证明其报价合理性的；</w:t>
      </w:r>
    </w:p>
    <w:p>
      <w:pPr>
        <w:spacing w:line="460" w:lineRule="exact"/>
        <w:ind w:firstLine="420"/>
        <w:rPr>
          <w:rStyle w:val="43"/>
          <w:rFonts w:ascii="宋体" w:hAnsi="宋体"/>
          <w:sz w:val="21"/>
          <w:szCs w:val="21"/>
        </w:rPr>
      </w:pPr>
      <w:r>
        <w:rPr>
          <w:rStyle w:val="43"/>
          <w:rFonts w:ascii="宋体" w:hAnsi="宋体"/>
          <w:sz w:val="21"/>
          <w:szCs w:val="21"/>
        </w:rPr>
        <w:t>14）投标文件附有采购人不能接受的条款；</w:t>
      </w:r>
    </w:p>
    <w:p>
      <w:pPr>
        <w:spacing w:line="460" w:lineRule="exact"/>
        <w:ind w:firstLine="420"/>
        <w:rPr>
          <w:rStyle w:val="43"/>
          <w:rFonts w:ascii="宋体" w:hAnsi="宋体"/>
          <w:sz w:val="21"/>
          <w:szCs w:val="21"/>
        </w:rPr>
      </w:pPr>
      <w:r>
        <w:rPr>
          <w:rStyle w:val="43"/>
          <w:rFonts w:ascii="宋体" w:hAnsi="宋体"/>
          <w:sz w:val="21"/>
          <w:szCs w:val="21"/>
        </w:rPr>
        <w:t>15）与采购文件有重大偏离的投标文件；</w:t>
      </w:r>
    </w:p>
    <w:p>
      <w:pPr>
        <w:spacing w:line="460" w:lineRule="exact"/>
        <w:ind w:firstLine="420"/>
        <w:rPr>
          <w:rStyle w:val="43"/>
          <w:rFonts w:ascii="宋体" w:hAnsi="宋体"/>
          <w:sz w:val="21"/>
          <w:szCs w:val="21"/>
        </w:rPr>
      </w:pPr>
      <w:r>
        <w:rPr>
          <w:rStyle w:val="43"/>
          <w:rFonts w:ascii="宋体" w:hAnsi="宋体"/>
          <w:sz w:val="21"/>
          <w:szCs w:val="21"/>
        </w:rPr>
        <w:t>16）不满足采购文件规定的实质性要求的；</w:t>
      </w:r>
    </w:p>
    <w:p>
      <w:pPr>
        <w:spacing w:line="460" w:lineRule="exact"/>
        <w:ind w:firstLine="420"/>
        <w:rPr>
          <w:rStyle w:val="43"/>
          <w:rFonts w:ascii="宋体" w:hAnsi="宋体"/>
          <w:sz w:val="21"/>
          <w:szCs w:val="21"/>
        </w:rPr>
      </w:pPr>
      <w:r>
        <w:rPr>
          <w:rStyle w:val="43"/>
          <w:rFonts w:ascii="宋体" w:hAnsi="宋体"/>
          <w:sz w:val="21"/>
          <w:szCs w:val="21"/>
        </w:rPr>
        <w:t>17）国家和省另有规定属无效投标文件的。</w:t>
      </w:r>
    </w:p>
    <w:p>
      <w:pPr>
        <w:spacing w:line="460" w:lineRule="exact"/>
        <w:ind w:firstLine="420"/>
        <w:rPr>
          <w:rStyle w:val="43"/>
          <w:rFonts w:ascii="宋体" w:hAnsi="宋体"/>
          <w:sz w:val="21"/>
          <w:szCs w:val="21"/>
        </w:rPr>
      </w:pPr>
      <w:r>
        <w:rPr>
          <w:rStyle w:val="43"/>
          <w:rFonts w:ascii="宋体" w:hAnsi="宋体"/>
          <w:sz w:val="21"/>
          <w:szCs w:val="21"/>
        </w:rPr>
        <w:t>6.3.2有下列情形之一的，视为投标人串通投标，其投标无效：</w:t>
      </w:r>
    </w:p>
    <w:p>
      <w:pPr>
        <w:spacing w:line="460" w:lineRule="exact"/>
        <w:ind w:firstLine="420"/>
        <w:rPr>
          <w:rStyle w:val="43"/>
          <w:rFonts w:ascii="宋体" w:hAnsi="宋体"/>
          <w:sz w:val="21"/>
          <w:szCs w:val="21"/>
        </w:rPr>
      </w:pPr>
      <w:r>
        <w:rPr>
          <w:rStyle w:val="43"/>
          <w:rFonts w:ascii="宋体" w:hAnsi="宋体"/>
          <w:sz w:val="21"/>
          <w:szCs w:val="21"/>
        </w:rPr>
        <w:t>（1）不同投标人的投标文件由同一单位或者个人编制；</w:t>
      </w:r>
    </w:p>
    <w:p>
      <w:pPr>
        <w:spacing w:line="460" w:lineRule="exact"/>
        <w:ind w:firstLine="420"/>
        <w:rPr>
          <w:rStyle w:val="43"/>
          <w:rFonts w:ascii="宋体" w:hAnsi="宋体"/>
          <w:sz w:val="21"/>
          <w:szCs w:val="21"/>
        </w:rPr>
      </w:pPr>
      <w:r>
        <w:rPr>
          <w:rStyle w:val="43"/>
          <w:rFonts w:ascii="宋体" w:hAnsi="宋体"/>
          <w:sz w:val="21"/>
          <w:szCs w:val="21"/>
        </w:rPr>
        <w:t>（2）不同投标人委托同一单位或者个人办理投标事宜；</w:t>
      </w:r>
    </w:p>
    <w:p>
      <w:pPr>
        <w:spacing w:line="460" w:lineRule="exact"/>
        <w:ind w:firstLine="420"/>
        <w:rPr>
          <w:rStyle w:val="43"/>
          <w:rFonts w:ascii="宋体" w:hAnsi="宋体"/>
          <w:sz w:val="21"/>
          <w:szCs w:val="21"/>
        </w:rPr>
      </w:pPr>
      <w:r>
        <w:rPr>
          <w:rStyle w:val="43"/>
          <w:rFonts w:ascii="宋体" w:hAnsi="宋体"/>
          <w:sz w:val="21"/>
          <w:szCs w:val="21"/>
        </w:rPr>
        <w:t>（3）不同投标人的投标文件载明的项目管理成员或者联系人员为同一人；</w:t>
      </w:r>
    </w:p>
    <w:p>
      <w:pPr>
        <w:spacing w:line="460" w:lineRule="exact"/>
        <w:ind w:firstLine="420"/>
        <w:rPr>
          <w:rStyle w:val="43"/>
          <w:rFonts w:ascii="宋体" w:hAnsi="宋体"/>
          <w:sz w:val="21"/>
          <w:szCs w:val="21"/>
        </w:rPr>
      </w:pPr>
      <w:r>
        <w:rPr>
          <w:rStyle w:val="43"/>
          <w:rFonts w:ascii="宋体" w:hAnsi="宋体"/>
          <w:sz w:val="21"/>
          <w:szCs w:val="21"/>
        </w:rPr>
        <w:t>（4）不同投标人的投标文件异常一致或者投标报价呈规律性差异；</w:t>
      </w:r>
    </w:p>
    <w:p>
      <w:pPr>
        <w:spacing w:line="460" w:lineRule="exact"/>
        <w:ind w:firstLine="420"/>
        <w:rPr>
          <w:rStyle w:val="43"/>
          <w:rFonts w:ascii="宋体" w:hAnsi="宋体"/>
          <w:sz w:val="21"/>
          <w:szCs w:val="21"/>
        </w:rPr>
      </w:pPr>
      <w:r>
        <w:rPr>
          <w:rStyle w:val="43"/>
          <w:rFonts w:ascii="宋体" w:hAnsi="宋体"/>
          <w:sz w:val="21"/>
          <w:szCs w:val="21"/>
        </w:rPr>
        <w:t>（5）不同投标人的投标文件相互混装。</w:t>
      </w:r>
    </w:p>
    <w:p>
      <w:pPr>
        <w:spacing w:line="460" w:lineRule="exact"/>
        <w:ind w:firstLine="420"/>
        <w:outlineLvl w:val="2"/>
        <w:rPr>
          <w:rStyle w:val="43"/>
          <w:rFonts w:ascii="宋体" w:hAnsi="宋体"/>
          <w:sz w:val="21"/>
          <w:szCs w:val="21"/>
        </w:rPr>
      </w:pPr>
      <w:r>
        <w:rPr>
          <w:rStyle w:val="43"/>
          <w:rFonts w:ascii="宋体" w:hAnsi="宋体"/>
          <w:sz w:val="21"/>
          <w:szCs w:val="21"/>
        </w:rPr>
        <w:t>6.4废标</w:t>
      </w:r>
    </w:p>
    <w:p>
      <w:pPr>
        <w:spacing w:line="460" w:lineRule="exact"/>
        <w:ind w:firstLine="420"/>
        <w:rPr>
          <w:rStyle w:val="43"/>
          <w:rFonts w:ascii="宋体" w:hAnsi="宋体"/>
          <w:sz w:val="21"/>
          <w:szCs w:val="21"/>
        </w:rPr>
      </w:pPr>
      <w:r>
        <w:rPr>
          <w:rStyle w:val="43"/>
          <w:rFonts w:ascii="宋体" w:hAnsi="宋体"/>
          <w:sz w:val="21"/>
          <w:szCs w:val="21"/>
        </w:rPr>
        <w:t>6.4.1根据《中华人民共和国政府采购法》第三十六条，出现下列情形之一的，应予以废标：</w:t>
      </w:r>
    </w:p>
    <w:p>
      <w:pPr>
        <w:spacing w:line="460" w:lineRule="exact"/>
        <w:ind w:firstLine="420"/>
        <w:rPr>
          <w:rStyle w:val="43"/>
          <w:rFonts w:ascii="宋体" w:hAnsi="宋体"/>
          <w:sz w:val="21"/>
          <w:szCs w:val="21"/>
        </w:rPr>
      </w:pPr>
      <w:r>
        <w:rPr>
          <w:rStyle w:val="43"/>
          <w:rFonts w:ascii="宋体" w:hAnsi="宋体"/>
          <w:sz w:val="21"/>
          <w:szCs w:val="21"/>
        </w:rPr>
        <w:t>（1）符合专业条件的供应商或者对采购文件作实质响应的供应商不足三家的；</w:t>
      </w:r>
    </w:p>
    <w:p>
      <w:pPr>
        <w:spacing w:line="460" w:lineRule="exact"/>
        <w:ind w:firstLine="420"/>
        <w:rPr>
          <w:rStyle w:val="43"/>
          <w:rFonts w:ascii="宋体" w:hAnsi="宋体"/>
          <w:sz w:val="21"/>
          <w:szCs w:val="21"/>
        </w:rPr>
      </w:pPr>
      <w:r>
        <w:rPr>
          <w:rStyle w:val="43"/>
          <w:rFonts w:ascii="宋体" w:hAnsi="宋体"/>
          <w:sz w:val="21"/>
          <w:szCs w:val="21"/>
        </w:rPr>
        <w:t>（2）出现影响采购公正的违法、违规行为的；</w:t>
      </w:r>
    </w:p>
    <w:p>
      <w:pPr>
        <w:spacing w:line="460" w:lineRule="exact"/>
        <w:ind w:firstLine="420"/>
        <w:rPr>
          <w:rStyle w:val="43"/>
          <w:rFonts w:ascii="宋体" w:hAnsi="宋体"/>
          <w:sz w:val="21"/>
          <w:szCs w:val="21"/>
        </w:rPr>
      </w:pPr>
      <w:r>
        <w:rPr>
          <w:rStyle w:val="43"/>
          <w:rFonts w:ascii="宋体" w:hAnsi="宋体"/>
          <w:sz w:val="21"/>
          <w:szCs w:val="21"/>
        </w:rPr>
        <w:t>（3）所有投标人的报价均超过了采购预算，采购人不能支付的；</w:t>
      </w:r>
    </w:p>
    <w:p>
      <w:pPr>
        <w:spacing w:line="460" w:lineRule="exact"/>
        <w:ind w:firstLine="420"/>
        <w:rPr>
          <w:rStyle w:val="43"/>
          <w:rFonts w:ascii="宋体" w:hAnsi="宋体"/>
          <w:sz w:val="21"/>
          <w:szCs w:val="21"/>
        </w:rPr>
      </w:pPr>
      <w:r>
        <w:rPr>
          <w:rStyle w:val="43"/>
          <w:rFonts w:ascii="宋体" w:hAnsi="宋体"/>
          <w:sz w:val="21"/>
          <w:szCs w:val="21"/>
        </w:rPr>
        <w:t>（4）因重大变故，采购任务取消的。</w:t>
      </w:r>
    </w:p>
    <w:p>
      <w:pPr>
        <w:spacing w:line="460" w:lineRule="exact"/>
        <w:ind w:firstLine="420"/>
        <w:rPr>
          <w:rStyle w:val="43"/>
          <w:rFonts w:ascii="宋体" w:hAnsi="宋体"/>
          <w:sz w:val="21"/>
          <w:szCs w:val="21"/>
        </w:rPr>
      </w:pPr>
      <w:r>
        <w:rPr>
          <w:rStyle w:val="43"/>
          <w:rFonts w:ascii="宋体" w:hAnsi="宋体"/>
          <w:sz w:val="21"/>
          <w:szCs w:val="21"/>
        </w:rPr>
        <w:t>6.4.2采购过程中出现以下情形，导致电子交易平台无法正常运行，或者无法保证电子交易的公平、公正和安全时，采购组织机构可中止电子交易活动：</w:t>
      </w:r>
    </w:p>
    <w:p>
      <w:pPr>
        <w:spacing w:line="460" w:lineRule="exact"/>
        <w:ind w:firstLine="420"/>
        <w:rPr>
          <w:rStyle w:val="43"/>
          <w:rFonts w:ascii="宋体" w:hAnsi="宋体"/>
          <w:sz w:val="21"/>
          <w:szCs w:val="21"/>
        </w:rPr>
      </w:pPr>
      <w:r>
        <w:rPr>
          <w:rStyle w:val="43"/>
          <w:rFonts w:ascii="宋体" w:hAnsi="宋体"/>
          <w:sz w:val="21"/>
          <w:szCs w:val="21"/>
        </w:rPr>
        <w:t xml:space="preserve">（1）电子交易平台发生故障而无法登录访问的； </w:t>
      </w:r>
    </w:p>
    <w:p>
      <w:pPr>
        <w:spacing w:line="460" w:lineRule="exact"/>
        <w:ind w:firstLine="420"/>
        <w:rPr>
          <w:rStyle w:val="43"/>
          <w:rFonts w:ascii="宋体" w:hAnsi="宋体"/>
          <w:sz w:val="21"/>
          <w:szCs w:val="21"/>
        </w:rPr>
      </w:pPr>
      <w:r>
        <w:rPr>
          <w:rStyle w:val="43"/>
          <w:rFonts w:ascii="宋体" w:hAnsi="宋体"/>
          <w:sz w:val="21"/>
          <w:szCs w:val="21"/>
        </w:rPr>
        <w:t>（2）电子交易平台应用或数据库出现错误，不能进行正常操作的；</w:t>
      </w:r>
    </w:p>
    <w:p>
      <w:pPr>
        <w:spacing w:line="460" w:lineRule="exact"/>
        <w:ind w:firstLine="420"/>
        <w:rPr>
          <w:rStyle w:val="43"/>
          <w:rFonts w:ascii="宋体" w:hAnsi="宋体"/>
          <w:sz w:val="21"/>
          <w:szCs w:val="21"/>
        </w:rPr>
      </w:pPr>
      <w:r>
        <w:rPr>
          <w:rStyle w:val="43"/>
          <w:rFonts w:ascii="宋体" w:hAnsi="宋体"/>
          <w:sz w:val="21"/>
          <w:szCs w:val="21"/>
        </w:rPr>
        <w:t>（3）电子交易平台发现严重安全漏洞，有潜在泄密危险的；</w:t>
      </w:r>
    </w:p>
    <w:p>
      <w:pPr>
        <w:spacing w:line="460" w:lineRule="exact"/>
        <w:ind w:firstLine="420"/>
        <w:rPr>
          <w:rStyle w:val="43"/>
          <w:rFonts w:ascii="宋体" w:hAnsi="宋体"/>
          <w:sz w:val="21"/>
          <w:szCs w:val="21"/>
        </w:rPr>
      </w:pPr>
      <w:r>
        <w:rPr>
          <w:rStyle w:val="43"/>
          <w:rFonts w:ascii="宋体" w:hAnsi="宋体"/>
          <w:sz w:val="21"/>
          <w:szCs w:val="21"/>
        </w:rPr>
        <w:t xml:space="preserve">（4）病毒发作导致不能进行正常操作的； </w:t>
      </w:r>
    </w:p>
    <w:p>
      <w:pPr>
        <w:spacing w:line="460" w:lineRule="exact"/>
        <w:ind w:firstLine="420"/>
        <w:rPr>
          <w:rStyle w:val="43"/>
          <w:rFonts w:ascii="宋体" w:hAnsi="宋体"/>
          <w:sz w:val="21"/>
          <w:szCs w:val="21"/>
        </w:rPr>
      </w:pPr>
      <w:r>
        <w:rPr>
          <w:rStyle w:val="43"/>
          <w:rFonts w:ascii="宋体" w:hAnsi="宋体"/>
          <w:sz w:val="21"/>
          <w:szCs w:val="21"/>
        </w:rPr>
        <w:t>（5）其他无法保证电子交易的公平、公正和安全的情况。</w:t>
      </w:r>
    </w:p>
    <w:p>
      <w:pPr>
        <w:spacing w:line="460" w:lineRule="exact"/>
        <w:ind w:firstLine="420"/>
        <w:rPr>
          <w:rStyle w:val="43"/>
          <w:rFonts w:ascii="宋体" w:hAnsi="宋体"/>
          <w:sz w:val="21"/>
          <w:szCs w:val="21"/>
        </w:rPr>
      </w:pPr>
      <w:r>
        <w:rPr>
          <w:rStyle w:val="43"/>
          <w:rFonts w:ascii="宋体" w:hAnsi="宋体"/>
          <w:sz w:val="21"/>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33"/>
        <w:spacing w:line="460" w:lineRule="exact"/>
        <w:ind w:left="778"/>
        <w:jc w:val="center"/>
        <w:outlineLvl w:val="1"/>
        <w:rPr>
          <w:rStyle w:val="43"/>
          <w:rFonts w:ascii="宋体" w:hAnsi="宋体"/>
          <w:b/>
          <w:sz w:val="21"/>
          <w:szCs w:val="21"/>
        </w:rPr>
      </w:pPr>
      <w:r>
        <w:rPr>
          <w:rStyle w:val="43"/>
          <w:rFonts w:ascii="宋体" w:hAnsi="宋体"/>
          <w:b/>
          <w:sz w:val="21"/>
          <w:szCs w:val="21"/>
        </w:rPr>
        <w:t>七、定标</w:t>
      </w:r>
    </w:p>
    <w:p>
      <w:pPr>
        <w:spacing w:line="460" w:lineRule="exact"/>
        <w:ind w:firstLine="420"/>
        <w:rPr>
          <w:rStyle w:val="43"/>
          <w:rFonts w:ascii="宋体" w:hAnsi="宋体"/>
          <w:sz w:val="21"/>
          <w:szCs w:val="21"/>
        </w:rPr>
      </w:pPr>
      <w:r>
        <w:rPr>
          <w:rStyle w:val="43"/>
          <w:rFonts w:ascii="宋体" w:hAnsi="宋体"/>
          <w:sz w:val="21"/>
          <w:szCs w:val="21"/>
        </w:rPr>
        <w:t>7.1依法确认采购结果</w:t>
      </w:r>
    </w:p>
    <w:p>
      <w:pPr>
        <w:spacing w:line="460" w:lineRule="exact"/>
        <w:ind w:firstLine="420"/>
        <w:rPr>
          <w:rStyle w:val="43"/>
          <w:rFonts w:ascii="宋体" w:hAnsi="宋体"/>
          <w:sz w:val="21"/>
          <w:szCs w:val="21"/>
        </w:rPr>
      </w:pPr>
      <w:r>
        <w:rPr>
          <w:rStyle w:val="43"/>
          <w:rFonts w:ascii="宋体" w:hAnsi="宋体"/>
          <w:sz w:val="21"/>
          <w:szCs w:val="21"/>
        </w:rPr>
        <w:t>7.1.1采购代理机构应当自评审结束之日起2个工作日内将评审报告送交采购人。</w:t>
      </w:r>
    </w:p>
    <w:p>
      <w:pPr>
        <w:spacing w:line="460" w:lineRule="exact"/>
        <w:ind w:firstLine="420"/>
        <w:rPr>
          <w:rStyle w:val="43"/>
          <w:rFonts w:ascii="宋体" w:hAnsi="宋体"/>
          <w:sz w:val="21"/>
          <w:szCs w:val="21"/>
        </w:rPr>
      </w:pPr>
      <w:r>
        <w:rPr>
          <w:rStyle w:val="43"/>
          <w:rFonts w:ascii="宋体" w:hAnsi="宋体"/>
          <w:sz w:val="21"/>
          <w:szCs w:val="21"/>
        </w:rPr>
        <w:t>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460" w:lineRule="exact"/>
        <w:ind w:firstLine="420"/>
        <w:rPr>
          <w:rStyle w:val="43"/>
          <w:rFonts w:ascii="宋体" w:hAnsi="宋体"/>
          <w:sz w:val="21"/>
          <w:szCs w:val="21"/>
        </w:rPr>
      </w:pPr>
      <w:r>
        <w:rPr>
          <w:rStyle w:val="43"/>
          <w:rFonts w:ascii="宋体" w:hAnsi="宋体"/>
          <w:sz w:val="21"/>
          <w:szCs w:val="21"/>
        </w:rPr>
        <w:t>采购人在收到评标报告5个工作日内未按评标报告推荐的中标候选人顺序确定中标人，又不能说明合法理由的，视同按评标报告推荐的顺序确定排名第一的中标候选人为中标人。</w:t>
      </w:r>
    </w:p>
    <w:p>
      <w:pPr>
        <w:spacing w:line="460" w:lineRule="exact"/>
        <w:ind w:firstLine="420"/>
        <w:rPr>
          <w:rStyle w:val="43"/>
          <w:rFonts w:ascii="宋体" w:hAnsi="宋体"/>
          <w:sz w:val="21"/>
          <w:szCs w:val="21"/>
        </w:rPr>
      </w:pPr>
      <w:r>
        <w:rPr>
          <w:rStyle w:val="43"/>
          <w:rFonts w:ascii="宋体" w:hAnsi="宋体"/>
          <w:sz w:val="21"/>
          <w:szCs w:val="21"/>
        </w:rPr>
        <w:t>采购人或者采购代理机构应当自中标人确定之日起2个工作日内，在省级以上财政部门指定的媒体上公告中标结果。</w:t>
      </w:r>
    </w:p>
    <w:p>
      <w:pPr>
        <w:spacing w:line="460" w:lineRule="exact"/>
        <w:ind w:firstLine="420"/>
        <w:rPr>
          <w:rStyle w:val="43"/>
          <w:rFonts w:ascii="宋体" w:hAnsi="宋体"/>
          <w:sz w:val="21"/>
          <w:szCs w:val="21"/>
        </w:rPr>
      </w:pPr>
      <w:r>
        <w:rPr>
          <w:rStyle w:val="43"/>
          <w:rFonts w:ascii="宋体" w:hAnsi="宋体"/>
          <w:sz w:val="21"/>
          <w:szCs w:val="21"/>
        </w:rPr>
        <w:t>公告期限为1个工作日。</w:t>
      </w:r>
    </w:p>
    <w:p>
      <w:pPr>
        <w:spacing w:line="460" w:lineRule="exact"/>
        <w:ind w:firstLine="420"/>
        <w:rPr>
          <w:rStyle w:val="43"/>
          <w:rFonts w:ascii="宋体" w:hAnsi="宋体"/>
          <w:sz w:val="21"/>
          <w:szCs w:val="21"/>
        </w:rPr>
      </w:pPr>
      <w:r>
        <w:rPr>
          <w:rStyle w:val="43"/>
          <w:rFonts w:ascii="宋体" w:hAnsi="宋体"/>
          <w:sz w:val="21"/>
          <w:szCs w:val="21"/>
        </w:rPr>
        <w:t>7.2 除国务院财政部门规定的情形外，采购人、采购代理机构不得以任何理由组织重新评审。采购人、采购代理机构按照国务院财政部门的规定组织重新评审的，应当书面报告本级人民政府财政部门。</w:t>
      </w:r>
    </w:p>
    <w:p>
      <w:pPr>
        <w:spacing w:line="460" w:lineRule="exact"/>
        <w:ind w:firstLine="420"/>
        <w:rPr>
          <w:rStyle w:val="43"/>
          <w:rFonts w:ascii="宋体" w:hAnsi="宋体"/>
          <w:sz w:val="21"/>
          <w:szCs w:val="21"/>
        </w:rPr>
      </w:pPr>
      <w:r>
        <w:rPr>
          <w:rStyle w:val="43"/>
          <w:rFonts w:ascii="宋体" w:hAnsi="宋体"/>
          <w:sz w:val="21"/>
          <w:szCs w:val="21"/>
        </w:rPr>
        <w:t xml:space="preserve">7.3中标通知书发出后，采购人不得违法改变中标结果，中标人无正当理由不得放弃中标。 </w:t>
      </w:r>
    </w:p>
    <w:p>
      <w:pPr>
        <w:spacing w:line="460" w:lineRule="exact"/>
        <w:ind w:firstLine="420"/>
        <w:rPr>
          <w:rStyle w:val="43"/>
          <w:rFonts w:ascii="宋体" w:hAnsi="宋体"/>
          <w:sz w:val="21"/>
          <w:szCs w:val="21"/>
        </w:rPr>
      </w:pPr>
      <w:r>
        <w:rPr>
          <w:rStyle w:val="43"/>
          <w:rFonts w:ascii="宋体" w:hAnsi="宋体"/>
          <w:sz w:val="21"/>
          <w:szCs w:val="21"/>
        </w:rPr>
        <w:t>7.4中标人应为浙江政府采购注册供应商，如尚未注册，必须在投标截止前按照《浙江省政府采购供应商注册及诚信管理暂行办法》（浙财采监字［2009］28号）的相关规定，及时办理更新或供应商注册事项。</w:t>
      </w:r>
    </w:p>
    <w:p>
      <w:pPr>
        <w:pStyle w:val="33"/>
        <w:spacing w:line="460" w:lineRule="exact"/>
        <w:ind w:left="778"/>
        <w:jc w:val="center"/>
        <w:outlineLvl w:val="1"/>
        <w:rPr>
          <w:rStyle w:val="43"/>
          <w:rFonts w:ascii="宋体" w:hAnsi="宋体"/>
          <w:b/>
          <w:sz w:val="21"/>
          <w:szCs w:val="21"/>
        </w:rPr>
      </w:pPr>
      <w:r>
        <w:rPr>
          <w:rStyle w:val="43"/>
          <w:rFonts w:ascii="宋体" w:hAnsi="宋体"/>
          <w:b/>
          <w:sz w:val="21"/>
          <w:szCs w:val="21"/>
        </w:rPr>
        <w:t>八、合同授予及签订</w:t>
      </w:r>
    </w:p>
    <w:p>
      <w:pPr>
        <w:spacing w:line="460" w:lineRule="exact"/>
        <w:ind w:firstLine="420"/>
        <w:rPr>
          <w:rStyle w:val="43"/>
          <w:rFonts w:ascii="宋体" w:hAnsi="宋体"/>
          <w:sz w:val="21"/>
          <w:szCs w:val="21"/>
        </w:rPr>
      </w:pPr>
      <w:r>
        <w:rPr>
          <w:rStyle w:val="43"/>
          <w:rFonts w:ascii="宋体" w:hAnsi="宋体"/>
          <w:sz w:val="21"/>
          <w:szCs w:val="21"/>
        </w:rPr>
        <w:t>8.1合同授予</w:t>
      </w:r>
    </w:p>
    <w:p>
      <w:pPr>
        <w:spacing w:line="460" w:lineRule="exact"/>
        <w:ind w:firstLine="420"/>
        <w:rPr>
          <w:rStyle w:val="43"/>
          <w:rFonts w:ascii="宋体" w:hAnsi="宋体"/>
          <w:sz w:val="21"/>
          <w:szCs w:val="21"/>
        </w:rPr>
      </w:pPr>
      <w:r>
        <w:rPr>
          <w:rStyle w:val="43"/>
          <w:rFonts w:ascii="宋体" w:hAnsi="宋体"/>
          <w:sz w:val="21"/>
          <w:szCs w:val="21"/>
        </w:rPr>
        <w:t>8.1.1本项目的合同将授予按本须知第7.1.1款所确定的中标人。</w:t>
      </w:r>
    </w:p>
    <w:p>
      <w:pPr>
        <w:spacing w:line="460" w:lineRule="exact"/>
        <w:ind w:firstLine="420"/>
        <w:rPr>
          <w:rStyle w:val="43"/>
          <w:rFonts w:ascii="宋体" w:hAnsi="宋体"/>
          <w:sz w:val="21"/>
          <w:szCs w:val="21"/>
        </w:rPr>
      </w:pPr>
      <w:r>
        <w:rPr>
          <w:rStyle w:val="43"/>
          <w:rFonts w:ascii="宋体" w:hAnsi="宋体"/>
          <w:sz w:val="21"/>
          <w:szCs w:val="21"/>
        </w:rPr>
        <w:t>8.1.2 中标或者成交供应商拒绝与采购人签订合同的，采购人可以按照评审报告推荐的中标或者成交候选人名单排序，确定下一候选人为中标或者成交供应商，也可以重新开展政府采购活动。</w:t>
      </w:r>
    </w:p>
    <w:p>
      <w:pPr>
        <w:spacing w:line="460" w:lineRule="exact"/>
        <w:ind w:firstLine="420"/>
        <w:rPr>
          <w:rStyle w:val="43"/>
          <w:rFonts w:ascii="宋体" w:hAnsi="宋体"/>
          <w:sz w:val="21"/>
          <w:szCs w:val="21"/>
        </w:rPr>
      </w:pPr>
      <w:r>
        <w:rPr>
          <w:rStyle w:val="43"/>
          <w:rFonts w:ascii="宋体" w:hAnsi="宋体"/>
          <w:sz w:val="21"/>
          <w:szCs w:val="21"/>
        </w:rPr>
        <w:t>8.2签订合同</w:t>
      </w:r>
    </w:p>
    <w:p>
      <w:pPr>
        <w:spacing w:line="460" w:lineRule="exact"/>
        <w:ind w:firstLine="420"/>
        <w:rPr>
          <w:rStyle w:val="43"/>
          <w:rFonts w:ascii="宋体" w:hAnsi="宋体"/>
          <w:sz w:val="21"/>
          <w:szCs w:val="21"/>
        </w:rPr>
      </w:pPr>
      <w:r>
        <w:rPr>
          <w:rStyle w:val="43"/>
          <w:rFonts w:ascii="宋体" w:hAnsi="宋体"/>
          <w:sz w:val="21"/>
          <w:szCs w:val="21"/>
        </w:rPr>
        <w:t>8.2.1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pPr>
        <w:spacing w:line="460" w:lineRule="exact"/>
        <w:ind w:firstLine="420"/>
        <w:rPr>
          <w:rStyle w:val="43"/>
          <w:rFonts w:ascii="宋体" w:hAnsi="宋体"/>
          <w:sz w:val="21"/>
          <w:szCs w:val="21"/>
        </w:rPr>
      </w:pPr>
      <w:r>
        <w:rPr>
          <w:rStyle w:val="43"/>
          <w:rFonts w:ascii="宋体" w:hAnsi="宋体"/>
          <w:sz w:val="21"/>
          <w:szCs w:val="21"/>
        </w:rPr>
        <w:t>8.2.2 中标人如不遵守采购文件或投标文件各项条款的邀约与要约，或在接到中标通知书后借故拖延，拒签合同的，采购人将依据国家和采购文件有关规定要求中标人予以赔偿，同时采购人可根据8.1.2的原则另行选择中标人；</w:t>
      </w:r>
    </w:p>
    <w:p>
      <w:pPr>
        <w:spacing w:line="460" w:lineRule="exact"/>
        <w:ind w:firstLine="420"/>
        <w:rPr>
          <w:rStyle w:val="43"/>
          <w:rFonts w:ascii="宋体" w:hAnsi="宋体"/>
          <w:sz w:val="21"/>
          <w:szCs w:val="21"/>
        </w:rPr>
      </w:pPr>
      <w:r>
        <w:rPr>
          <w:rStyle w:val="43"/>
          <w:rFonts w:ascii="宋体" w:hAnsi="宋体"/>
          <w:sz w:val="21"/>
          <w:szCs w:val="21"/>
        </w:rPr>
        <w:t>8.2.3 采购文件、中标人的投标文件及投标修改文件、评标过程中有关澄清文件及经投标人法定代表人或授权代表签字确认的询标回复和承诺及中标通知书均作为合同组成部分。</w:t>
      </w:r>
    </w:p>
    <w:p>
      <w:pPr>
        <w:spacing w:line="460" w:lineRule="exact"/>
        <w:ind w:firstLine="420"/>
        <w:rPr>
          <w:rStyle w:val="43"/>
          <w:rFonts w:ascii="宋体" w:hAnsi="宋体"/>
          <w:sz w:val="21"/>
          <w:szCs w:val="21"/>
        </w:rPr>
      </w:pPr>
      <w:r>
        <w:rPr>
          <w:rStyle w:val="43"/>
          <w:rFonts w:ascii="宋体" w:hAnsi="宋体"/>
          <w:sz w:val="21"/>
          <w:szCs w:val="21"/>
        </w:rPr>
        <w:t>8.</w:t>
      </w:r>
      <w:r>
        <w:rPr>
          <w:rStyle w:val="43"/>
          <w:rFonts w:hint="eastAsia" w:ascii="宋体" w:hAnsi="宋体"/>
          <w:sz w:val="21"/>
          <w:szCs w:val="21"/>
        </w:rPr>
        <w:t>3</w:t>
      </w:r>
      <w:r>
        <w:rPr>
          <w:rStyle w:val="43"/>
          <w:rFonts w:ascii="宋体" w:hAnsi="宋体"/>
          <w:sz w:val="21"/>
          <w:szCs w:val="21"/>
        </w:rPr>
        <w:t>如投标人有下列情况，投标人将承担赔偿责任，赔偿金额为项目预算金额的2%，如实际损失超过前述金额的，投标人需赔偿超过前述金额部分的实际损失。</w:t>
      </w:r>
    </w:p>
    <w:p>
      <w:pPr>
        <w:spacing w:line="460" w:lineRule="exact"/>
        <w:ind w:firstLine="420"/>
        <w:rPr>
          <w:rStyle w:val="43"/>
          <w:rFonts w:ascii="宋体" w:hAnsi="宋体"/>
          <w:sz w:val="21"/>
          <w:szCs w:val="21"/>
        </w:rPr>
      </w:pPr>
      <w:r>
        <w:rPr>
          <w:rStyle w:val="43"/>
          <w:rFonts w:ascii="宋体" w:hAnsi="宋体"/>
          <w:sz w:val="21"/>
          <w:szCs w:val="21"/>
        </w:rPr>
        <w:t>（1）投标人在投标截止时间后撤销投标文件的；</w:t>
      </w:r>
    </w:p>
    <w:p>
      <w:pPr>
        <w:spacing w:line="460" w:lineRule="exact"/>
        <w:ind w:firstLine="420"/>
        <w:rPr>
          <w:rStyle w:val="43"/>
          <w:rFonts w:ascii="宋体" w:hAnsi="宋体"/>
          <w:sz w:val="21"/>
          <w:szCs w:val="21"/>
        </w:rPr>
      </w:pPr>
      <w:r>
        <w:rPr>
          <w:rStyle w:val="43"/>
          <w:rFonts w:ascii="宋体" w:hAnsi="宋体"/>
          <w:sz w:val="21"/>
          <w:szCs w:val="21"/>
        </w:rPr>
        <w:t>（2）投标人未按规定签订合同或转让中标的；</w:t>
      </w:r>
    </w:p>
    <w:p>
      <w:pPr>
        <w:spacing w:line="460" w:lineRule="exact"/>
        <w:ind w:firstLine="420"/>
        <w:rPr>
          <w:rStyle w:val="43"/>
          <w:rFonts w:ascii="宋体" w:hAnsi="宋体"/>
          <w:sz w:val="21"/>
          <w:szCs w:val="21"/>
        </w:rPr>
      </w:pPr>
      <w:r>
        <w:rPr>
          <w:rStyle w:val="43"/>
          <w:rFonts w:ascii="宋体" w:hAnsi="宋体"/>
          <w:sz w:val="21"/>
          <w:szCs w:val="21"/>
        </w:rPr>
        <w:t>（3）其他投标人违反《中华人民共和国政府采购法》等法律法规规定，给采购人造成损失的。</w:t>
      </w:r>
    </w:p>
    <w:p>
      <w:pPr>
        <w:spacing w:line="460" w:lineRule="exact"/>
        <w:ind w:firstLine="420"/>
        <w:rPr>
          <w:rStyle w:val="43"/>
          <w:rFonts w:ascii="宋体" w:hAnsi="宋体"/>
          <w:sz w:val="21"/>
          <w:szCs w:val="21"/>
        </w:rPr>
      </w:pPr>
      <w:r>
        <w:rPr>
          <w:rStyle w:val="43"/>
          <w:rFonts w:ascii="宋体" w:hAnsi="宋体"/>
          <w:sz w:val="21"/>
          <w:szCs w:val="21"/>
        </w:rPr>
        <w:t>8.</w:t>
      </w:r>
      <w:r>
        <w:rPr>
          <w:rStyle w:val="43"/>
          <w:rFonts w:hint="eastAsia" w:ascii="宋体" w:hAnsi="宋体"/>
          <w:sz w:val="21"/>
          <w:szCs w:val="21"/>
        </w:rPr>
        <w:t>4</w:t>
      </w:r>
      <w:r>
        <w:rPr>
          <w:rStyle w:val="43"/>
          <w:rFonts w:ascii="宋体" w:hAnsi="宋体"/>
          <w:sz w:val="21"/>
          <w:szCs w:val="21"/>
        </w:rPr>
        <w:t>采购代理服务费</w:t>
      </w:r>
    </w:p>
    <w:p>
      <w:pPr>
        <w:spacing w:line="460" w:lineRule="exact"/>
        <w:ind w:firstLine="420"/>
        <w:rPr>
          <w:rStyle w:val="43"/>
          <w:rFonts w:ascii="宋体" w:hAnsi="宋体"/>
          <w:sz w:val="21"/>
          <w:szCs w:val="21"/>
        </w:rPr>
      </w:pPr>
      <w:r>
        <w:rPr>
          <w:rStyle w:val="43"/>
          <w:rFonts w:ascii="宋体" w:hAnsi="宋体"/>
          <w:sz w:val="21"/>
          <w:szCs w:val="21"/>
        </w:rPr>
        <w:t>本次采购代理服务费按“投标人须知前附表”规定收取。</w:t>
      </w:r>
    </w:p>
    <w:p>
      <w:pPr>
        <w:spacing w:line="460" w:lineRule="exact"/>
        <w:ind w:firstLine="420"/>
        <w:rPr>
          <w:rStyle w:val="43"/>
          <w:rFonts w:ascii="宋体" w:hAnsi="宋体"/>
          <w:sz w:val="21"/>
          <w:szCs w:val="21"/>
        </w:rPr>
      </w:pPr>
      <w:r>
        <w:rPr>
          <w:rStyle w:val="43"/>
          <w:rFonts w:ascii="宋体" w:hAnsi="宋体"/>
          <w:sz w:val="21"/>
          <w:szCs w:val="21"/>
        </w:rPr>
        <w:t>8.</w:t>
      </w:r>
      <w:r>
        <w:rPr>
          <w:rStyle w:val="43"/>
          <w:rFonts w:hint="eastAsia" w:ascii="宋体" w:hAnsi="宋体"/>
          <w:sz w:val="21"/>
          <w:szCs w:val="21"/>
        </w:rPr>
        <w:t>5</w:t>
      </w:r>
      <w:r>
        <w:rPr>
          <w:rStyle w:val="43"/>
          <w:rFonts w:ascii="宋体" w:hAnsi="宋体"/>
          <w:sz w:val="21"/>
          <w:szCs w:val="21"/>
        </w:rPr>
        <w:t>诚实信用</w:t>
      </w:r>
    </w:p>
    <w:p>
      <w:pPr>
        <w:spacing w:line="460" w:lineRule="exact"/>
        <w:ind w:firstLine="420"/>
        <w:rPr>
          <w:rStyle w:val="43"/>
          <w:rFonts w:ascii="宋体" w:hAnsi="宋体"/>
          <w:sz w:val="21"/>
          <w:szCs w:val="21"/>
        </w:rPr>
      </w:pPr>
      <w:r>
        <w:rPr>
          <w:rStyle w:val="43"/>
          <w:rFonts w:ascii="宋体" w:hAnsi="宋体"/>
          <w:sz w:val="21"/>
          <w:szCs w:val="21"/>
        </w:rPr>
        <w:t>8.</w:t>
      </w:r>
      <w:r>
        <w:rPr>
          <w:rStyle w:val="43"/>
          <w:rFonts w:hint="eastAsia" w:ascii="宋体" w:hAnsi="宋体"/>
          <w:sz w:val="21"/>
          <w:szCs w:val="21"/>
        </w:rPr>
        <w:t>5</w:t>
      </w:r>
      <w:r>
        <w:rPr>
          <w:rStyle w:val="43"/>
          <w:rFonts w:ascii="宋体" w:hAnsi="宋体"/>
          <w:sz w:val="21"/>
          <w:szCs w:val="21"/>
        </w:rPr>
        <w:t>.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pPr>
        <w:spacing w:line="460" w:lineRule="exact"/>
        <w:ind w:firstLine="420"/>
        <w:rPr>
          <w:rStyle w:val="43"/>
          <w:rFonts w:ascii="宋体" w:hAnsi="宋体"/>
          <w:sz w:val="21"/>
          <w:szCs w:val="21"/>
        </w:rPr>
      </w:pPr>
      <w:r>
        <w:rPr>
          <w:rStyle w:val="43"/>
          <w:rFonts w:ascii="宋体" w:hAnsi="宋体"/>
          <w:sz w:val="21"/>
          <w:szCs w:val="21"/>
        </w:rPr>
        <w:t>8.</w:t>
      </w:r>
      <w:r>
        <w:rPr>
          <w:rStyle w:val="43"/>
          <w:rFonts w:hint="eastAsia" w:ascii="宋体" w:hAnsi="宋体"/>
          <w:sz w:val="21"/>
          <w:szCs w:val="21"/>
        </w:rPr>
        <w:t>5</w:t>
      </w:r>
      <w:r>
        <w:rPr>
          <w:rStyle w:val="43"/>
          <w:rFonts w:ascii="宋体" w:hAnsi="宋体"/>
          <w:sz w:val="21"/>
          <w:szCs w:val="21"/>
        </w:rPr>
        <w:t>.2如果采购人有证据表明投标人在本招标项目的竞争中存在腐败、欺诈、失信记录或其他严重违背诚信原则的行为，则将拒绝其投标，或中标无效。</w:t>
      </w:r>
    </w:p>
    <w:p>
      <w:pPr>
        <w:spacing w:line="460" w:lineRule="exact"/>
        <w:ind w:firstLine="420"/>
        <w:rPr>
          <w:rStyle w:val="43"/>
          <w:rFonts w:ascii="宋体" w:hAnsi="宋体"/>
          <w:sz w:val="21"/>
          <w:szCs w:val="21"/>
        </w:rPr>
      </w:pPr>
      <w:r>
        <w:rPr>
          <w:rStyle w:val="43"/>
          <w:rFonts w:ascii="宋体" w:hAnsi="宋体"/>
          <w:sz w:val="21"/>
          <w:szCs w:val="21"/>
        </w:rPr>
        <w:t>8.</w:t>
      </w:r>
      <w:r>
        <w:rPr>
          <w:rStyle w:val="43"/>
          <w:rFonts w:hint="eastAsia" w:ascii="宋体" w:hAnsi="宋体"/>
          <w:sz w:val="21"/>
          <w:szCs w:val="21"/>
        </w:rPr>
        <w:t>5</w:t>
      </w:r>
      <w:r>
        <w:rPr>
          <w:rStyle w:val="43"/>
          <w:rFonts w:ascii="宋体" w:hAnsi="宋体"/>
          <w:sz w:val="21"/>
          <w:szCs w:val="21"/>
        </w:rPr>
        <w:t>.3如果中标人没有按照采购文件和中标通知书的规定签订合同，报嵊州市政府采购监督管理部门按照政府采购的有关规定进行处理。</w:t>
      </w:r>
    </w:p>
    <w:p>
      <w:pPr>
        <w:pStyle w:val="33"/>
        <w:spacing w:line="420" w:lineRule="exact"/>
        <w:ind w:left="778"/>
        <w:jc w:val="center"/>
        <w:outlineLvl w:val="1"/>
        <w:rPr>
          <w:rStyle w:val="43"/>
          <w:rFonts w:ascii="宋体" w:hAnsi="宋体"/>
          <w:b/>
          <w:sz w:val="21"/>
          <w:szCs w:val="21"/>
        </w:rPr>
      </w:pPr>
      <w:r>
        <w:rPr>
          <w:rStyle w:val="43"/>
          <w:rFonts w:ascii="宋体" w:hAnsi="宋体"/>
          <w:b/>
          <w:sz w:val="21"/>
          <w:szCs w:val="21"/>
        </w:rPr>
        <w:t>九、投诉与质疑</w:t>
      </w:r>
    </w:p>
    <w:p>
      <w:pPr>
        <w:spacing w:line="420" w:lineRule="exact"/>
        <w:ind w:firstLine="420"/>
        <w:rPr>
          <w:rStyle w:val="43"/>
          <w:rFonts w:ascii="宋体" w:hAnsi="宋体"/>
          <w:sz w:val="21"/>
          <w:szCs w:val="21"/>
        </w:rPr>
      </w:pPr>
      <w:r>
        <w:rPr>
          <w:rStyle w:val="43"/>
          <w:rFonts w:ascii="宋体" w:hAnsi="宋体"/>
          <w:sz w:val="21"/>
          <w:szCs w:val="21"/>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spacing w:line="420" w:lineRule="exact"/>
        <w:ind w:firstLine="420"/>
        <w:rPr>
          <w:rStyle w:val="43"/>
          <w:rFonts w:ascii="宋体" w:hAnsi="宋体"/>
          <w:sz w:val="21"/>
          <w:szCs w:val="21"/>
        </w:rPr>
      </w:pPr>
      <w:r>
        <w:rPr>
          <w:rStyle w:val="43"/>
          <w:rFonts w:ascii="宋体" w:hAnsi="宋体"/>
          <w:sz w:val="21"/>
          <w:szCs w:val="21"/>
        </w:rPr>
        <w:t>质疑函范本、投诉书范本请到浙江政府采购网下载专区下载。</w:t>
      </w:r>
    </w:p>
    <w:p>
      <w:pPr>
        <w:spacing w:line="420" w:lineRule="exact"/>
        <w:ind w:firstLine="420"/>
        <w:rPr>
          <w:rStyle w:val="43"/>
          <w:rFonts w:ascii="宋体" w:hAnsi="宋体"/>
          <w:sz w:val="21"/>
          <w:szCs w:val="21"/>
        </w:rPr>
      </w:pPr>
      <w:r>
        <w:rPr>
          <w:rStyle w:val="43"/>
          <w:rFonts w:ascii="宋体" w:hAnsi="宋体"/>
          <w:sz w:val="21"/>
          <w:szCs w:val="21"/>
        </w:rPr>
        <w:t>9.1供应商询问</w:t>
      </w:r>
    </w:p>
    <w:p>
      <w:pPr>
        <w:spacing w:line="420" w:lineRule="exact"/>
        <w:ind w:firstLine="420"/>
        <w:rPr>
          <w:rStyle w:val="43"/>
          <w:rFonts w:ascii="宋体" w:hAnsi="宋体"/>
          <w:sz w:val="21"/>
          <w:szCs w:val="21"/>
        </w:rPr>
      </w:pPr>
      <w:r>
        <w:rPr>
          <w:rStyle w:val="43"/>
          <w:rFonts w:ascii="宋体" w:hAnsi="宋体"/>
          <w:sz w:val="21"/>
          <w:szCs w:val="21"/>
        </w:rPr>
        <w:t>供应商对政府采购活动事项有疑问的，可以向采购机构提出询问，采购代理机构应当在3个工作日内对供应商依法提出的询问作出答复，但答复的内容不得涉及商业秘密。</w:t>
      </w:r>
    </w:p>
    <w:p>
      <w:pPr>
        <w:spacing w:line="420" w:lineRule="exact"/>
        <w:ind w:firstLine="420"/>
        <w:rPr>
          <w:rStyle w:val="43"/>
          <w:rFonts w:ascii="宋体" w:hAnsi="宋体"/>
          <w:sz w:val="21"/>
          <w:szCs w:val="21"/>
        </w:rPr>
      </w:pPr>
      <w:r>
        <w:rPr>
          <w:rStyle w:val="43"/>
          <w:rFonts w:ascii="宋体" w:hAnsi="宋体"/>
          <w:sz w:val="21"/>
          <w:szCs w:val="21"/>
        </w:rPr>
        <w:t>9.2供应商质疑</w:t>
      </w:r>
    </w:p>
    <w:p>
      <w:pPr>
        <w:spacing w:line="420" w:lineRule="exact"/>
        <w:ind w:firstLine="420"/>
        <w:rPr>
          <w:rStyle w:val="43"/>
          <w:rFonts w:ascii="宋体" w:hAnsi="宋体"/>
          <w:sz w:val="21"/>
          <w:szCs w:val="21"/>
        </w:rPr>
      </w:pPr>
      <w:r>
        <w:rPr>
          <w:rStyle w:val="43"/>
          <w:rFonts w:ascii="宋体" w:hAnsi="宋体"/>
          <w:sz w:val="21"/>
          <w:szCs w:val="21"/>
        </w:rPr>
        <w:t>9.2.1投标人认为采购文件、采购过程、中标或者成交结果使自己的权益受到损害的，可以在知道或者应知其权益受到损害之日起7个工作日内，以书面形式向采购代理机构提出质疑。</w:t>
      </w:r>
    </w:p>
    <w:p>
      <w:pPr>
        <w:spacing w:line="420" w:lineRule="exact"/>
        <w:ind w:firstLine="420"/>
        <w:rPr>
          <w:rStyle w:val="43"/>
          <w:rFonts w:ascii="宋体" w:hAnsi="宋体"/>
          <w:sz w:val="21"/>
          <w:szCs w:val="21"/>
        </w:rPr>
      </w:pPr>
      <w:r>
        <w:rPr>
          <w:rStyle w:val="43"/>
          <w:rFonts w:ascii="宋体" w:hAnsi="宋体"/>
          <w:sz w:val="21"/>
          <w:szCs w:val="21"/>
        </w:rPr>
        <w:t>本项目要求投标人在法定质疑期内一次性提出针对同一采购程序环节的质疑。</w:t>
      </w:r>
    </w:p>
    <w:p>
      <w:pPr>
        <w:spacing w:line="420" w:lineRule="exact"/>
        <w:ind w:firstLine="420"/>
        <w:rPr>
          <w:rStyle w:val="43"/>
          <w:rFonts w:ascii="宋体" w:hAnsi="宋体"/>
          <w:sz w:val="21"/>
          <w:szCs w:val="21"/>
        </w:rPr>
      </w:pPr>
      <w:r>
        <w:rPr>
          <w:rStyle w:val="43"/>
          <w:rFonts w:ascii="宋体" w:hAnsi="宋体"/>
          <w:sz w:val="21"/>
          <w:szCs w:val="21"/>
        </w:rPr>
        <w:t>9.2.2提出质疑的投标人（以下简称质疑人）应当是参与所质疑项目采购活动的投标人。</w:t>
      </w:r>
    </w:p>
    <w:p>
      <w:pPr>
        <w:spacing w:line="420" w:lineRule="exact"/>
        <w:ind w:firstLine="420"/>
        <w:rPr>
          <w:rStyle w:val="43"/>
          <w:rFonts w:ascii="宋体" w:hAnsi="宋体"/>
          <w:sz w:val="21"/>
          <w:szCs w:val="21"/>
        </w:rPr>
      </w:pPr>
      <w:r>
        <w:rPr>
          <w:rStyle w:val="43"/>
          <w:rFonts w:ascii="宋体" w:hAnsi="宋体"/>
          <w:sz w:val="21"/>
          <w:szCs w:val="21"/>
        </w:rPr>
        <w:t>潜在投标人已依法获取其可质疑的采购文件的，可以对该文件提出质疑。对采购文件提出质疑的，应当在获取采购文件或者采购文件公告期限届满之日起7个工作日内提出。</w:t>
      </w:r>
    </w:p>
    <w:p>
      <w:pPr>
        <w:spacing w:line="420" w:lineRule="exact"/>
        <w:ind w:firstLine="420"/>
        <w:rPr>
          <w:rStyle w:val="43"/>
          <w:rFonts w:ascii="宋体" w:hAnsi="宋体"/>
          <w:sz w:val="21"/>
          <w:szCs w:val="21"/>
        </w:rPr>
      </w:pPr>
      <w:r>
        <w:rPr>
          <w:rStyle w:val="43"/>
          <w:rFonts w:ascii="宋体" w:hAnsi="宋体"/>
          <w:sz w:val="21"/>
          <w:szCs w:val="21"/>
        </w:rPr>
        <w:t>9.2.3投标人提出质疑应当提交质疑函和必要的证明材料。质疑函应当包括下列内容：</w:t>
      </w:r>
    </w:p>
    <w:p>
      <w:pPr>
        <w:spacing w:line="420" w:lineRule="exact"/>
        <w:ind w:firstLine="420"/>
        <w:rPr>
          <w:rStyle w:val="43"/>
          <w:rFonts w:ascii="宋体" w:hAnsi="宋体"/>
          <w:sz w:val="21"/>
          <w:szCs w:val="21"/>
        </w:rPr>
      </w:pPr>
      <w:r>
        <w:rPr>
          <w:rStyle w:val="43"/>
          <w:rFonts w:ascii="宋体" w:hAnsi="宋体"/>
          <w:sz w:val="21"/>
          <w:szCs w:val="21"/>
        </w:rPr>
        <w:t>（一）投标人的姓名或者名称、地址、邮编、联系人及联系电话；</w:t>
      </w:r>
    </w:p>
    <w:p>
      <w:pPr>
        <w:spacing w:line="420" w:lineRule="exact"/>
        <w:ind w:firstLine="420"/>
        <w:rPr>
          <w:rStyle w:val="43"/>
          <w:rFonts w:ascii="宋体" w:hAnsi="宋体"/>
          <w:sz w:val="21"/>
          <w:szCs w:val="21"/>
        </w:rPr>
      </w:pPr>
      <w:r>
        <w:rPr>
          <w:rStyle w:val="43"/>
          <w:rFonts w:ascii="宋体" w:hAnsi="宋体"/>
          <w:sz w:val="21"/>
          <w:szCs w:val="21"/>
        </w:rPr>
        <w:t>（二）质疑项目的名称、编号；</w:t>
      </w:r>
    </w:p>
    <w:p>
      <w:pPr>
        <w:spacing w:line="420" w:lineRule="exact"/>
        <w:ind w:firstLine="420"/>
        <w:rPr>
          <w:rStyle w:val="43"/>
          <w:rFonts w:ascii="宋体" w:hAnsi="宋体"/>
          <w:sz w:val="21"/>
          <w:szCs w:val="21"/>
        </w:rPr>
      </w:pPr>
      <w:r>
        <w:rPr>
          <w:rStyle w:val="43"/>
          <w:rFonts w:ascii="宋体" w:hAnsi="宋体"/>
          <w:sz w:val="21"/>
          <w:szCs w:val="21"/>
        </w:rPr>
        <w:t>（三）具体、明确的质疑事项和与质疑事项相关的请求；</w:t>
      </w:r>
    </w:p>
    <w:p>
      <w:pPr>
        <w:spacing w:line="420" w:lineRule="exact"/>
        <w:ind w:firstLine="420"/>
        <w:rPr>
          <w:rStyle w:val="43"/>
          <w:rFonts w:ascii="宋体" w:hAnsi="宋体"/>
          <w:sz w:val="21"/>
          <w:szCs w:val="21"/>
        </w:rPr>
      </w:pPr>
      <w:r>
        <w:rPr>
          <w:rStyle w:val="43"/>
          <w:rFonts w:ascii="宋体" w:hAnsi="宋体"/>
          <w:sz w:val="21"/>
          <w:szCs w:val="21"/>
        </w:rPr>
        <w:t>（四）事实依据；</w:t>
      </w:r>
    </w:p>
    <w:p>
      <w:pPr>
        <w:spacing w:line="420" w:lineRule="exact"/>
        <w:ind w:firstLine="420"/>
        <w:rPr>
          <w:rStyle w:val="43"/>
          <w:rFonts w:ascii="宋体" w:hAnsi="宋体"/>
          <w:sz w:val="21"/>
          <w:szCs w:val="21"/>
        </w:rPr>
      </w:pPr>
      <w:r>
        <w:rPr>
          <w:rStyle w:val="43"/>
          <w:rFonts w:ascii="宋体" w:hAnsi="宋体"/>
          <w:sz w:val="21"/>
          <w:szCs w:val="21"/>
        </w:rPr>
        <w:t>（五）必要的法律依据；</w:t>
      </w:r>
    </w:p>
    <w:p>
      <w:pPr>
        <w:spacing w:line="420" w:lineRule="exact"/>
        <w:ind w:firstLine="420"/>
        <w:rPr>
          <w:rStyle w:val="43"/>
          <w:rFonts w:ascii="宋体" w:hAnsi="宋体"/>
          <w:sz w:val="21"/>
          <w:szCs w:val="21"/>
        </w:rPr>
      </w:pPr>
      <w:r>
        <w:rPr>
          <w:rStyle w:val="43"/>
          <w:rFonts w:ascii="宋体" w:hAnsi="宋体"/>
          <w:sz w:val="21"/>
          <w:szCs w:val="21"/>
        </w:rPr>
        <w:t>（六）提出质疑的日期。</w:t>
      </w:r>
    </w:p>
    <w:p>
      <w:pPr>
        <w:spacing w:line="420" w:lineRule="exact"/>
        <w:ind w:firstLine="420"/>
        <w:rPr>
          <w:rStyle w:val="43"/>
          <w:rFonts w:ascii="宋体" w:hAnsi="宋体"/>
          <w:sz w:val="21"/>
          <w:szCs w:val="21"/>
        </w:rPr>
      </w:pPr>
      <w:r>
        <w:rPr>
          <w:rStyle w:val="43"/>
          <w:rFonts w:ascii="宋体" w:hAnsi="宋体"/>
          <w:sz w:val="21"/>
          <w:szCs w:val="21"/>
        </w:rPr>
        <w:t>投标人为自然人的，应当由本人签字；投标人为法人或者其他组织的，应当由法定代表人、主要负责人，或者其授权代表签字或者盖章，并加盖公章。</w:t>
      </w:r>
    </w:p>
    <w:p>
      <w:pPr>
        <w:spacing w:line="420" w:lineRule="exact"/>
        <w:ind w:firstLine="420"/>
        <w:rPr>
          <w:rStyle w:val="43"/>
          <w:rFonts w:ascii="宋体" w:hAnsi="宋体"/>
          <w:sz w:val="21"/>
          <w:szCs w:val="21"/>
        </w:rPr>
      </w:pPr>
      <w:r>
        <w:rPr>
          <w:rStyle w:val="43"/>
          <w:rFonts w:ascii="宋体" w:hAnsi="宋体"/>
          <w:sz w:val="21"/>
          <w:szCs w:val="21"/>
        </w:rPr>
        <w:t>9.3.4采购代理机构在收到法定质疑期内发出的质疑函后7个工作日内作出答复，并以书面形式通知质疑人和其他有关投标人。质疑答复的内容不得涉及商业秘密。</w:t>
      </w:r>
    </w:p>
    <w:p>
      <w:pPr>
        <w:spacing w:line="420" w:lineRule="exact"/>
        <w:ind w:firstLine="420"/>
        <w:rPr>
          <w:rStyle w:val="43"/>
          <w:rFonts w:ascii="宋体" w:hAnsi="宋体"/>
          <w:sz w:val="21"/>
          <w:szCs w:val="21"/>
        </w:rPr>
      </w:pPr>
      <w:r>
        <w:rPr>
          <w:rStyle w:val="43"/>
          <w:rFonts w:ascii="宋体" w:hAnsi="宋体"/>
          <w:sz w:val="21"/>
          <w:szCs w:val="21"/>
        </w:rPr>
        <w:t>9.3供应商投诉</w:t>
      </w:r>
    </w:p>
    <w:p>
      <w:pPr>
        <w:spacing w:line="420" w:lineRule="exact"/>
        <w:ind w:firstLine="420"/>
        <w:rPr>
          <w:rStyle w:val="43"/>
          <w:rFonts w:ascii="宋体" w:hAnsi="宋体"/>
          <w:sz w:val="21"/>
          <w:szCs w:val="21"/>
        </w:rPr>
      </w:pPr>
      <w:r>
        <w:rPr>
          <w:rStyle w:val="43"/>
          <w:rFonts w:ascii="宋体" w:hAnsi="宋体"/>
          <w:sz w:val="21"/>
          <w:szCs w:val="21"/>
        </w:rPr>
        <w:t>质疑供应商对采购机构的答复不满意或者采购机构未在规定的时间内作出答复的，可以在答复期满后十五个工作日内向同级政府采购监督管理部门提出投诉。</w:t>
      </w:r>
    </w:p>
    <w:p>
      <w:pPr>
        <w:spacing w:line="420" w:lineRule="exact"/>
        <w:ind w:firstLine="420"/>
        <w:rPr>
          <w:rStyle w:val="43"/>
          <w:rFonts w:ascii="宋体" w:hAnsi="宋体"/>
          <w:sz w:val="21"/>
          <w:szCs w:val="21"/>
        </w:rPr>
      </w:pPr>
      <w:r>
        <w:rPr>
          <w:rStyle w:val="43"/>
          <w:rFonts w:ascii="宋体" w:hAnsi="宋体"/>
          <w:sz w:val="21"/>
          <w:szCs w:val="21"/>
        </w:rPr>
        <w:t>9.4采购结束</w:t>
      </w:r>
    </w:p>
    <w:p>
      <w:pPr>
        <w:spacing w:line="420" w:lineRule="exact"/>
        <w:ind w:firstLine="420"/>
        <w:rPr>
          <w:rStyle w:val="43"/>
          <w:rFonts w:ascii="宋体" w:hAnsi="宋体"/>
          <w:sz w:val="21"/>
          <w:szCs w:val="21"/>
        </w:rPr>
      </w:pPr>
      <w:r>
        <w:rPr>
          <w:rStyle w:val="43"/>
          <w:rFonts w:ascii="宋体" w:hAnsi="宋体"/>
          <w:sz w:val="21"/>
          <w:szCs w:val="21"/>
        </w:rPr>
        <w:t>9.4.1中标人与采购人签订合同生效后即为采购结束。</w:t>
      </w:r>
    </w:p>
    <w:p>
      <w:pPr>
        <w:spacing w:line="420" w:lineRule="exact"/>
        <w:ind w:firstLine="420"/>
        <w:rPr>
          <w:rStyle w:val="43"/>
          <w:rFonts w:ascii="宋体" w:hAnsi="宋体"/>
          <w:sz w:val="21"/>
          <w:szCs w:val="21"/>
        </w:rPr>
      </w:pPr>
      <w:r>
        <w:rPr>
          <w:rStyle w:val="43"/>
          <w:rFonts w:ascii="宋体" w:hAnsi="宋体"/>
          <w:sz w:val="21"/>
          <w:szCs w:val="21"/>
        </w:rPr>
        <w:t>9.4.2本项目的投标文件不予退回。</w:t>
      </w:r>
    </w:p>
    <w:p>
      <w:pPr>
        <w:tabs>
          <w:tab w:val="left" w:pos="1260"/>
        </w:tabs>
        <w:spacing w:line="500" w:lineRule="exact"/>
        <w:ind w:firstLine="480" w:firstLineChars="200"/>
        <w:rPr>
          <w:rStyle w:val="43"/>
          <w:rFonts w:ascii="宋体" w:hAnsi="宋体"/>
          <w:szCs w:val="24"/>
        </w:rPr>
      </w:pPr>
    </w:p>
    <w:p>
      <w:pPr>
        <w:pStyle w:val="32"/>
        <w:numPr>
          <w:ilvl w:val="0"/>
          <w:numId w:val="4"/>
        </w:numPr>
        <w:spacing w:line="700" w:lineRule="exact"/>
        <w:ind w:left="477"/>
        <w:outlineLvl w:val="0"/>
        <w:rPr>
          <w:rStyle w:val="43"/>
          <w:rFonts w:hAnsi="宋体"/>
          <w:color w:val="auto"/>
          <w:szCs w:val="36"/>
        </w:rPr>
      </w:pPr>
      <w:r>
        <w:rPr>
          <w:rStyle w:val="43"/>
          <w:rFonts w:hAnsi="宋体"/>
          <w:color w:val="auto"/>
          <w:szCs w:val="36"/>
        </w:rPr>
        <w:t xml:space="preserve">  </w:t>
      </w:r>
      <w:bookmarkStart w:id="2" w:name="_Toc726932608"/>
      <w:r>
        <w:rPr>
          <w:rStyle w:val="43"/>
          <w:rFonts w:hAnsi="宋体"/>
          <w:color w:val="auto"/>
          <w:szCs w:val="36"/>
        </w:rPr>
        <w:t>项目招标范围及服务要求</w:t>
      </w:r>
      <w:bookmarkEnd w:id="2"/>
    </w:p>
    <w:p>
      <w:pPr>
        <w:pStyle w:val="560"/>
        <w:numPr>
          <w:ilvl w:val="0"/>
          <w:numId w:val="5"/>
        </w:numPr>
        <w:spacing w:line="360" w:lineRule="auto"/>
        <w:ind w:left="432" w:firstLine="0" w:firstLineChars="0"/>
        <w:outlineLvl w:val="2"/>
        <w:rPr>
          <w:rFonts w:ascii="宋体" w:hAnsi="宋体"/>
          <w:b/>
          <w:szCs w:val="24"/>
        </w:rPr>
      </w:pPr>
      <w:r>
        <w:rPr>
          <w:rFonts w:hint="eastAsia" w:ascii="宋体" w:hAnsi="宋体"/>
          <w:b/>
          <w:szCs w:val="24"/>
        </w:rPr>
        <w:t>总则说明</w:t>
      </w:r>
    </w:p>
    <w:p>
      <w:pPr>
        <w:spacing w:line="460" w:lineRule="exact"/>
        <w:ind w:firstLine="420"/>
        <w:rPr>
          <w:rStyle w:val="43"/>
          <w:rFonts w:ascii="宋体" w:hAnsi="宋体"/>
          <w:b/>
          <w:bCs/>
          <w:sz w:val="21"/>
          <w:szCs w:val="21"/>
        </w:rPr>
      </w:pPr>
      <w:r>
        <w:rPr>
          <w:rStyle w:val="43"/>
          <w:rFonts w:ascii="宋体" w:hAnsi="宋体"/>
          <w:b/>
          <w:bCs/>
          <w:sz w:val="21"/>
          <w:szCs w:val="21"/>
        </w:rPr>
        <w:t>（</w:t>
      </w:r>
      <w:r>
        <w:rPr>
          <w:rStyle w:val="43"/>
          <w:rFonts w:hint="eastAsia" w:ascii="宋体" w:hAnsi="宋体"/>
          <w:b/>
          <w:bCs/>
          <w:sz w:val="21"/>
          <w:szCs w:val="21"/>
        </w:rPr>
        <w:t>一</w:t>
      </w:r>
      <w:r>
        <w:rPr>
          <w:rStyle w:val="43"/>
          <w:rFonts w:ascii="宋体" w:hAnsi="宋体"/>
          <w:b/>
          <w:bCs/>
          <w:sz w:val="21"/>
          <w:szCs w:val="21"/>
        </w:rPr>
        <w:t>）概述</w:t>
      </w:r>
    </w:p>
    <w:p>
      <w:pPr>
        <w:spacing w:line="460" w:lineRule="exact"/>
        <w:ind w:firstLine="420"/>
        <w:rPr>
          <w:rStyle w:val="43"/>
          <w:rFonts w:ascii="宋体" w:hAnsi="宋体"/>
          <w:sz w:val="21"/>
          <w:szCs w:val="21"/>
        </w:rPr>
      </w:pPr>
      <w:r>
        <w:rPr>
          <w:rStyle w:val="43"/>
          <w:rFonts w:ascii="宋体" w:hAnsi="宋体"/>
          <w:sz w:val="21"/>
          <w:szCs w:val="21"/>
        </w:rPr>
        <w:t>本文件为</w:t>
      </w:r>
      <w:r>
        <w:rPr>
          <w:rStyle w:val="43"/>
          <w:rFonts w:hint="eastAsia" w:ascii="宋体" w:hAnsi="宋体"/>
          <w:sz w:val="21"/>
          <w:szCs w:val="21"/>
        </w:rPr>
        <w:t>嵊州市人民政府（</w:t>
      </w:r>
      <w:r>
        <w:rPr>
          <w:rStyle w:val="43"/>
          <w:rFonts w:ascii="宋体" w:hAnsi="宋体"/>
          <w:sz w:val="21"/>
          <w:szCs w:val="21"/>
        </w:rPr>
        <w:t>嵊州市经济和信息化局</w:t>
      </w:r>
      <w:r>
        <w:rPr>
          <w:rStyle w:val="43"/>
          <w:rFonts w:hint="eastAsia" w:ascii="宋体" w:hAnsi="宋体"/>
          <w:sz w:val="21"/>
          <w:szCs w:val="21"/>
        </w:rPr>
        <w:t>）</w:t>
      </w:r>
      <w:r>
        <w:rPr>
          <w:rStyle w:val="43"/>
          <w:rFonts w:ascii="宋体" w:hAnsi="宋体"/>
          <w:sz w:val="21"/>
          <w:szCs w:val="21"/>
        </w:rPr>
        <w:t>（以下简称为采购人</w:t>
      </w:r>
      <w:r>
        <w:rPr>
          <w:rStyle w:val="43"/>
          <w:rFonts w:hint="eastAsia" w:ascii="宋体" w:hAnsi="宋体"/>
          <w:sz w:val="21"/>
          <w:szCs w:val="21"/>
        </w:rPr>
        <w:t>或</w:t>
      </w:r>
      <w:r>
        <w:rPr>
          <w:rStyle w:val="43"/>
          <w:rFonts w:ascii="宋体" w:hAnsi="宋体"/>
          <w:sz w:val="21"/>
          <w:szCs w:val="21"/>
        </w:rPr>
        <w:t>嵊州市经济和信息化局）“</w:t>
      </w:r>
      <w:r>
        <w:rPr>
          <w:rStyle w:val="43"/>
          <w:rFonts w:hint="eastAsia" w:ascii="宋体" w:hAnsi="宋体"/>
          <w:sz w:val="21"/>
          <w:szCs w:val="21"/>
          <w:lang w:eastAsia="zh-CN"/>
        </w:rPr>
        <w:t>嵊州智能厨电产业大脑建设项目（一期）</w:t>
      </w:r>
      <w:r>
        <w:rPr>
          <w:rStyle w:val="43"/>
          <w:rFonts w:ascii="宋体" w:hAnsi="宋体"/>
          <w:sz w:val="21"/>
          <w:szCs w:val="21"/>
        </w:rPr>
        <w:t>”的技术规范书。本规范书将作为采购的基础，供系统集成商（以下简称为投标人）编写项目建议书及最终商务合同附件使用。当嵊州市经济和信息化局有新建议的功能、性能、技术、服务要求，而本规范又尚未包括或和原规定不符时，则应符合嵊州市经济和信息化局新建议的要求。</w:t>
      </w:r>
    </w:p>
    <w:p>
      <w:pPr>
        <w:spacing w:line="460" w:lineRule="exact"/>
        <w:ind w:firstLine="420"/>
        <w:rPr>
          <w:rStyle w:val="43"/>
          <w:rFonts w:ascii="宋体" w:hAnsi="宋体"/>
          <w:b/>
          <w:bCs/>
          <w:sz w:val="21"/>
          <w:szCs w:val="21"/>
        </w:rPr>
      </w:pPr>
      <w:bookmarkStart w:id="3" w:name="_Toc49437236"/>
      <w:bookmarkStart w:id="4" w:name="_Toc223535597"/>
      <w:r>
        <w:rPr>
          <w:rStyle w:val="43"/>
          <w:rFonts w:ascii="宋体" w:hAnsi="宋体"/>
          <w:b/>
          <w:bCs/>
          <w:sz w:val="21"/>
          <w:szCs w:val="21"/>
        </w:rPr>
        <w:t>（</w:t>
      </w:r>
      <w:r>
        <w:rPr>
          <w:rStyle w:val="43"/>
          <w:rFonts w:hint="eastAsia" w:ascii="宋体" w:hAnsi="宋体"/>
          <w:b/>
          <w:bCs/>
          <w:sz w:val="21"/>
          <w:szCs w:val="21"/>
        </w:rPr>
        <w:t>二</w:t>
      </w:r>
      <w:r>
        <w:rPr>
          <w:rStyle w:val="43"/>
          <w:rFonts w:ascii="宋体" w:hAnsi="宋体"/>
          <w:b/>
          <w:bCs/>
          <w:sz w:val="21"/>
          <w:szCs w:val="21"/>
        </w:rPr>
        <w:t>）总体要求</w:t>
      </w:r>
      <w:bookmarkEnd w:id="3"/>
      <w:bookmarkEnd w:id="4"/>
    </w:p>
    <w:p>
      <w:pPr>
        <w:spacing w:line="460" w:lineRule="exact"/>
        <w:ind w:firstLine="420"/>
        <w:rPr>
          <w:rStyle w:val="43"/>
          <w:rFonts w:ascii="宋体" w:hAnsi="宋体"/>
          <w:sz w:val="21"/>
          <w:szCs w:val="21"/>
        </w:rPr>
      </w:pPr>
      <w:r>
        <w:rPr>
          <w:rStyle w:val="43"/>
          <w:rFonts w:ascii="宋体" w:hAnsi="宋体"/>
          <w:sz w:val="21"/>
          <w:szCs w:val="21"/>
        </w:rPr>
        <w:t>1、投标人应按照本文件的要求提供报价和详细的技术建议（含细化到功能模块的技术方案、系统产品、软件清单、以及</w:t>
      </w:r>
      <w:bookmarkStart w:id="5" w:name="OLE_LINK2"/>
      <w:bookmarkStart w:id="6" w:name="OLE_LINK1"/>
      <w:r>
        <w:rPr>
          <w:rStyle w:val="43"/>
          <w:rFonts w:ascii="宋体" w:hAnsi="宋体"/>
          <w:sz w:val="21"/>
          <w:szCs w:val="21"/>
        </w:rPr>
        <w:t>附录1“</w:t>
      </w:r>
      <w:r>
        <w:rPr>
          <w:rStyle w:val="43"/>
          <w:rFonts w:hint="eastAsia" w:ascii="宋体" w:hAnsi="宋体"/>
          <w:sz w:val="21"/>
          <w:szCs w:val="21"/>
        </w:rPr>
        <w:t>项目组人员名单与项目进度模板</w:t>
      </w:r>
      <w:r>
        <w:rPr>
          <w:rStyle w:val="43"/>
          <w:rFonts w:ascii="宋体" w:hAnsi="宋体"/>
          <w:sz w:val="21"/>
          <w:szCs w:val="21"/>
        </w:rPr>
        <w:t>”、附录2“</w:t>
      </w:r>
      <w:r>
        <w:rPr>
          <w:rStyle w:val="43"/>
          <w:rFonts w:hint="eastAsia" w:ascii="宋体" w:hAnsi="宋体"/>
          <w:sz w:val="21"/>
          <w:szCs w:val="21"/>
        </w:rPr>
        <w:t>投标人近年（2017年至应答截止之日）合作案例/项目经验</w:t>
      </w:r>
      <w:r>
        <w:rPr>
          <w:rStyle w:val="43"/>
          <w:rFonts w:ascii="宋体" w:hAnsi="宋体"/>
          <w:sz w:val="21"/>
          <w:szCs w:val="21"/>
        </w:rPr>
        <w:t>”</w:t>
      </w:r>
      <w:bookmarkEnd w:id="5"/>
      <w:bookmarkEnd w:id="6"/>
      <w:r>
        <w:rPr>
          <w:rStyle w:val="43"/>
          <w:rFonts w:ascii="宋体" w:hAnsi="宋体"/>
          <w:sz w:val="21"/>
          <w:szCs w:val="21"/>
        </w:rPr>
        <w:t>）。</w:t>
      </w:r>
    </w:p>
    <w:p>
      <w:pPr>
        <w:spacing w:line="460" w:lineRule="exact"/>
        <w:ind w:firstLine="420"/>
        <w:rPr>
          <w:rStyle w:val="43"/>
          <w:rFonts w:ascii="宋体" w:hAnsi="宋体"/>
          <w:sz w:val="21"/>
          <w:szCs w:val="21"/>
        </w:rPr>
      </w:pPr>
      <w:r>
        <w:rPr>
          <w:rStyle w:val="43"/>
          <w:rFonts w:ascii="宋体" w:hAnsi="宋体"/>
          <w:sz w:val="21"/>
          <w:szCs w:val="21"/>
        </w:rPr>
        <w:t>投标人必须提供技术应标书的</w:t>
      </w:r>
      <w:r>
        <w:rPr>
          <w:rStyle w:val="43"/>
          <w:rFonts w:hint="eastAsia" w:ascii="宋体" w:hAnsi="宋体"/>
          <w:sz w:val="21"/>
          <w:szCs w:val="21"/>
        </w:rPr>
        <w:t>方案</w:t>
      </w:r>
      <w:r>
        <w:rPr>
          <w:rStyle w:val="43"/>
          <w:rFonts w:ascii="宋体" w:hAnsi="宋体"/>
          <w:sz w:val="21"/>
          <w:szCs w:val="21"/>
        </w:rPr>
        <w:t>电子文档</w:t>
      </w:r>
      <w:r>
        <w:rPr>
          <w:rStyle w:val="43"/>
          <w:rFonts w:hint="eastAsia" w:ascii="宋体" w:hAnsi="宋体"/>
          <w:sz w:val="21"/>
          <w:szCs w:val="21"/>
        </w:rPr>
        <w:t>、纸质投标书</w:t>
      </w:r>
      <w:r>
        <w:rPr>
          <w:rStyle w:val="43"/>
          <w:rFonts w:ascii="宋体" w:hAnsi="宋体"/>
          <w:sz w:val="21"/>
          <w:szCs w:val="21"/>
        </w:rPr>
        <w:t>。</w:t>
      </w:r>
    </w:p>
    <w:p>
      <w:pPr>
        <w:spacing w:line="460" w:lineRule="exact"/>
        <w:ind w:firstLine="420"/>
        <w:rPr>
          <w:rStyle w:val="43"/>
          <w:rFonts w:ascii="宋体" w:hAnsi="宋体"/>
          <w:sz w:val="21"/>
          <w:szCs w:val="21"/>
        </w:rPr>
      </w:pPr>
      <w:r>
        <w:rPr>
          <w:rStyle w:val="43"/>
          <w:rFonts w:ascii="宋体" w:hAnsi="宋体"/>
          <w:sz w:val="21"/>
          <w:szCs w:val="21"/>
        </w:rPr>
        <w:t>2、投标人应保证所提供的产品在功能、性能、技术指标、业务功能等方面均能满足规范的要求，同时也应满足嵊州市经济和信息化局的业务相关规范和技术规范，实际需求范围以采购人提供的项目最终需求文档确定的范围为准。</w:t>
      </w:r>
    </w:p>
    <w:p>
      <w:pPr>
        <w:spacing w:line="460" w:lineRule="exact"/>
        <w:ind w:firstLine="420"/>
        <w:rPr>
          <w:rStyle w:val="43"/>
          <w:rFonts w:ascii="宋体" w:hAnsi="宋体"/>
          <w:sz w:val="21"/>
          <w:szCs w:val="21"/>
        </w:rPr>
      </w:pPr>
      <w:r>
        <w:rPr>
          <w:rStyle w:val="43"/>
          <w:rFonts w:ascii="宋体" w:hAnsi="宋体"/>
          <w:sz w:val="21"/>
          <w:szCs w:val="21"/>
        </w:rPr>
        <w:t>3、投标人在规定的时间范围内给采购人提供的本项目产品（不限于平台、交互体验和接口协议等）按照买卖双方约定的用户体验标准交付产品，否则采购人有权要求投标人在规定时间段内进行修改和优化。</w:t>
      </w:r>
    </w:p>
    <w:p>
      <w:pPr>
        <w:spacing w:line="460" w:lineRule="exact"/>
        <w:ind w:firstLine="420"/>
        <w:rPr>
          <w:rStyle w:val="43"/>
          <w:rFonts w:ascii="宋体" w:hAnsi="宋体"/>
          <w:sz w:val="21"/>
          <w:szCs w:val="21"/>
        </w:rPr>
      </w:pPr>
      <w:r>
        <w:rPr>
          <w:rStyle w:val="43"/>
          <w:rFonts w:ascii="宋体" w:hAnsi="宋体"/>
          <w:sz w:val="21"/>
          <w:szCs w:val="21"/>
        </w:rPr>
        <w:t>4、如果投标人对本技术规范书的某些部分不能完全满足时，或认为有更合理方案，可以提出建议，由采购人决定。对于本规范书未提出的性能指标，投标人应在应标书中加以补充说明，并提供有关资料。若有两种以上方案的建议，应对各方案分别进行阐述并作相应的比较，并</w:t>
      </w:r>
      <w:r>
        <w:rPr>
          <w:rStyle w:val="43"/>
          <w:rFonts w:hint="eastAsia" w:ascii="宋体" w:hAnsi="宋体"/>
          <w:sz w:val="21"/>
          <w:szCs w:val="21"/>
          <w:lang w:eastAsia="zh-CN"/>
        </w:rPr>
        <w:t>嵊州智能厨电产业大脑建设项目（一期）</w:t>
      </w:r>
      <w:r>
        <w:rPr>
          <w:rStyle w:val="43"/>
          <w:rFonts w:ascii="宋体" w:hAnsi="宋体"/>
          <w:sz w:val="21"/>
          <w:szCs w:val="21"/>
        </w:rPr>
        <w:t>的具体情况指定推荐方案。</w:t>
      </w:r>
    </w:p>
    <w:p>
      <w:pPr>
        <w:spacing w:line="460" w:lineRule="exact"/>
        <w:ind w:firstLine="420"/>
        <w:rPr>
          <w:rStyle w:val="43"/>
          <w:rFonts w:ascii="宋体" w:hAnsi="宋体"/>
          <w:sz w:val="21"/>
          <w:szCs w:val="21"/>
        </w:rPr>
      </w:pPr>
      <w:r>
        <w:rPr>
          <w:rStyle w:val="43"/>
          <w:rFonts w:ascii="宋体" w:hAnsi="宋体"/>
          <w:sz w:val="21"/>
          <w:szCs w:val="21"/>
        </w:rPr>
        <w:t>5、投标人对于规范书的疑问可以通过书面材料或以电子邮件方式与采购人联系，在规定的应标书提交最后期限以前，采购人将以书面材料或以电子邮件方式给予答复，有关采购人答复的情况也将发送至所有得到技术规范书的投标人。</w:t>
      </w:r>
    </w:p>
    <w:p>
      <w:pPr>
        <w:spacing w:line="460" w:lineRule="exact"/>
        <w:ind w:firstLine="420"/>
        <w:rPr>
          <w:rStyle w:val="43"/>
          <w:rFonts w:ascii="宋体" w:hAnsi="宋体"/>
          <w:sz w:val="21"/>
          <w:szCs w:val="21"/>
        </w:rPr>
      </w:pPr>
      <w:r>
        <w:rPr>
          <w:rStyle w:val="43"/>
          <w:rFonts w:ascii="宋体" w:hAnsi="宋体"/>
          <w:sz w:val="21"/>
          <w:szCs w:val="21"/>
        </w:rPr>
        <w:t>6、在技术谈判的各个阶段，采购人将以书面形式要求投标人对有关问题进行进一步的技术澄清，投标人应以书面形式给予正式应答；所有各阶段的技术澄清文件都将作为合同附件。</w:t>
      </w:r>
    </w:p>
    <w:p>
      <w:pPr>
        <w:spacing w:line="460" w:lineRule="exact"/>
        <w:ind w:firstLine="420"/>
        <w:rPr>
          <w:rStyle w:val="43"/>
          <w:rFonts w:ascii="宋体" w:hAnsi="宋体"/>
          <w:sz w:val="21"/>
          <w:szCs w:val="21"/>
        </w:rPr>
      </w:pPr>
      <w:r>
        <w:rPr>
          <w:rStyle w:val="43"/>
          <w:rFonts w:ascii="宋体" w:hAnsi="宋体"/>
          <w:sz w:val="21"/>
          <w:szCs w:val="21"/>
        </w:rPr>
        <w:t>7、未经采购人许可，投标人不得以任何形式向第三方提供通过参与本项目招标获知的全部或部分采购人商业秘密，否则，投标人将承担一切经济和法律责任。</w:t>
      </w:r>
    </w:p>
    <w:p>
      <w:pPr>
        <w:spacing w:line="460" w:lineRule="exact"/>
        <w:ind w:firstLine="420"/>
        <w:rPr>
          <w:rStyle w:val="43"/>
          <w:rFonts w:ascii="宋体" w:hAnsi="宋体"/>
          <w:sz w:val="21"/>
          <w:szCs w:val="21"/>
        </w:rPr>
      </w:pPr>
      <w:r>
        <w:rPr>
          <w:rStyle w:val="43"/>
          <w:rFonts w:ascii="宋体" w:hAnsi="宋体"/>
          <w:sz w:val="21"/>
          <w:szCs w:val="21"/>
        </w:rPr>
        <w:t>8、采购人保留和拥有对本文件的解释权和修改权。采购人有权在签定合同前，根据需要修改和补充本技术规范书，修改补充后的最终技术规范书将作为合同的附件。</w:t>
      </w:r>
    </w:p>
    <w:p>
      <w:pPr>
        <w:spacing w:line="460" w:lineRule="exact"/>
        <w:ind w:firstLine="420"/>
        <w:rPr>
          <w:rStyle w:val="43"/>
          <w:rFonts w:ascii="宋体" w:hAnsi="宋体"/>
          <w:sz w:val="21"/>
          <w:szCs w:val="21"/>
        </w:rPr>
      </w:pPr>
      <w:r>
        <w:rPr>
          <w:rStyle w:val="43"/>
          <w:rFonts w:ascii="宋体" w:hAnsi="宋体"/>
          <w:sz w:val="21"/>
          <w:szCs w:val="21"/>
        </w:rPr>
        <w:t>9、投标人必须承诺所有提供的产品来源都是通过正当渠道提供。若产品涉及国际和国内第三方知识产权，那么需要在应标书中全部声明。否则，</w:t>
      </w:r>
      <w:r>
        <w:rPr>
          <w:rStyle w:val="43"/>
          <w:rFonts w:hint="eastAsia" w:ascii="宋体" w:hAnsi="宋体"/>
          <w:sz w:val="21"/>
          <w:szCs w:val="21"/>
        </w:rPr>
        <w:t>本项目所涉及的所有知识产权归采购人所有</w:t>
      </w:r>
      <w:r>
        <w:rPr>
          <w:rStyle w:val="43"/>
          <w:rFonts w:ascii="宋体" w:hAnsi="宋体"/>
          <w:sz w:val="21"/>
          <w:szCs w:val="21"/>
        </w:rPr>
        <w:t>。</w:t>
      </w:r>
    </w:p>
    <w:p>
      <w:pPr>
        <w:spacing w:line="460" w:lineRule="exact"/>
        <w:ind w:firstLine="420"/>
        <w:rPr>
          <w:rStyle w:val="43"/>
          <w:rFonts w:ascii="宋体" w:hAnsi="宋体"/>
          <w:sz w:val="21"/>
          <w:szCs w:val="21"/>
        </w:rPr>
      </w:pPr>
      <w:r>
        <w:rPr>
          <w:rStyle w:val="43"/>
          <w:rFonts w:ascii="宋体" w:hAnsi="宋体"/>
          <w:sz w:val="21"/>
          <w:szCs w:val="21"/>
        </w:rPr>
        <w:t>10、对在本项目下由采购人向投标人提供的技术规范、技术标准的知识产权归采购人拥有（其中，本项目实施之前的国际和国内标准以及已经声明的第三方知识产权除外）。</w:t>
      </w:r>
    </w:p>
    <w:p>
      <w:pPr>
        <w:spacing w:line="460" w:lineRule="exact"/>
        <w:ind w:firstLine="420"/>
        <w:rPr>
          <w:rStyle w:val="43"/>
          <w:rFonts w:ascii="宋体" w:hAnsi="宋体"/>
          <w:b/>
          <w:bCs/>
          <w:sz w:val="21"/>
          <w:szCs w:val="21"/>
        </w:rPr>
      </w:pPr>
      <w:bookmarkStart w:id="7" w:name="_Toc366003302"/>
      <w:bookmarkStart w:id="8" w:name="_Toc1013880176"/>
      <w:bookmarkStart w:id="9" w:name="_Toc49437237"/>
      <w:bookmarkStart w:id="10" w:name="_Toc433286436"/>
      <w:r>
        <w:rPr>
          <w:rStyle w:val="43"/>
          <w:rFonts w:ascii="宋体" w:hAnsi="宋体"/>
          <w:b/>
          <w:bCs/>
          <w:sz w:val="21"/>
          <w:szCs w:val="21"/>
        </w:rPr>
        <w:t>（</w:t>
      </w:r>
      <w:r>
        <w:rPr>
          <w:rStyle w:val="43"/>
          <w:rFonts w:hint="eastAsia" w:ascii="宋体" w:hAnsi="宋体"/>
          <w:b/>
          <w:bCs/>
          <w:sz w:val="21"/>
          <w:szCs w:val="21"/>
        </w:rPr>
        <w:t>三</w:t>
      </w:r>
      <w:r>
        <w:rPr>
          <w:rStyle w:val="43"/>
          <w:rFonts w:ascii="宋体" w:hAnsi="宋体"/>
          <w:b/>
          <w:bCs/>
          <w:sz w:val="21"/>
          <w:szCs w:val="21"/>
        </w:rPr>
        <w:t>）对投标人技术应答材料的要求</w:t>
      </w:r>
      <w:bookmarkEnd w:id="7"/>
      <w:bookmarkEnd w:id="8"/>
      <w:bookmarkEnd w:id="9"/>
      <w:bookmarkEnd w:id="10"/>
    </w:p>
    <w:p>
      <w:pPr>
        <w:spacing w:line="460" w:lineRule="exact"/>
        <w:ind w:firstLine="420"/>
        <w:rPr>
          <w:rStyle w:val="43"/>
          <w:rFonts w:ascii="宋体" w:hAnsi="宋体"/>
          <w:sz w:val="21"/>
          <w:szCs w:val="21"/>
        </w:rPr>
      </w:pPr>
      <w:r>
        <w:rPr>
          <w:rStyle w:val="43"/>
          <w:rFonts w:ascii="宋体" w:hAnsi="宋体"/>
          <w:sz w:val="21"/>
          <w:szCs w:val="21"/>
        </w:rPr>
        <w:t>投标人在收到本规范书后在规定时间内，应按照本规范书的相关要求用中文提供报价和详细的技术应答材料。投标人所提供的技术应答材料应包含以下的内容：</w:t>
      </w:r>
    </w:p>
    <w:p>
      <w:pPr>
        <w:spacing w:line="460" w:lineRule="exact"/>
        <w:ind w:firstLine="420"/>
        <w:rPr>
          <w:rStyle w:val="43"/>
          <w:rFonts w:ascii="宋体" w:hAnsi="宋体"/>
          <w:b/>
          <w:bCs/>
          <w:sz w:val="21"/>
          <w:szCs w:val="21"/>
        </w:rPr>
      </w:pPr>
      <w:bookmarkStart w:id="11" w:name="_Toc49437238"/>
      <w:bookmarkStart w:id="12" w:name="_Toc433286438"/>
      <w:bookmarkStart w:id="13" w:name="_Toc366003304"/>
      <w:bookmarkStart w:id="14" w:name="_Toc1379087"/>
      <w:r>
        <w:rPr>
          <w:rStyle w:val="43"/>
          <w:rFonts w:ascii="宋体" w:hAnsi="宋体"/>
          <w:b/>
          <w:bCs/>
          <w:sz w:val="21"/>
          <w:szCs w:val="21"/>
        </w:rPr>
        <w:t>附件一：技术规范书点对点应答</w:t>
      </w:r>
      <w:bookmarkEnd w:id="11"/>
      <w:bookmarkEnd w:id="12"/>
      <w:bookmarkEnd w:id="13"/>
      <w:bookmarkEnd w:id="14"/>
    </w:p>
    <w:p>
      <w:pPr>
        <w:spacing w:line="460" w:lineRule="exact"/>
        <w:ind w:firstLine="420"/>
        <w:rPr>
          <w:rStyle w:val="43"/>
          <w:rFonts w:ascii="宋体" w:hAnsi="宋体"/>
          <w:sz w:val="21"/>
          <w:szCs w:val="21"/>
        </w:rPr>
      </w:pPr>
      <w:r>
        <w:rPr>
          <w:rStyle w:val="43"/>
          <w:rFonts w:ascii="宋体" w:hAnsi="宋体"/>
          <w:sz w:val="21"/>
          <w:szCs w:val="21"/>
        </w:rPr>
        <w:t>投标人应对本技术规范书</w:t>
      </w:r>
      <w:r>
        <w:rPr>
          <w:rStyle w:val="43"/>
          <w:rFonts w:hint="eastAsia" w:ascii="宋体" w:hAnsi="宋体"/>
          <w:sz w:val="21"/>
          <w:szCs w:val="21"/>
        </w:rPr>
        <w:t>，从“第三部分</w:t>
      </w:r>
      <w:r>
        <w:rPr>
          <w:rStyle w:val="43"/>
          <w:rFonts w:ascii="宋体" w:hAnsi="宋体"/>
          <w:sz w:val="21"/>
          <w:szCs w:val="21"/>
        </w:rPr>
        <w:t xml:space="preserve"> </w:t>
      </w:r>
      <w:r>
        <w:rPr>
          <w:rStyle w:val="43"/>
          <w:rFonts w:hint="eastAsia" w:ascii="宋体" w:hAnsi="宋体"/>
          <w:sz w:val="21"/>
          <w:szCs w:val="21"/>
        </w:rPr>
        <w:t>项目招标范围及服务要求部分”中“三</w:t>
      </w:r>
      <w:r>
        <w:rPr>
          <w:rStyle w:val="43"/>
          <w:rFonts w:ascii="宋体" w:hAnsi="宋体"/>
          <w:sz w:val="21"/>
          <w:szCs w:val="21"/>
        </w:rPr>
        <w:t>、</w:t>
      </w:r>
      <w:r>
        <w:rPr>
          <w:rStyle w:val="43"/>
          <w:rFonts w:hint="eastAsia" w:ascii="宋体" w:hAnsi="宋体"/>
          <w:sz w:val="21"/>
          <w:szCs w:val="21"/>
        </w:rPr>
        <w:t>系统设计原则”章节开始，</w:t>
      </w:r>
      <w:r>
        <w:rPr>
          <w:rStyle w:val="43"/>
          <w:rFonts w:ascii="宋体" w:hAnsi="宋体"/>
          <w:sz w:val="21"/>
          <w:szCs w:val="21"/>
        </w:rPr>
        <w:t>进行逐条逐项</w:t>
      </w:r>
      <w:r>
        <w:rPr>
          <w:rStyle w:val="43"/>
          <w:rFonts w:hint="eastAsia" w:ascii="宋体" w:hAnsi="宋体"/>
          <w:sz w:val="21"/>
          <w:szCs w:val="21"/>
        </w:rPr>
        <w:t>对项目需求</w:t>
      </w:r>
      <w:r>
        <w:rPr>
          <w:rStyle w:val="43"/>
          <w:rFonts w:ascii="宋体" w:hAnsi="宋体"/>
          <w:sz w:val="21"/>
          <w:szCs w:val="21"/>
        </w:rPr>
        <w:t>答复和解释。首先对实现或满足程度明确作出“满足”、“不满足”、“部分满足”等应答，然后作出具体、详细的说明或标明参见的章节。不得使用诸如“注意到”、“理解”等模糊之词回答，否则视该条回答无效。采购人根据谈判过程中投标人的应答情况，自行判断投标人是否真正满足采购人要求。满足、部分满足、不满足的定义分别如下：</w:t>
      </w:r>
    </w:p>
    <w:p>
      <w:pPr>
        <w:spacing w:line="460" w:lineRule="exact"/>
        <w:ind w:firstLine="420"/>
        <w:rPr>
          <w:rStyle w:val="43"/>
          <w:rFonts w:ascii="宋体" w:hAnsi="宋体"/>
          <w:sz w:val="21"/>
          <w:szCs w:val="21"/>
        </w:rPr>
      </w:pPr>
      <w:r>
        <w:rPr>
          <w:rStyle w:val="43"/>
          <w:rFonts w:ascii="宋体" w:hAnsi="宋体"/>
          <w:sz w:val="21"/>
          <w:szCs w:val="21"/>
        </w:rPr>
        <w:t>满足：全面理解采购人要求并在技术上完全实现采购人的要求，投标人在本工程配置和报价中已包含实现该要求的全部费用，同时保证在本工程中实现。在投标人应答为满足的条款中，投标人的解释说明视为对其技术实现方案的阐述，而并非对该条款要求的重新解释，若投标人的解释说明与该条款要求有显式或暗示的不一致，只要投标人对该条款的应答为满足仍视为投标人承诺按照采购人的解释去实现。</w:t>
      </w:r>
    </w:p>
    <w:p>
      <w:pPr>
        <w:spacing w:line="460" w:lineRule="exact"/>
        <w:ind w:firstLine="420"/>
        <w:rPr>
          <w:rStyle w:val="43"/>
          <w:rFonts w:ascii="宋体" w:hAnsi="宋体"/>
          <w:sz w:val="21"/>
          <w:szCs w:val="21"/>
        </w:rPr>
      </w:pPr>
      <w:r>
        <w:rPr>
          <w:rStyle w:val="43"/>
          <w:rFonts w:ascii="宋体" w:hAnsi="宋体"/>
          <w:sz w:val="21"/>
          <w:szCs w:val="21"/>
        </w:rPr>
        <w:t>部分满足：理解采购人要求，但是只能实现采购人的部分要求或不能完全实现采购人的要求，同时投标人在本工程配置和报价中已包含实现其中所满足部分的全部费用。</w:t>
      </w:r>
    </w:p>
    <w:p>
      <w:pPr>
        <w:spacing w:line="460" w:lineRule="exact"/>
        <w:ind w:firstLine="420"/>
        <w:rPr>
          <w:rStyle w:val="43"/>
          <w:rFonts w:ascii="宋体" w:hAnsi="宋体"/>
          <w:sz w:val="21"/>
          <w:szCs w:val="21"/>
        </w:rPr>
      </w:pPr>
      <w:r>
        <w:rPr>
          <w:rStyle w:val="43"/>
          <w:rFonts w:ascii="宋体" w:hAnsi="宋体"/>
          <w:sz w:val="21"/>
          <w:szCs w:val="21"/>
        </w:rPr>
        <w:t>不满足：不理解采购人要求或者无法实现采购人的要求。</w:t>
      </w:r>
    </w:p>
    <w:p>
      <w:pPr>
        <w:spacing w:line="460" w:lineRule="exact"/>
        <w:ind w:firstLine="420"/>
        <w:rPr>
          <w:rStyle w:val="43"/>
          <w:rFonts w:ascii="宋体" w:hAnsi="宋体"/>
          <w:sz w:val="21"/>
          <w:szCs w:val="21"/>
        </w:rPr>
      </w:pPr>
      <w:r>
        <w:rPr>
          <w:rStyle w:val="43"/>
          <w:rFonts w:ascii="宋体" w:hAnsi="宋体"/>
          <w:sz w:val="21"/>
          <w:szCs w:val="21"/>
        </w:rPr>
        <w:t>对于应答为“部分满足”和“不满足”的部分，投标人应该详细说明在“部分满足”中，哪些是满足的、哪些是不满足的，同时说明对于“不满足”部分有无解决方案和计划以及相应的开发完成的具体时间进度安排。</w:t>
      </w:r>
    </w:p>
    <w:p>
      <w:pPr>
        <w:spacing w:line="460" w:lineRule="exact"/>
        <w:ind w:firstLine="420"/>
        <w:rPr>
          <w:rStyle w:val="43"/>
          <w:rFonts w:ascii="宋体" w:hAnsi="宋体"/>
          <w:b/>
          <w:bCs/>
          <w:sz w:val="21"/>
          <w:szCs w:val="21"/>
        </w:rPr>
      </w:pPr>
      <w:bookmarkStart w:id="15" w:name="_Toc49437239"/>
      <w:bookmarkStart w:id="16" w:name="_Toc433286439"/>
      <w:bookmarkStart w:id="17" w:name="_Toc1703478739"/>
      <w:bookmarkStart w:id="18" w:name="_Toc366003305"/>
      <w:r>
        <w:rPr>
          <w:rStyle w:val="43"/>
          <w:rFonts w:ascii="宋体" w:hAnsi="宋体"/>
          <w:b/>
          <w:bCs/>
          <w:sz w:val="21"/>
          <w:szCs w:val="21"/>
        </w:rPr>
        <w:t>附件二：技术建议书</w:t>
      </w:r>
      <w:bookmarkEnd w:id="15"/>
      <w:bookmarkEnd w:id="16"/>
      <w:bookmarkEnd w:id="17"/>
      <w:bookmarkEnd w:id="18"/>
    </w:p>
    <w:p>
      <w:pPr>
        <w:spacing w:line="460" w:lineRule="exact"/>
        <w:ind w:firstLine="420"/>
        <w:rPr>
          <w:rStyle w:val="43"/>
          <w:rFonts w:ascii="宋体" w:hAnsi="宋体"/>
          <w:sz w:val="21"/>
          <w:szCs w:val="21"/>
        </w:rPr>
      </w:pPr>
      <w:r>
        <w:rPr>
          <w:rStyle w:val="43"/>
          <w:rFonts w:ascii="宋体" w:hAnsi="宋体"/>
          <w:sz w:val="21"/>
          <w:szCs w:val="21"/>
        </w:rPr>
        <w:t>提供针对本工程的技术方案建议，建议书应至少包括但不限于以下内容：</w:t>
      </w:r>
    </w:p>
    <w:p>
      <w:pPr>
        <w:spacing w:line="460" w:lineRule="exact"/>
        <w:ind w:firstLine="420"/>
        <w:rPr>
          <w:rStyle w:val="43"/>
          <w:rFonts w:ascii="宋体" w:hAnsi="宋体"/>
          <w:sz w:val="21"/>
          <w:szCs w:val="21"/>
        </w:rPr>
      </w:pPr>
      <w:r>
        <w:rPr>
          <w:rStyle w:val="43"/>
          <w:rFonts w:ascii="宋体" w:hAnsi="宋体"/>
          <w:sz w:val="21"/>
          <w:szCs w:val="21"/>
        </w:rPr>
        <w:t>（1）整体解决方案：采用图示及文字解释详细阐述本项目的整体解决方案，应包括业务需求分析、总体架构、系统组成、各组成部分实现的功能、各组成部分相互之间的关系、系统发展规划等；</w:t>
      </w:r>
    </w:p>
    <w:p>
      <w:pPr>
        <w:spacing w:line="460" w:lineRule="exact"/>
        <w:ind w:firstLine="420"/>
        <w:rPr>
          <w:rStyle w:val="43"/>
          <w:rFonts w:ascii="宋体" w:hAnsi="宋体"/>
          <w:sz w:val="21"/>
          <w:szCs w:val="21"/>
        </w:rPr>
      </w:pPr>
      <w:r>
        <w:rPr>
          <w:rStyle w:val="43"/>
          <w:rFonts w:ascii="宋体" w:hAnsi="宋体"/>
          <w:sz w:val="21"/>
          <w:szCs w:val="21"/>
        </w:rPr>
        <w:t>（2）软件架构：提供本工程的软件功能架构图；详细描述软件包含的各功能模块，对有相互关联的模块予以解释、说明；</w:t>
      </w:r>
    </w:p>
    <w:p>
      <w:pPr>
        <w:spacing w:line="460" w:lineRule="exact"/>
        <w:ind w:firstLine="420"/>
        <w:rPr>
          <w:rStyle w:val="43"/>
          <w:rFonts w:ascii="宋体" w:hAnsi="宋体"/>
          <w:sz w:val="21"/>
          <w:szCs w:val="21"/>
        </w:rPr>
      </w:pPr>
      <w:r>
        <w:rPr>
          <w:rStyle w:val="43"/>
          <w:rFonts w:ascii="宋体" w:hAnsi="宋体"/>
          <w:sz w:val="21"/>
          <w:szCs w:val="21"/>
        </w:rPr>
        <w:t>（3）功能实现方案：针对本技术规范书和附件的相关功能要求，详细说明各主要功能的具体实现方案；</w:t>
      </w:r>
    </w:p>
    <w:p>
      <w:pPr>
        <w:spacing w:line="460" w:lineRule="exact"/>
        <w:ind w:firstLine="420"/>
        <w:rPr>
          <w:rStyle w:val="43"/>
          <w:rFonts w:ascii="宋体" w:hAnsi="宋体"/>
          <w:sz w:val="21"/>
          <w:szCs w:val="21"/>
        </w:rPr>
      </w:pPr>
      <w:r>
        <w:rPr>
          <w:rStyle w:val="43"/>
          <w:rFonts w:ascii="宋体" w:hAnsi="宋体"/>
          <w:sz w:val="21"/>
          <w:szCs w:val="21"/>
        </w:rPr>
        <w:t>（</w:t>
      </w:r>
      <w:r>
        <w:rPr>
          <w:rStyle w:val="43"/>
          <w:rFonts w:hint="eastAsia" w:ascii="宋体" w:hAnsi="宋体"/>
          <w:sz w:val="21"/>
          <w:szCs w:val="21"/>
        </w:rPr>
        <w:t>4</w:t>
      </w:r>
      <w:r>
        <w:rPr>
          <w:rStyle w:val="43"/>
          <w:rFonts w:ascii="宋体" w:hAnsi="宋体"/>
          <w:sz w:val="21"/>
          <w:szCs w:val="21"/>
        </w:rPr>
        <w:t>）系统部署方案：要求在采购人硬件设备的基础上给出投标人认为还需要配置的全部软、硬件的配置清单，包含服务器、存储、网络等硬件设备以及第三方软件、应用软件与集成服务等。</w:t>
      </w:r>
      <w:r>
        <w:rPr>
          <w:rStyle w:val="43"/>
          <w:rFonts w:hint="eastAsia" w:ascii="宋体" w:hAnsi="宋体"/>
          <w:sz w:val="21"/>
          <w:szCs w:val="21"/>
        </w:rPr>
        <w:t>系统支持2种以上部署环境，至少同时支持X86和ARM架构部署。</w:t>
      </w:r>
    </w:p>
    <w:p>
      <w:pPr>
        <w:spacing w:line="460" w:lineRule="exact"/>
        <w:ind w:firstLine="420"/>
        <w:rPr>
          <w:rStyle w:val="43"/>
          <w:rFonts w:ascii="宋体" w:hAnsi="宋体"/>
          <w:sz w:val="21"/>
          <w:szCs w:val="21"/>
        </w:rPr>
      </w:pPr>
      <w:r>
        <w:rPr>
          <w:rStyle w:val="43"/>
          <w:rFonts w:hint="eastAsia" w:ascii="宋体" w:hAnsi="宋体" w:cs="宋体"/>
          <w:sz w:val="21"/>
          <w:szCs w:val="21"/>
        </w:rPr>
        <w:t>①</w:t>
      </w:r>
      <w:r>
        <w:rPr>
          <w:rStyle w:val="43"/>
          <w:rFonts w:ascii="宋体" w:hAnsi="宋体"/>
          <w:sz w:val="21"/>
          <w:szCs w:val="21"/>
        </w:rPr>
        <w:t>提供</w:t>
      </w:r>
      <w:r>
        <w:rPr>
          <w:rStyle w:val="43"/>
          <w:rFonts w:hint="eastAsia" w:ascii="宋体" w:hAnsi="宋体"/>
          <w:sz w:val="21"/>
          <w:szCs w:val="21"/>
        </w:rPr>
        <w:t>云资源</w:t>
      </w:r>
      <w:r>
        <w:rPr>
          <w:rStyle w:val="43"/>
          <w:rFonts w:ascii="宋体" w:hAnsi="宋体"/>
          <w:sz w:val="21"/>
          <w:szCs w:val="21"/>
        </w:rPr>
        <w:t>配置</w:t>
      </w:r>
      <w:r>
        <w:rPr>
          <w:rStyle w:val="43"/>
          <w:rFonts w:hint="eastAsia" w:ascii="宋体" w:hAnsi="宋体"/>
          <w:sz w:val="21"/>
          <w:szCs w:val="21"/>
        </w:rPr>
        <w:t>表（按</w:t>
      </w:r>
      <w:r>
        <w:rPr>
          <w:rStyle w:val="43"/>
          <w:rFonts w:ascii="宋体" w:hAnsi="宋体"/>
          <w:sz w:val="21"/>
          <w:szCs w:val="21"/>
        </w:rPr>
        <w:t>1</w:t>
      </w:r>
      <w:r>
        <w:rPr>
          <w:rStyle w:val="43"/>
          <w:rFonts w:hint="eastAsia" w:ascii="宋体" w:hAnsi="宋体"/>
          <w:sz w:val="21"/>
          <w:szCs w:val="21"/>
        </w:rPr>
        <w:t>年算），同时说明云资源部署的对应关系、测算基准。云资源需求如下：建设规划100家企业上云预估3000台生产相关设备，3000模型对象，100000测点，采集频率1秒，存储副本3副本（高可用、高可靠），存储冗余10%；10万用户终端厨具设备，单台采集频率预估每天120条数据。</w:t>
      </w:r>
    </w:p>
    <w:p>
      <w:pPr>
        <w:spacing w:line="460" w:lineRule="exact"/>
        <w:ind w:firstLine="420"/>
        <w:rPr>
          <w:rStyle w:val="43"/>
          <w:rFonts w:ascii="宋体" w:hAnsi="宋体"/>
          <w:sz w:val="21"/>
          <w:szCs w:val="21"/>
        </w:rPr>
      </w:pPr>
      <w:r>
        <w:rPr>
          <w:rStyle w:val="43"/>
          <w:rFonts w:hint="eastAsia" w:ascii="宋体" w:hAnsi="宋体" w:cs="宋体"/>
          <w:sz w:val="21"/>
          <w:szCs w:val="21"/>
        </w:rPr>
        <w:t>②</w:t>
      </w:r>
      <w:r>
        <w:rPr>
          <w:rStyle w:val="43"/>
          <w:rFonts w:ascii="宋体" w:hAnsi="宋体"/>
          <w:sz w:val="21"/>
          <w:szCs w:val="21"/>
        </w:rPr>
        <w:t>软硬件部署方案：</w:t>
      </w:r>
      <w:r>
        <w:rPr>
          <w:rStyle w:val="43"/>
          <w:rFonts w:hint="eastAsia" w:ascii="宋体" w:hAnsi="宋体"/>
          <w:sz w:val="21"/>
          <w:szCs w:val="21"/>
        </w:rPr>
        <w:t>支持一键式前端安装工业互联网平台系统</w:t>
      </w:r>
      <w:r>
        <w:rPr>
          <w:rStyle w:val="43"/>
          <w:rFonts w:ascii="宋体" w:hAnsi="宋体"/>
          <w:sz w:val="21"/>
          <w:szCs w:val="21"/>
        </w:rPr>
        <w:t>；</w:t>
      </w:r>
    </w:p>
    <w:p>
      <w:pPr>
        <w:spacing w:line="460" w:lineRule="exact"/>
        <w:ind w:firstLine="420"/>
        <w:rPr>
          <w:rStyle w:val="43"/>
          <w:rFonts w:ascii="宋体" w:hAnsi="宋体"/>
          <w:sz w:val="21"/>
          <w:szCs w:val="21"/>
        </w:rPr>
      </w:pPr>
      <w:r>
        <w:rPr>
          <w:rStyle w:val="43"/>
          <w:rFonts w:hint="eastAsia" w:ascii="宋体" w:hAnsi="宋体" w:cs="宋体"/>
          <w:sz w:val="21"/>
          <w:szCs w:val="21"/>
        </w:rPr>
        <w:t>③</w:t>
      </w:r>
      <w:r>
        <w:rPr>
          <w:rStyle w:val="43"/>
          <w:rFonts w:ascii="宋体" w:hAnsi="宋体"/>
          <w:sz w:val="21"/>
          <w:szCs w:val="21"/>
        </w:rPr>
        <w:t>详细说明系统的备份方案，包括备份的数据内容、各服务器的备份方式、备份策略等</w:t>
      </w:r>
      <w:r>
        <w:rPr>
          <w:rStyle w:val="43"/>
          <w:rFonts w:hint="eastAsia" w:ascii="宋体" w:hAnsi="宋体"/>
          <w:sz w:val="21"/>
          <w:szCs w:val="21"/>
        </w:rPr>
        <w:t>。</w:t>
      </w:r>
    </w:p>
    <w:p>
      <w:pPr>
        <w:spacing w:line="460" w:lineRule="exact"/>
        <w:ind w:firstLine="420" w:firstLineChars="200"/>
        <w:rPr>
          <w:rStyle w:val="43"/>
          <w:rFonts w:ascii="宋体" w:hAnsi="宋体"/>
          <w:sz w:val="21"/>
          <w:szCs w:val="21"/>
        </w:rPr>
      </w:pPr>
      <w:r>
        <w:rPr>
          <w:rStyle w:val="43"/>
          <w:rFonts w:ascii="宋体" w:hAnsi="宋体"/>
          <w:sz w:val="21"/>
          <w:szCs w:val="21"/>
        </w:rPr>
        <w:t>（</w:t>
      </w:r>
      <w:r>
        <w:rPr>
          <w:rStyle w:val="43"/>
          <w:rFonts w:hint="eastAsia" w:ascii="宋体" w:hAnsi="宋体"/>
          <w:sz w:val="21"/>
          <w:szCs w:val="21"/>
        </w:rPr>
        <w:t>5</w:t>
      </w:r>
      <w:r>
        <w:rPr>
          <w:rStyle w:val="43"/>
          <w:rFonts w:ascii="宋体" w:hAnsi="宋体"/>
          <w:sz w:val="21"/>
          <w:szCs w:val="21"/>
        </w:rPr>
        <w:t>）系统安全解决方案：投标人应详细说明对本系统的安全性分析和安全解决方案，并针对数据传输、网络安全及边界防护、用户的访问授权及身份认证、权限管理、系统管理、敏感数据存取</w:t>
      </w:r>
      <w:r>
        <w:rPr>
          <w:rStyle w:val="43"/>
          <w:rFonts w:hint="eastAsia" w:ascii="宋体" w:hAnsi="宋体"/>
          <w:sz w:val="21"/>
          <w:szCs w:val="21"/>
        </w:rPr>
        <w:t>、安全漏洞扫描</w:t>
      </w:r>
      <w:r>
        <w:rPr>
          <w:rStyle w:val="43"/>
          <w:rFonts w:ascii="宋体" w:hAnsi="宋体"/>
          <w:sz w:val="21"/>
          <w:szCs w:val="21"/>
        </w:rPr>
        <w:t>等层面的安全保障措施等进行具体分析和描述。</w:t>
      </w:r>
    </w:p>
    <w:p>
      <w:pPr>
        <w:spacing w:line="460" w:lineRule="exact"/>
        <w:ind w:firstLine="420"/>
        <w:rPr>
          <w:rStyle w:val="43"/>
          <w:rFonts w:ascii="宋体" w:hAnsi="宋体"/>
          <w:sz w:val="21"/>
          <w:szCs w:val="21"/>
        </w:rPr>
      </w:pPr>
      <w:r>
        <w:rPr>
          <w:rStyle w:val="43"/>
          <w:rFonts w:ascii="宋体" w:hAnsi="宋体"/>
          <w:sz w:val="21"/>
          <w:szCs w:val="21"/>
        </w:rPr>
        <w:t>（</w:t>
      </w:r>
      <w:r>
        <w:rPr>
          <w:rStyle w:val="43"/>
          <w:rFonts w:hint="eastAsia" w:ascii="宋体" w:hAnsi="宋体"/>
          <w:sz w:val="21"/>
          <w:szCs w:val="21"/>
        </w:rPr>
        <w:t>6</w:t>
      </w:r>
      <w:r>
        <w:rPr>
          <w:rStyle w:val="43"/>
          <w:rFonts w:ascii="宋体" w:hAnsi="宋体"/>
          <w:sz w:val="21"/>
          <w:szCs w:val="21"/>
        </w:rPr>
        <w:t>）系统可靠性和可扩展性：详细说明提供系统的可靠性以及可扩展性，并提出系统扩展的整体解决方案（包含容量扩展、主机服务器扩展、系统软件扩展、应用功能扩展及对现有系统的影响）；说明规模扩大时系统架构有无变化，软件有无受限条件。</w:t>
      </w:r>
    </w:p>
    <w:p>
      <w:pPr>
        <w:spacing w:line="460" w:lineRule="exact"/>
        <w:ind w:firstLine="420"/>
        <w:rPr>
          <w:rStyle w:val="43"/>
          <w:rFonts w:ascii="宋体" w:hAnsi="宋体"/>
          <w:sz w:val="21"/>
          <w:szCs w:val="21"/>
        </w:rPr>
      </w:pPr>
      <w:r>
        <w:rPr>
          <w:rStyle w:val="43"/>
          <w:rFonts w:ascii="宋体" w:hAnsi="宋体"/>
          <w:sz w:val="21"/>
          <w:szCs w:val="21"/>
        </w:rPr>
        <w:t>（</w:t>
      </w:r>
      <w:r>
        <w:rPr>
          <w:rStyle w:val="43"/>
          <w:rFonts w:hint="eastAsia" w:ascii="宋体" w:hAnsi="宋体"/>
          <w:sz w:val="21"/>
          <w:szCs w:val="21"/>
        </w:rPr>
        <w:t>7</w:t>
      </w:r>
      <w:r>
        <w:rPr>
          <w:rStyle w:val="43"/>
          <w:rFonts w:ascii="宋体" w:hAnsi="宋体"/>
          <w:sz w:val="21"/>
          <w:szCs w:val="21"/>
        </w:rPr>
        <w:t>）合理化建议：投标人应结合相关项目建设经验，从系统长期演进的角度，阐述对于系统架构、系统建设方式</w:t>
      </w:r>
      <w:r>
        <w:rPr>
          <w:rStyle w:val="43"/>
          <w:rFonts w:hint="eastAsia" w:ascii="宋体" w:hAnsi="宋体"/>
          <w:sz w:val="21"/>
          <w:szCs w:val="21"/>
        </w:rPr>
        <w:t>、运营模式</w:t>
      </w:r>
      <w:r>
        <w:rPr>
          <w:rStyle w:val="43"/>
          <w:rFonts w:ascii="宋体" w:hAnsi="宋体"/>
          <w:sz w:val="21"/>
          <w:szCs w:val="21"/>
        </w:rPr>
        <w:t>等方面的合理化建议。</w:t>
      </w:r>
    </w:p>
    <w:p>
      <w:pPr>
        <w:spacing w:line="460" w:lineRule="exact"/>
        <w:ind w:firstLine="420"/>
        <w:rPr>
          <w:rStyle w:val="43"/>
          <w:rFonts w:ascii="宋体" w:hAnsi="宋体"/>
          <w:b/>
          <w:bCs/>
          <w:sz w:val="21"/>
          <w:szCs w:val="21"/>
        </w:rPr>
      </w:pPr>
      <w:bookmarkStart w:id="19" w:name="_Toc115184569"/>
      <w:bookmarkStart w:id="20" w:name="_Toc433286440"/>
      <w:bookmarkStart w:id="21" w:name="_Toc366003306"/>
      <w:bookmarkStart w:id="22" w:name="_Toc49437240"/>
      <w:r>
        <w:rPr>
          <w:rStyle w:val="43"/>
          <w:rFonts w:ascii="宋体" w:hAnsi="宋体"/>
          <w:b/>
          <w:bCs/>
          <w:sz w:val="21"/>
          <w:szCs w:val="21"/>
        </w:rPr>
        <w:t>附件三：技术文件清单</w:t>
      </w:r>
      <w:bookmarkEnd w:id="19"/>
      <w:bookmarkEnd w:id="20"/>
      <w:bookmarkEnd w:id="21"/>
      <w:bookmarkEnd w:id="22"/>
    </w:p>
    <w:p>
      <w:pPr>
        <w:spacing w:line="460" w:lineRule="exact"/>
        <w:ind w:firstLine="420"/>
        <w:rPr>
          <w:rStyle w:val="43"/>
          <w:rFonts w:ascii="宋体" w:hAnsi="宋体"/>
          <w:sz w:val="21"/>
          <w:szCs w:val="21"/>
        </w:rPr>
      </w:pPr>
      <w:r>
        <w:rPr>
          <w:rStyle w:val="43"/>
          <w:rFonts w:ascii="宋体" w:hAnsi="宋体"/>
          <w:sz w:val="21"/>
          <w:szCs w:val="21"/>
        </w:rPr>
        <w:t>列出工程实施过程中及交付后向采购人提供的技术文档的种类、数量及简要内容介绍</w:t>
      </w:r>
      <w:r>
        <w:rPr>
          <w:rStyle w:val="43"/>
          <w:rFonts w:hint="eastAsia" w:ascii="宋体" w:hAnsi="宋体"/>
          <w:sz w:val="21"/>
          <w:szCs w:val="21"/>
        </w:rPr>
        <w:t>, 具体要求见技术文件。</w:t>
      </w:r>
    </w:p>
    <w:p>
      <w:pPr>
        <w:spacing w:line="460" w:lineRule="exact"/>
        <w:ind w:firstLine="420"/>
        <w:rPr>
          <w:rStyle w:val="43"/>
          <w:rFonts w:ascii="宋体" w:hAnsi="宋体"/>
          <w:b/>
          <w:bCs/>
          <w:sz w:val="21"/>
          <w:szCs w:val="21"/>
        </w:rPr>
      </w:pPr>
      <w:bookmarkStart w:id="23" w:name="_Toc366003307"/>
      <w:bookmarkStart w:id="24" w:name="_Toc1024285236"/>
      <w:bookmarkStart w:id="25" w:name="_Toc433286441"/>
      <w:bookmarkStart w:id="26" w:name="_Toc49437241"/>
      <w:r>
        <w:rPr>
          <w:rStyle w:val="43"/>
          <w:rFonts w:ascii="宋体" w:hAnsi="宋体"/>
          <w:b/>
          <w:bCs/>
          <w:sz w:val="21"/>
          <w:szCs w:val="21"/>
        </w:rPr>
        <w:t>附件四：软件功能清单</w:t>
      </w:r>
      <w:bookmarkEnd w:id="23"/>
      <w:bookmarkEnd w:id="24"/>
      <w:bookmarkEnd w:id="25"/>
      <w:bookmarkEnd w:id="26"/>
    </w:p>
    <w:p>
      <w:pPr>
        <w:spacing w:line="460" w:lineRule="exact"/>
        <w:ind w:firstLine="420"/>
        <w:rPr>
          <w:rStyle w:val="43"/>
          <w:rFonts w:ascii="宋体" w:hAnsi="宋体"/>
          <w:sz w:val="21"/>
          <w:szCs w:val="21"/>
        </w:rPr>
      </w:pPr>
      <w:r>
        <w:rPr>
          <w:rStyle w:val="43"/>
          <w:rFonts w:ascii="宋体" w:hAnsi="宋体"/>
          <w:sz w:val="21"/>
          <w:szCs w:val="21"/>
        </w:rPr>
        <w:t>列出交付的软件的功能及简要说明</w:t>
      </w:r>
      <w:r>
        <w:rPr>
          <w:rStyle w:val="43"/>
          <w:rFonts w:hint="eastAsia" w:ascii="宋体" w:hAnsi="宋体"/>
          <w:sz w:val="21"/>
          <w:szCs w:val="21"/>
        </w:rPr>
        <w:t>，功能模块需包含项目建设需求的全部内容，并提供证明材料，包含但不限于截图等。</w:t>
      </w:r>
    </w:p>
    <w:p>
      <w:pPr>
        <w:spacing w:line="460" w:lineRule="exact"/>
        <w:ind w:firstLine="420"/>
        <w:rPr>
          <w:rStyle w:val="43"/>
          <w:rFonts w:ascii="宋体" w:hAnsi="宋体"/>
          <w:b/>
          <w:bCs/>
          <w:sz w:val="21"/>
          <w:szCs w:val="21"/>
        </w:rPr>
      </w:pPr>
      <w:bookmarkStart w:id="27" w:name="_Toc49437242"/>
      <w:bookmarkStart w:id="28" w:name="_Toc933047100"/>
      <w:bookmarkStart w:id="29" w:name="_Toc366003308"/>
      <w:bookmarkStart w:id="30" w:name="_Toc433286442"/>
      <w:r>
        <w:rPr>
          <w:rStyle w:val="43"/>
          <w:rFonts w:ascii="宋体" w:hAnsi="宋体"/>
          <w:b/>
          <w:bCs/>
          <w:sz w:val="21"/>
          <w:szCs w:val="21"/>
        </w:rPr>
        <w:t>附件五：工程实施计划</w:t>
      </w:r>
      <w:bookmarkEnd w:id="27"/>
      <w:bookmarkEnd w:id="28"/>
      <w:bookmarkEnd w:id="29"/>
      <w:bookmarkEnd w:id="30"/>
    </w:p>
    <w:p>
      <w:pPr>
        <w:spacing w:line="460" w:lineRule="exact"/>
        <w:ind w:firstLine="420"/>
        <w:rPr>
          <w:rStyle w:val="43"/>
          <w:rFonts w:ascii="宋体" w:hAnsi="宋体"/>
          <w:sz w:val="21"/>
          <w:szCs w:val="21"/>
        </w:rPr>
      </w:pPr>
      <w:r>
        <w:rPr>
          <w:rStyle w:val="43"/>
          <w:rFonts w:ascii="宋体" w:hAnsi="宋体"/>
          <w:sz w:val="21"/>
          <w:szCs w:val="21"/>
        </w:rPr>
        <w:t>投标人应充分考虑本工程时间紧任务重、实施的难度和风险，提出可行的实施计划和人员安排，实施方案至少包括以下内容：</w:t>
      </w:r>
    </w:p>
    <w:p>
      <w:pPr>
        <w:spacing w:line="460" w:lineRule="exact"/>
        <w:ind w:firstLine="420"/>
        <w:rPr>
          <w:rStyle w:val="43"/>
          <w:rFonts w:ascii="宋体" w:hAnsi="宋体"/>
          <w:sz w:val="21"/>
          <w:szCs w:val="21"/>
        </w:rPr>
      </w:pPr>
      <w:bookmarkStart w:id="31" w:name="OLE_LINK6"/>
      <w:r>
        <w:rPr>
          <w:rStyle w:val="43"/>
          <w:rFonts w:ascii="宋体" w:hAnsi="宋体"/>
          <w:sz w:val="21"/>
          <w:szCs w:val="21"/>
        </w:rPr>
        <w:t>（1）</w:t>
      </w:r>
      <w:bookmarkEnd w:id="31"/>
      <w:r>
        <w:rPr>
          <w:rStyle w:val="43"/>
          <w:rFonts w:ascii="宋体" w:hAnsi="宋体"/>
          <w:sz w:val="21"/>
          <w:szCs w:val="21"/>
        </w:rPr>
        <w:t>实施详细步骤，并说明每个步骤中的关键工作；</w:t>
      </w:r>
    </w:p>
    <w:p>
      <w:pPr>
        <w:spacing w:line="460" w:lineRule="exact"/>
        <w:ind w:firstLine="420"/>
        <w:rPr>
          <w:rStyle w:val="43"/>
          <w:rFonts w:ascii="宋体" w:hAnsi="宋体"/>
          <w:sz w:val="21"/>
          <w:szCs w:val="21"/>
        </w:rPr>
      </w:pPr>
      <w:r>
        <w:rPr>
          <w:rStyle w:val="43"/>
          <w:rFonts w:ascii="宋体" w:hAnsi="宋体"/>
          <w:sz w:val="21"/>
          <w:szCs w:val="21"/>
        </w:rPr>
        <w:t>（2）工程进度表：投标人需综合考虑自身的技术实力及人员力量，兼顾采购人对本工程进度要求，提出确实可行的最快时间进度安排，提供进度图表（Project</w:t>
      </w:r>
      <w:r>
        <w:rPr>
          <w:rStyle w:val="43"/>
          <w:rFonts w:hint="eastAsia" w:ascii="宋体" w:hAnsi="宋体"/>
          <w:sz w:val="21"/>
          <w:szCs w:val="21"/>
        </w:rPr>
        <w:t>或</w:t>
      </w:r>
      <w:r>
        <w:rPr>
          <w:rStyle w:val="43"/>
          <w:rFonts w:ascii="宋体" w:hAnsi="宋体"/>
          <w:sz w:val="21"/>
          <w:szCs w:val="21"/>
        </w:rPr>
        <w:t>Excel格式文件），起止时间应为</w:t>
      </w:r>
      <w:r>
        <w:rPr>
          <w:rStyle w:val="43"/>
          <w:rFonts w:hint="eastAsia" w:ascii="宋体" w:hAnsi="宋体"/>
          <w:sz w:val="21"/>
          <w:szCs w:val="21"/>
        </w:rPr>
        <w:t>合同签订</w:t>
      </w:r>
      <w:r>
        <w:rPr>
          <w:rStyle w:val="43"/>
          <w:rFonts w:ascii="宋体" w:hAnsi="宋体"/>
          <w:sz w:val="21"/>
          <w:szCs w:val="21"/>
        </w:rPr>
        <w:t>始到系统完成验收测试上线止；</w:t>
      </w:r>
    </w:p>
    <w:p>
      <w:pPr>
        <w:spacing w:line="460" w:lineRule="exact"/>
        <w:ind w:firstLine="420"/>
        <w:rPr>
          <w:rStyle w:val="43"/>
          <w:rFonts w:ascii="宋体" w:hAnsi="宋体"/>
          <w:sz w:val="21"/>
          <w:szCs w:val="21"/>
        </w:rPr>
      </w:pPr>
      <w:r>
        <w:rPr>
          <w:rStyle w:val="43"/>
          <w:rFonts w:ascii="宋体" w:hAnsi="宋体"/>
          <w:sz w:val="21"/>
          <w:szCs w:val="21"/>
        </w:rPr>
        <w:t>（3）工程人员安排：提供组织结构，详细的人员名单</w:t>
      </w:r>
      <w:r>
        <w:rPr>
          <w:rStyle w:val="43"/>
          <w:rFonts w:hint="eastAsia" w:ascii="宋体" w:hAnsi="宋体"/>
          <w:sz w:val="21"/>
          <w:szCs w:val="21"/>
        </w:rPr>
        <w:t>、项目经理简历</w:t>
      </w:r>
      <w:r>
        <w:rPr>
          <w:rStyle w:val="43"/>
          <w:rFonts w:ascii="宋体" w:hAnsi="宋体"/>
          <w:sz w:val="21"/>
          <w:szCs w:val="21"/>
        </w:rPr>
        <w:t>；</w:t>
      </w:r>
    </w:p>
    <w:p>
      <w:pPr>
        <w:spacing w:line="460" w:lineRule="exact"/>
        <w:ind w:firstLine="420"/>
        <w:rPr>
          <w:rStyle w:val="43"/>
          <w:rFonts w:ascii="宋体" w:hAnsi="宋体"/>
          <w:sz w:val="21"/>
          <w:szCs w:val="21"/>
        </w:rPr>
      </w:pPr>
      <w:r>
        <w:rPr>
          <w:rStyle w:val="43"/>
          <w:rFonts w:ascii="宋体" w:hAnsi="宋体"/>
          <w:sz w:val="21"/>
          <w:szCs w:val="21"/>
        </w:rPr>
        <w:t>（4）提供每个实施阶段交付的成果；</w:t>
      </w:r>
    </w:p>
    <w:p>
      <w:pPr>
        <w:spacing w:line="460" w:lineRule="exact"/>
        <w:ind w:firstLine="420"/>
        <w:rPr>
          <w:rStyle w:val="43"/>
          <w:rFonts w:ascii="宋体" w:hAnsi="宋体"/>
          <w:sz w:val="21"/>
          <w:szCs w:val="21"/>
        </w:rPr>
      </w:pPr>
      <w:r>
        <w:rPr>
          <w:rStyle w:val="43"/>
          <w:rFonts w:ascii="宋体" w:hAnsi="宋体"/>
          <w:sz w:val="21"/>
          <w:szCs w:val="21"/>
        </w:rPr>
        <w:t>（5）提供项目实施的管理、监督和审核方案，要求项目实施责任落实到具体负责人；</w:t>
      </w:r>
    </w:p>
    <w:p>
      <w:pPr>
        <w:spacing w:line="460" w:lineRule="exact"/>
        <w:ind w:firstLine="420"/>
        <w:rPr>
          <w:rStyle w:val="43"/>
          <w:rFonts w:ascii="宋体" w:hAnsi="宋体"/>
          <w:sz w:val="21"/>
          <w:szCs w:val="21"/>
        </w:rPr>
      </w:pPr>
      <w:r>
        <w:rPr>
          <w:rStyle w:val="43"/>
          <w:rFonts w:ascii="宋体" w:hAnsi="宋体"/>
          <w:sz w:val="21"/>
          <w:szCs w:val="21"/>
        </w:rPr>
        <w:t>（6）若实施人员中包含</w:t>
      </w:r>
      <w:r>
        <w:rPr>
          <w:rStyle w:val="43"/>
          <w:rFonts w:hint="eastAsia" w:ascii="宋体" w:hAnsi="宋体"/>
          <w:sz w:val="21"/>
          <w:szCs w:val="21"/>
        </w:rPr>
        <w:t>采购人非自有员工</w:t>
      </w:r>
      <w:r>
        <w:rPr>
          <w:rStyle w:val="43"/>
          <w:rFonts w:ascii="宋体" w:hAnsi="宋体"/>
          <w:sz w:val="21"/>
          <w:szCs w:val="21"/>
        </w:rPr>
        <w:t>，请说明各自的工作分工；</w:t>
      </w:r>
    </w:p>
    <w:p>
      <w:pPr>
        <w:spacing w:line="460" w:lineRule="exact"/>
        <w:ind w:firstLine="420"/>
        <w:rPr>
          <w:rStyle w:val="43"/>
          <w:rFonts w:ascii="宋体" w:hAnsi="宋体"/>
          <w:sz w:val="21"/>
          <w:szCs w:val="21"/>
        </w:rPr>
      </w:pPr>
      <w:r>
        <w:rPr>
          <w:rStyle w:val="43"/>
          <w:rFonts w:ascii="宋体" w:hAnsi="宋体"/>
          <w:sz w:val="21"/>
          <w:szCs w:val="21"/>
        </w:rPr>
        <w:t>（7）提出本项目实施的风险分析及规避风险的措施，并说明工程建设成败的关键所在。</w:t>
      </w:r>
    </w:p>
    <w:p>
      <w:pPr>
        <w:spacing w:line="460" w:lineRule="exact"/>
        <w:ind w:firstLine="420"/>
        <w:rPr>
          <w:rStyle w:val="43"/>
          <w:rFonts w:ascii="宋体" w:hAnsi="宋体"/>
          <w:b/>
          <w:bCs/>
          <w:sz w:val="21"/>
          <w:szCs w:val="21"/>
        </w:rPr>
      </w:pPr>
      <w:bookmarkStart w:id="32" w:name="_Toc433286444"/>
      <w:bookmarkStart w:id="33" w:name="_Toc797019306"/>
      <w:bookmarkStart w:id="34" w:name="_Toc366003310"/>
      <w:bookmarkStart w:id="35" w:name="_Toc49437243"/>
      <w:r>
        <w:rPr>
          <w:rStyle w:val="43"/>
          <w:rFonts w:ascii="宋体" w:hAnsi="宋体"/>
          <w:b/>
          <w:bCs/>
          <w:sz w:val="21"/>
          <w:szCs w:val="21"/>
        </w:rPr>
        <w:t>附件六：合同双方责任和工程分工界面</w:t>
      </w:r>
      <w:bookmarkEnd w:id="32"/>
      <w:bookmarkEnd w:id="33"/>
      <w:bookmarkEnd w:id="34"/>
      <w:bookmarkEnd w:id="35"/>
    </w:p>
    <w:p>
      <w:pPr>
        <w:spacing w:line="460" w:lineRule="exact"/>
        <w:ind w:firstLine="420"/>
        <w:rPr>
          <w:rStyle w:val="43"/>
          <w:rFonts w:ascii="宋体" w:hAnsi="宋体"/>
          <w:sz w:val="21"/>
          <w:szCs w:val="21"/>
        </w:rPr>
      </w:pPr>
      <w:r>
        <w:rPr>
          <w:rStyle w:val="43"/>
          <w:rFonts w:hint="eastAsia" w:ascii="宋体" w:hAnsi="宋体"/>
          <w:sz w:val="21"/>
          <w:szCs w:val="21"/>
        </w:rPr>
        <w:t>参考商务合同，梳理包括投标人应承担的工作界面，含知识产权和保密要求、违约责任等。</w:t>
      </w:r>
      <w:r>
        <w:rPr>
          <w:rStyle w:val="43"/>
          <w:rFonts w:ascii="宋体" w:hAnsi="宋体"/>
          <w:sz w:val="21"/>
          <w:szCs w:val="21"/>
        </w:rPr>
        <w:t>要求提供图示并加以说明。</w:t>
      </w:r>
    </w:p>
    <w:p>
      <w:pPr>
        <w:spacing w:line="460" w:lineRule="exact"/>
        <w:ind w:firstLine="420"/>
        <w:rPr>
          <w:rStyle w:val="43"/>
          <w:rFonts w:ascii="宋体" w:hAnsi="宋体"/>
          <w:b/>
          <w:bCs/>
          <w:sz w:val="21"/>
          <w:szCs w:val="21"/>
        </w:rPr>
      </w:pPr>
      <w:bookmarkStart w:id="36" w:name="_Toc1647969603"/>
      <w:bookmarkStart w:id="37" w:name="_Toc366003311"/>
      <w:bookmarkStart w:id="38" w:name="_Toc49437244"/>
      <w:bookmarkStart w:id="39" w:name="_Toc433286445"/>
      <w:r>
        <w:rPr>
          <w:rStyle w:val="43"/>
          <w:rFonts w:ascii="宋体" w:hAnsi="宋体"/>
          <w:b/>
          <w:bCs/>
          <w:sz w:val="21"/>
          <w:szCs w:val="21"/>
        </w:rPr>
        <w:t>附件七：验收及测试</w:t>
      </w:r>
      <w:bookmarkEnd w:id="36"/>
      <w:bookmarkEnd w:id="37"/>
      <w:bookmarkEnd w:id="38"/>
      <w:bookmarkEnd w:id="39"/>
    </w:p>
    <w:p>
      <w:pPr>
        <w:spacing w:line="460" w:lineRule="exact"/>
        <w:ind w:firstLine="420"/>
        <w:rPr>
          <w:rStyle w:val="43"/>
          <w:rFonts w:ascii="宋体" w:hAnsi="宋体"/>
          <w:sz w:val="21"/>
          <w:szCs w:val="21"/>
        </w:rPr>
      </w:pPr>
      <w:r>
        <w:rPr>
          <w:rStyle w:val="43"/>
          <w:rFonts w:ascii="宋体" w:hAnsi="宋体"/>
          <w:sz w:val="21"/>
          <w:szCs w:val="21"/>
        </w:rPr>
        <w:t>包括系统的验收流程、测试内容、测试方法及相关测试的手册等。</w:t>
      </w:r>
    </w:p>
    <w:p>
      <w:pPr>
        <w:spacing w:line="460" w:lineRule="exact"/>
        <w:ind w:firstLine="420"/>
        <w:rPr>
          <w:rStyle w:val="43"/>
          <w:rFonts w:ascii="宋体" w:hAnsi="宋体"/>
          <w:b/>
          <w:bCs/>
          <w:sz w:val="21"/>
          <w:szCs w:val="21"/>
        </w:rPr>
      </w:pPr>
      <w:bookmarkStart w:id="40" w:name="_Toc49437245"/>
      <w:bookmarkStart w:id="41" w:name="_Toc433286446"/>
      <w:bookmarkStart w:id="42" w:name="_Toc366003312"/>
      <w:bookmarkStart w:id="43" w:name="_Toc1328522262"/>
      <w:r>
        <w:rPr>
          <w:rStyle w:val="43"/>
          <w:rFonts w:ascii="宋体" w:hAnsi="宋体"/>
          <w:b/>
          <w:bCs/>
          <w:sz w:val="21"/>
          <w:szCs w:val="21"/>
        </w:rPr>
        <w:t>附件八：售后服务</w:t>
      </w:r>
      <w:bookmarkEnd w:id="40"/>
      <w:bookmarkEnd w:id="41"/>
      <w:bookmarkEnd w:id="42"/>
      <w:bookmarkEnd w:id="43"/>
    </w:p>
    <w:p>
      <w:pPr>
        <w:spacing w:line="460" w:lineRule="exact"/>
        <w:ind w:firstLine="420"/>
        <w:rPr>
          <w:rStyle w:val="43"/>
          <w:rFonts w:ascii="宋体" w:hAnsi="宋体"/>
          <w:sz w:val="21"/>
          <w:szCs w:val="21"/>
        </w:rPr>
      </w:pPr>
      <w:r>
        <w:rPr>
          <w:rStyle w:val="43"/>
          <w:rFonts w:ascii="宋体" w:hAnsi="宋体"/>
          <w:sz w:val="21"/>
          <w:szCs w:val="21"/>
        </w:rPr>
        <w:t>明确针对本次工程合同，投标人提供的售后服务内容、</w:t>
      </w:r>
      <w:r>
        <w:rPr>
          <w:rStyle w:val="43"/>
          <w:rFonts w:hint="eastAsia" w:ascii="宋体" w:hAnsi="宋体"/>
          <w:sz w:val="21"/>
          <w:szCs w:val="21"/>
        </w:rPr>
        <w:t>免费售后年限及产品续保费用占本次成标价的百分比等</w:t>
      </w:r>
      <w:r>
        <w:rPr>
          <w:rStyle w:val="43"/>
          <w:rFonts w:ascii="宋体" w:hAnsi="宋体"/>
          <w:sz w:val="21"/>
          <w:szCs w:val="21"/>
        </w:rPr>
        <w:t>相关服务指标、售后人员安排情况</w:t>
      </w:r>
      <w:r>
        <w:rPr>
          <w:rStyle w:val="43"/>
          <w:rFonts w:hint="eastAsia" w:ascii="宋体" w:hAnsi="宋体"/>
          <w:sz w:val="21"/>
          <w:szCs w:val="21"/>
        </w:rPr>
        <w:t>等</w:t>
      </w:r>
      <w:r>
        <w:rPr>
          <w:rStyle w:val="43"/>
          <w:rFonts w:ascii="宋体" w:hAnsi="宋体"/>
          <w:sz w:val="21"/>
          <w:szCs w:val="21"/>
        </w:rPr>
        <w:t>。</w:t>
      </w:r>
    </w:p>
    <w:p>
      <w:pPr>
        <w:spacing w:line="460" w:lineRule="exact"/>
        <w:ind w:firstLine="420"/>
        <w:rPr>
          <w:rStyle w:val="43"/>
          <w:rFonts w:ascii="宋体" w:hAnsi="宋体"/>
          <w:b/>
          <w:bCs/>
          <w:sz w:val="21"/>
          <w:szCs w:val="21"/>
        </w:rPr>
      </w:pPr>
      <w:bookmarkStart w:id="44" w:name="_Toc366003313"/>
      <w:bookmarkStart w:id="45" w:name="_Toc433286447"/>
      <w:bookmarkStart w:id="46" w:name="_Toc1086179575"/>
      <w:bookmarkStart w:id="47" w:name="_Toc49437246"/>
      <w:r>
        <w:rPr>
          <w:rStyle w:val="43"/>
          <w:rFonts w:ascii="宋体" w:hAnsi="宋体"/>
          <w:b/>
          <w:bCs/>
          <w:sz w:val="21"/>
          <w:szCs w:val="21"/>
        </w:rPr>
        <w:t>附件九：培训</w:t>
      </w:r>
      <w:bookmarkEnd w:id="44"/>
      <w:bookmarkEnd w:id="45"/>
      <w:bookmarkEnd w:id="46"/>
      <w:bookmarkEnd w:id="47"/>
    </w:p>
    <w:p>
      <w:pPr>
        <w:spacing w:line="460" w:lineRule="exact"/>
        <w:ind w:firstLine="420"/>
        <w:rPr>
          <w:rStyle w:val="43"/>
          <w:rFonts w:ascii="宋体" w:hAnsi="宋体"/>
          <w:sz w:val="21"/>
          <w:szCs w:val="21"/>
        </w:rPr>
      </w:pPr>
      <w:r>
        <w:rPr>
          <w:rStyle w:val="43"/>
          <w:rFonts w:ascii="宋体" w:hAnsi="宋体"/>
          <w:sz w:val="21"/>
          <w:szCs w:val="21"/>
        </w:rPr>
        <w:t>包含培训名称、</w:t>
      </w:r>
      <w:r>
        <w:rPr>
          <w:rStyle w:val="43"/>
          <w:rFonts w:hint="eastAsia" w:ascii="宋体" w:hAnsi="宋体"/>
          <w:sz w:val="21"/>
          <w:szCs w:val="21"/>
        </w:rPr>
        <w:t>目的、</w:t>
      </w:r>
      <w:r>
        <w:rPr>
          <w:rStyle w:val="43"/>
          <w:rFonts w:ascii="宋体" w:hAnsi="宋体"/>
          <w:sz w:val="21"/>
          <w:szCs w:val="21"/>
        </w:rPr>
        <w:t>对象、课程安排及相关描述、人员数量、地点及相关费用标准等。</w:t>
      </w:r>
    </w:p>
    <w:p>
      <w:pPr>
        <w:spacing w:line="460" w:lineRule="exact"/>
        <w:ind w:firstLine="420"/>
        <w:rPr>
          <w:rStyle w:val="43"/>
          <w:rFonts w:ascii="宋体" w:hAnsi="宋体"/>
          <w:b/>
          <w:bCs/>
          <w:sz w:val="21"/>
          <w:szCs w:val="21"/>
        </w:rPr>
      </w:pPr>
      <w:bookmarkStart w:id="48" w:name="_Toc1809117525"/>
      <w:r>
        <w:rPr>
          <w:rStyle w:val="43"/>
          <w:rFonts w:hint="eastAsia" w:ascii="宋体" w:hAnsi="宋体"/>
          <w:b/>
          <w:bCs/>
          <w:sz w:val="21"/>
          <w:szCs w:val="21"/>
        </w:rPr>
        <w:t>附件十：平台运营方案</w:t>
      </w:r>
      <w:bookmarkEnd w:id="48"/>
    </w:p>
    <w:p>
      <w:pPr>
        <w:spacing w:line="460" w:lineRule="exact"/>
        <w:ind w:firstLine="420"/>
        <w:rPr>
          <w:rStyle w:val="43"/>
          <w:rFonts w:ascii="宋体" w:hAnsi="宋体"/>
          <w:sz w:val="21"/>
          <w:szCs w:val="21"/>
        </w:rPr>
      </w:pPr>
      <w:r>
        <w:rPr>
          <w:rStyle w:val="43"/>
          <w:rFonts w:hint="eastAsia" w:ascii="宋体" w:hAnsi="宋体"/>
          <w:sz w:val="21"/>
          <w:szCs w:val="21"/>
        </w:rPr>
        <w:t>参考平台运营管理需求，包含平台的运营管理方案的建设运营主体、运营内容、运行模式等内容。</w:t>
      </w:r>
    </w:p>
    <w:p>
      <w:pPr>
        <w:spacing w:line="460" w:lineRule="exact"/>
        <w:ind w:firstLine="420"/>
        <w:rPr>
          <w:rStyle w:val="43"/>
          <w:rFonts w:ascii="宋体" w:hAnsi="宋体"/>
          <w:b/>
          <w:bCs/>
          <w:sz w:val="21"/>
          <w:szCs w:val="21"/>
        </w:rPr>
      </w:pPr>
      <w:bookmarkStart w:id="49" w:name="_Toc433286448"/>
      <w:bookmarkStart w:id="50" w:name="_Toc1764768449"/>
      <w:bookmarkStart w:id="51" w:name="_Toc49437247"/>
      <w:bookmarkStart w:id="52" w:name="_Toc366003314"/>
      <w:r>
        <w:rPr>
          <w:rStyle w:val="43"/>
          <w:rFonts w:hint="eastAsia" w:ascii="宋体" w:hAnsi="宋体"/>
          <w:b/>
          <w:bCs/>
          <w:sz w:val="21"/>
          <w:szCs w:val="21"/>
        </w:rPr>
        <w:t>附件十一：投标人承诺</w:t>
      </w:r>
      <w:bookmarkEnd w:id="49"/>
      <w:bookmarkEnd w:id="50"/>
      <w:bookmarkEnd w:id="51"/>
      <w:bookmarkEnd w:id="52"/>
    </w:p>
    <w:p>
      <w:pPr>
        <w:spacing w:line="460" w:lineRule="exact"/>
        <w:ind w:firstLine="420"/>
        <w:rPr>
          <w:rStyle w:val="43"/>
          <w:rFonts w:ascii="宋体" w:hAnsi="宋体"/>
          <w:sz w:val="21"/>
          <w:szCs w:val="21"/>
        </w:rPr>
      </w:pPr>
      <w:r>
        <w:rPr>
          <w:rStyle w:val="43"/>
          <w:rFonts w:ascii="宋体" w:hAnsi="宋体"/>
          <w:sz w:val="21"/>
          <w:szCs w:val="21"/>
        </w:rPr>
        <w:t>技术承诺部分至少应包含以下内容：</w:t>
      </w:r>
    </w:p>
    <w:p>
      <w:pPr>
        <w:spacing w:line="460" w:lineRule="exact"/>
        <w:ind w:firstLine="420"/>
        <w:rPr>
          <w:rStyle w:val="43"/>
          <w:rFonts w:ascii="宋体" w:hAnsi="宋体"/>
          <w:sz w:val="21"/>
          <w:szCs w:val="21"/>
        </w:rPr>
      </w:pPr>
      <w:r>
        <w:rPr>
          <w:rStyle w:val="43"/>
          <w:rFonts w:ascii="宋体" w:hAnsi="宋体"/>
          <w:sz w:val="21"/>
          <w:szCs w:val="21"/>
        </w:rPr>
        <w:t>（1）投标人应承诺保证系统建设方案、实施方案以及推荐的产品的可行性、可操作性、完整性、合理性、合法性；</w:t>
      </w:r>
    </w:p>
    <w:p>
      <w:pPr>
        <w:spacing w:line="460" w:lineRule="exact"/>
        <w:ind w:firstLine="420"/>
        <w:rPr>
          <w:rStyle w:val="43"/>
          <w:rFonts w:ascii="宋体" w:hAnsi="宋体"/>
          <w:sz w:val="21"/>
          <w:szCs w:val="21"/>
        </w:rPr>
      </w:pPr>
      <w:r>
        <w:rPr>
          <w:rStyle w:val="43"/>
          <w:rFonts w:ascii="宋体" w:hAnsi="宋体"/>
          <w:sz w:val="21"/>
          <w:szCs w:val="21"/>
        </w:rPr>
        <w:t>（2）投标人应承诺有能力集成和实施所推荐的方案和产品；</w:t>
      </w:r>
    </w:p>
    <w:p>
      <w:pPr>
        <w:spacing w:line="460" w:lineRule="exact"/>
        <w:ind w:firstLine="420"/>
        <w:rPr>
          <w:rStyle w:val="43"/>
          <w:rFonts w:ascii="宋体" w:hAnsi="宋体"/>
          <w:sz w:val="21"/>
          <w:szCs w:val="21"/>
        </w:rPr>
      </w:pPr>
      <w:r>
        <w:rPr>
          <w:rStyle w:val="43"/>
          <w:rFonts w:ascii="宋体" w:hAnsi="宋体"/>
          <w:sz w:val="21"/>
          <w:szCs w:val="21"/>
        </w:rPr>
        <w:t>（3）投标人应承诺参与项目实施的核心人员在项目实施期间未经采购人同意不得擅自变动；</w:t>
      </w:r>
    </w:p>
    <w:p>
      <w:pPr>
        <w:spacing w:line="460" w:lineRule="exact"/>
        <w:ind w:firstLine="420"/>
        <w:rPr>
          <w:rStyle w:val="43"/>
          <w:rFonts w:ascii="宋体" w:hAnsi="宋体"/>
          <w:sz w:val="21"/>
          <w:szCs w:val="21"/>
        </w:rPr>
      </w:pPr>
      <w:r>
        <w:rPr>
          <w:rStyle w:val="43"/>
          <w:rFonts w:ascii="宋体" w:hAnsi="宋体"/>
          <w:sz w:val="21"/>
          <w:szCs w:val="21"/>
        </w:rPr>
        <w:t>（4）若出现由于投标人提供的软硬件设备不能满足要求，或其所提供的技术支持和服务不全面而导致系统功能无法实现或不能完全实现，由投标人无偿补足并负全部责任；</w:t>
      </w:r>
    </w:p>
    <w:p>
      <w:pPr>
        <w:spacing w:line="460" w:lineRule="exact"/>
        <w:ind w:firstLine="420"/>
        <w:rPr>
          <w:rStyle w:val="43"/>
          <w:rFonts w:ascii="宋体" w:hAnsi="宋体"/>
          <w:sz w:val="21"/>
          <w:szCs w:val="21"/>
        </w:rPr>
      </w:pPr>
      <w:r>
        <w:rPr>
          <w:rStyle w:val="43"/>
          <w:rFonts w:ascii="宋体" w:hAnsi="宋体"/>
          <w:sz w:val="21"/>
          <w:szCs w:val="21"/>
        </w:rPr>
        <w:t>（5）若采购人自行采购硬件设备，投标人应承诺无偿配合设备供应商完成所购买的硬件设备的安装、调测等集成工作，确保达到本项目对硬件设备的要求；若采购人根据投标人的配置计算结果和配置要求购置的硬件设备无法满足本工程的性能和功能要求的，投标人应承诺无偿补足有关的硬件设备并负全部责任；</w:t>
      </w:r>
    </w:p>
    <w:p>
      <w:pPr>
        <w:spacing w:line="460" w:lineRule="exact"/>
        <w:ind w:firstLine="420"/>
        <w:rPr>
          <w:rStyle w:val="43"/>
          <w:rFonts w:ascii="宋体" w:hAnsi="宋体"/>
          <w:sz w:val="21"/>
          <w:szCs w:val="21"/>
        </w:rPr>
      </w:pPr>
      <w:r>
        <w:rPr>
          <w:rStyle w:val="43"/>
          <w:rFonts w:ascii="宋体" w:hAnsi="宋体"/>
          <w:sz w:val="21"/>
          <w:szCs w:val="21"/>
        </w:rPr>
        <w:t>（6）投标人应承诺本</w:t>
      </w:r>
      <w:r>
        <w:rPr>
          <w:rStyle w:val="43"/>
          <w:rFonts w:hint="eastAsia" w:ascii="宋体" w:hAnsi="宋体"/>
          <w:sz w:val="21"/>
          <w:szCs w:val="21"/>
        </w:rPr>
        <w:t>平台</w:t>
      </w:r>
      <w:r>
        <w:rPr>
          <w:rStyle w:val="43"/>
          <w:rFonts w:ascii="宋体" w:hAnsi="宋体"/>
          <w:sz w:val="21"/>
          <w:szCs w:val="21"/>
        </w:rPr>
        <w:t>系统使用的第三方软件和应用软件，均能平滑扩容与升级，不会因业务容量增加对本</w:t>
      </w:r>
      <w:r>
        <w:rPr>
          <w:rStyle w:val="43"/>
          <w:rFonts w:hint="eastAsia" w:ascii="宋体" w:hAnsi="宋体"/>
          <w:sz w:val="21"/>
          <w:szCs w:val="21"/>
        </w:rPr>
        <w:t>平台</w:t>
      </w:r>
      <w:r>
        <w:rPr>
          <w:rStyle w:val="43"/>
          <w:rFonts w:ascii="宋体" w:hAnsi="宋体"/>
          <w:sz w:val="21"/>
          <w:szCs w:val="21"/>
        </w:rPr>
        <w:t>系统造成影响或进行软件改造；</w:t>
      </w:r>
    </w:p>
    <w:p>
      <w:pPr>
        <w:spacing w:line="460" w:lineRule="exact"/>
        <w:ind w:firstLine="420"/>
        <w:rPr>
          <w:rStyle w:val="43"/>
          <w:rFonts w:ascii="宋体" w:hAnsi="宋体"/>
          <w:sz w:val="21"/>
          <w:szCs w:val="21"/>
        </w:rPr>
      </w:pPr>
      <w:r>
        <w:rPr>
          <w:rStyle w:val="43"/>
          <w:rFonts w:ascii="宋体" w:hAnsi="宋体"/>
          <w:sz w:val="21"/>
          <w:szCs w:val="21"/>
        </w:rPr>
        <w:t>（7）投标人应承诺系统架构具备可扩展性，未来系统的业务范围（包括业务、组网节点等）扩大时，系统均能保证平滑接入而不需另外开发接口</w:t>
      </w:r>
      <w:r>
        <w:rPr>
          <w:rStyle w:val="43"/>
          <w:rFonts w:hint="eastAsia" w:ascii="宋体" w:hAnsi="宋体"/>
          <w:sz w:val="21"/>
          <w:szCs w:val="21"/>
        </w:rPr>
        <w:t>；</w:t>
      </w:r>
    </w:p>
    <w:p>
      <w:pPr>
        <w:spacing w:line="460" w:lineRule="exact"/>
        <w:ind w:firstLine="420"/>
        <w:rPr>
          <w:rStyle w:val="43"/>
          <w:rFonts w:ascii="宋体" w:hAnsi="宋体"/>
          <w:sz w:val="21"/>
          <w:szCs w:val="21"/>
        </w:rPr>
      </w:pPr>
      <w:r>
        <w:rPr>
          <w:rStyle w:val="43"/>
          <w:rFonts w:ascii="宋体" w:hAnsi="宋体"/>
          <w:sz w:val="21"/>
          <w:szCs w:val="21"/>
        </w:rPr>
        <w:t>（8）保修期内，若本期工程实现的功能不发生变化，仅有部分业务流程发生变化，投标人应承诺无偿负责系统调整，满足采购人要求；</w:t>
      </w:r>
    </w:p>
    <w:p>
      <w:pPr>
        <w:spacing w:line="460" w:lineRule="exact"/>
        <w:ind w:firstLine="420"/>
        <w:rPr>
          <w:rStyle w:val="43"/>
          <w:rFonts w:ascii="宋体" w:hAnsi="宋体"/>
          <w:sz w:val="21"/>
          <w:szCs w:val="21"/>
        </w:rPr>
      </w:pPr>
      <w:r>
        <w:rPr>
          <w:rStyle w:val="43"/>
          <w:rFonts w:ascii="宋体" w:hAnsi="宋体"/>
          <w:sz w:val="21"/>
          <w:szCs w:val="21"/>
        </w:rPr>
        <w:t>（9）投标人应承诺所提供的培训能够满足技术转移的需要；</w:t>
      </w:r>
    </w:p>
    <w:p>
      <w:pPr>
        <w:spacing w:line="460" w:lineRule="exact"/>
        <w:ind w:firstLine="420"/>
        <w:rPr>
          <w:rStyle w:val="43"/>
          <w:rFonts w:ascii="宋体" w:hAnsi="宋体"/>
          <w:sz w:val="21"/>
          <w:szCs w:val="21"/>
        </w:rPr>
      </w:pPr>
      <w:r>
        <w:rPr>
          <w:rStyle w:val="43"/>
          <w:rFonts w:ascii="宋体" w:hAnsi="宋体"/>
          <w:sz w:val="21"/>
          <w:szCs w:val="21"/>
        </w:rPr>
        <w:t>（10）投标人应承诺</w:t>
      </w:r>
      <w:r>
        <w:rPr>
          <w:rStyle w:val="43"/>
          <w:rFonts w:hint="eastAsia" w:ascii="宋体" w:hAnsi="宋体"/>
          <w:sz w:val="21"/>
          <w:szCs w:val="21"/>
        </w:rPr>
        <w:t>采购人</w:t>
      </w:r>
      <w:r>
        <w:rPr>
          <w:rStyle w:val="43"/>
          <w:rFonts w:ascii="宋体" w:hAnsi="宋体"/>
          <w:sz w:val="21"/>
          <w:szCs w:val="21"/>
        </w:rPr>
        <w:t>其他相关业务和技术规范正式发布后，按照相关规范要求对系统进行改造，系统性能、容量不因改造而降低；</w:t>
      </w:r>
    </w:p>
    <w:p>
      <w:pPr>
        <w:spacing w:line="460" w:lineRule="exact"/>
        <w:ind w:firstLine="420"/>
        <w:rPr>
          <w:rStyle w:val="43"/>
          <w:rFonts w:ascii="宋体" w:hAnsi="宋体"/>
          <w:sz w:val="21"/>
          <w:szCs w:val="21"/>
        </w:rPr>
      </w:pPr>
      <w:r>
        <w:rPr>
          <w:rStyle w:val="43"/>
          <w:rFonts w:ascii="宋体" w:hAnsi="宋体"/>
          <w:sz w:val="21"/>
          <w:szCs w:val="21"/>
        </w:rPr>
        <w:t>（11）投标人应承诺确保提供长期技术支持和售后服务</w:t>
      </w:r>
      <w:r>
        <w:rPr>
          <w:rStyle w:val="43"/>
          <w:rFonts w:hint="eastAsia" w:ascii="宋体" w:hAnsi="宋体"/>
          <w:sz w:val="21"/>
          <w:szCs w:val="21"/>
        </w:rPr>
        <w:t>，同时配合采购人完成安全等保三级认证与整改。</w:t>
      </w:r>
    </w:p>
    <w:p>
      <w:pPr>
        <w:spacing w:line="460" w:lineRule="exact"/>
        <w:ind w:firstLine="420"/>
        <w:rPr>
          <w:rStyle w:val="43"/>
          <w:rFonts w:ascii="宋体" w:hAnsi="宋体"/>
          <w:b/>
          <w:bCs/>
          <w:sz w:val="21"/>
          <w:szCs w:val="21"/>
        </w:rPr>
      </w:pPr>
      <w:bookmarkStart w:id="53" w:name="_Toc1566673626"/>
      <w:bookmarkStart w:id="54" w:name="_Toc49437248"/>
      <w:bookmarkStart w:id="55" w:name="_Toc308427381"/>
      <w:bookmarkStart w:id="56" w:name="_Toc327804398"/>
      <w:r>
        <w:rPr>
          <w:rStyle w:val="43"/>
          <w:rFonts w:ascii="宋体" w:hAnsi="宋体"/>
          <w:b/>
          <w:bCs/>
          <w:sz w:val="21"/>
          <w:szCs w:val="21"/>
        </w:rPr>
        <w:t>（</w:t>
      </w:r>
      <w:r>
        <w:rPr>
          <w:rStyle w:val="43"/>
          <w:rFonts w:hint="eastAsia" w:ascii="宋体" w:hAnsi="宋体"/>
          <w:b/>
          <w:bCs/>
          <w:sz w:val="21"/>
          <w:szCs w:val="21"/>
        </w:rPr>
        <w:t>四</w:t>
      </w:r>
      <w:r>
        <w:rPr>
          <w:rStyle w:val="43"/>
          <w:rFonts w:ascii="宋体" w:hAnsi="宋体"/>
          <w:b/>
          <w:bCs/>
          <w:sz w:val="21"/>
          <w:szCs w:val="21"/>
        </w:rPr>
        <w:t>）总体方案要求</w:t>
      </w:r>
      <w:bookmarkEnd w:id="53"/>
      <w:bookmarkEnd w:id="54"/>
    </w:p>
    <w:p>
      <w:pPr>
        <w:spacing w:line="460" w:lineRule="exact"/>
        <w:ind w:firstLine="420"/>
        <w:rPr>
          <w:rStyle w:val="43"/>
          <w:rFonts w:ascii="宋体" w:hAnsi="宋体"/>
          <w:sz w:val="21"/>
          <w:szCs w:val="21"/>
        </w:rPr>
      </w:pPr>
      <w:r>
        <w:rPr>
          <w:rStyle w:val="43"/>
          <w:rFonts w:ascii="宋体" w:hAnsi="宋体"/>
          <w:sz w:val="21"/>
          <w:szCs w:val="21"/>
        </w:rPr>
        <w:t>投标人应在深刻理解</w:t>
      </w:r>
      <w:r>
        <w:rPr>
          <w:rStyle w:val="43"/>
          <w:rFonts w:hint="eastAsia" w:ascii="宋体" w:hAnsi="宋体"/>
          <w:sz w:val="21"/>
          <w:szCs w:val="21"/>
          <w:lang w:eastAsia="zh-CN"/>
        </w:rPr>
        <w:t>嵊州智能厨电产业大脑建设项目（一期）</w:t>
      </w:r>
      <w:r>
        <w:rPr>
          <w:rStyle w:val="43"/>
          <w:rFonts w:ascii="宋体" w:hAnsi="宋体"/>
          <w:sz w:val="21"/>
          <w:szCs w:val="21"/>
        </w:rPr>
        <w:t>的建设需求，对本期建设的</w:t>
      </w:r>
      <w:r>
        <w:rPr>
          <w:rStyle w:val="43"/>
          <w:rFonts w:hint="eastAsia" w:ascii="宋体" w:hAnsi="宋体"/>
          <w:sz w:val="21"/>
          <w:szCs w:val="21"/>
          <w:lang w:eastAsia="zh-CN"/>
        </w:rPr>
        <w:t>嵊州智能厨电产业大脑建设项目（一期）</w:t>
      </w:r>
      <w:r>
        <w:rPr>
          <w:rStyle w:val="43"/>
          <w:rFonts w:ascii="宋体" w:hAnsi="宋体"/>
          <w:sz w:val="21"/>
          <w:szCs w:val="21"/>
        </w:rPr>
        <w:t>的需求进行深入分析，综合考虑各方面因素提出最适合的可实施方案。方案力求内容完整，对</w:t>
      </w:r>
      <w:r>
        <w:rPr>
          <w:rStyle w:val="43"/>
          <w:rFonts w:hint="eastAsia" w:ascii="宋体" w:hAnsi="宋体"/>
          <w:sz w:val="21"/>
          <w:szCs w:val="21"/>
          <w:lang w:eastAsia="zh-CN"/>
        </w:rPr>
        <w:t>嵊州智能厨电产业大脑建设项目（一期）</w:t>
      </w:r>
      <w:r>
        <w:rPr>
          <w:rStyle w:val="43"/>
          <w:rFonts w:ascii="宋体" w:hAnsi="宋体"/>
          <w:sz w:val="21"/>
          <w:szCs w:val="21"/>
        </w:rPr>
        <w:t>有明确定位和正确理解，运用实用高效的方案分析和设计方法提出合理的</w:t>
      </w:r>
      <w:r>
        <w:rPr>
          <w:rStyle w:val="43"/>
          <w:rFonts w:hint="eastAsia" w:ascii="宋体" w:hAnsi="宋体"/>
          <w:sz w:val="21"/>
          <w:szCs w:val="21"/>
          <w:lang w:eastAsia="zh-CN"/>
        </w:rPr>
        <w:t>嵊州智能厨电产业大脑建设项目（一期）</w:t>
      </w:r>
      <w:r>
        <w:rPr>
          <w:rStyle w:val="43"/>
          <w:rFonts w:ascii="宋体" w:hAnsi="宋体"/>
          <w:sz w:val="21"/>
          <w:szCs w:val="21"/>
        </w:rPr>
        <w:t>系统架构，充分展现投标人业务理解能力、方案设计能力和系统集成能力。</w:t>
      </w:r>
    </w:p>
    <w:p>
      <w:pPr>
        <w:spacing w:line="460" w:lineRule="exact"/>
        <w:ind w:firstLine="420"/>
        <w:rPr>
          <w:rStyle w:val="43"/>
          <w:rFonts w:ascii="宋体" w:hAnsi="宋体"/>
          <w:sz w:val="21"/>
          <w:szCs w:val="21"/>
        </w:rPr>
      </w:pPr>
      <w:r>
        <w:rPr>
          <w:rStyle w:val="43"/>
          <w:rFonts w:ascii="宋体" w:hAnsi="宋体"/>
          <w:sz w:val="21"/>
          <w:szCs w:val="21"/>
        </w:rPr>
        <w:t>总体方案至少应包括业务需求分析、集成方案、相关管理功能等详细内容。</w:t>
      </w:r>
    </w:p>
    <w:p>
      <w:pPr>
        <w:spacing w:line="460" w:lineRule="exact"/>
        <w:ind w:firstLine="420"/>
        <w:rPr>
          <w:rStyle w:val="43"/>
          <w:rFonts w:ascii="宋体" w:hAnsi="宋体"/>
          <w:b/>
          <w:bCs/>
          <w:sz w:val="21"/>
          <w:szCs w:val="21"/>
        </w:rPr>
      </w:pPr>
      <w:bookmarkStart w:id="57" w:name="_Toc49437249"/>
      <w:bookmarkStart w:id="58" w:name="_Toc786636315"/>
      <w:bookmarkStart w:id="59" w:name="_Toc413673398"/>
      <w:r>
        <w:rPr>
          <w:rStyle w:val="43"/>
          <w:rFonts w:ascii="宋体" w:hAnsi="宋体"/>
          <w:b/>
          <w:bCs/>
          <w:sz w:val="21"/>
          <w:szCs w:val="21"/>
        </w:rPr>
        <w:t>（</w:t>
      </w:r>
      <w:r>
        <w:rPr>
          <w:rStyle w:val="43"/>
          <w:rFonts w:hint="eastAsia" w:ascii="宋体" w:hAnsi="宋体"/>
          <w:b/>
          <w:bCs/>
          <w:sz w:val="21"/>
          <w:szCs w:val="21"/>
        </w:rPr>
        <w:t>五</w:t>
      </w:r>
      <w:r>
        <w:rPr>
          <w:rStyle w:val="43"/>
          <w:rFonts w:ascii="宋体" w:hAnsi="宋体"/>
          <w:b/>
          <w:bCs/>
          <w:sz w:val="21"/>
          <w:szCs w:val="21"/>
        </w:rPr>
        <w:t>）报价要求</w:t>
      </w:r>
      <w:bookmarkEnd w:id="55"/>
      <w:bookmarkEnd w:id="56"/>
      <w:bookmarkEnd w:id="57"/>
      <w:bookmarkEnd w:id="58"/>
      <w:bookmarkEnd w:id="59"/>
    </w:p>
    <w:p>
      <w:pPr>
        <w:spacing w:line="460" w:lineRule="exact"/>
        <w:ind w:firstLine="420"/>
        <w:rPr>
          <w:rStyle w:val="43"/>
          <w:rFonts w:ascii="宋体" w:hAnsi="宋体"/>
          <w:sz w:val="21"/>
          <w:szCs w:val="21"/>
        </w:rPr>
      </w:pPr>
      <w:r>
        <w:rPr>
          <w:rStyle w:val="43"/>
          <w:rFonts w:hint="eastAsia" w:ascii="宋体" w:hAnsi="宋体"/>
          <w:sz w:val="21"/>
          <w:szCs w:val="21"/>
          <w:lang w:eastAsia="zh-CN"/>
        </w:rPr>
        <w:t>嵊州智能厨电产业大脑建设项目（一期）</w:t>
      </w:r>
      <w:r>
        <w:rPr>
          <w:rStyle w:val="43"/>
          <w:rFonts w:ascii="宋体" w:hAnsi="宋体"/>
          <w:sz w:val="21"/>
          <w:szCs w:val="21"/>
        </w:rPr>
        <w:t>单项工程项目报价以人民币为单位的一次性报价，报价软件定制开发、运维支撑等；所报总价中应包含</w:t>
      </w:r>
      <w:r>
        <w:rPr>
          <w:rStyle w:val="43"/>
          <w:rFonts w:hint="eastAsia" w:ascii="宋体" w:hAnsi="宋体"/>
          <w:sz w:val="21"/>
          <w:szCs w:val="21"/>
        </w:rPr>
        <w:t>部署</w:t>
      </w:r>
      <w:r>
        <w:rPr>
          <w:rStyle w:val="43"/>
          <w:rFonts w:ascii="宋体" w:hAnsi="宋体"/>
          <w:sz w:val="21"/>
          <w:szCs w:val="21"/>
        </w:rPr>
        <w:t>调试（交“钥匙”方式）、初验、终验后12</w:t>
      </w:r>
      <w:r>
        <w:rPr>
          <w:rStyle w:val="43"/>
          <w:rFonts w:hint="eastAsia" w:ascii="宋体" w:hAnsi="宋体"/>
          <w:sz w:val="21"/>
          <w:szCs w:val="21"/>
        </w:rPr>
        <w:t>个月（最低要求）内的</w:t>
      </w:r>
      <w:r>
        <w:rPr>
          <w:rStyle w:val="43"/>
          <w:rFonts w:ascii="宋体" w:hAnsi="宋体"/>
          <w:sz w:val="21"/>
          <w:szCs w:val="21"/>
        </w:rPr>
        <w:t>7*24小时上门保修服务等所有费用。</w:t>
      </w:r>
    </w:p>
    <w:p>
      <w:pPr>
        <w:spacing w:line="460" w:lineRule="exact"/>
        <w:ind w:firstLine="420"/>
        <w:rPr>
          <w:rStyle w:val="43"/>
          <w:rFonts w:ascii="宋体" w:hAnsi="宋体"/>
          <w:sz w:val="21"/>
          <w:szCs w:val="21"/>
        </w:rPr>
      </w:pPr>
      <w:r>
        <w:rPr>
          <w:rStyle w:val="43"/>
          <w:rFonts w:ascii="宋体" w:hAnsi="宋体"/>
          <w:sz w:val="21"/>
          <w:szCs w:val="21"/>
        </w:rPr>
        <w:t>投标人须承诺后期扩容、续保时，软件、服务费的价格以及折扣率不能高于本次</w:t>
      </w:r>
      <w:r>
        <w:rPr>
          <w:rStyle w:val="43"/>
          <w:rFonts w:hint="eastAsia" w:ascii="宋体" w:hAnsi="宋体"/>
          <w:sz w:val="21"/>
          <w:szCs w:val="21"/>
        </w:rPr>
        <w:t>招标的承诺</w:t>
      </w:r>
      <w:r>
        <w:rPr>
          <w:rStyle w:val="43"/>
          <w:rFonts w:ascii="宋体" w:hAnsi="宋体"/>
          <w:sz w:val="21"/>
          <w:szCs w:val="21"/>
        </w:rPr>
        <w:t>。</w:t>
      </w:r>
    </w:p>
    <w:p>
      <w:pPr>
        <w:spacing w:line="460" w:lineRule="exact"/>
        <w:ind w:firstLine="420"/>
        <w:rPr>
          <w:b/>
          <w:bCs/>
        </w:rPr>
      </w:pPr>
      <w:r>
        <w:rPr>
          <w:rStyle w:val="43"/>
          <w:rFonts w:ascii="宋体" w:hAnsi="宋体"/>
          <w:sz w:val="21"/>
          <w:szCs w:val="21"/>
        </w:rPr>
        <w:t>投标人对招标文件的回复中，所提供的产品和服务应满足招标文件或保证系统运行所需的最低要求，如有遗漏，视同潜在投标人认同免费提供遗漏部分。</w:t>
      </w:r>
    </w:p>
    <w:p>
      <w:pPr>
        <w:pStyle w:val="560"/>
        <w:numPr>
          <w:ilvl w:val="0"/>
          <w:numId w:val="5"/>
        </w:numPr>
        <w:spacing w:line="360" w:lineRule="auto"/>
        <w:ind w:left="432" w:firstLine="0" w:firstLineChars="0"/>
        <w:outlineLvl w:val="2"/>
        <w:rPr>
          <w:rFonts w:ascii="宋体" w:hAnsi="宋体"/>
          <w:b/>
          <w:szCs w:val="24"/>
        </w:rPr>
      </w:pPr>
      <w:bookmarkStart w:id="60" w:name="_Toc2036224635"/>
      <w:bookmarkStart w:id="61" w:name="_Toc49437251"/>
      <w:bookmarkStart w:id="62" w:name="_Toc327514400"/>
      <w:bookmarkStart w:id="63" w:name="_Toc329693120"/>
      <w:bookmarkStart w:id="64" w:name="_Toc49437235"/>
      <w:bookmarkStart w:id="65" w:name="_Toc1686235808"/>
      <w:bookmarkStart w:id="66" w:name="_Toc413673394"/>
      <w:bookmarkStart w:id="67" w:name="_Toc325794354"/>
      <w:r>
        <w:rPr>
          <w:rFonts w:hint="eastAsia" w:ascii="宋体" w:hAnsi="宋体"/>
          <w:b/>
          <w:szCs w:val="24"/>
        </w:rPr>
        <w:t>项目</w:t>
      </w:r>
      <w:bookmarkEnd w:id="60"/>
      <w:bookmarkEnd w:id="61"/>
      <w:r>
        <w:rPr>
          <w:rFonts w:hint="eastAsia" w:ascii="宋体" w:hAnsi="宋体"/>
          <w:b/>
          <w:szCs w:val="24"/>
        </w:rPr>
        <w:t>背景</w:t>
      </w:r>
    </w:p>
    <w:p>
      <w:pPr>
        <w:spacing w:line="460" w:lineRule="exact"/>
        <w:ind w:firstLine="420"/>
        <w:rPr>
          <w:rStyle w:val="43"/>
          <w:rFonts w:ascii="宋体" w:hAnsi="宋体"/>
          <w:sz w:val="21"/>
          <w:szCs w:val="21"/>
        </w:rPr>
      </w:pPr>
      <w:r>
        <w:rPr>
          <w:rStyle w:val="43"/>
          <w:rFonts w:hint="eastAsia" w:ascii="宋体" w:hAnsi="宋体"/>
          <w:sz w:val="21"/>
          <w:szCs w:val="21"/>
        </w:rPr>
        <w:t>2021年2月18日，浙江省委召开全省数字化改革大会，印发了《浙江省推进数字化改革总体方案》，提出“1+5+2”数字化建设体系。其中，“1”即一体化智能化公共数据平台；“5”即五个综合应用，分别是党政机关整体智治综合应用、数字政府综合应用、数字经济综合应用、数字社会综合应用和数字法治综合应用，包含“产业大脑+未来工厂”城市大脑+未来社区”等核心业务场景；“2”即数字化改革的理论体系和制度规范体系。产业大脑是构成数字经济系统及其综合应用的核心，全省正牵头建设省级产业大脑平台，要求各县市区协同推进。</w:t>
      </w:r>
    </w:p>
    <w:p>
      <w:pPr>
        <w:spacing w:line="460" w:lineRule="exact"/>
        <w:ind w:firstLine="420"/>
        <w:rPr>
          <w:rStyle w:val="43"/>
          <w:rFonts w:ascii="宋体" w:hAnsi="宋体"/>
          <w:sz w:val="21"/>
          <w:szCs w:val="21"/>
        </w:rPr>
      </w:pPr>
      <w:r>
        <w:rPr>
          <w:rStyle w:val="43"/>
          <w:rFonts w:hint="eastAsia" w:ascii="宋体" w:hAnsi="宋体"/>
          <w:sz w:val="21"/>
          <w:szCs w:val="21"/>
        </w:rPr>
        <w:t>2021年3月，省经信厅在全省数字化改革数字经济组框架下组建产业大脑建设组，研究制定并发布了《产业大脑建设方案(试行)》《行业产业大脑建设应用试点工作方案》，明确了地方行业产业大脑建设。</w:t>
      </w:r>
    </w:p>
    <w:p>
      <w:pPr>
        <w:spacing w:line="460" w:lineRule="exact"/>
        <w:ind w:firstLine="420"/>
        <w:rPr>
          <w:rStyle w:val="43"/>
          <w:rFonts w:ascii="宋体" w:hAnsi="宋体"/>
          <w:sz w:val="21"/>
          <w:szCs w:val="21"/>
        </w:rPr>
      </w:pPr>
      <w:r>
        <w:rPr>
          <w:rStyle w:val="43"/>
          <w:rFonts w:hint="eastAsia" w:ascii="宋体" w:hAnsi="宋体"/>
          <w:sz w:val="21"/>
          <w:szCs w:val="21"/>
        </w:rPr>
        <w:t>根据《产业大脑建设方案(试行)》，产业大脑由政府侧和企业侧内容组成。政府侧依托政务“一朵云”建设产业数据仓，调用一体化智能化公共数据平台中的产业中台、产业服务中枢和产业服务目录；企业侧底层，建设智能厨电数据仓，中间层通过数据中枢系统实现政府侧与企业侧数据互联互通和共享，在顶层部署企业应用场景、公共服务应用场景和政府管理应用场景。在应用服务方面，政府侧通过浙政钉接入，企业侧通过浙里办或互联网接入，形成应用的统一入口。</w:t>
      </w:r>
    </w:p>
    <w:p>
      <w:pPr>
        <w:pStyle w:val="560"/>
        <w:numPr>
          <w:ilvl w:val="0"/>
          <w:numId w:val="5"/>
        </w:numPr>
        <w:spacing w:line="360" w:lineRule="auto"/>
        <w:ind w:left="432" w:firstLine="0" w:firstLineChars="0"/>
        <w:outlineLvl w:val="2"/>
        <w:rPr>
          <w:rFonts w:ascii="宋体" w:hAnsi="宋体"/>
          <w:b/>
          <w:szCs w:val="24"/>
        </w:rPr>
      </w:pPr>
      <w:bookmarkStart w:id="68" w:name="_Toc329693124"/>
      <w:bookmarkStart w:id="69" w:name="_Toc1396993967"/>
      <w:bookmarkStart w:id="70" w:name="_Toc49437253"/>
      <w:bookmarkStart w:id="71" w:name="_Toc413673400"/>
      <w:r>
        <w:rPr>
          <w:rFonts w:hint="eastAsia" w:ascii="宋体" w:hAnsi="宋体"/>
          <w:b/>
          <w:szCs w:val="24"/>
        </w:rPr>
        <w:t>系统设计原则</w:t>
      </w:r>
      <w:bookmarkEnd w:id="68"/>
      <w:bookmarkEnd w:id="69"/>
      <w:bookmarkEnd w:id="70"/>
      <w:bookmarkEnd w:id="71"/>
    </w:p>
    <w:p>
      <w:pPr>
        <w:spacing w:line="460" w:lineRule="exact"/>
        <w:ind w:firstLine="420"/>
        <w:rPr>
          <w:rStyle w:val="43"/>
          <w:rFonts w:ascii="宋体" w:hAnsi="宋体"/>
          <w:sz w:val="21"/>
          <w:szCs w:val="21"/>
        </w:rPr>
      </w:pPr>
      <w:r>
        <w:rPr>
          <w:rStyle w:val="43"/>
          <w:rFonts w:ascii="宋体" w:hAnsi="宋体"/>
          <w:sz w:val="21"/>
          <w:szCs w:val="21"/>
        </w:rPr>
        <w:t>系统的建设应满足用户对业务的需求，并为嵊州市</w:t>
      </w:r>
      <w:r>
        <w:rPr>
          <w:rStyle w:val="43"/>
          <w:rFonts w:hint="eastAsia" w:ascii="宋体" w:hAnsi="宋体"/>
          <w:sz w:val="21"/>
          <w:szCs w:val="21"/>
        </w:rPr>
        <w:t>厨电行业</w:t>
      </w:r>
      <w:r>
        <w:rPr>
          <w:rStyle w:val="43"/>
          <w:rFonts w:ascii="宋体" w:hAnsi="宋体"/>
          <w:sz w:val="21"/>
          <w:szCs w:val="21"/>
        </w:rPr>
        <w:t>发展提供支撑，系统的建设和设计应满足以下原则，要求对以下所有特征进行详细描述：</w:t>
      </w:r>
    </w:p>
    <w:p>
      <w:pPr>
        <w:spacing w:line="460" w:lineRule="exact"/>
        <w:ind w:firstLine="420"/>
        <w:rPr>
          <w:rStyle w:val="43"/>
          <w:rFonts w:ascii="宋体" w:hAnsi="宋体"/>
          <w:b/>
          <w:bCs/>
          <w:sz w:val="21"/>
          <w:szCs w:val="21"/>
        </w:rPr>
      </w:pPr>
      <w:bookmarkStart w:id="72" w:name="_Toc838890718"/>
      <w:r>
        <w:rPr>
          <w:rStyle w:val="43"/>
          <w:rFonts w:hint="eastAsia" w:ascii="宋体" w:hAnsi="宋体"/>
          <w:b/>
          <w:bCs/>
          <w:sz w:val="21"/>
          <w:szCs w:val="21"/>
        </w:rPr>
        <w:t>1、开放性与先进性</w:t>
      </w:r>
      <w:bookmarkEnd w:id="72"/>
    </w:p>
    <w:p>
      <w:pPr>
        <w:spacing w:line="460" w:lineRule="exact"/>
        <w:ind w:firstLine="420"/>
        <w:rPr>
          <w:rStyle w:val="43"/>
          <w:rFonts w:ascii="宋体" w:hAnsi="宋体"/>
          <w:sz w:val="21"/>
          <w:szCs w:val="21"/>
        </w:rPr>
      </w:pPr>
      <w:r>
        <w:rPr>
          <w:rStyle w:val="43"/>
          <w:rFonts w:ascii="宋体" w:hAnsi="宋体"/>
          <w:sz w:val="21"/>
          <w:szCs w:val="21"/>
        </w:rPr>
        <w:t>基于开放式标准，支持所有符合</w:t>
      </w:r>
      <w:r>
        <w:rPr>
          <w:rStyle w:val="43"/>
          <w:rFonts w:hint="eastAsia" w:ascii="宋体" w:hAnsi="宋体"/>
          <w:sz w:val="21"/>
          <w:szCs w:val="21"/>
        </w:rPr>
        <w:t>采购人</w:t>
      </w:r>
      <w:r>
        <w:rPr>
          <w:rStyle w:val="43"/>
          <w:rFonts w:ascii="宋体" w:hAnsi="宋体"/>
          <w:sz w:val="21"/>
          <w:szCs w:val="21"/>
        </w:rPr>
        <w:t>规范标准</w:t>
      </w:r>
      <w:r>
        <w:rPr>
          <w:rStyle w:val="43"/>
          <w:rFonts w:hint="eastAsia" w:ascii="宋体" w:hAnsi="宋体"/>
          <w:sz w:val="21"/>
          <w:szCs w:val="21"/>
        </w:rPr>
        <w:t>，PaaS平台服务对外提供RESTful API</w:t>
      </w:r>
      <w:r>
        <w:rPr>
          <w:rStyle w:val="43"/>
          <w:rFonts w:ascii="宋体" w:hAnsi="宋体"/>
          <w:sz w:val="21"/>
          <w:szCs w:val="21"/>
        </w:rPr>
        <w:t>。采用先进成熟的相关技术和被广泛应用的标准，确保系统的技术实用性和先进性，保证投资的有效性和延续性。</w:t>
      </w:r>
    </w:p>
    <w:p>
      <w:pPr>
        <w:spacing w:line="460" w:lineRule="exact"/>
        <w:ind w:firstLine="420"/>
        <w:rPr>
          <w:rStyle w:val="43"/>
          <w:rFonts w:ascii="宋体" w:hAnsi="宋体"/>
          <w:b/>
          <w:bCs/>
          <w:sz w:val="21"/>
          <w:szCs w:val="21"/>
        </w:rPr>
      </w:pPr>
      <w:bookmarkStart w:id="73" w:name="_Toc1006154871"/>
      <w:r>
        <w:rPr>
          <w:rStyle w:val="43"/>
          <w:rFonts w:hint="eastAsia" w:ascii="宋体" w:hAnsi="宋体"/>
          <w:b/>
          <w:bCs/>
          <w:sz w:val="21"/>
          <w:szCs w:val="21"/>
        </w:rPr>
        <w:t>2、灵活性与可扩展性</w:t>
      </w:r>
      <w:bookmarkEnd w:id="73"/>
    </w:p>
    <w:p>
      <w:pPr>
        <w:spacing w:line="460" w:lineRule="exact"/>
        <w:ind w:firstLine="420"/>
        <w:rPr>
          <w:rStyle w:val="43"/>
          <w:rFonts w:hint="eastAsia" w:ascii="宋体" w:hAnsi="宋体" w:eastAsia="宋体"/>
          <w:sz w:val="21"/>
          <w:szCs w:val="21"/>
          <w:lang w:val="en-US" w:eastAsia="zh-CN"/>
        </w:rPr>
      </w:pPr>
      <w:r>
        <w:rPr>
          <w:rStyle w:val="43"/>
          <w:rFonts w:hint="eastAsia" w:ascii="宋体" w:hAnsi="宋体"/>
          <w:sz w:val="21"/>
          <w:szCs w:val="21"/>
        </w:rPr>
        <w:t>投标人系统不但要满足本次</w:t>
      </w:r>
      <w:r>
        <w:rPr>
          <w:rStyle w:val="43"/>
          <w:rFonts w:ascii="宋体" w:hAnsi="宋体"/>
          <w:sz w:val="21"/>
          <w:szCs w:val="21"/>
        </w:rPr>
        <w:t>招标技术规范书的软件需求，还要充分考虑</w:t>
      </w:r>
      <w:r>
        <w:rPr>
          <w:rStyle w:val="43"/>
          <w:rFonts w:hint="eastAsia" w:ascii="宋体" w:hAnsi="宋体"/>
          <w:sz w:val="21"/>
          <w:szCs w:val="21"/>
        </w:rPr>
        <w:t>后续项目</w:t>
      </w:r>
      <w:r>
        <w:rPr>
          <w:rStyle w:val="43"/>
          <w:rFonts w:ascii="宋体" w:hAnsi="宋体"/>
          <w:sz w:val="21"/>
          <w:szCs w:val="21"/>
        </w:rPr>
        <w:t>扩展要求</w:t>
      </w:r>
      <w:r>
        <w:rPr>
          <w:rStyle w:val="43"/>
          <w:rFonts w:hint="eastAsia" w:ascii="宋体" w:hAnsi="宋体"/>
          <w:sz w:val="21"/>
          <w:szCs w:val="21"/>
          <w:lang w:val="en-US" w:eastAsia="zh-CN"/>
        </w:rPr>
        <w:t>:</w:t>
      </w:r>
    </w:p>
    <w:p>
      <w:pPr>
        <w:spacing w:line="460" w:lineRule="exact"/>
        <w:ind w:firstLine="420"/>
        <w:rPr>
          <w:rStyle w:val="43"/>
          <w:rFonts w:ascii="宋体" w:hAnsi="宋体"/>
          <w:sz w:val="21"/>
          <w:szCs w:val="21"/>
        </w:rPr>
      </w:pPr>
      <w:r>
        <w:rPr>
          <w:rStyle w:val="43"/>
          <w:rFonts w:ascii="宋体" w:hAnsi="宋体"/>
          <w:sz w:val="21"/>
          <w:szCs w:val="21"/>
        </w:rPr>
        <w:t>应用软件应有良好的横向和纵向扩展能力，可以通过增加主机或提高主机的性能提高整个系统的处理能力。</w:t>
      </w:r>
    </w:p>
    <w:p>
      <w:pPr>
        <w:spacing w:line="460" w:lineRule="exact"/>
        <w:ind w:firstLine="420"/>
        <w:rPr>
          <w:rStyle w:val="43"/>
          <w:rFonts w:ascii="宋体" w:hAnsi="宋体"/>
          <w:sz w:val="21"/>
          <w:szCs w:val="21"/>
        </w:rPr>
      </w:pPr>
      <w:r>
        <w:rPr>
          <w:rStyle w:val="43"/>
          <w:rFonts w:ascii="宋体" w:hAnsi="宋体"/>
          <w:sz w:val="21"/>
          <w:szCs w:val="21"/>
        </w:rPr>
        <w:t>应用软件具有灵活性、可伸缩性，保证功能模块随系统结构和业务流程发展变化灵活组合和扩充，可迅速灵活扩展新业务。</w:t>
      </w:r>
    </w:p>
    <w:p>
      <w:pPr>
        <w:spacing w:line="460" w:lineRule="exact"/>
        <w:ind w:firstLine="420"/>
        <w:rPr>
          <w:rStyle w:val="43"/>
          <w:rFonts w:ascii="宋体" w:hAnsi="宋体"/>
          <w:sz w:val="21"/>
          <w:szCs w:val="21"/>
        </w:rPr>
      </w:pPr>
      <w:r>
        <w:rPr>
          <w:rStyle w:val="43"/>
          <w:rFonts w:ascii="宋体" w:hAnsi="宋体"/>
          <w:sz w:val="21"/>
          <w:szCs w:val="21"/>
        </w:rPr>
        <w:t>应用软件的各模块既可分布式运行，也可集中式运行。各模块负载能力及整体负载能力应可平滑扩展，新功能模块的增加应不影响现有模块的运营。</w:t>
      </w:r>
    </w:p>
    <w:p>
      <w:pPr>
        <w:spacing w:line="460" w:lineRule="exact"/>
        <w:ind w:firstLine="420"/>
        <w:rPr>
          <w:rStyle w:val="43"/>
          <w:rFonts w:ascii="宋体" w:hAnsi="宋体"/>
          <w:sz w:val="21"/>
          <w:szCs w:val="21"/>
        </w:rPr>
      </w:pPr>
      <w:r>
        <w:rPr>
          <w:rStyle w:val="43"/>
          <w:rFonts w:ascii="宋体" w:hAnsi="宋体"/>
          <w:sz w:val="21"/>
          <w:szCs w:val="21"/>
        </w:rPr>
        <w:t>提供统一标准的接口，对接口实现统一管理，并提供完整的接口标准文档。</w:t>
      </w:r>
    </w:p>
    <w:p>
      <w:pPr>
        <w:spacing w:line="460" w:lineRule="exact"/>
        <w:ind w:firstLine="420"/>
        <w:rPr>
          <w:rStyle w:val="43"/>
          <w:rFonts w:ascii="宋体" w:hAnsi="宋体"/>
          <w:b/>
          <w:bCs/>
          <w:sz w:val="21"/>
          <w:szCs w:val="21"/>
        </w:rPr>
      </w:pPr>
      <w:bookmarkStart w:id="74" w:name="_Toc1158680419"/>
      <w:r>
        <w:rPr>
          <w:rStyle w:val="43"/>
          <w:rFonts w:hint="eastAsia" w:ascii="宋体" w:hAnsi="宋体"/>
          <w:b/>
          <w:bCs/>
          <w:sz w:val="21"/>
          <w:szCs w:val="21"/>
        </w:rPr>
        <w:t>3、安全性与可靠性</w:t>
      </w:r>
      <w:bookmarkEnd w:id="74"/>
    </w:p>
    <w:p>
      <w:pPr>
        <w:spacing w:line="460" w:lineRule="exact"/>
        <w:ind w:firstLine="420"/>
        <w:rPr>
          <w:rStyle w:val="43"/>
          <w:rFonts w:ascii="宋体" w:hAnsi="宋体"/>
          <w:sz w:val="21"/>
          <w:szCs w:val="21"/>
        </w:rPr>
      </w:pPr>
      <w:r>
        <w:rPr>
          <w:rStyle w:val="43"/>
          <w:rFonts w:ascii="宋体" w:hAnsi="宋体"/>
          <w:sz w:val="21"/>
          <w:szCs w:val="21"/>
        </w:rPr>
        <w:t>提供良好的安全策略，按照用户对象的不同接口进行认证，验证及授权等来实现业务级的安全保障；提供可动态配置的权限分配、安全保护与过滤机制等来实现用户级的安全保障，支持多种安全技术手段，制定严格的安全可靠性管理措施；提供系统流控保护机制来实现系统在超负荷请求时可能正常运行。</w:t>
      </w:r>
      <w:r>
        <w:rPr>
          <w:rStyle w:val="43"/>
          <w:rFonts w:hint="eastAsia" w:ascii="宋体" w:hAnsi="宋体"/>
          <w:sz w:val="21"/>
          <w:szCs w:val="21"/>
        </w:rPr>
        <w:t>满足GB/T 25070-2019 信息安全技术网络安全等级保护安全设计。</w:t>
      </w:r>
    </w:p>
    <w:p>
      <w:pPr>
        <w:spacing w:line="460" w:lineRule="exact"/>
        <w:ind w:firstLine="420"/>
        <w:rPr>
          <w:rStyle w:val="43"/>
          <w:rFonts w:ascii="宋体" w:hAnsi="宋体"/>
          <w:b/>
          <w:bCs/>
          <w:sz w:val="21"/>
          <w:szCs w:val="21"/>
        </w:rPr>
      </w:pPr>
      <w:bookmarkStart w:id="75" w:name="_Toc560091137"/>
      <w:r>
        <w:rPr>
          <w:rStyle w:val="43"/>
          <w:rFonts w:hint="eastAsia" w:ascii="宋体" w:hAnsi="宋体"/>
          <w:b/>
          <w:bCs/>
          <w:sz w:val="21"/>
          <w:szCs w:val="21"/>
        </w:rPr>
        <w:t>4、准确性与实时性</w:t>
      </w:r>
      <w:bookmarkEnd w:id="75"/>
    </w:p>
    <w:p>
      <w:pPr>
        <w:spacing w:line="460" w:lineRule="exact"/>
        <w:ind w:firstLine="420"/>
        <w:rPr>
          <w:rStyle w:val="43"/>
          <w:rFonts w:ascii="宋体" w:hAnsi="宋体"/>
          <w:sz w:val="21"/>
          <w:szCs w:val="21"/>
        </w:rPr>
      </w:pPr>
      <w:r>
        <w:rPr>
          <w:rStyle w:val="43"/>
          <w:rFonts w:ascii="宋体" w:hAnsi="宋体"/>
          <w:sz w:val="21"/>
          <w:szCs w:val="21"/>
        </w:rPr>
        <w:t>保证系统数据处理的准确性，提供多种核查手段，如采用高效的数据缓存技术和缓存设计，大大节省了数据访问时间，关键的用户数据、常用的业务数据以及控制消息都使用了缓存技术，并根据相关算法及时刷新。对实时性要求高的处理提供特殊有效的处理方法。</w:t>
      </w:r>
    </w:p>
    <w:p>
      <w:pPr>
        <w:spacing w:line="460" w:lineRule="exact"/>
        <w:ind w:firstLine="420"/>
        <w:rPr>
          <w:rStyle w:val="43"/>
          <w:rFonts w:ascii="宋体" w:hAnsi="宋体"/>
          <w:b/>
          <w:bCs/>
          <w:sz w:val="21"/>
          <w:szCs w:val="21"/>
        </w:rPr>
      </w:pPr>
      <w:bookmarkStart w:id="76" w:name="_Toc1030914758"/>
      <w:r>
        <w:rPr>
          <w:rStyle w:val="43"/>
          <w:rFonts w:hint="eastAsia" w:ascii="宋体" w:hAnsi="宋体"/>
          <w:b/>
          <w:bCs/>
          <w:sz w:val="21"/>
          <w:szCs w:val="21"/>
        </w:rPr>
        <w:t>5、易用性与可管理性</w:t>
      </w:r>
      <w:bookmarkEnd w:id="76"/>
    </w:p>
    <w:p>
      <w:pPr>
        <w:spacing w:line="460" w:lineRule="exact"/>
        <w:ind w:firstLine="420"/>
        <w:rPr>
          <w:rStyle w:val="43"/>
          <w:rFonts w:ascii="宋体" w:hAnsi="宋体"/>
          <w:sz w:val="21"/>
          <w:szCs w:val="21"/>
        </w:rPr>
      </w:pPr>
      <w:r>
        <w:rPr>
          <w:rStyle w:val="43"/>
          <w:rFonts w:ascii="宋体" w:hAnsi="宋体"/>
          <w:sz w:val="21"/>
          <w:szCs w:val="21"/>
        </w:rPr>
        <w:t>系统本身具有良好的管理维护操作界面、详细的帮助信息，系统参数的维护与管理通过操作界面完成。系统应具有良好的管理手段，可管理数据库及应用等。提供完善的用户管理，角色管理。丰富的日常维护测试功能，完成对业务的测试与记录、业务升级情况的记录，业务内容信息的记录、业务内容的管理等功能。满足系统管理员和审计人员对日志的管理和稽查。</w:t>
      </w:r>
      <w:bookmarkStart w:id="77" w:name="_Toc223168591"/>
      <w:bookmarkEnd w:id="77"/>
      <w:bookmarkStart w:id="78" w:name="_Toc288634970"/>
      <w:bookmarkEnd w:id="78"/>
    </w:p>
    <w:p>
      <w:pPr>
        <w:spacing w:line="460" w:lineRule="exact"/>
        <w:ind w:firstLine="420"/>
        <w:rPr>
          <w:rStyle w:val="43"/>
          <w:rFonts w:ascii="宋体" w:hAnsi="宋体"/>
          <w:b/>
          <w:bCs/>
          <w:sz w:val="21"/>
          <w:szCs w:val="21"/>
        </w:rPr>
      </w:pPr>
      <w:bookmarkStart w:id="79" w:name="_Toc686273710"/>
      <w:r>
        <w:rPr>
          <w:rStyle w:val="43"/>
          <w:rFonts w:hint="eastAsia" w:ascii="宋体" w:hAnsi="宋体"/>
          <w:b/>
          <w:bCs/>
          <w:sz w:val="21"/>
          <w:szCs w:val="21"/>
        </w:rPr>
        <w:t>6、系统运行稳定性</w:t>
      </w:r>
      <w:bookmarkEnd w:id="79"/>
    </w:p>
    <w:p>
      <w:pPr>
        <w:spacing w:line="460" w:lineRule="exact"/>
        <w:ind w:firstLine="420"/>
        <w:rPr>
          <w:rStyle w:val="43"/>
          <w:rFonts w:ascii="宋体" w:hAnsi="宋体"/>
          <w:sz w:val="21"/>
          <w:szCs w:val="21"/>
        </w:rPr>
      </w:pPr>
      <w:r>
        <w:rPr>
          <w:rStyle w:val="43"/>
          <w:rFonts w:hint="eastAsia" w:ascii="宋体" w:hAnsi="宋体"/>
          <w:sz w:val="21"/>
          <w:szCs w:val="21"/>
        </w:rPr>
        <w:t>平台基于</w:t>
      </w:r>
      <w:r>
        <w:rPr>
          <w:rStyle w:val="43"/>
          <w:rFonts w:ascii="宋体" w:hAnsi="宋体"/>
          <w:sz w:val="21"/>
          <w:szCs w:val="21"/>
        </w:rPr>
        <w:t>P</w:t>
      </w:r>
      <w:r>
        <w:rPr>
          <w:rStyle w:val="43"/>
          <w:rFonts w:hint="eastAsia" w:ascii="宋体" w:hAnsi="宋体"/>
          <w:sz w:val="21"/>
          <w:szCs w:val="21"/>
        </w:rPr>
        <w:t>aas层、大数据集群与消息集群之上，采用分布式集群技术为平台服务的关键模块或组件提供了高可用性方案，可有效避免系统因单台服务器、虚机等失败或软件故障造成服务不可用，从而保证了整个系统的高可用性。</w:t>
      </w:r>
      <w:r>
        <w:rPr>
          <w:rStyle w:val="43"/>
          <w:rFonts w:ascii="宋体" w:hAnsi="宋体"/>
          <w:sz w:val="21"/>
          <w:szCs w:val="21"/>
        </w:rPr>
        <w:t>支持全年7*24小时稳定运行，确保系统无单点故障，支持在线更换设备和应用灰度发布，缺陷修改和应用升级不停机。</w:t>
      </w:r>
    </w:p>
    <w:p>
      <w:pPr>
        <w:pStyle w:val="560"/>
        <w:numPr>
          <w:ilvl w:val="0"/>
          <w:numId w:val="5"/>
        </w:numPr>
        <w:spacing w:line="360" w:lineRule="auto"/>
        <w:ind w:left="432" w:firstLine="0" w:firstLineChars="0"/>
        <w:outlineLvl w:val="2"/>
        <w:rPr>
          <w:rFonts w:ascii="宋体" w:hAnsi="宋体"/>
          <w:b/>
          <w:szCs w:val="24"/>
        </w:rPr>
      </w:pPr>
      <w:bookmarkStart w:id="80" w:name="_Toc1877340315"/>
      <w:r>
        <w:rPr>
          <w:rFonts w:hint="eastAsia" w:ascii="宋体" w:hAnsi="宋体"/>
          <w:b/>
          <w:szCs w:val="24"/>
        </w:rPr>
        <w:t>项目建设目标</w:t>
      </w:r>
      <w:bookmarkEnd w:id="80"/>
    </w:p>
    <w:p>
      <w:pPr>
        <w:spacing w:line="460" w:lineRule="exact"/>
        <w:ind w:firstLine="420"/>
        <w:rPr>
          <w:rStyle w:val="43"/>
          <w:rFonts w:ascii="宋体" w:hAnsi="宋体"/>
          <w:sz w:val="21"/>
          <w:szCs w:val="21"/>
        </w:rPr>
      </w:pPr>
      <w:r>
        <w:rPr>
          <w:rStyle w:val="43"/>
          <w:rFonts w:hint="eastAsia" w:ascii="宋体" w:hAnsi="宋体"/>
          <w:sz w:val="21"/>
          <w:szCs w:val="21"/>
        </w:rPr>
        <w:t>立足嵊州智能厨电行业特色、产业特点，充分利用物联网、大数据和人工智能技术，有效整合生产制造企业在生产过程中涉及的产品设计、生产工艺、设备运行、运营管理等数据资源，开发集成生产管理优化、协同设计制造、制造资源管理等各类数字化应用，建成贯穿产业链、供应链、创新链、价值链、资源协同、生态活跃、普惠共享的智能厨电产业大脑，赋能嵊州乃至全省智能厨电行业企业数字化转型、精准化治理、特色化服务，加速浙江智能厨电行业集群再造和高质量发展。具体目标主要包括：</w:t>
      </w:r>
    </w:p>
    <w:p>
      <w:pPr>
        <w:spacing w:line="460" w:lineRule="exact"/>
        <w:ind w:firstLine="420"/>
        <w:rPr>
          <w:rStyle w:val="43"/>
          <w:rFonts w:ascii="宋体" w:hAnsi="宋体"/>
          <w:b/>
          <w:bCs/>
          <w:sz w:val="21"/>
          <w:szCs w:val="21"/>
        </w:rPr>
      </w:pPr>
      <w:r>
        <w:rPr>
          <w:rStyle w:val="43"/>
          <w:rFonts w:hint="eastAsia" w:ascii="宋体" w:hAnsi="宋体"/>
          <w:b/>
          <w:bCs/>
          <w:sz w:val="21"/>
          <w:szCs w:val="21"/>
        </w:rPr>
        <w:t>（1）建立丰富的应用场景体系和企业应用体系</w:t>
      </w:r>
    </w:p>
    <w:p>
      <w:pPr>
        <w:spacing w:line="460" w:lineRule="exact"/>
        <w:ind w:firstLine="420"/>
        <w:rPr>
          <w:rStyle w:val="43"/>
          <w:rFonts w:ascii="宋体" w:hAnsi="宋体"/>
          <w:sz w:val="21"/>
          <w:szCs w:val="21"/>
        </w:rPr>
      </w:pPr>
      <w:r>
        <w:rPr>
          <w:rStyle w:val="43"/>
          <w:rFonts w:hint="eastAsia" w:ascii="宋体" w:hAnsi="宋体"/>
          <w:sz w:val="21"/>
          <w:szCs w:val="21"/>
        </w:rPr>
        <w:t>开发集成高价值、高频次的应用场景和复用率高、接受度高、易部署的工业应用软件， 涵盖研发设计、生产制造、质量管理、物流保障等生产运营所需的各类场景。</w:t>
      </w:r>
    </w:p>
    <w:p>
      <w:pPr>
        <w:spacing w:line="460" w:lineRule="exact"/>
        <w:ind w:firstLine="420"/>
        <w:rPr>
          <w:rStyle w:val="43"/>
          <w:rFonts w:ascii="宋体" w:hAnsi="宋体"/>
          <w:b/>
          <w:bCs/>
          <w:sz w:val="21"/>
          <w:szCs w:val="21"/>
        </w:rPr>
      </w:pPr>
      <w:r>
        <w:rPr>
          <w:rStyle w:val="43"/>
          <w:rFonts w:hint="eastAsia" w:ascii="宋体" w:hAnsi="宋体"/>
          <w:b/>
          <w:bCs/>
          <w:sz w:val="21"/>
          <w:szCs w:val="21"/>
        </w:rPr>
        <w:t>（2）高智能的数据分析预判协助政府对企业进行精准施策、帮扶</w:t>
      </w:r>
    </w:p>
    <w:p>
      <w:pPr>
        <w:spacing w:line="460" w:lineRule="exact"/>
        <w:ind w:firstLine="420"/>
        <w:rPr>
          <w:rStyle w:val="43"/>
          <w:rFonts w:ascii="宋体" w:hAnsi="宋体"/>
          <w:sz w:val="21"/>
          <w:szCs w:val="21"/>
        </w:rPr>
      </w:pPr>
      <w:r>
        <w:rPr>
          <w:rStyle w:val="43"/>
          <w:rFonts w:hint="eastAsia" w:ascii="宋体" w:hAnsi="宋体"/>
          <w:sz w:val="21"/>
          <w:szCs w:val="21"/>
        </w:rPr>
        <w:t>产业大脑对智能厨电企业进行统一管理，可以通过产业大脑掌握智能厨电企业的订单、生产、能耗等数据，分析和判断智能厨电产业运行情况，通过人工智能技术的应用，为发现智能厨电产业增长点或风险点提供预判。通过平台能直观地了解智能厨电企业数字化发展特点和诉求，实现精准施策、精准帮扶。</w:t>
      </w:r>
    </w:p>
    <w:p>
      <w:pPr>
        <w:spacing w:line="460" w:lineRule="exact"/>
        <w:ind w:firstLine="420"/>
        <w:rPr>
          <w:rStyle w:val="43"/>
          <w:rFonts w:ascii="宋体" w:hAnsi="宋体"/>
          <w:b/>
          <w:bCs/>
          <w:sz w:val="21"/>
          <w:szCs w:val="21"/>
        </w:rPr>
      </w:pPr>
      <w:r>
        <w:rPr>
          <w:rStyle w:val="43"/>
          <w:rFonts w:hint="eastAsia" w:ascii="宋体" w:hAnsi="宋体"/>
          <w:b/>
          <w:bCs/>
          <w:sz w:val="21"/>
          <w:szCs w:val="21"/>
        </w:rPr>
        <w:t>（3）全方位的数据智能促进产业整合、帮助企业提质降本增效</w:t>
      </w:r>
    </w:p>
    <w:p>
      <w:pPr>
        <w:spacing w:line="460" w:lineRule="exact"/>
        <w:ind w:firstLine="420"/>
        <w:rPr>
          <w:rStyle w:val="43"/>
          <w:rFonts w:ascii="宋体" w:hAnsi="宋体"/>
          <w:sz w:val="21"/>
          <w:szCs w:val="21"/>
        </w:rPr>
      </w:pPr>
      <w:r>
        <w:rPr>
          <w:rStyle w:val="43"/>
          <w:rFonts w:hint="eastAsia" w:ascii="宋体" w:hAnsi="宋体"/>
          <w:sz w:val="21"/>
          <w:szCs w:val="21"/>
        </w:rPr>
        <w:t>嵊州智能厨电企业可以利用产业大脑提升数字化分析决策能力，对特定场景进行深度的数据分析挖掘，优化设计、生产、经营等具体环节，实现精益化提升。借助产业大脑对产业链条进行要素打通并叠加一定程度的数据分析，提升上下游协同与资源整合能力，积极拓展创新型应用。中小型制造企业可以借助产业大脑与配套服务快速形成信息化能力，以较低的成本利用平台上的软件应用和数据服务提高企业管理效率、降低管理成本。</w:t>
      </w:r>
    </w:p>
    <w:p>
      <w:pPr>
        <w:spacing w:line="460" w:lineRule="exact"/>
        <w:ind w:firstLine="420"/>
        <w:rPr>
          <w:rStyle w:val="43"/>
          <w:rFonts w:ascii="宋体" w:hAnsi="宋体"/>
          <w:b/>
          <w:bCs/>
          <w:sz w:val="21"/>
          <w:szCs w:val="21"/>
        </w:rPr>
      </w:pPr>
      <w:r>
        <w:rPr>
          <w:rStyle w:val="43"/>
          <w:rFonts w:hint="eastAsia" w:ascii="宋体" w:hAnsi="宋体"/>
          <w:b/>
          <w:bCs/>
          <w:sz w:val="21"/>
          <w:szCs w:val="21"/>
        </w:rPr>
        <w:t>（4）打造嵊州智能厨电产业数字化生态</w:t>
      </w:r>
    </w:p>
    <w:p>
      <w:pPr>
        <w:spacing w:line="460" w:lineRule="exact"/>
        <w:ind w:firstLine="420"/>
        <w:rPr>
          <w:rStyle w:val="43"/>
          <w:rFonts w:ascii="宋体" w:hAnsi="宋体"/>
          <w:sz w:val="21"/>
          <w:szCs w:val="21"/>
        </w:rPr>
      </w:pPr>
      <w:r>
        <w:rPr>
          <w:rStyle w:val="43"/>
          <w:rFonts w:hint="eastAsia" w:ascii="宋体" w:hAnsi="宋体"/>
          <w:sz w:val="21"/>
          <w:szCs w:val="21"/>
        </w:rPr>
        <w:t>立足嵊州智能厨电产业发展新生态、新模式、新业态，打造具有鲜明公共服务属性的智能厨电工业互联网生态载体。以服务和体验为切入点，综合技术为支撑，丰富行业解决方案、人才培训、测试验证、应用推广、成果转化、生态聚集等功能。</w:t>
      </w:r>
    </w:p>
    <w:p>
      <w:pPr>
        <w:pStyle w:val="560"/>
        <w:numPr>
          <w:ilvl w:val="0"/>
          <w:numId w:val="5"/>
        </w:numPr>
        <w:spacing w:line="360" w:lineRule="auto"/>
        <w:ind w:left="432" w:firstLine="0" w:firstLineChars="0"/>
        <w:outlineLvl w:val="2"/>
        <w:rPr>
          <w:rFonts w:ascii="宋体" w:hAnsi="宋体"/>
          <w:b/>
          <w:szCs w:val="24"/>
        </w:rPr>
      </w:pPr>
      <w:bookmarkStart w:id="81" w:name="_Toc1628932481"/>
      <w:bookmarkStart w:id="82" w:name="_Toc49437256"/>
      <w:r>
        <w:rPr>
          <w:rFonts w:hint="eastAsia" w:ascii="宋体" w:hAnsi="宋体"/>
          <w:b/>
          <w:szCs w:val="24"/>
        </w:rPr>
        <w:t>项目建设内容</w:t>
      </w:r>
      <w:bookmarkEnd w:id="81"/>
      <w:bookmarkEnd w:id="82"/>
    </w:p>
    <w:p>
      <w:pPr>
        <w:spacing w:line="460" w:lineRule="exact"/>
        <w:ind w:firstLine="420"/>
        <w:rPr>
          <w:rStyle w:val="43"/>
          <w:rFonts w:ascii="宋体" w:hAnsi="宋体"/>
          <w:sz w:val="21"/>
          <w:szCs w:val="21"/>
        </w:rPr>
      </w:pPr>
      <w:r>
        <w:rPr>
          <w:rStyle w:val="43"/>
          <w:rFonts w:hint="eastAsia" w:ascii="宋体" w:hAnsi="宋体"/>
          <w:sz w:val="21"/>
          <w:szCs w:val="21"/>
        </w:rPr>
        <w:t>产业大脑整体架构，共有4层：边缘层、基础资源层（Iaas）、平台层（Paas）和应用层（Saas）。整个产业大脑由政府侧和企业侧内容组成。其中，政府侧通过浙政钉接入，企业侧通过浙里办或者互联网接入，形成应用的统一入口。产业大脑应用场景聚焦智能厨电行业集群发展，在产业生态、新智造应用、共性技术、政府服务、政府应用方面建设部署应用场景。产业大脑门户，包含政府侧和企业侧的服务，支持电脑端、手机端应用。本项目开发建设智能</w:t>
      </w:r>
      <w:r>
        <w:rPr>
          <w:rStyle w:val="43"/>
          <w:rFonts w:ascii="宋体" w:hAnsi="宋体"/>
          <w:sz w:val="21"/>
          <w:szCs w:val="21"/>
        </w:rPr>
        <w:t>厨电产业</w:t>
      </w:r>
      <w:r>
        <w:rPr>
          <w:rStyle w:val="43"/>
          <w:rFonts w:hint="eastAsia" w:ascii="宋体" w:hAnsi="宋体"/>
          <w:sz w:val="21"/>
          <w:szCs w:val="21"/>
        </w:rPr>
        <w:t>大脑政府侧技术体系、企业侧技术体系、场景应用、产业大脑门户和安全保障体系。</w:t>
      </w:r>
    </w:p>
    <w:p>
      <w:pPr>
        <w:spacing w:line="460" w:lineRule="exact"/>
        <w:ind w:firstLine="420"/>
        <w:rPr>
          <w:rStyle w:val="43"/>
          <w:rFonts w:ascii="宋体" w:hAnsi="宋体"/>
          <w:sz w:val="21"/>
          <w:szCs w:val="21"/>
        </w:rPr>
      </w:pPr>
      <w:r>
        <w:rPr>
          <w:rStyle w:val="43"/>
          <w:rFonts w:hint="eastAsia" w:ascii="宋体" w:hAnsi="宋体"/>
          <w:sz w:val="21"/>
          <w:szCs w:val="21"/>
        </w:rPr>
        <w:t>本项目一期建设内容包括云资源和厨电产业大脑底座，新智造应用建设、部分产业应用建设、政府应用建设，以及产业大脑能力中心建设。</w:t>
      </w:r>
    </w:p>
    <w:p>
      <w:pPr>
        <w:spacing w:line="460" w:lineRule="exact"/>
        <w:ind w:firstLine="420"/>
        <w:rPr>
          <w:rStyle w:val="43"/>
          <w:rFonts w:ascii="宋体" w:hAnsi="宋体"/>
          <w:sz w:val="21"/>
          <w:szCs w:val="21"/>
        </w:rPr>
      </w:pPr>
      <w:r>
        <w:rPr>
          <w:rStyle w:val="43"/>
          <w:rFonts w:hint="eastAsia" w:ascii="宋体" w:hAnsi="宋体"/>
          <w:sz w:val="21"/>
          <w:szCs w:val="21"/>
        </w:rPr>
        <w:t>其中，新智造应用建设结合全省中小企业数字化改造试点县（市、区）创建工作，先期部署小、快、轻、准的“N+X”企业数字化应用，破解中小企业不愿转、不敢转、不会转的难题；产业应用先期部署供应链链集采、产业链金融；政府应用先期部署产业链图谱、产业知识库、产业公共服务平台。</w:t>
      </w:r>
    </w:p>
    <w:p>
      <w:pPr>
        <w:spacing w:line="460" w:lineRule="exact"/>
        <w:ind w:firstLine="420"/>
        <w:rPr>
          <w:rStyle w:val="43"/>
          <w:rFonts w:ascii="宋体" w:hAnsi="宋体"/>
          <w:b/>
          <w:bCs/>
          <w:sz w:val="21"/>
          <w:szCs w:val="21"/>
        </w:rPr>
      </w:pPr>
      <w:bookmarkStart w:id="83" w:name="_Toc1346676211"/>
      <w:bookmarkStart w:id="84" w:name="_Toc117256088"/>
      <w:r>
        <w:rPr>
          <w:rStyle w:val="43"/>
          <w:rFonts w:hint="eastAsia" w:ascii="宋体" w:hAnsi="宋体"/>
          <w:b/>
          <w:bCs/>
          <w:sz w:val="21"/>
          <w:szCs w:val="21"/>
        </w:rPr>
        <w:t>1、云资源</w:t>
      </w:r>
      <w:bookmarkEnd w:id="83"/>
      <w:bookmarkEnd w:id="84"/>
    </w:p>
    <w:p>
      <w:pPr>
        <w:spacing w:line="460" w:lineRule="exact"/>
        <w:ind w:firstLine="420"/>
        <w:rPr>
          <w:rStyle w:val="43"/>
          <w:rFonts w:ascii="宋体" w:hAnsi="宋体"/>
          <w:sz w:val="21"/>
          <w:szCs w:val="21"/>
        </w:rPr>
      </w:pPr>
      <w:r>
        <w:rPr>
          <w:rStyle w:val="43"/>
          <w:rFonts w:hint="eastAsia" w:ascii="宋体" w:hAnsi="宋体"/>
          <w:sz w:val="21"/>
          <w:szCs w:val="21"/>
        </w:rPr>
        <w:t>厨电产业大脑采用公有云作为产业大脑Iaas层。</w:t>
      </w:r>
    </w:p>
    <w:p>
      <w:pPr>
        <w:spacing w:line="460" w:lineRule="exact"/>
        <w:ind w:firstLine="420"/>
        <w:rPr>
          <w:rStyle w:val="43"/>
          <w:rFonts w:ascii="宋体" w:hAnsi="宋体"/>
          <w:b/>
          <w:bCs/>
          <w:sz w:val="21"/>
          <w:szCs w:val="21"/>
        </w:rPr>
      </w:pPr>
      <w:bookmarkStart w:id="85" w:name="_Toc1256922544"/>
      <w:bookmarkStart w:id="86" w:name="_Toc117256089"/>
      <w:r>
        <w:rPr>
          <w:rStyle w:val="43"/>
          <w:rFonts w:hint="eastAsia" w:ascii="宋体" w:hAnsi="宋体"/>
          <w:b/>
          <w:bCs/>
          <w:sz w:val="21"/>
          <w:szCs w:val="21"/>
        </w:rPr>
        <w:t>2、产业大脑基础底座</w:t>
      </w:r>
      <w:bookmarkEnd w:id="85"/>
      <w:bookmarkEnd w:id="86"/>
    </w:p>
    <w:p>
      <w:pPr>
        <w:spacing w:line="460" w:lineRule="exact"/>
        <w:ind w:firstLine="420"/>
        <w:rPr>
          <w:rStyle w:val="43"/>
          <w:rFonts w:ascii="宋体" w:hAnsi="宋体"/>
          <w:sz w:val="21"/>
          <w:szCs w:val="21"/>
        </w:rPr>
      </w:pPr>
      <w:r>
        <w:rPr>
          <w:rStyle w:val="43"/>
          <w:rFonts w:hint="eastAsia" w:ascii="宋体" w:hAnsi="宋体"/>
          <w:sz w:val="21"/>
          <w:szCs w:val="21"/>
        </w:rPr>
        <w:t>厨电产业大脑底座包括Gpaas层、工业Paas层、通用服务、运营管理及门户、模型库和算法库等技术组件。</w:t>
      </w:r>
    </w:p>
    <w:p>
      <w:pPr>
        <w:spacing w:line="460" w:lineRule="exact"/>
        <w:ind w:firstLine="420"/>
        <w:rPr>
          <w:rStyle w:val="43"/>
          <w:rFonts w:ascii="宋体" w:hAnsi="宋体"/>
          <w:b/>
          <w:bCs/>
          <w:sz w:val="21"/>
          <w:szCs w:val="21"/>
        </w:rPr>
      </w:pPr>
      <w:bookmarkStart w:id="87" w:name="_Toc300561469"/>
      <w:bookmarkStart w:id="88" w:name="_Toc117256090"/>
      <w:r>
        <w:rPr>
          <w:rStyle w:val="43"/>
          <w:rFonts w:hint="eastAsia" w:ascii="宋体" w:hAnsi="宋体"/>
          <w:b/>
          <w:bCs/>
          <w:sz w:val="21"/>
          <w:szCs w:val="21"/>
        </w:rPr>
        <w:t>3、企业数字化应用</w:t>
      </w:r>
      <w:bookmarkEnd w:id="87"/>
      <w:bookmarkEnd w:id="88"/>
    </w:p>
    <w:p>
      <w:pPr>
        <w:spacing w:line="460" w:lineRule="exact"/>
        <w:ind w:firstLine="420"/>
        <w:rPr>
          <w:rStyle w:val="43"/>
          <w:rFonts w:ascii="宋体" w:hAnsi="宋体"/>
          <w:sz w:val="21"/>
          <w:szCs w:val="21"/>
        </w:rPr>
      </w:pPr>
      <w:r>
        <w:rPr>
          <w:rStyle w:val="43"/>
          <w:rFonts w:hint="eastAsia" w:ascii="宋体" w:hAnsi="宋体"/>
          <w:sz w:val="21"/>
          <w:szCs w:val="21"/>
        </w:rPr>
        <w:t>归纳总结智能厨电行业共性需求并转化为“N”项数字化制造应用场景，并根据不同企业个性需求灵活增加“X”项，制定“N+X”数字化改造方案，并按照总体规划、分步推进的原则，做到项目工程清单化、投资资金透明化、实施进度具体化、投资效益可量化。</w:t>
      </w:r>
    </w:p>
    <w:p>
      <w:pPr>
        <w:spacing w:line="460" w:lineRule="exact"/>
        <w:ind w:firstLine="420"/>
        <w:rPr>
          <w:rStyle w:val="43"/>
          <w:rFonts w:ascii="宋体" w:hAnsi="宋体"/>
          <w:b/>
          <w:bCs/>
          <w:sz w:val="21"/>
          <w:szCs w:val="21"/>
        </w:rPr>
      </w:pPr>
      <w:bookmarkStart w:id="89" w:name="_Toc117256091"/>
      <w:bookmarkStart w:id="90" w:name="_Toc655071739"/>
      <w:r>
        <w:rPr>
          <w:rStyle w:val="43"/>
          <w:rFonts w:hint="eastAsia" w:ascii="宋体" w:hAnsi="宋体"/>
          <w:b/>
          <w:bCs/>
          <w:sz w:val="21"/>
          <w:szCs w:val="21"/>
        </w:rPr>
        <w:t>4、产业应用</w:t>
      </w:r>
      <w:bookmarkEnd w:id="89"/>
      <w:bookmarkEnd w:id="90"/>
    </w:p>
    <w:p>
      <w:pPr>
        <w:spacing w:line="460" w:lineRule="exact"/>
        <w:ind w:firstLine="420"/>
        <w:rPr>
          <w:rStyle w:val="43"/>
          <w:rFonts w:ascii="宋体" w:hAnsi="宋体"/>
          <w:sz w:val="21"/>
          <w:szCs w:val="21"/>
        </w:rPr>
      </w:pPr>
      <w:r>
        <w:rPr>
          <w:rStyle w:val="43"/>
          <w:rFonts w:hint="eastAsia" w:ascii="宋体" w:hAnsi="宋体"/>
          <w:sz w:val="21"/>
          <w:szCs w:val="21"/>
        </w:rPr>
        <w:t>产业应用，主要包括供应链集采包括原材料集采拼购、分销配送智慧调度。</w:t>
      </w:r>
    </w:p>
    <w:p>
      <w:pPr>
        <w:spacing w:line="460" w:lineRule="exact"/>
        <w:ind w:firstLine="420"/>
        <w:rPr>
          <w:rStyle w:val="43"/>
          <w:rFonts w:ascii="宋体" w:hAnsi="宋体"/>
          <w:b/>
          <w:bCs/>
          <w:sz w:val="21"/>
          <w:szCs w:val="21"/>
        </w:rPr>
      </w:pPr>
      <w:bookmarkStart w:id="91" w:name="_Toc1789542851"/>
      <w:bookmarkStart w:id="92" w:name="_Toc117256092"/>
      <w:r>
        <w:rPr>
          <w:rStyle w:val="43"/>
          <w:rFonts w:hint="eastAsia" w:ascii="宋体" w:hAnsi="宋体"/>
          <w:b/>
          <w:bCs/>
          <w:sz w:val="21"/>
          <w:szCs w:val="21"/>
        </w:rPr>
        <w:t>5、政府应用</w:t>
      </w:r>
      <w:bookmarkEnd w:id="91"/>
      <w:bookmarkEnd w:id="92"/>
    </w:p>
    <w:p>
      <w:pPr>
        <w:spacing w:line="460" w:lineRule="exact"/>
        <w:ind w:firstLine="420"/>
        <w:rPr>
          <w:rStyle w:val="43"/>
          <w:rFonts w:ascii="宋体" w:hAnsi="宋体"/>
          <w:sz w:val="21"/>
          <w:szCs w:val="21"/>
        </w:rPr>
      </w:pPr>
      <w:r>
        <w:rPr>
          <w:rStyle w:val="43"/>
          <w:rFonts w:hint="eastAsia" w:ascii="宋体" w:hAnsi="宋体"/>
          <w:sz w:val="21"/>
          <w:szCs w:val="21"/>
        </w:rPr>
        <w:t>政府侧应用包括产业链图谱、产业知识库和产业公共服务平台三大应用。</w:t>
      </w:r>
    </w:p>
    <w:p>
      <w:pPr>
        <w:spacing w:line="460" w:lineRule="exact"/>
        <w:ind w:firstLine="420"/>
        <w:rPr>
          <w:rStyle w:val="43"/>
          <w:rFonts w:ascii="宋体" w:hAnsi="宋体"/>
          <w:b/>
          <w:bCs/>
          <w:sz w:val="21"/>
          <w:szCs w:val="21"/>
        </w:rPr>
      </w:pPr>
      <w:bookmarkStart w:id="93" w:name="_Toc1338220522"/>
      <w:bookmarkStart w:id="94" w:name="_Toc117256093"/>
      <w:r>
        <w:rPr>
          <w:rStyle w:val="43"/>
          <w:rFonts w:hint="eastAsia" w:ascii="宋体" w:hAnsi="宋体"/>
          <w:b/>
          <w:bCs/>
          <w:sz w:val="21"/>
          <w:szCs w:val="21"/>
        </w:rPr>
        <w:t>6、产业大脑能力中心</w:t>
      </w:r>
      <w:bookmarkEnd w:id="93"/>
      <w:bookmarkEnd w:id="94"/>
    </w:p>
    <w:p>
      <w:pPr>
        <w:spacing w:line="460" w:lineRule="exact"/>
        <w:ind w:firstLine="420"/>
        <w:rPr>
          <w:rStyle w:val="43"/>
          <w:rFonts w:ascii="宋体" w:hAnsi="宋体"/>
          <w:sz w:val="21"/>
          <w:szCs w:val="21"/>
        </w:rPr>
      </w:pPr>
      <w:r>
        <w:rPr>
          <w:rStyle w:val="43"/>
          <w:rFonts w:hint="eastAsia" w:ascii="宋体" w:hAnsi="宋体"/>
          <w:sz w:val="21"/>
          <w:szCs w:val="21"/>
        </w:rPr>
        <w:t>产业大脑能力中心主要是产业大脑对外展示的平台以及对外输出企业数字化服务的能力。包括：企业数字化诊断和咨询服务、数字化应用软件培训、数字化应用人才培养和开展企业与供应商的供需对接、推广应用、技术研讨等活动；产业大脑对外展示、接待工作；平台生态拓展，引进相关平台应用提供商、专家，更好地为本地企业服务等。建设内容包括基础工程建设和运营中心建设。</w:t>
      </w:r>
    </w:p>
    <w:p>
      <w:pPr>
        <w:pStyle w:val="560"/>
        <w:numPr>
          <w:ilvl w:val="0"/>
          <w:numId w:val="5"/>
        </w:numPr>
        <w:spacing w:line="360" w:lineRule="auto"/>
        <w:ind w:left="432" w:firstLine="0" w:firstLineChars="0"/>
        <w:outlineLvl w:val="2"/>
        <w:rPr>
          <w:rFonts w:ascii="宋体" w:hAnsi="宋体"/>
          <w:b/>
          <w:szCs w:val="24"/>
        </w:rPr>
      </w:pPr>
      <w:bookmarkStart w:id="95" w:name="_Toc876078223"/>
      <w:r>
        <w:rPr>
          <w:rFonts w:hint="eastAsia" w:ascii="宋体" w:hAnsi="宋体"/>
          <w:b/>
          <w:szCs w:val="24"/>
        </w:rPr>
        <w:t>功能详细描述</w:t>
      </w:r>
      <w:bookmarkEnd w:id="95"/>
    </w:p>
    <w:p>
      <w:pPr>
        <w:spacing w:line="460" w:lineRule="exact"/>
        <w:ind w:firstLine="420"/>
        <w:rPr>
          <w:rStyle w:val="43"/>
          <w:rFonts w:ascii="宋体" w:hAnsi="宋体"/>
          <w:b/>
          <w:bCs/>
          <w:sz w:val="21"/>
          <w:szCs w:val="21"/>
        </w:rPr>
      </w:pPr>
      <w:bookmarkStart w:id="96" w:name="_Toc1098810129"/>
      <w:r>
        <w:rPr>
          <w:rStyle w:val="43"/>
          <w:rFonts w:hint="eastAsia" w:ascii="宋体" w:hAnsi="宋体"/>
          <w:b/>
          <w:bCs/>
          <w:sz w:val="21"/>
          <w:szCs w:val="21"/>
        </w:rPr>
        <w:t>1、智能软网关服务</w:t>
      </w:r>
      <w:bookmarkEnd w:id="96"/>
    </w:p>
    <w:p>
      <w:pPr>
        <w:spacing w:line="460" w:lineRule="exact"/>
        <w:ind w:firstLine="420"/>
        <w:rPr>
          <w:rStyle w:val="43"/>
          <w:rFonts w:ascii="宋体" w:hAnsi="宋体"/>
          <w:b/>
          <w:bCs/>
          <w:sz w:val="21"/>
          <w:szCs w:val="21"/>
        </w:rPr>
      </w:pPr>
      <w:r>
        <w:rPr>
          <w:rStyle w:val="43"/>
          <w:rFonts w:hint="eastAsia" w:ascii="宋体" w:hAnsi="宋体"/>
          <w:b/>
          <w:bCs/>
          <w:sz w:val="21"/>
          <w:szCs w:val="21"/>
        </w:rPr>
        <w:t>1.1设备数据接入与协议解析</w:t>
      </w:r>
    </w:p>
    <w:p>
      <w:pPr>
        <w:spacing w:line="460" w:lineRule="exact"/>
        <w:ind w:firstLine="420"/>
        <w:rPr>
          <w:rStyle w:val="43"/>
          <w:rFonts w:ascii="宋体" w:hAnsi="宋体"/>
          <w:sz w:val="21"/>
          <w:szCs w:val="21"/>
        </w:rPr>
      </w:pPr>
      <w:r>
        <w:rPr>
          <w:rStyle w:val="43"/>
          <w:rFonts w:hint="eastAsia" w:ascii="宋体" w:hAnsi="宋体"/>
          <w:sz w:val="21"/>
          <w:szCs w:val="21"/>
        </w:rPr>
        <w:t>（1）支持AI、DI数据采集。</w:t>
      </w:r>
    </w:p>
    <w:p>
      <w:pPr>
        <w:spacing w:line="460" w:lineRule="exact"/>
        <w:ind w:firstLine="420"/>
        <w:rPr>
          <w:rStyle w:val="43"/>
          <w:rFonts w:ascii="宋体" w:hAnsi="宋体"/>
          <w:sz w:val="21"/>
          <w:szCs w:val="21"/>
        </w:rPr>
      </w:pPr>
      <w:r>
        <w:rPr>
          <w:rStyle w:val="43"/>
          <w:rFonts w:hint="eastAsia" w:ascii="宋体" w:hAnsi="宋体"/>
          <w:sz w:val="21"/>
          <w:szCs w:val="21"/>
        </w:rPr>
        <w:t>（2）支持传输或通信时长可配置，最小计量单位为毫秒级。</w:t>
      </w:r>
    </w:p>
    <w:p>
      <w:pPr>
        <w:spacing w:line="460" w:lineRule="exact"/>
        <w:ind w:firstLine="420"/>
        <w:rPr>
          <w:rStyle w:val="43"/>
          <w:rFonts w:ascii="宋体" w:hAnsi="宋体"/>
          <w:sz w:val="21"/>
          <w:szCs w:val="21"/>
        </w:rPr>
      </w:pPr>
      <w:r>
        <w:rPr>
          <w:rStyle w:val="43"/>
          <w:rFonts w:hint="eastAsia" w:ascii="宋体" w:hAnsi="宋体"/>
          <w:sz w:val="21"/>
          <w:szCs w:val="21"/>
        </w:rPr>
        <w:t>（3）单个软网关可以支持10万以上的测点数据读写，每个点位数据频率可独立配置，最高可达ms级。</w:t>
      </w:r>
    </w:p>
    <w:p>
      <w:pPr>
        <w:spacing w:line="460" w:lineRule="exact"/>
        <w:ind w:firstLine="420"/>
        <w:rPr>
          <w:rStyle w:val="43"/>
          <w:rFonts w:ascii="宋体" w:hAnsi="宋体"/>
          <w:sz w:val="21"/>
          <w:szCs w:val="21"/>
        </w:rPr>
      </w:pPr>
      <w:r>
        <w:rPr>
          <w:rStyle w:val="43"/>
          <w:rFonts w:hint="eastAsia" w:ascii="宋体" w:hAnsi="宋体"/>
          <w:sz w:val="21"/>
          <w:szCs w:val="21"/>
        </w:rPr>
        <w:t>（4）支持与边缘计算节点的通讯，包括采集数据的上传，采集配置的接收和解析执行。</w:t>
      </w:r>
    </w:p>
    <w:p>
      <w:pPr>
        <w:spacing w:line="460" w:lineRule="exact"/>
        <w:ind w:firstLine="420"/>
        <w:rPr>
          <w:rStyle w:val="43"/>
          <w:rFonts w:ascii="宋体" w:hAnsi="宋体"/>
          <w:sz w:val="21"/>
          <w:szCs w:val="21"/>
        </w:rPr>
      </w:pPr>
      <w:r>
        <w:rPr>
          <w:rStyle w:val="43"/>
          <w:rFonts w:hint="eastAsia" w:ascii="宋体" w:hAnsi="宋体"/>
          <w:sz w:val="21"/>
          <w:szCs w:val="21"/>
        </w:rPr>
        <w:t>（5）通信协议需支持OPC UA、Modbus、IEC101/103/104、IEC 61850、CDT、PROFIBUS、PROFINET等的协议，以及MQTT、CoAP、HTTP、BACNet、CAN-bus等IOT协议，300+以上的通用协议与专有规约。</w:t>
      </w:r>
    </w:p>
    <w:p>
      <w:pPr>
        <w:spacing w:line="460" w:lineRule="exact"/>
        <w:ind w:firstLine="420"/>
        <w:rPr>
          <w:rStyle w:val="43"/>
          <w:rFonts w:ascii="宋体" w:hAnsi="宋体"/>
          <w:sz w:val="21"/>
          <w:szCs w:val="21"/>
        </w:rPr>
      </w:pPr>
      <w:r>
        <w:rPr>
          <w:rStyle w:val="43"/>
          <w:rFonts w:hint="eastAsia" w:ascii="宋体" w:hAnsi="宋体"/>
          <w:sz w:val="21"/>
          <w:szCs w:val="21"/>
        </w:rPr>
        <w:t>（6）通信协议支持接入市面上常用的PLC，如：西门子、施耐德、三菱、GE、AB、ABB、欧姆龙等。</w:t>
      </w:r>
    </w:p>
    <w:p>
      <w:pPr>
        <w:spacing w:line="460" w:lineRule="exact"/>
        <w:ind w:firstLine="420"/>
        <w:rPr>
          <w:rStyle w:val="43"/>
          <w:rFonts w:ascii="宋体" w:hAnsi="宋体"/>
          <w:sz w:val="21"/>
          <w:szCs w:val="21"/>
        </w:rPr>
      </w:pPr>
      <w:r>
        <w:rPr>
          <w:rStyle w:val="43"/>
          <w:rFonts w:hint="eastAsia" w:ascii="宋体" w:hAnsi="宋体"/>
          <w:sz w:val="21"/>
          <w:szCs w:val="21"/>
        </w:rPr>
        <w:t>（7）通信协议支持绝大部分常用的智能仪表、PLC、变频器、传感器等。</w:t>
      </w:r>
    </w:p>
    <w:p>
      <w:pPr>
        <w:spacing w:line="460" w:lineRule="exact"/>
        <w:ind w:firstLine="420"/>
        <w:rPr>
          <w:rStyle w:val="43"/>
          <w:rFonts w:ascii="宋体" w:hAnsi="宋体"/>
          <w:b/>
          <w:bCs/>
          <w:sz w:val="21"/>
          <w:szCs w:val="21"/>
        </w:rPr>
      </w:pPr>
      <w:r>
        <w:rPr>
          <w:rStyle w:val="43"/>
          <w:rFonts w:hint="eastAsia" w:ascii="宋体" w:hAnsi="宋体"/>
          <w:b/>
          <w:bCs/>
          <w:sz w:val="21"/>
          <w:szCs w:val="21"/>
        </w:rPr>
        <w:t>2、业务数据接入与协议解析</w:t>
      </w:r>
    </w:p>
    <w:p>
      <w:pPr>
        <w:spacing w:line="460" w:lineRule="exact"/>
        <w:ind w:firstLine="420"/>
        <w:rPr>
          <w:rStyle w:val="43"/>
          <w:rFonts w:ascii="宋体" w:hAnsi="宋体"/>
          <w:sz w:val="21"/>
          <w:szCs w:val="21"/>
        </w:rPr>
      </w:pPr>
      <w:r>
        <w:rPr>
          <w:rStyle w:val="43"/>
          <w:rFonts w:hint="eastAsia" w:ascii="宋体" w:hAnsi="宋体"/>
          <w:sz w:val="21"/>
          <w:szCs w:val="21"/>
        </w:rPr>
        <w:t>支持企业ERP、CRM、SCM、MES信息系统数据接入，将采集连接的各类多源异构数据进行格式统一和语义解析，并进行数据剔除、压缩、缓存等操作后传输至云端。</w:t>
      </w:r>
    </w:p>
    <w:p>
      <w:pPr>
        <w:spacing w:line="460" w:lineRule="exact"/>
        <w:ind w:firstLine="420"/>
        <w:rPr>
          <w:rStyle w:val="43"/>
          <w:rFonts w:ascii="宋体" w:hAnsi="宋体"/>
          <w:sz w:val="21"/>
          <w:szCs w:val="21"/>
        </w:rPr>
      </w:pPr>
      <w:bookmarkStart w:id="97" w:name="_Toc1489957550"/>
      <w:r>
        <w:rPr>
          <w:rStyle w:val="43"/>
          <w:rFonts w:hint="eastAsia" w:ascii="宋体" w:hAnsi="宋体"/>
          <w:b/>
          <w:bCs/>
          <w:sz w:val="21"/>
          <w:szCs w:val="21"/>
        </w:rPr>
        <w:t>2.1工业云网关服务</w:t>
      </w:r>
      <w:bookmarkEnd w:id="97"/>
      <w:r>
        <w:rPr>
          <w:rStyle w:val="43"/>
          <w:rFonts w:ascii="宋体" w:hAnsi="宋体"/>
          <w:sz w:val="21"/>
          <w:szCs w:val="21"/>
        </w:rPr>
        <w:tab/>
      </w:r>
    </w:p>
    <w:p>
      <w:pPr>
        <w:spacing w:line="460" w:lineRule="exact"/>
        <w:ind w:firstLine="420"/>
        <w:rPr>
          <w:rStyle w:val="43"/>
          <w:rFonts w:ascii="宋体" w:hAnsi="宋体"/>
          <w:sz w:val="21"/>
          <w:szCs w:val="21"/>
        </w:rPr>
      </w:pPr>
      <w:r>
        <w:rPr>
          <w:rStyle w:val="43"/>
          <w:rFonts w:hint="eastAsia" w:ascii="宋体" w:hAnsi="宋体"/>
          <w:sz w:val="21"/>
          <w:szCs w:val="21"/>
        </w:rPr>
        <w:t>作为工业物联数据的入口，需要全面支持MQTT，WEBSOCKET、HTTP等协议，无缝对接标准协议设备。</w:t>
      </w:r>
    </w:p>
    <w:p>
      <w:pPr>
        <w:spacing w:line="460" w:lineRule="exact"/>
        <w:ind w:firstLine="420"/>
        <w:rPr>
          <w:rStyle w:val="43"/>
          <w:rFonts w:ascii="宋体" w:hAnsi="宋体"/>
          <w:b/>
          <w:bCs/>
          <w:sz w:val="21"/>
          <w:szCs w:val="21"/>
        </w:rPr>
      </w:pPr>
      <w:bookmarkStart w:id="98" w:name="_Toc2057218830"/>
      <w:r>
        <w:rPr>
          <w:rStyle w:val="43"/>
          <w:rFonts w:hint="eastAsia" w:ascii="宋体" w:hAnsi="宋体"/>
          <w:b/>
          <w:bCs/>
          <w:sz w:val="21"/>
          <w:szCs w:val="21"/>
        </w:rPr>
        <w:t>2.2数据库服务</w:t>
      </w:r>
      <w:bookmarkEnd w:id="98"/>
    </w:p>
    <w:p>
      <w:pPr>
        <w:spacing w:line="460" w:lineRule="exact"/>
        <w:ind w:firstLine="420"/>
        <w:rPr>
          <w:rStyle w:val="43"/>
          <w:rFonts w:ascii="宋体" w:hAnsi="宋体"/>
          <w:sz w:val="21"/>
          <w:szCs w:val="21"/>
        </w:rPr>
      </w:pPr>
      <w:r>
        <w:rPr>
          <w:rStyle w:val="43"/>
          <w:rFonts w:hint="eastAsia" w:ascii="宋体" w:hAnsi="宋体"/>
          <w:sz w:val="21"/>
          <w:szCs w:val="21"/>
        </w:rPr>
        <w:t>平台应提供数据存储水平扩展性，支持动态扩容，可灵活通过硬件资源的提升支持系统的数据增长。</w:t>
      </w:r>
    </w:p>
    <w:p>
      <w:pPr>
        <w:spacing w:line="460" w:lineRule="exact"/>
        <w:ind w:firstLine="420"/>
        <w:rPr>
          <w:rStyle w:val="43"/>
          <w:rFonts w:ascii="宋体" w:hAnsi="宋体"/>
          <w:sz w:val="21"/>
          <w:szCs w:val="21"/>
        </w:rPr>
      </w:pPr>
      <w:r>
        <w:rPr>
          <w:rStyle w:val="43"/>
          <w:rFonts w:hint="eastAsia" w:ascii="宋体" w:hAnsi="宋体"/>
          <w:sz w:val="21"/>
          <w:szCs w:val="21"/>
        </w:rPr>
        <w:t>平台需要内置My</w:t>
      </w:r>
      <w:r>
        <w:rPr>
          <w:rStyle w:val="43"/>
          <w:rFonts w:ascii="宋体" w:hAnsi="宋体"/>
          <w:sz w:val="21"/>
          <w:szCs w:val="21"/>
        </w:rPr>
        <w:t>SQL</w:t>
      </w:r>
      <w:r>
        <w:rPr>
          <w:rStyle w:val="43"/>
          <w:rFonts w:hint="eastAsia" w:ascii="宋体" w:hAnsi="宋体"/>
          <w:sz w:val="21"/>
          <w:szCs w:val="21"/>
        </w:rPr>
        <w:t>、MongoDB、Redis等数据库服务，并以服务目录的方式供平台上所有用户订阅使用这些服务。</w:t>
      </w:r>
    </w:p>
    <w:p>
      <w:pPr>
        <w:spacing w:line="460" w:lineRule="exact"/>
        <w:ind w:firstLine="420"/>
        <w:rPr>
          <w:rStyle w:val="43"/>
          <w:rFonts w:ascii="宋体" w:hAnsi="宋体"/>
          <w:b/>
          <w:bCs/>
          <w:sz w:val="21"/>
          <w:szCs w:val="21"/>
        </w:rPr>
      </w:pPr>
      <w:bookmarkStart w:id="99" w:name="_Toc1190159110"/>
      <w:r>
        <w:rPr>
          <w:rStyle w:val="43"/>
          <w:rFonts w:hint="eastAsia" w:ascii="宋体" w:hAnsi="宋体"/>
          <w:b/>
          <w:bCs/>
          <w:sz w:val="21"/>
          <w:szCs w:val="21"/>
        </w:rPr>
        <w:t>2.3对象存储服务</w:t>
      </w:r>
      <w:bookmarkEnd w:id="99"/>
    </w:p>
    <w:p>
      <w:pPr>
        <w:spacing w:line="460" w:lineRule="exact"/>
        <w:ind w:firstLine="420"/>
        <w:rPr>
          <w:rStyle w:val="43"/>
          <w:rFonts w:ascii="宋体" w:hAnsi="宋体"/>
          <w:sz w:val="21"/>
          <w:szCs w:val="21"/>
        </w:rPr>
      </w:pPr>
      <w:r>
        <w:rPr>
          <w:rStyle w:val="43"/>
          <w:rFonts w:hint="eastAsia" w:ascii="宋体" w:hAnsi="宋体"/>
          <w:sz w:val="21"/>
          <w:szCs w:val="21"/>
        </w:rPr>
        <w:t>平台需要内置Minio分布式对象存储服务，适合于存储大容量非结构化的数据，例如图片、视频、日志文件、备份数据和容器/虚拟机镜像等。</w:t>
      </w:r>
    </w:p>
    <w:p>
      <w:pPr>
        <w:spacing w:line="460" w:lineRule="exact"/>
        <w:ind w:firstLine="420"/>
        <w:rPr>
          <w:rStyle w:val="43"/>
          <w:rFonts w:ascii="宋体" w:hAnsi="宋体"/>
          <w:b/>
          <w:bCs/>
          <w:sz w:val="21"/>
          <w:szCs w:val="21"/>
        </w:rPr>
      </w:pPr>
      <w:bookmarkStart w:id="100" w:name="_Toc1341473612"/>
      <w:r>
        <w:rPr>
          <w:rStyle w:val="43"/>
          <w:rFonts w:hint="eastAsia" w:ascii="宋体" w:hAnsi="宋体"/>
          <w:b/>
          <w:bCs/>
          <w:sz w:val="21"/>
          <w:szCs w:val="21"/>
        </w:rPr>
        <w:t>2.4工业时序服务</w:t>
      </w:r>
      <w:bookmarkEnd w:id="100"/>
    </w:p>
    <w:p>
      <w:pPr>
        <w:spacing w:line="460" w:lineRule="exact"/>
        <w:ind w:firstLine="420"/>
        <w:rPr>
          <w:rStyle w:val="43"/>
          <w:rFonts w:ascii="宋体" w:hAnsi="宋体"/>
          <w:sz w:val="21"/>
          <w:szCs w:val="21"/>
        </w:rPr>
      </w:pPr>
      <w:r>
        <w:rPr>
          <w:rStyle w:val="43"/>
          <w:rFonts w:hint="eastAsia" w:ascii="宋体" w:hAnsi="宋体"/>
          <w:sz w:val="21"/>
          <w:szCs w:val="21"/>
        </w:rPr>
        <w:t>平台需要内置工业时序数据库服务：</w:t>
      </w:r>
    </w:p>
    <w:p>
      <w:pPr>
        <w:spacing w:line="460" w:lineRule="exact"/>
        <w:ind w:firstLine="420"/>
        <w:rPr>
          <w:rStyle w:val="43"/>
          <w:rFonts w:ascii="宋体" w:hAnsi="宋体"/>
          <w:sz w:val="21"/>
          <w:szCs w:val="21"/>
        </w:rPr>
      </w:pPr>
      <w:r>
        <w:rPr>
          <w:rStyle w:val="43"/>
          <w:rFonts w:hint="eastAsia" w:ascii="宋体" w:hAnsi="宋体"/>
          <w:sz w:val="21"/>
          <w:szCs w:val="21"/>
        </w:rPr>
        <w:t>（1）时序数据服务主要职责是实现时序数据的写入和查询，支持对时序数据的分析，可以对数据进行高效压缩，数据压缩比可达10:1，并为分析服务提供快速数据读取提供支持，单机TPS需达到10万每秒，查询必须毫秒级响应。</w:t>
      </w:r>
    </w:p>
    <w:p>
      <w:pPr>
        <w:spacing w:line="460" w:lineRule="exact"/>
        <w:ind w:firstLine="420"/>
        <w:rPr>
          <w:rStyle w:val="43"/>
          <w:rFonts w:ascii="宋体" w:hAnsi="宋体"/>
          <w:sz w:val="21"/>
          <w:szCs w:val="21"/>
        </w:rPr>
      </w:pPr>
      <w:r>
        <w:rPr>
          <w:rStyle w:val="43"/>
          <w:rFonts w:hint="eastAsia" w:ascii="宋体" w:hAnsi="宋体"/>
          <w:sz w:val="21"/>
          <w:szCs w:val="21"/>
        </w:rPr>
        <w:t>（2）支持单机与集群部署模式，提供多级级联与分布式部署能力，满足（集团）企业在不同时期的数据资产管理要求，可以灵活选择。</w:t>
      </w:r>
    </w:p>
    <w:p>
      <w:pPr>
        <w:spacing w:line="460" w:lineRule="exact"/>
        <w:ind w:firstLine="420"/>
        <w:rPr>
          <w:rStyle w:val="43"/>
          <w:rFonts w:ascii="宋体" w:hAnsi="宋体"/>
          <w:sz w:val="21"/>
          <w:szCs w:val="21"/>
        </w:rPr>
      </w:pPr>
      <w:r>
        <w:rPr>
          <w:rStyle w:val="43"/>
          <w:rFonts w:hint="eastAsia" w:ascii="宋体" w:hAnsi="宋体"/>
          <w:sz w:val="21"/>
          <w:szCs w:val="21"/>
        </w:rPr>
        <w:t>（3）支持平台外部数据源数据集成与同步。</w:t>
      </w:r>
    </w:p>
    <w:p>
      <w:pPr>
        <w:spacing w:line="460" w:lineRule="exact"/>
        <w:ind w:firstLine="420"/>
        <w:rPr>
          <w:rStyle w:val="43"/>
          <w:rFonts w:ascii="宋体" w:hAnsi="宋体"/>
          <w:b/>
          <w:bCs/>
          <w:sz w:val="21"/>
          <w:szCs w:val="21"/>
        </w:rPr>
      </w:pPr>
      <w:bookmarkStart w:id="101" w:name="_Toc1863670678"/>
      <w:r>
        <w:rPr>
          <w:rStyle w:val="43"/>
          <w:rFonts w:hint="eastAsia" w:ascii="宋体" w:hAnsi="宋体"/>
          <w:b/>
          <w:bCs/>
          <w:sz w:val="21"/>
          <w:szCs w:val="21"/>
        </w:rPr>
        <w:t>2.5数据治理服务</w:t>
      </w:r>
      <w:bookmarkEnd w:id="101"/>
    </w:p>
    <w:p>
      <w:pPr>
        <w:spacing w:line="460" w:lineRule="exact"/>
        <w:ind w:firstLine="420"/>
        <w:rPr>
          <w:rStyle w:val="43"/>
          <w:rFonts w:ascii="宋体" w:hAnsi="宋体"/>
          <w:sz w:val="21"/>
          <w:szCs w:val="21"/>
        </w:rPr>
      </w:pPr>
      <w:r>
        <w:rPr>
          <w:rStyle w:val="43"/>
          <w:rFonts w:hint="eastAsia" w:ascii="宋体" w:hAnsi="宋体"/>
          <w:sz w:val="21"/>
          <w:szCs w:val="21"/>
        </w:rPr>
        <w:t>元数据管理：包括元数据基础数据管理和元数据应用，主要功能点包括元数据检索、数据模型管理、元数据管理、血缘关系等。统一的元数据管理，旨在理清平台有哪些数据、分布在哪里、数据的类型、数据血缘与影响关系。</w:t>
      </w:r>
    </w:p>
    <w:p>
      <w:pPr>
        <w:spacing w:line="460" w:lineRule="exact"/>
        <w:ind w:firstLine="420"/>
        <w:rPr>
          <w:rStyle w:val="43"/>
          <w:rFonts w:ascii="宋体" w:hAnsi="宋体"/>
          <w:sz w:val="21"/>
          <w:szCs w:val="21"/>
        </w:rPr>
      </w:pPr>
      <w:r>
        <w:rPr>
          <w:rStyle w:val="43"/>
          <w:rFonts w:hint="eastAsia" w:ascii="宋体" w:hAnsi="宋体"/>
          <w:sz w:val="21"/>
          <w:szCs w:val="21"/>
        </w:rPr>
        <w:t>数据质量判别与清洗服务：主要为上层应用系统提供清洗规则管理、原始时序数据质量判别与清洗、异常/清洗数据的存储与访问等能力，需要满足1000个实时清洗任务同时进行、100个批量清洗任务同时进行。</w:t>
      </w:r>
    </w:p>
    <w:p>
      <w:pPr>
        <w:spacing w:line="460" w:lineRule="exact"/>
        <w:ind w:firstLine="420"/>
        <w:rPr>
          <w:rStyle w:val="43"/>
          <w:rFonts w:ascii="宋体" w:hAnsi="宋体"/>
          <w:b/>
          <w:bCs/>
          <w:sz w:val="21"/>
          <w:szCs w:val="21"/>
        </w:rPr>
      </w:pPr>
      <w:bookmarkStart w:id="102" w:name="_Toc1664093651"/>
      <w:r>
        <w:rPr>
          <w:rStyle w:val="43"/>
          <w:rFonts w:hint="eastAsia" w:ascii="宋体" w:hAnsi="宋体"/>
          <w:b/>
          <w:bCs/>
          <w:sz w:val="21"/>
          <w:szCs w:val="21"/>
        </w:rPr>
        <w:t>2.6数据集成服务</w:t>
      </w:r>
      <w:bookmarkEnd w:id="102"/>
    </w:p>
    <w:p>
      <w:pPr>
        <w:spacing w:line="460" w:lineRule="exact"/>
        <w:ind w:firstLine="420"/>
        <w:rPr>
          <w:rStyle w:val="43"/>
          <w:rFonts w:ascii="宋体" w:hAnsi="宋体"/>
          <w:sz w:val="21"/>
          <w:szCs w:val="21"/>
        </w:rPr>
      </w:pPr>
      <w:r>
        <w:rPr>
          <w:rStyle w:val="43"/>
          <w:rFonts w:hint="eastAsia" w:ascii="宋体" w:hAnsi="宋体"/>
          <w:sz w:val="21"/>
          <w:szCs w:val="21"/>
        </w:rPr>
        <w:t>数据集成服务的目标是建立一个数据交换平台，来联系横贯整个企业的异构系统、应用、数据源等，完成在企业内部的ERP、CRM、SCM、M</w:t>
      </w:r>
      <w:r>
        <w:rPr>
          <w:rStyle w:val="43"/>
          <w:rFonts w:ascii="宋体" w:hAnsi="宋体"/>
          <w:sz w:val="21"/>
          <w:szCs w:val="21"/>
        </w:rPr>
        <w:t>ES</w:t>
      </w:r>
      <w:r>
        <w:rPr>
          <w:rStyle w:val="43"/>
          <w:rFonts w:hint="eastAsia" w:ascii="宋体" w:hAnsi="宋体"/>
          <w:sz w:val="21"/>
          <w:szCs w:val="21"/>
        </w:rPr>
        <w:t>、数据库、数据仓库，以及其它重要的内部系统之间无缝地共享和交换数据的需要。该服务主要的功能将异构的数据经过抽取、清洗转换之后加载到目的数据源中，包含如下具体功能：</w:t>
      </w:r>
    </w:p>
    <w:p>
      <w:pPr>
        <w:spacing w:line="460" w:lineRule="exact"/>
        <w:ind w:firstLine="420"/>
        <w:rPr>
          <w:rStyle w:val="43"/>
          <w:rFonts w:ascii="宋体" w:hAnsi="宋体"/>
          <w:sz w:val="21"/>
          <w:szCs w:val="21"/>
        </w:rPr>
      </w:pPr>
      <w:r>
        <w:rPr>
          <w:rStyle w:val="43"/>
          <w:rFonts w:hint="eastAsia" w:ascii="宋体" w:hAnsi="宋体"/>
          <w:sz w:val="21"/>
          <w:szCs w:val="21"/>
        </w:rPr>
        <w:t>a)数据抽取</w:t>
      </w:r>
    </w:p>
    <w:p>
      <w:pPr>
        <w:spacing w:line="460" w:lineRule="exact"/>
        <w:ind w:firstLine="420"/>
        <w:rPr>
          <w:rStyle w:val="43"/>
          <w:rFonts w:ascii="宋体" w:hAnsi="宋体"/>
          <w:sz w:val="21"/>
          <w:szCs w:val="21"/>
        </w:rPr>
      </w:pPr>
      <w:r>
        <w:rPr>
          <w:rStyle w:val="43"/>
          <w:rFonts w:hint="eastAsia" w:ascii="宋体" w:hAnsi="宋体"/>
          <w:sz w:val="21"/>
          <w:szCs w:val="21"/>
        </w:rPr>
        <w:t>支持全量抽取与增量抽取。数据抽取触发条件提供选择配置页面，触发条件支持周期、定时、值/事件变化触发、报警/日志通知触发。</w:t>
      </w:r>
    </w:p>
    <w:p>
      <w:pPr>
        <w:spacing w:line="460" w:lineRule="exact"/>
        <w:ind w:firstLine="420"/>
        <w:rPr>
          <w:rStyle w:val="43"/>
          <w:rFonts w:ascii="宋体" w:hAnsi="宋体"/>
          <w:sz w:val="21"/>
          <w:szCs w:val="21"/>
        </w:rPr>
      </w:pPr>
      <w:r>
        <w:rPr>
          <w:rStyle w:val="43"/>
          <w:rFonts w:hint="eastAsia" w:ascii="宋体" w:hAnsi="宋体"/>
          <w:sz w:val="21"/>
          <w:szCs w:val="21"/>
        </w:rPr>
        <w:t>b)</w:t>
      </w:r>
      <w:r>
        <w:rPr>
          <w:rStyle w:val="43"/>
          <w:rFonts w:hint="eastAsia" w:ascii="宋体" w:hAnsi="宋体"/>
          <w:sz w:val="21"/>
          <w:szCs w:val="21"/>
        </w:rPr>
        <w:tab/>
      </w:r>
      <w:r>
        <w:rPr>
          <w:rStyle w:val="43"/>
          <w:rFonts w:hint="eastAsia" w:ascii="宋体" w:hAnsi="宋体"/>
          <w:sz w:val="21"/>
          <w:szCs w:val="21"/>
        </w:rPr>
        <w:t>数据转换</w:t>
      </w:r>
    </w:p>
    <w:p>
      <w:pPr>
        <w:spacing w:line="460" w:lineRule="exact"/>
        <w:ind w:firstLine="420"/>
        <w:rPr>
          <w:rStyle w:val="43"/>
          <w:rFonts w:ascii="宋体" w:hAnsi="宋体"/>
          <w:sz w:val="21"/>
          <w:szCs w:val="21"/>
        </w:rPr>
      </w:pPr>
      <w:r>
        <w:rPr>
          <w:rStyle w:val="43"/>
          <w:rFonts w:hint="eastAsia" w:ascii="宋体" w:hAnsi="宋体"/>
          <w:sz w:val="21"/>
          <w:szCs w:val="21"/>
        </w:rPr>
        <w:t>数据转换在输入和输出之间，数据要经过校验、分隔、合并、排序、删除、替换、解密等操作。ETL工具应支持常用的转化组件，同时也支持定制转化插件。</w:t>
      </w:r>
    </w:p>
    <w:p>
      <w:pPr>
        <w:spacing w:line="460" w:lineRule="exact"/>
        <w:ind w:firstLine="420"/>
        <w:rPr>
          <w:rStyle w:val="43"/>
          <w:rFonts w:ascii="宋体" w:hAnsi="宋体"/>
          <w:sz w:val="21"/>
          <w:szCs w:val="21"/>
        </w:rPr>
      </w:pPr>
      <w:r>
        <w:rPr>
          <w:rStyle w:val="43"/>
          <w:rFonts w:hint="eastAsia" w:ascii="宋体" w:hAnsi="宋体"/>
          <w:sz w:val="21"/>
          <w:szCs w:val="21"/>
        </w:rPr>
        <w:t>根据源端数据，去其他源查询并获取数据，其他源包括但不限于</w:t>
      </w:r>
      <w:r>
        <w:rPr>
          <w:rStyle w:val="43"/>
          <w:rFonts w:ascii="宋体" w:hAnsi="宋体"/>
          <w:sz w:val="21"/>
          <w:szCs w:val="21"/>
        </w:rPr>
        <w:t>MySql</w:t>
      </w:r>
      <w:r>
        <w:rPr>
          <w:rStyle w:val="43"/>
          <w:rFonts w:hint="eastAsia" w:ascii="宋体" w:hAnsi="宋体"/>
          <w:sz w:val="21"/>
          <w:szCs w:val="21"/>
        </w:rPr>
        <w:t>、</w:t>
      </w:r>
      <w:r>
        <w:rPr>
          <w:rStyle w:val="43"/>
          <w:rFonts w:ascii="宋体" w:hAnsi="宋体"/>
          <w:sz w:val="21"/>
          <w:szCs w:val="21"/>
        </w:rPr>
        <w:t>Oracle</w:t>
      </w:r>
      <w:r>
        <w:rPr>
          <w:rStyle w:val="43"/>
          <w:rFonts w:hint="eastAsia" w:ascii="宋体" w:hAnsi="宋体"/>
          <w:sz w:val="21"/>
          <w:szCs w:val="21"/>
        </w:rPr>
        <w:t>、</w:t>
      </w:r>
      <w:r>
        <w:rPr>
          <w:rStyle w:val="43"/>
          <w:rFonts w:ascii="宋体" w:hAnsi="宋体"/>
          <w:sz w:val="21"/>
          <w:szCs w:val="21"/>
        </w:rPr>
        <w:t>MS SQL</w:t>
      </w:r>
      <w:r>
        <w:rPr>
          <w:rStyle w:val="43"/>
          <w:rFonts w:hint="eastAsia" w:ascii="宋体" w:hAnsi="宋体"/>
          <w:sz w:val="21"/>
          <w:szCs w:val="21"/>
        </w:rPr>
        <w:t>、</w:t>
      </w:r>
      <w:r>
        <w:rPr>
          <w:rStyle w:val="43"/>
          <w:rFonts w:ascii="宋体" w:hAnsi="宋体"/>
          <w:sz w:val="21"/>
          <w:szCs w:val="21"/>
        </w:rPr>
        <w:t>PostgreSQL</w:t>
      </w:r>
      <w:r>
        <w:rPr>
          <w:rStyle w:val="43"/>
          <w:rFonts w:hint="eastAsia" w:ascii="宋体" w:hAnsi="宋体"/>
          <w:sz w:val="21"/>
          <w:szCs w:val="21"/>
        </w:rPr>
        <w:t>等关系型数据库、</w:t>
      </w:r>
      <w:r>
        <w:rPr>
          <w:rStyle w:val="43"/>
          <w:rFonts w:ascii="宋体" w:hAnsi="宋体"/>
          <w:sz w:val="21"/>
          <w:szCs w:val="21"/>
        </w:rPr>
        <w:t>Redis</w:t>
      </w:r>
      <w:r>
        <w:rPr>
          <w:rStyle w:val="43"/>
          <w:rFonts w:hint="eastAsia" w:ascii="宋体" w:hAnsi="宋体"/>
          <w:sz w:val="21"/>
          <w:szCs w:val="21"/>
        </w:rPr>
        <w:t>、</w:t>
      </w:r>
      <w:r>
        <w:rPr>
          <w:rStyle w:val="43"/>
          <w:rFonts w:ascii="宋体" w:hAnsi="宋体"/>
          <w:sz w:val="21"/>
          <w:szCs w:val="21"/>
        </w:rPr>
        <w:t>HBase</w:t>
      </w:r>
      <w:r>
        <w:rPr>
          <w:rStyle w:val="43"/>
          <w:rFonts w:hint="eastAsia" w:ascii="宋体" w:hAnsi="宋体"/>
          <w:sz w:val="21"/>
          <w:szCs w:val="21"/>
        </w:rPr>
        <w:t>。</w:t>
      </w:r>
    </w:p>
    <w:p>
      <w:pPr>
        <w:spacing w:line="460" w:lineRule="exact"/>
        <w:ind w:firstLine="420"/>
        <w:rPr>
          <w:rStyle w:val="43"/>
          <w:rFonts w:ascii="宋体" w:hAnsi="宋体"/>
          <w:sz w:val="21"/>
          <w:szCs w:val="21"/>
        </w:rPr>
      </w:pPr>
      <w:r>
        <w:rPr>
          <w:rStyle w:val="43"/>
          <w:rFonts w:hint="eastAsia" w:ascii="宋体" w:hAnsi="宋体"/>
          <w:sz w:val="21"/>
          <w:szCs w:val="21"/>
        </w:rPr>
        <w:t>c)</w:t>
      </w:r>
      <w:r>
        <w:rPr>
          <w:rStyle w:val="43"/>
          <w:rFonts w:hint="eastAsia" w:ascii="宋体" w:hAnsi="宋体"/>
          <w:sz w:val="21"/>
          <w:szCs w:val="21"/>
        </w:rPr>
        <w:tab/>
      </w:r>
      <w:r>
        <w:rPr>
          <w:rStyle w:val="43"/>
          <w:rFonts w:hint="eastAsia" w:ascii="宋体" w:hAnsi="宋体"/>
          <w:sz w:val="21"/>
          <w:szCs w:val="21"/>
        </w:rPr>
        <w:t>数据转储</w:t>
      </w:r>
    </w:p>
    <w:p>
      <w:pPr>
        <w:spacing w:line="460" w:lineRule="exact"/>
        <w:ind w:firstLine="420"/>
        <w:rPr>
          <w:rStyle w:val="43"/>
          <w:rFonts w:ascii="宋体" w:hAnsi="宋体"/>
          <w:sz w:val="21"/>
          <w:szCs w:val="21"/>
        </w:rPr>
      </w:pPr>
      <w:r>
        <w:rPr>
          <w:rStyle w:val="43"/>
          <w:rFonts w:hint="eastAsia" w:ascii="宋体" w:hAnsi="宋体"/>
          <w:sz w:val="21"/>
          <w:szCs w:val="21"/>
        </w:rPr>
        <w:t>支持将转换后的数据装载到目的数据存储。</w:t>
      </w:r>
    </w:p>
    <w:p>
      <w:pPr>
        <w:spacing w:line="460" w:lineRule="exact"/>
        <w:ind w:firstLine="420"/>
        <w:rPr>
          <w:rStyle w:val="43"/>
          <w:rFonts w:ascii="宋体" w:hAnsi="宋体"/>
          <w:sz w:val="21"/>
          <w:szCs w:val="21"/>
        </w:rPr>
      </w:pPr>
      <w:r>
        <w:rPr>
          <w:rStyle w:val="43"/>
          <w:rFonts w:hint="eastAsia" w:ascii="宋体" w:hAnsi="宋体"/>
          <w:sz w:val="21"/>
          <w:szCs w:val="21"/>
        </w:rPr>
        <w:t>支持以下几种抽取数据源：</w:t>
      </w:r>
    </w:p>
    <w:p>
      <w:pPr>
        <w:spacing w:line="460" w:lineRule="exact"/>
        <w:ind w:firstLine="420"/>
        <w:rPr>
          <w:rStyle w:val="43"/>
          <w:rFonts w:ascii="宋体" w:hAnsi="宋体"/>
          <w:sz w:val="21"/>
          <w:szCs w:val="21"/>
        </w:rPr>
      </w:pPr>
      <w:r>
        <w:rPr>
          <w:rStyle w:val="43"/>
          <w:rFonts w:hint="eastAsia" w:ascii="宋体" w:hAnsi="宋体"/>
          <w:sz w:val="21"/>
          <w:szCs w:val="21"/>
        </w:rPr>
        <w:t>1)</w:t>
      </w:r>
      <w:r>
        <w:rPr>
          <w:rStyle w:val="43"/>
          <w:rFonts w:hint="eastAsia" w:ascii="宋体" w:hAnsi="宋体"/>
          <w:sz w:val="21"/>
          <w:szCs w:val="21"/>
        </w:rPr>
        <w:tab/>
      </w:r>
      <w:r>
        <w:rPr>
          <w:rStyle w:val="43"/>
          <w:rFonts w:hint="eastAsia" w:ascii="宋体" w:hAnsi="宋体"/>
          <w:sz w:val="21"/>
          <w:szCs w:val="21"/>
        </w:rPr>
        <w:t>关系库：MySQL、Oracle、SQL Server、SQLite、DB2、Access等</w:t>
      </w:r>
    </w:p>
    <w:p>
      <w:pPr>
        <w:spacing w:line="460" w:lineRule="exact"/>
        <w:ind w:firstLine="420"/>
        <w:rPr>
          <w:rStyle w:val="43"/>
          <w:rFonts w:ascii="宋体" w:hAnsi="宋体"/>
          <w:sz w:val="21"/>
          <w:szCs w:val="21"/>
        </w:rPr>
      </w:pPr>
      <w:r>
        <w:rPr>
          <w:rStyle w:val="43"/>
          <w:rFonts w:hint="eastAsia" w:ascii="宋体" w:hAnsi="宋体"/>
          <w:sz w:val="21"/>
          <w:szCs w:val="21"/>
        </w:rPr>
        <w:t>2)</w:t>
      </w:r>
      <w:r>
        <w:rPr>
          <w:rStyle w:val="43"/>
          <w:rFonts w:hint="eastAsia" w:ascii="宋体" w:hAnsi="宋体"/>
          <w:sz w:val="21"/>
          <w:szCs w:val="21"/>
        </w:rPr>
        <w:tab/>
      </w:r>
      <w:r>
        <w:rPr>
          <w:rStyle w:val="43"/>
          <w:rFonts w:hint="eastAsia" w:ascii="宋体" w:hAnsi="宋体"/>
          <w:sz w:val="21"/>
          <w:szCs w:val="21"/>
        </w:rPr>
        <w:t>NoSQL数据库：HBase、Redis、MongoDB、Redis、InfluxDB等</w:t>
      </w:r>
    </w:p>
    <w:p>
      <w:pPr>
        <w:spacing w:line="460" w:lineRule="exact"/>
        <w:ind w:firstLine="420"/>
        <w:rPr>
          <w:rStyle w:val="43"/>
          <w:rFonts w:ascii="宋体" w:hAnsi="宋体"/>
          <w:sz w:val="21"/>
          <w:szCs w:val="21"/>
        </w:rPr>
      </w:pPr>
      <w:r>
        <w:rPr>
          <w:rStyle w:val="43"/>
          <w:rFonts w:hint="eastAsia" w:ascii="宋体" w:hAnsi="宋体"/>
          <w:sz w:val="21"/>
          <w:szCs w:val="21"/>
        </w:rPr>
        <w:t>3)</w:t>
      </w:r>
      <w:r>
        <w:rPr>
          <w:rStyle w:val="43"/>
          <w:rFonts w:hint="eastAsia" w:ascii="宋体" w:hAnsi="宋体"/>
          <w:sz w:val="21"/>
          <w:szCs w:val="21"/>
        </w:rPr>
        <w:tab/>
      </w:r>
      <w:r>
        <w:rPr>
          <w:rStyle w:val="43"/>
          <w:rFonts w:hint="eastAsia" w:ascii="宋体" w:hAnsi="宋体"/>
          <w:sz w:val="21"/>
          <w:szCs w:val="21"/>
        </w:rPr>
        <w:t>文件类型：txt、excel、xml、csv、json格式等。</w:t>
      </w:r>
    </w:p>
    <w:p>
      <w:pPr>
        <w:spacing w:line="460" w:lineRule="exact"/>
        <w:ind w:firstLine="420"/>
        <w:rPr>
          <w:rStyle w:val="43"/>
          <w:rFonts w:ascii="宋体" w:hAnsi="宋体"/>
          <w:sz w:val="21"/>
          <w:szCs w:val="21"/>
        </w:rPr>
      </w:pPr>
      <w:r>
        <w:rPr>
          <w:rStyle w:val="43"/>
          <w:rFonts w:hint="eastAsia" w:ascii="宋体" w:hAnsi="宋体"/>
          <w:sz w:val="21"/>
          <w:szCs w:val="21"/>
        </w:rPr>
        <w:t>4)</w:t>
      </w:r>
      <w:r>
        <w:rPr>
          <w:rStyle w:val="43"/>
          <w:rFonts w:hint="eastAsia" w:ascii="宋体" w:hAnsi="宋体"/>
          <w:sz w:val="21"/>
          <w:szCs w:val="21"/>
        </w:rPr>
        <w:tab/>
      </w:r>
      <w:r>
        <w:rPr>
          <w:rStyle w:val="43"/>
          <w:rFonts w:hint="eastAsia" w:ascii="宋体" w:hAnsi="宋体"/>
          <w:sz w:val="21"/>
          <w:szCs w:val="21"/>
        </w:rPr>
        <w:t>程序接口数据源：Restful WebService、SOAP Webservice。</w:t>
      </w:r>
    </w:p>
    <w:p>
      <w:pPr>
        <w:spacing w:line="460" w:lineRule="exact"/>
        <w:ind w:firstLine="420"/>
        <w:rPr>
          <w:rStyle w:val="43"/>
          <w:rFonts w:ascii="宋体" w:hAnsi="宋体"/>
          <w:sz w:val="21"/>
          <w:szCs w:val="21"/>
        </w:rPr>
      </w:pPr>
      <w:r>
        <w:rPr>
          <w:rStyle w:val="43"/>
          <w:rFonts w:hint="eastAsia" w:ascii="宋体" w:hAnsi="宋体"/>
          <w:sz w:val="21"/>
          <w:szCs w:val="21"/>
        </w:rPr>
        <w:t>5)</w:t>
      </w:r>
      <w:r>
        <w:rPr>
          <w:rStyle w:val="43"/>
          <w:rFonts w:hint="eastAsia" w:ascii="宋体" w:hAnsi="宋体"/>
          <w:sz w:val="21"/>
          <w:szCs w:val="21"/>
        </w:rPr>
        <w:tab/>
      </w:r>
      <w:r>
        <w:rPr>
          <w:rStyle w:val="43"/>
          <w:rFonts w:hint="eastAsia" w:ascii="宋体" w:hAnsi="宋体"/>
          <w:sz w:val="21"/>
          <w:szCs w:val="21"/>
        </w:rPr>
        <w:t>支持WebSocket：支持通过向WebSocket Server建立连接来读取WebSocket URL的数据。</w:t>
      </w:r>
    </w:p>
    <w:p>
      <w:pPr>
        <w:spacing w:line="460" w:lineRule="exact"/>
        <w:ind w:firstLine="420"/>
        <w:rPr>
          <w:rStyle w:val="43"/>
          <w:rFonts w:ascii="宋体" w:hAnsi="宋体"/>
          <w:sz w:val="21"/>
          <w:szCs w:val="21"/>
        </w:rPr>
      </w:pPr>
      <w:r>
        <w:rPr>
          <w:rStyle w:val="43"/>
          <w:rFonts w:hint="eastAsia" w:ascii="宋体" w:hAnsi="宋体"/>
          <w:sz w:val="21"/>
          <w:szCs w:val="21"/>
        </w:rPr>
        <w:t>6)</w:t>
      </w:r>
      <w:r>
        <w:rPr>
          <w:rStyle w:val="43"/>
          <w:rFonts w:hint="eastAsia" w:ascii="宋体" w:hAnsi="宋体"/>
          <w:sz w:val="21"/>
          <w:szCs w:val="21"/>
        </w:rPr>
        <w:tab/>
      </w:r>
      <w:r>
        <w:rPr>
          <w:rStyle w:val="43"/>
          <w:rFonts w:hint="eastAsia" w:ascii="宋体" w:hAnsi="宋体"/>
          <w:sz w:val="21"/>
          <w:szCs w:val="21"/>
        </w:rPr>
        <w:t>支持工业协议MQTT、OPC UA、CoAP。</w:t>
      </w:r>
    </w:p>
    <w:p>
      <w:pPr>
        <w:spacing w:line="460" w:lineRule="exact"/>
        <w:ind w:firstLine="420"/>
        <w:rPr>
          <w:rStyle w:val="43"/>
          <w:rFonts w:ascii="宋体" w:hAnsi="宋体"/>
          <w:sz w:val="21"/>
          <w:szCs w:val="21"/>
        </w:rPr>
      </w:pPr>
      <w:r>
        <w:rPr>
          <w:rStyle w:val="43"/>
          <w:rFonts w:hint="eastAsia" w:ascii="宋体" w:hAnsi="宋体"/>
          <w:sz w:val="21"/>
          <w:szCs w:val="21"/>
        </w:rPr>
        <w:t>7)</w:t>
      </w:r>
      <w:r>
        <w:rPr>
          <w:rStyle w:val="43"/>
          <w:rFonts w:hint="eastAsia" w:ascii="宋体" w:hAnsi="宋体"/>
          <w:sz w:val="21"/>
          <w:szCs w:val="21"/>
        </w:rPr>
        <w:tab/>
      </w:r>
      <w:r>
        <w:rPr>
          <w:rStyle w:val="43"/>
          <w:rFonts w:hint="eastAsia" w:ascii="宋体" w:hAnsi="宋体"/>
          <w:sz w:val="21"/>
          <w:szCs w:val="21"/>
        </w:rPr>
        <w:t>支持消息组件Kafka、RocketMQ、RabbitMQ的数据采集。</w:t>
      </w:r>
    </w:p>
    <w:p>
      <w:pPr>
        <w:spacing w:line="460" w:lineRule="exact"/>
        <w:ind w:firstLine="420"/>
        <w:rPr>
          <w:rStyle w:val="43"/>
          <w:rFonts w:ascii="宋体" w:hAnsi="宋体"/>
          <w:sz w:val="21"/>
          <w:szCs w:val="21"/>
        </w:rPr>
      </w:pPr>
      <w:r>
        <w:rPr>
          <w:rStyle w:val="43"/>
          <w:rFonts w:hint="eastAsia" w:ascii="宋体" w:hAnsi="宋体"/>
          <w:sz w:val="21"/>
          <w:szCs w:val="21"/>
        </w:rPr>
        <w:t>8)</w:t>
      </w:r>
      <w:r>
        <w:rPr>
          <w:rStyle w:val="43"/>
          <w:rFonts w:hint="eastAsia" w:ascii="宋体" w:hAnsi="宋体"/>
          <w:sz w:val="21"/>
          <w:szCs w:val="21"/>
        </w:rPr>
        <w:tab/>
      </w:r>
      <w:r>
        <w:rPr>
          <w:rStyle w:val="43"/>
          <w:rFonts w:hint="eastAsia" w:ascii="宋体" w:hAnsi="宋体"/>
          <w:sz w:val="21"/>
          <w:szCs w:val="21"/>
        </w:rPr>
        <w:t>其它数据源：支持定制抽取数据源插件。</w:t>
      </w:r>
    </w:p>
    <w:p>
      <w:pPr>
        <w:spacing w:line="460" w:lineRule="exact"/>
        <w:ind w:firstLine="420"/>
        <w:rPr>
          <w:rStyle w:val="43"/>
          <w:rFonts w:ascii="宋体" w:hAnsi="宋体"/>
          <w:sz w:val="21"/>
          <w:szCs w:val="21"/>
        </w:rPr>
      </w:pPr>
      <w:r>
        <w:rPr>
          <w:rStyle w:val="43"/>
          <w:rFonts w:hint="eastAsia" w:ascii="宋体" w:hAnsi="宋体"/>
          <w:sz w:val="21"/>
          <w:szCs w:val="21"/>
        </w:rPr>
        <w:t>支持将转换后的数据装载到如下目的数据：</w:t>
      </w:r>
    </w:p>
    <w:p>
      <w:pPr>
        <w:spacing w:line="460" w:lineRule="exact"/>
        <w:ind w:firstLine="420"/>
        <w:rPr>
          <w:rStyle w:val="43"/>
          <w:rFonts w:ascii="宋体" w:hAnsi="宋体"/>
          <w:sz w:val="21"/>
          <w:szCs w:val="21"/>
        </w:rPr>
      </w:pPr>
      <w:r>
        <w:rPr>
          <w:rStyle w:val="43"/>
          <w:rFonts w:hint="eastAsia" w:ascii="宋体" w:hAnsi="宋体"/>
          <w:sz w:val="21"/>
          <w:szCs w:val="21"/>
        </w:rPr>
        <w:t>1)</w:t>
      </w:r>
      <w:r>
        <w:rPr>
          <w:rStyle w:val="43"/>
          <w:rFonts w:hint="eastAsia" w:ascii="宋体" w:hAnsi="宋体"/>
          <w:sz w:val="21"/>
          <w:szCs w:val="21"/>
        </w:rPr>
        <w:tab/>
      </w:r>
      <w:r>
        <w:rPr>
          <w:rStyle w:val="43"/>
          <w:rFonts w:hint="eastAsia" w:ascii="宋体" w:hAnsi="宋体"/>
          <w:sz w:val="21"/>
          <w:szCs w:val="21"/>
        </w:rPr>
        <w:t>关系库：MySQL、Oracle、SQL Server、SQLite、DB2、Access、MySQL等</w:t>
      </w:r>
    </w:p>
    <w:p>
      <w:pPr>
        <w:spacing w:line="460" w:lineRule="exact"/>
        <w:ind w:firstLine="420"/>
        <w:rPr>
          <w:rStyle w:val="43"/>
          <w:rFonts w:ascii="宋体" w:hAnsi="宋体"/>
          <w:sz w:val="21"/>
          <w:szCs w:val="21"/>
        </w:rPr>
      </w:pPr>
      <w:r>
        <w:rPr>
          <w:rStyle w:val="43"/>
          <w:rFonts w:hint="eastAsia" w:ascii="宋体" w:hAnsi="宋体"/>
          <w:sz w:val="21"/>
          <w:szCs w:val="21"/>
        </w:rPr>
        <w:t>数据库信息（IP、端口、库名、密码等），数据库表、字符集、字段等可配置，可配置序列号;</w:t>
      </w:r>
    </w:p>
    <w:p>
      <w:pPr>
        <w:spacing w:line="460" w:lineRule="exact"/>
        <w:ind w:firstLine="420"/>
        <w:rPr>
          <w:rStyle w:val="43"/>
          <w:rFonts w:ascii="宋体" w:hAnsi="宋体"/>
          <w:sz w:val="21"/>
          <w:szCs w:val="21"/>
        </w:rPr>
      </w:pPr>
      <w:r>
        <w:rPr>
          <w:rStyle w:val="43"/>
          <w:rFonts w:hint="eastAsia" w:ascii="宋体" w:hAnsi="宋体"/>
          <w:sz w:val="21"/>
          <w:szCs w:val="21"/>
        </w:rPr>
        <w:t>2)</w:t>
      </w:r>
      <w:r>
        <w:rPr>
          <w:rStyle w:val="43"/>
          <w:rFonts w:hint="eastAsia" w:ascii="宋体" w:hAnsi="宋体"/>
          <w:sz w:val="21"/>
          <w:szCs w:val="21"/>
        </w:rPr>
        <w:tab/>
      </w:r>
      <w:r>
        <w:rPr>
          <w:rStyle w:val="43"/>
          <w:rFonts w:hint="eastAsia" w:ascii="宋体" w:hAnsi="宋体"/>
          <w:sz w:val="21"/>
          <w:szCs w:val="21"/>
        </w:rPr>
        <w:t>NoSQL数据库：HBase、Redis、MongodDB、Redis、InfluxDB等;</w:t>
      </w:r>
    </w:p>
    <w:p>
      <w:pPr>
        <w:spacing w:line="460" w:lineRule="exact"/>
        <w:ind w:firstLine="420"/>
        <w:rPr>
          <w:rStyle w:val="43"/>
          <w:rFonts w:ascii="宋体" w:hAnsi="宋体"/>
          <w:sz w:val="21"/>
          <w:szCs w:val="21"/>
        </w:rPr>
      </w:pPr>
      <w:r>
        <w:rPr>
          <w:rStyle w:val="43"/>
          <w:rFonts w:hint="eastAsia" w:ascii="宋体" w:hAnsi="宋体"/>
          <w:sz w:val="21"/>
          <w:szCs w:val="21"/>
        </w:rPr>
        <w:t>3)</w:t>
      </w:r>
      <w:r>
        <w:rPr>
          <w:rStyle w:val="43"/>
          <w:rFonts w:hint="eastAsia" w:ascii="宋体" w:hAnsi="宋体"/>
          <w:sz w:val="21"/>
          <w:szCs w:val="21"/>
        </w:rPr>
        <w:tab/>
      </w:r>
      <w:r>
        <w:rPr>
          <w:rStyle w:val="43"/>
          <w:rFonts w:hint="eastAsia" w:ascii="宋体" w:hAnsi="宋体"/>
          <w:sz w:val="21"/>
          <w:szCs w:val="21"/>
        </w:rPr>
        <w:t>文件类型：txt、excel、xml、csv、json格式等;</w:t>
      </w:r>
    </w:p>
    <w:p>
      <w:pPr>
        <w:spacing w:line="460" w:lineRule="exact"/>
        <w:ind w:firstLine="420"/>
        <w:rPr>
          <w:rStyle w:val="43"/>
          <w:rFonts w:ascii="宋体" w:hAnsi="宋体"/>
          <w:sz w:val="21"/>
          <w:szCs w:val="21"/>
        </w:rPr>
      </w:pPr>
      <w:r>
        <w:rPr>
          <w:rStyle w:val="43"/>
          <w:rFonts w:hint="eastAsia" w:ascii="宋体" w:hAnsi="宋体"/>
          <w:sz w:val="21"/>
          <w:szCs w:val="21"/>
        </w:rPr>
        <w:t>4)</w:t>
      </w:r>
      <w:r>
        <w:rPr>
          <w:rStyle w:val="43"/>
          <w:rFonts w:hint="eastAsia" w:ascii="宋体" w:hAnsi="宋体"/>
          <w:sz w:val="21"/>
          <w:szCs w:val="21"/>
        </w:rPr>
        <w:tab/>
      </w:r>
      <w:r>
        <w:rPr>
          <w:rStyle w:val="43"/>
          <w:rFonts w:hint="eastAsia" w:ascii="宋体" w:hAnsi="宋体"/>
          <w:sz w:val="21"/>
          <w:szCs w:val="21"/>
        </w:rPr>
        <w:t>程序接口数据源：Restful WebService、SOAP Webservice;</w:t>
      </w:r>
    </w:p>
    <w:p>
      <w:pPr>
        <w:spacing w:line="460" w:lineRule="exact"/>
        <w:ind w:firstLine="420"/>
        <w:rPr>
          <w:rStyle w:val="43"/>
          <w:rFonts w:ascii="宋体" w:hAnsi="宋体"/>
          <w:sz w:val="21"/>
          <w:szCs w:val="21"/>
        </w:rPr>
      </w:pPr>
      <w:r>
        <w:rPr>
          <w:rStyle w:val="43"/>
          <w:rFonts w:hint="eastAsia" w:ascii="宋体" w:hAnsi="宋体"/>
          <w:sz w:val="21"/>
          <w:szCs w:val="21"/>
        </w:rPr>
        <w:t>5)</w:t>
      </w:r>
      <w:r>
        <w:rPr>
          <w:rStyle w:val="43"/>
          <w:rFonts w:hint="eastAsia" w:ascii="宋体" w:hAnsi="宋体"/>
          <w:sz w:val="21"/>
          <w:szCs w:val="21"/>
        </w:rPr>
        <w:tab/>
      </w:r>
      <w:r>
        <w:rPr>
          <w:rStyle w:val="43"/>
          <w:rFonts w:hint="eastAsia" w:ascii="宋体" w:hAnsi="宋体"/>
          <w:sz w:val="21"/>
          <w:szCs w:val="21"/>
        </w:rPr>
        <w:t>支持WebSocket Client：通过向WebSocket URL发送请求来将数据发送到WebSocket端点（endpoint）;</w:t>
      </w:r>
    </w:p>
    <w:p>
      <w:pPr>
        <w:spacing w:line="460" w:lineRule="exact"/>
        <w:ind w:firstLine="420"/>
        <w:rPr>
          <w:rStyle w:val="43"/>
          <w:rFonts w:ascii="宋体" w:hAnsi="宋体"/>
          <w:sz w:val="21"/>
          <w:szCs w:val="21"/>
        </w:rPr>
      </w:pPr>
      <w:r>
        <w:rPr>
          <w:rStyle w:val="43"/>
          <w:rFonts w:hint="eastAsia" w:ascii="宋体" w:hAnsi="宋体"/>
          <w:sz w:val="21"/>
          <w:szCs w:val="21"/>
        </w:rPr>
        <w:t>6)</w:t>
      </w:r>
      <w:r>
        <w:rPr>
          <w:rStyle w:val="43"/>
          <w:rFonts w:hint="eastAsia" w:ascii="宋体" w:hAnsi="宋体"/>
          <w:sz w:val="21"/>
          <w:szCs w:val="21"/>
        </w:rPr>
        <w:tab/>
      </w:r>
      <w:r>
        <w:rPr>
          <w:rStyle w:val="43"/>
          <w:rFonts w:hint="eastAsia" w:ascii="宋体" w:hAnsi="宋体"/>
          <w:sz w:val="21"/>
          <w:szCs w:val="21"/>
        </w:rPr>
        <w:t>支持工业协议MQTT、CoAP，向MQTT与CoAP端点写数据;</w:t>
      </w:r>
    </w:p>
    <w:p>
      <w:pPr>
        <w:spacing w:line="460" w:lineRule="exact"/>
        <w:ind w:firstLine="420"/>
        <w:rPr>
          <w:rStyle w:val="43"/>
          <w:rFonts w:ascii="宋体" w:hAnsi="宋体"/>
          <w:sz w:val="21"/>
          <w:szCs w:val="21"/>
        </w:rPr>
      </w:pPr>
      <w:r>
        <w:rPr>
          <w:rStyle w:val="43"/>
          <w:rFonts w:hint="eastAsia" w:ascii="宋体" w:hAnsi="宋体"/>
          <w:sz w:val="21"/>
          <w:szCs w:val="21"/>
        </w:rPr>
        <w:t>7)</w:t>
      </w:r>
      <w:r>
        <w:rPr>
          <w:rStyle w:val="43"/>
          <w:rFonts w:hint="eastAsia" w:ascii="宋体" w:hAnsi="宋体"/>
          <w:sz w:val="21"/>
          <w:szCs w:val="21"/>
        </w:rPr>
        <w:tab/>
      </w:r>
      <w:r>
        <w:rPr>
          <w:rStyle w:val="43"/>
          <w:rFonts w:hint="eastAsia" w:ascii="宋体" w:hAnsi="宋体"/>
          <w:sz w:val="21"/>
          <w:szCs w:val="21"/>
        </w:rPr>
        <w:t>支持消息组件Kafka、Pulsar、RabbitMQ;</w:t>
      </w:r>
    </w:p>
    <w:p>
      <w:pPr>
        <w:spacing w:line="460" w:lineRule="exact"/>
        <w:ind w:firstLine="420"/>
        <w:rPr>
          <w:rStyle w:val="43"/>
          <w:rFonts w:ascii="宋体" w:hAnsi="宋体"/>
          <w:sz w:val="21"/>
          <w:szCs w:val="21"/>
        </w:rPr>
      </w:pPr>
      <w:r>
        <w:rPr>
          <w:rStyle w:val="43"/>
          <w:rFonts w:hint="eastAsia" w:ascii="宋体" w:hAnsi="宋体"/>
          <w:sz w:val="21"/>
          <w:szCs w:val="21"/>
        </w:rPr>
        <w:t>8)</w:t>
      </w:r>
      <w:r>
        <w:rPr>
          <w:rStyle w:val="43"/>
          <w:rFonts w:hint="eastAsia" w:ascii="宋体" w:hAnsi="宋体"/>
          <w:sz w:val="21"/>
          <w:szCs w:val="21"/>
        </w:rPr>
        <w:tab/>
      </w:r>
      <w:r>
        <w:rPr>
          <w:rStyle w:val="43"/>
          <w:rFonts w:hint="eastAsia" w:ascii="宋体" w:hAnsi="宋体"/>
          <w:sz w:val="21"/>
          <w:szCs w:val="21"/>
        </w:rPr>
        <w:t>支持邮件、微信、短信推送。</w:t>
      </w:r>
    </w:p>
    <w:p>
      <w:pPr>
        <w:spacing w:line="460" w:lineRule="exact"/>
        <w:ind w:firstLine="420"/>
        <w:rPr>
          <w:rStyle w:val="43"/>
          <w:rFonts w:ascii="宋体" w:hAnsi="宋体"/>
          <w:sz w:val="21"/>
          <w:szCs w:val="21"/>
        </w:rPr>
      </w:pPr>
      <w:r>
        <w:rPr>
          <w:rStyle w:val="43"/>
          <w:rFonts w:hint="eastAsia" w:ascii="宋体" w:hAnsi="宋体"/>
          <w:sz w:val="21"/>
          <w:szCs w:val="21"/>
        </w:rPr>
        <w:t>9)</w:t>
      </w:r>
      <w:r>
        <w:rPr>
          <w:rStyle w:val="43"/>
          <w:rFonts w:hint="eastAsia" w:ascii="宋体" w:hAnsi="宋体"/>
          <w:sz w:val="21"/>
          <w:szCs w:val="21"/>
        </w:rPr>
        <w:tab/>
      </w:r>
      <w:r>
        <w:rPr>
          <w:rStyle w:val="43"/>
          <w:rFonts w:hint="eastAsia" w:ascii="宋体" w:hAnsi="宋体"/>
          <w:sz w:val="21"/>
          <w:szCs w:val="21"/>
        </w:rPr>
        <w:t>其它数据存储：支持定制装载数据存储插件。</w:t>
      </w:r>
    </w:p>
    <w:p>
      <w:pPr>
        <w:spacing w:line="460" w:lineRule="exact"/>
        <w:ind w:firstLine="420"/>
        <w:rPr>
          <w:rStyle w:val="43"/>
          <w:rFonts w:ascii="宋体" w:hAnsi="宋体"/>
          <w:sz w:val="21"/>
          <w:szCs w:val="21"/>
        </w:rPr>
      </w:pPr>
      <w:r>
        <w:rPr>
          <w:rStyle w:val="43"/>
          <w:rFonts w:hint="eastAsia" w:ascii="宋体" w:hAnsi="宋体"/>
          <w:sz w:val="21"/>
          <w:szCs w:val="21"/>
        </w:rPr>
        <w:t>消息处理应支持多种数据源包括MQTT协议、Kafka消息队列、定时触发器、关系型数据库等，可从这几种数据源中实时接收或者定时拉取的方式获取数据。</w:t>
      </w:r>
    </w:p>
    <w:p>
      <w:pPr>
        <w:spacing w:line="460" w:lineRule="exact"/>
        <w:ind w:firstLine="420"/>
        <w:rPr>
          <w:rStyle w:val="43"/>
          <w:rFonts w:ascii="宋体" w:hAnsi="宋体"/>
          <w:b/>
          <w:bCs/>
          <w:sz w:val="21"/>
          <w:szCs w:val="21"/>
        </w:rPr>
      </w:pPr>
      <w:bookmarkStart w:id="103" w:name="_Toc1742457476"/>
      <w:r>
        <w:rPr>
          <w:rStyle w:val="43"/>
          <w:rFonts w:hint="eastAsia" w:ascii="宋体" w:hAnsi="宋体"/>
          <w:b/>
          <w:bCs/>
          <w:sz w:val="21"/>
          <w:szCs w:val="21"/>
        </w:rPr>
        <w:t>2.7消息中间件服务</w:t>
      </w:r>
      <w:bookmarkEnd w:id="103"/>
    </w:p>
    <w:p>
      <w:pPr>
        <w:spacing w:line="460" w:lineRule="exact"/>
        <w:ind w:firstLine="420"/>
        <w:rPr>
          <w:rStyle w:val="43"/>
          <w:rFonts w:ascii="宋体" w:hAnsi="宋体"/>
          <w:sz w:val="21"/>
          <w:szCs w:val="21"/>
        </w:rPr>
      </w:pPr>
      <w:r>
        <w:rPr>
          <w:rStyle w:val="43"/>
          <w:rFonts w:hint="eastAsia" w:ascii="宋体" w:hAnsi="宋体"/>
          <w:sz w:val="21"/>
          <w:szCs w:val="21"/>
        </w:rPr>
        <w:t>平台需要内置提供消息中间件服务，使用该服务可以支持应用程序之间进行消息传递等。</w:t>
      </w:r>
    </w:p>
    <w:p>
      <w:pPr>
        <w:spacing w:line="460" w:lineRule="exact"/>
        <w:ind w:firstLine="420"/>
        <w:rPr>
          <w:rStyle w:val="43"/>
          <w:rFonts w:ascii="宋体" w:hAnsi="宋体"/>
          <w:b/>
          <w:bCs/>
          <w:sz w:val="21"/>
          <w:szCs w:val="21"/>
        </w:rPr>
      </w:pPr>
      <w:bookmarkStart w:id="104" w:name="_Toc248304993"/>
      <w:r>
        <w:rPr>
          <w:rStyle w:val="43"/>
          <w:rFonts w:hint="eastAsia" w:ascii="宋体" w:hAnsi="宋体"/>
          <w:b/>
          <w:bCs/>
          <w:sz w:val="21"/>
          <w:szCs w:val="21"/>
        </w:rPr>
        <w:t>2.8工业信息模型服务</w:t>
      </w:r>
      <w:bookmarkEnd w:id="104"/>
    </w:p>
    <w:p>
      <w:pPr>
        <w:spacing w:line="460" w:lineRule="exact"/>
        <w:ind w:firstLine="420"/>
        <w:rPr>
          <w:rStyle w:val="43"/>
          <w:rFonts w:ascii="宋体" w:hAnsi="宋体"/>
          <w:sz w:val="21"/>
          <w:szCs w:val="21"/>
        </w:rPr>
      </w:pPr>
      <w:r>
        <w:rPr>
          <w:rStyle w:val="43"/>
          <w:rFonts w:hint="eastAsia" w:ascii="宋体" w:hAnsi="宋体"/>
          <w:sz w:val="21"/>
          <w:szCs w:val="21"/>
        </w:rPr>
        <w:t>需要提供工业信息模型创建服务，支持工业报警规则的设计和定义、模型计算处理引擎、复杂事件处理引擎、报警生成及订阅服务。</w:t>
      </w:r>
    </w:p>
    <w:p>
      <w:pPr>
        <w:spacing w:line="460" w:lineRule="exact"/>
        <w:ind w:firstLine="420"/>
        <w:rPr>
          <w:rStyle w:val="43"/>
          <w:rFonts w:ascii="宋体" w:hAnsi="宋体"/>
          <w:b/>
          <w:bCs/>
          <w:sz w:val="21"/>
          <w:szCs w:val="21"/>
        </w:rPr>
      </w:pPr>
      <w:bookmarkStart w:id="105" w:name="_Toc701291230"/>
      <w:r>
        <w:rPr>
          <w:rStyle w:val="43"/>
          <w:rFonts w:hint="eastAsia" w:ascii="宋体" w:hAnsi="宋体"/>
          <w:b/>
          <w:bCs/>
          <w:sz w:val="21"/>
          <w:szCs w:val="21"/>
        </w:rPr>
        <w:t>2.9工业时序聚合查询服务</w:t>
      </w:r>
      <w:bookmarkEnd w:id="105"/>
    </w:p>
    <w:p>
      <w:pPr>
        <w:spacing w:line="460" w:lineRule="exact"/>
        <w:ind w:firstLine="420"/>
        <w:rPr>
          <w:rStyle w:val="43"/>
          <w:rFonts w:ascii="宋体" w:hAnsi="宋体"/>
          <w:sz w:val="21"/>
          <w:szCs w:val="21"/>
        </w:rPr>
      </w:pPr>
      <w:r>
        <w:rPr>
          <w:rStyle w:val="43"/>
          <w:rFonts w:hint="eastAsia" w:ascii="宋体" w:hAnsi="宋体"/>
          <w:sz w:val="21"/>
          <w:szCs w:val="21"/>
        </w:rPr>
        <w:t>提供基于工业信息模型的时序数据查询服务，为应用开发者提供基于工业模型的数据消费能力。</w:t>
      </w:r>
    </w:p>
    <w:p>
      <w:pPr>
        <w:spacing w:line="460" w:lineRule="exact"/>
        <w:ind w:firstLine="420"/>
        <w:rPr>
          <w:rStyle w:val="43"/>
          <w:rFonts w:ascii="宋体" w:hAnsi="宋体"/>
          <w:b/>
          <w:bCs/>
          <w:sz w:val="21"/>
          <w:szCs w:val="21"/>
        </w:rPr>
      </w:pPr>
      <w:bookmarkStart w:id="106" w:name="_Toc1211447874"/>
      <w:r>
        <w:rPr>
          <w:rStyle w:val="43"/>
          <w:rFonts w:hint="eastAsia" w:ascii="宋体" w:hAnsi="宋体"/>
          <w:b/>
          <w:bCs/>
          <w:sz w:val="21"/>
          <w:szCs w:val="21"/>
        </w:rPr>
        <w:t>2.10事件驱动服务</w:t>
      </w:r>
      <w:bookmarkEnd w:id="106"/>
    </w:p>
    <w:p>
      <w:pPr>
        <w:spacing w:line="460" w:lineRule="exact"/>
        <w:ind w:firstLine="420"/>
        <w:rPr>
          <w:rStyle w:val="43"/>
          <w:rFonts w:ascii="宋体" w:hAnsi="宋体"/>
          <w:sz w:val="21"/>
          <w:szCs w:val="21"/>
        </w:rPr>
      </w:pPr>
      <w:r>
        <w:rPr>
          <w:rStyle w:val="43"/>
          <w:rFonts w:hint="eastAsia" w:ascii="宋体" w:hAnsi="宋体"/>
          <w:sz w:val="21"/>
          <w:szCs w:val="21"/>
        </w:rPr>
        <w:t>工业事件驱动服务需要提供分布式的、易于水平扩展的事件服务，能够满足实时性以及复杂事件处理的机制，以应对各种场景下的数据和事件的发生，基于这些数据和事件，通过一系列的规则引擎，达到平台的自动化处理，驱动业务模块运转和人机交互，以实现行业智能化管理的目的。包括但不限于以下功能：</w:t>
      </w:r>
    </w:p>
    <w:p>
      <w:pPr>
        <w:spacing w:line="460" w:lineRule="exact"/>
        <w:ind w:firstLine="420"/>
        <w:rPr>
          <w:rStyle w:val="43"/>
          <w:rFonts w:ascii="宋体" w:hAnsi="宋体"/>
          <w:sz w:val="21"/>
          <w:szCs w:val="21"/>
        </w:rPr>
      </w:pPr>
      <w:r>
        <w:rPr>
          <w:rStyle w:val="43"/>
          <w:rFonts w:hint="eastAsia" w:ascii="宋体" w:hAnsi="宋体" w:eastAsia="宋体" w:cs="宋体"/>
          <w:sz w:val="21"/>
          <w:szCs w:val="21"/>
        </w:rPr>
        <w:t>①</w:t>
      </w:r>
      <w:r>
        <w:rPr>
          <w:rStyle w:val="43"/>
          <w:rFonts w:hint="eastAsia" w:ascii="宋体" w:hAnsi="宋体"/>
          <w:sz w:val="21"/>
          <w:szCs w:val="21"/>
        </w:rPr>
        <w:t>提供自定义事件类型的能力，包括事件类型定义，事件类型分组定义。</w:t>
      </w:r>
    </w:p>
    <w:p>
      <w:pPr>
        <w:spacing w:line="460" w:lineRule="exact"/>
        <w:ind w:firstLine="420"/>
        <w:rPr>
          <w:rStyle w:val="43"/>
          <w:rFonts w:ascii="宋体" w:hAnsi="宋体"/>
          <w:sz w:val="21"/>
          <w:szCs w:val="21"/>
        </w:rPr>
      </w:pPr>
      <w:r>
        <w:rPr>
          <w:rStyle w:val="43"/>
          <w:rFonts w:hint="eastAsia" w:ascii="宋体" w:hAnsi="宋体" w:eastAsia="宋体" w:cs="宋体"/>
          <w:sz w:val="21"/>
          <w:szCs w:val="21"/>
        </w:rPr>
        <w:t>②</w:t>
      </w:r>
      <w:r>
        <w:rPr>
          <w:rStyle w:val="43"/>
          <w:rFonts w:hint="eastAsia" w:ascii="宋体" w:hAnsi="宋体"/>
          <w:sz w:val="21"/>
          <w:szCs w:val="21"/>
        </w:rPr>
        <w:t>提供事件组态，可通过拖拽组件的形式实现对事件编排处理流的定义。通过组态实现事件流转、事件格式转换、事件驱动。</w:t>
      </w:r>
    </w:p>
    <w:p>
      <w:pPr>
        <w:spacing w:line="460" w:lineRule="exact"/>
        <w:ind w:firstLine="420"/>
        <w:rPr>
          <w:rStyle w:val="43"/>
          <w:rFonts w:ascii="宋体" w:hAnsi="宋体"/>
          <w:sz w:val="21"/>
          <w:szCs w:val="21"/>
        </w:rPr>
      </w:pPr>
      <w:r>
        <w:rPr>
          <w:rStyle w:val="43"/>
          <w:rFonts w:hint="eastAsia" w:ascii="宋体" w:hAnsi="宋体" w:eastAsia="宋体" w:cs="宋体"/>
          <w:sz w:val="21"/>
          <w:szCs w:val="21"/>
        </w:rPr>
        <w:t>③</w:t>
      </w:r>
      <w:r>
        <w:rPr>
          <w:rStyle w:val="43"/>
          <w:rFonts w:hint="eastAsia" w:ascii="宋体" w:hAnsi="宋体"/>
          <w:sz w:val="21"/>
          <w:szCs w:val="21"/>
        </w:rPr>
        <w:t>提供事件接入，可通过事件发布订阅服务、消息中间件、</w:t>
      </w:r>
      <w:r>
        <w:rPr>
          <w:rStyle w:val="43"/>
          <w:rFonts w:ascii="宋体" w:hAnsi="宋体"/>
          <w:sz w:val="21"/>
          <w:szCs w:val="21"/>
        </w:rPr>
        <w:t>REST</w:t>
      </w:r>
      <w:r>
        <w:rPr>
          <w:rStyle w:val="43"/>
          <w:rFonts w:hint="eastAsia" w:ascii="宋体" w:hAnsi="宋体"/>
          <w:sz w:val="21"/>
          <w:szCs w:val="21"/>
        </w:rPr>
        <w:t>方式接收事件。通过事件可以与平台时序数据、报警事件结合。</w:t>
      </w:r>
    </w:p>
    <w:p>
      <w:pPr>
        <w:spacing w:line="460" w:lineRule="exact"/>
        <w:ind w:firstLine="420"/>
        <w:rPr>
          <w:rStyle w:val="43"/>
          <w:rFonts w:ascii="宋体" w:hAnsi="宋体"/>
          <w:sz w:val="21"/>
          <w:szCs w:val="21"/>
        </w:rPr>
      </w:pPr>
      <w:r>
        <w:rPr>
          <w:rStyle w:val="43"/>
          <w:rFonts w:hint="eastAsia" w:ascii="宋体" w:hAnsi="宋体" w:eastAsia="宋体" w:cs="宋体"/>
          <w:sz w:val="21"/>
          <w:szCs w:val="21"/>
        </w:rPr>
        <w:t>④</w:t>
      </w:r>
      <w:r>
        <w:rPr>
          <w:rStyle w:val="43"/>
          <w:rFonts w:hint="eastAsia" w:ascii="宋体" w:hAnsi="宋体"/>
          <w:sz w:val="21"/>
          <w:szCs w:val="21"/>
        </w:rPr>
        <w:t>提供复杂事件处理引擎，可以基于事件字段的值或事件的组合关系决策事件的触发。</w:t>
      </w:r>
    </w:p>
    <w:p>
      <w:pPr>
        <w:spacing w:line="460" w:lineRule="exact"/>
        <w:ind w:firstLine="420"/>
        <w:rPr>
          <w:rStyle w:val="43"/>
          <w:rFonts w:ascii="宋体" w:hAnsi="宋体"/>
          <w:sz w:val="21"/>
          <w:szCs w:val="21"/>
        </w:rPr>
      </w:pPr>
      <w:r>
        <w:rPr>
          <w:rStyle w:val="43"/>
          <w:rFonts w:hint="eastAsia" w:ascii="宋体" w:hAnsi="宋体" w:eastAsia="宋体" w:cs="宋体"/>
          <w:sz w:val="21"/>
          <w:szCs w:val="21"/>
        </w:rPr>
        <w:t>⑤</w:t>
      </w:r>
      <w:r>
        <w:rPr>
          <w:rStyle w:val="43"/>
          <w:rFonts w:hint="eastAsia" w:ascii="宋体" w:hAnsi="宋体"/>
          <w:sz w:val="21"/>
          <w:szCs w:val="21"/>
        </w:rPr>
        <w:t>提供事件转换，可通过执行一段预定义脚本对事件加工处理或生成新的事件。</w:t>
      </w:r>
    </w:p>
    <w:p>
      <w:pPr>
        <w:spacing w:line="460" w:lineRule="exact"/>
        <w:ind w:firstLine="420"/>
        <w:rPr>
          <w:rStyle w:val="43"/>
          <w:rFonts w:ascii="宋体" w:hAnsi="宋体"/>
          <w:sz w:val="21"/>
          <w:szCs w:val="21"/>
        </w:rPr>
      </w:pPr>
      <w:r>
        <w:rPr>
          <w:rStyle w:val="43"/>
          <w:rFonts w:hint="eastAsia" w:ascii="宋体" w:hAnsi="宋体" w:eastAsia="宋体" w:cs="宋体"/>
          <w:sz w:val="21"/>
          <w:szCs w:val="21"/>
        </w:rPr>
        <w:t>⑥</w:t>
      </w:r>
      <w:r>
        <w:rPr>
          <w:rStyle w:val="43"/>
          <w:rFonts w:hint="eastAsia" w:ascii="宋体" w:hAnsi="宋体"/>
          <w:sz w:val="21"/>
          <w:szCs w:val="21"/>
        </w:rPr>
        <w:t>提供事件发布订阅服务、消息中间件、邮件的功能。</w:t>
      </w:r>
    </w:p>
    <w:p>
      <w:pPr>
        <w:spacing w:line="460" w:lineRule="exact"/>
        <w:ind w:firstLine="420"/>
        <w:rPr>
          <w:rStyle w:val="43"/>
          <w:rFonts w:ascii="宋体" w:hAnsi="宋体"/>
          <w:sz w:val="21"/>
          <w:szCs w:val="21"/>
        </w:rPr>
      </w:pPr>
      <w:r>
        <w:rPr>
          <w:rStyle w:val="43"/>
          <w:rFonts w:hint="eastAsia" w:ascii="宋体" w:hAnsi="宋体" w:eastAsia="宋体" w:cs="宋体"/>
          <w:sz w:val="21"/>
          <w:szCs w:val="21"/>
        </w:rPr>
        <w:t>⑦</w:t>
      </w:r>
      <w:r>
        <w:rPr>
          <w:rStyle w:val="43"/>
          <w:rFonts w:hint="eastAsia" w:ascii="宋体" w:hAnsi="宋体"/>
          <w:sz w:val="21"/>
          <w:szCs w:val="21"/>
        </w:rPr>
        <w:t>提供通过事件驱动人机协同的能力。</w:t>
      </w:r>
    </w:p>
    <w:p>
      <w:pPr>
        <w:spacing w:line="460" w:lineRule="exact"/>
        <w:ind w:firstLine="420"/>
        <w:rPr>
          <w:rStyle w:val="43"/>
          <w:rFonts w:ascii="宋体" w:hAnsi="宋体"/>
          <w:sz w:val="21"/>
          <w:szCs w:val="21"/>
        </w:rPr>
      </w:pPr>
      <w:r>
        <w:rPr>
          <w:rStyle w:val="43"/>
          <w:rFonts w:hint="eastAsia" w:ascii="宋体" w:hAnsi="宋体" w:eastAsia="宋体" w:cs="宋体"/>
          <w:sz w:val="21"/>
          <w:szCs w:val="21"/>
        </w:rPr>
        <w:t>⑧</w:t>
      </w:r>
      <w:r>
        <w:rPr>
          <w:rStyle w:val="43"/>
          <w:rFonts w:hint="eastAsia" w:ascii="宋体" w:hAnsi="宋体"/>
          <w:sz w:val="21"/>
          <w:szCs w:val="21"/>
        </w:rPr>
        <w:t>支持多租户。</w:t>
      </w:r>
    </w:p>
    <w:p>
      <w:pPr>
        <w:spacing w:line="460" w:lineRule="exact"/>
        <w:ind w:firstLine="420"/>
        <w:rPr>
          <w:rStyle w:val="43"/>
          <w:rFonts w:ascii="宋体" w:hAnsi="宋体"/>
          <w:b/>
          <w:bCs/>
          <w:sz w:val="21"/>
          <w:szCs w:val="21"/>
        </w:rPr>
      </w:pPr>
      <w:bookmarkStart w:id="107" w:name="_Toc511961111"/>
      <w:r>
        <w:rPr>
          <w:rStyle w:val="43"/>
          <w:rFonts w:hint="eastAsia" w:ascii="宋体" w:hAnsi="宋体"/>
          <w:b/>
          <w:bCs/>
          <w:sz w:val="21"/>
          <w:szCs w:val="21"/>
        </w:rPr>
        <w:t>2.11报警与事件服务</w:t>
      </w:r>
      <w:bookmarkEnd w:id="107"/>
    </w:p>
    <w:p>
      <w:pPr>
        <w:spacing w:line="460" w:lineRule="exact"/>
        <w:ind w:firstLine="420"/>
        <w:rPr>
          <w:rStyle w:val="43"/>
          <w:rFonts w:ascii="宋体" w:hAnsi="宋体"/>
          <w:sz w:val="21"/>
          <w:szCs w:val="21"/>
        </w:rPr>
      </w:pPr>
      <w:r>
        <w:rPr>
          <w:rStyle w:val="43"/>
          <w:rFonts w:hint="eastAsia" w:ascii="宋体" w:hAnsi="宋体"/>
          <w:sz w:val="21"/>
          <w:szCs w:val="21"/>
        </w:rPr>
        <w:t>平台提供工业告警与事件库服务，对采集上报的告警事件或平台生成的事件进行存储并提供工业告警事件的查询。</w:t>
      </w:r>
    </w:p>
    <w:p>
      <w:pPr>
        <w:spacing w:line="460" w:lineRule="exact"/>
        <w:ind w:firstLine="420"/>
        <w:rPr>
          <w:rStyle w:val="43"/>
          <w:rFonts w:ascii="宋体" w:hAnsi="宋体"/>
          <w:sz w:val="21"/>
          <w:szCs w:val="21"/>
        </w:rPr>
      </w:pPr>
      <w:r>
        <w:rPr>
          <w:rStyle w:val="43"/>
          <w:rFonts w:hint="eastAsia" w:ascii="宋体" w:hAnsi="宋体"/>
          <w:sz w:val="21"/>
          <w:szCs w:val="21"/>
        </w:rPr>
        <w:t>工业事件库服务需要包含如下几个功能：</w:t>
      </w:r>
    </w:p>
    <w:p>
      <w:pPr>
        <w:spacing w:line="460" w:lineRule="exact"/>
        <w:ind w:firstLine="420"/>
        <w:rPr>
          <w:rStyle w:val="43"/>
          <w:rFonts w:ascii="宋体" w:hAnsi="宋体"/>
          <w:sz w:val="21"/>
          <w:szCs w:val="21"/>
        </w:rPr>
      </w:pPr>
      <w:r>
        <w:rPr>
          <w:rStyle w:val="43"/>
          <w:rFonts w:hint="eastAsia" w:ascii="宋体" w:hAnsi="宋体"/>
          <w:sz w:val="21"/>
          <w:szCs w:val="21"/>
        </w:rPr>
        <w:t>(1)事件库</w:t>
      </w:r>
    </w:p>
    <w:p>
      <w:pPr>
        <w:spacing w:line="460" w:lineRule="exact"/>
        <w:ind w:firstLine="420"/>
        <w:rPr>
          <w:rStyle w:val="43"/>
          <w:rFonts w:ascii="宋体" w:hAnsi="宋体"/>
          <w:sz w:val="21"/>
          <w:szCs w:val="21"/>
        </w:rPr>
      </w:pPr>
      <w:r>
        <w:rPr>
          <w:rStyle w:val="43"/>
          <w:rFonts w:hint="eastAsia" w:ascii="宋体" w:hAnsi="宋体"/>
          <w:sz w:val="21"/>
          <w:szCs w:val="21"/>
        </w:rPr>
        <w:t>(2)事件存储</w:t>
      </w:r>
    </w:p>
    <w:p>
      <w:pPr>
        <w:spacing w:line="460" w:lineRule="exact"/>
        <w:ind w:firstLine="420"/>
        <w:rPr>
          <w:rStyle w:val="43"/>
          <w:rFonts w:ascii="宋体" w:hAnsi="宋体"/>
          <w:sz w:val="21"/>
          <w:szCs w:val="21"/>
        </w:rPr>
      </w:pPr>
      <w:r>
        <w:rPr>
          <w:rStyle w:val="43"/>
          <w:rFonts w:hint="eastAsia" w:ascii="宋体" w:hAnsi="宋体"/>
          <w:sz w:val="21"/>
          <w:szCs w:val="21"/>
        </w:rPr>
        <w:t>(3)历史查询</w:t>
      </w:r>
    </w:p>
    <w:p>
      <w:pPr>
        <w:spacing w:line="460" w:lineRule="exact"/>
        <w:ind w:firstLine="420"/>
        <w:rPr>
          <w:rStyle w:val="43"/>
          <w:rFonts w:ascii="宋体" w:hAnsi="宋体"/>
          <w:sz w:val="21"/>
          <w:szCs w:val="21"/>
        </w:rPr>
      </w:pPr>
      <w:r>
        <w:rPr>
          <w:rStyle w:val="43"/>
          <w:rFonts w:hint="eastAsia" w:ascii="宋体" w:hAnsi="宋体"/>
          <w:sz w:val="21"/>
          <w:szCs w:val="21"/>
        </w:rPr>
        <w:t>(4)实时事件订阅</w:t>
      </w:r>
    </w:p>
    <w:p>
      <w:pPr>
        <w:spacing w:line="460" w:lineRule="exact"/>
        <w:ind w:firstLine="420"/>
        <w:rPr>
          <w:rStyle w:val="43"/>
          <w:rFonts w:ascii="宋体" w:hAnsi="宋体"/>
          <w:sz w:val="21"/>
          <w:szCs w:val="21"/>
        </w:rPr>
      </w:pPr>
      <w:r>
        <w:rPr>
          <w:rStyle w:val="43"/>
          <w:rFonts w:hint="eastAsia" w:ascii="宋体" w:hAnsi="宋体"/>
          <w:sz w:val="21"/>
          <w:szCs w:val="21"/>
        </w:rPr>
        <w:t>(5)实时告警查询</w:t>
      </w:r>
    </w:p>
    <w:p>
      <w:pPr>
        <w:spacing w:line="460" w:lineRule="exact"/>
        <w:ind w:firstLine="420"/>
        <w:rPr>
          <w:rStyle w:val="43"/>
          <w:rFonts w:ascii="宋体" w:hAnsi="宋体"/>
          <w:sz w:val="21"/>
          <w:szCs w:val="21"/>
        </w:rPr>
      </w:pPr>
      <w:r>
        <w:rPr>
          <w:rStyle w:val="43"/>
          <w:rFonts w:hint="eastAsia" w:ascii="宋体" w:hAnsi="宋体"/>
          <w:sz w:val="21"/>
          <w:szCs w:val="21"/>
        </w:rPr>
        <w:t>(6)事件备份与恢复</w:t>
      </w:r>
    </w:p>
    <w:p>
      <w:pPr>
        <w:spacing w:line="460" w:lineRule="exact"/>
        <w:ind w:firstLine="420"/>
        <w:rPr>
          <w:rStyle w:val="43"/>
          <w:rFonts w:ascii="宋体" w:hAnsi="宋体"/>
          <w:b/>
          <w:bCs/>
          <w:sz w:val="21"/>
          <w:szCs w:val="21"/>
        </w:rPr>
      </w:pPr>
      <w:bookmarkStart w:id="108" w:name="_Toc1710902695"/>
      <w:r>
        <w:rPr>
          <w:rStyle w:val="43"/>
          <w:rFonts w:hint="eastAsia" w:ascii="宋体" w:hAnsi="宋体"/>
          <w:b/>
          <w:bCs/>
          <w:sz w:val="21"/>
          <w:szCs w:val="21"/>
        </w:rPr>
        <w:t>2.12事件发布订阅服务</w:t>
      </w:r>
      <w:bookmarkEnd w:id="108"/>
    </w:p>
    <w:p>
      <w:pPr>
        <w:spacing w:line="460" w:lineRule="exact"/>
        <w:ind w:firstLine="420"/>
        <w:rPr>
          <w:rStyle w:val="43"/>
          <w:rFonts w:ascii="宋体" w:hAnsi="宋体"/>
          <w:sz w:val="21"/>
          <w:szCs w:val="21"/>
        </w:rPr>
      </w:pPr>
      <w:r>
        <w:rPr>
          <w:rStyle w:val="43"/>
          <w:rFonts w:hint="eastAsia" w:ascii="宋体" w:hAnsi="宋体"/>
          <w:sz w:val="21"/>
          <w:szCs w:val="21"/>
        </w:rPr>
        <w:t>提供满足基于事件驱动的事件发布订阅服务，用于在应用程序之间进行可靠的事件传递。该服务设计遵循了事件驱动架构的设计思想，采用“总线”机制，接入所有的事件源，然后通过配置的路由规则将事件直接推送到特定的事件消费者，有效解决了分布式系统之间点对点通讯带来的各种问题，降低了系统各模块间集成的复杂度，提高了系统整体的集成化程度与信息处理的实效性。</w:t>
      </w:r>
    </w:p>
    <w:p>
      <w:pPr>
        <w:spacing w:line="460" w:lineRule="exact"/>
        <w:ind w:firstLine="420"/>
        <w:rPr>
          <w:rStyle w:val="43"/>
          <w:rFonts w:ascii="宋体" w:hAnsi="宋体"/>
          <w:b/>
          <w:bCs/>
          <w:sz w:val="21"/>
          <w:szCs w:val="21"/>
        </w:rPr>
      </w:pPr>
      <w:bookmarkStart w:id="109" w:name="_Toc335561535"/>
      <w:r>
        <w:rPr>
          <w:rStyle w:val="43"/>
          <w:rFonts w:hint="eastAsia" w:ascii="宋体" w:hAnsi="宋体"/>
          <w:b/>
          <w:bCs/>
          <w:sz w:val="21"/>
          <w:szCs w:val="21"/>
        </w:rPr>
        <w:t>2.13表单引擎服务</w:t>
      </w:r>
      <w:bookmarkEnd w:id="109"/>
    </w:p>
    <w:p>
      <w:pPr>
        <w:spacing w:line="460" w:lineRule="exact"/>
        <w:ind w:firstLine="420"/>
        <w:rPr>
          <w:rStyle w:val="43"/>
          <w:rFonts w:ascii="宋体" w:hAnsi="宋体"/>
          <w:sz w:val="21"/>
          <w:szCs w:val="21"/>
        </w:rPr>
      </w:pPr>
      <w:r>
        <w:rPr>
          <w:rStyle w:val="43"/>
          <w:rFonts w:hint="eastAsia" w:ascii="宋体" w:hAnsi="宋体"/>
          <w:sz w:val="21"/>
          <w:szCs w:val="21"/>
        </w:rPr>
        <w:t>平台需要提供表单引擎服务，满足可拖拽的表单设计，即使不懂技术也可以搭建出自己需要的pc/mobile端的页面。</w:t>
      </w:r>
    </w:p>
    <w:p>
      <w:pPr>
        <w:spacing w:line="460" w:lineRule="exact"/>
        <w:ind w:firstLine="420"/>
        <w:rPr>
          <w:rStyle w:val="43"/>
          <w:rFonts w:ascii="宋体" w:hAnsi="宋体"/>
          <w:b/>
          <w:bCs/>
          <w:sz w:val="21"/>
          <w:szCs w:val="21"/>
        </w:rPr>
      </w:pPr>
      <w:bookmarkStart w:id="110" w:name="_Toc490661723"/>
      <w:r>
        <w:rPr>
          <w:rStyle w:val="43"/>
          <w:rFonts w:hint="eastAsia" w:ascii="宋体" w:hAnsi="宋体"/>
          <w:b/>
          <w:bCs/>
          <w:sz w:val="21"/>
          <w:szCs w:val="21"/>
        </w:rPr>
        <w:t>2.14工作流引擎服务</w:t>
      </w:r>
      <w:bookmarkEnd w:id="110"/>
    </w:p>
    <w:p>
      <w:pPr>
        <w:spacing w:line="460" w:lineRule="exact"/>
        <w:ind w:firstLine="420"/>
        <w:rPr>
          <w:rStyle w:val="43"/>
          <w:rFonts w:ascii="宋体" w:hAnsi="宋体"/>
          <w:sz w:val="21"/>
          <w:szCs w:val="21"/>
        </w:rPr>
      </w:pPr>
      <w:r>
        <w:rPr>
          <w:rStyle w:val="43"/>
          <w:rFonts w:hint="eastAsia" w:ascii="宋体" w:hAnsi="宋体"/>
          <w:sz w:val="21"/>
          <w:szCs w:val="21"/>
        </w:rPr>
        <w:t>提供满足遵循BPMN2.0的工作流引擎服务。</w:t>
      </w:r>
    </w:p>
    <w:p>
      <w:pPr>
        <w:spacing w:line="460" w:lineRule="exact"/>
        <w:ind w:firstLine="420"/>
        <w:rPr>
          <w:rStyle w:val="43"/>
          <w:rFonts w:ascii="宋体" w:hAnsi="宋体"/>
          <w:b/>
          <w:bCs/>
          <w:sz w:val="21"/>
          <w:szCs w:val="21"/>
        </w:rPr>
      </w:pPr>
      <w:bookmarkStart w:id="111" w:name="_Toc214373981"/>
      <w:r>
        <w:rPr>
          <w:rStyle w:val="43"/>
          <w:rFonts w:hint="eastAsia" w:ascii="宋体" w:hAnsi="宋体"/>
          <w:b/>
          <w:bCs/>
          <w:sz w:val="21"/>
          <w:szCs w:val="21"/>
        </w:rPr>
        <w:t>2.15机器学习服务</w:t>
      </w:r>
      <w:bookmarkEnd w:id="111"/>
    </w:p>
    <w:p>
      <w:pPr>
        <w:spacing w:line="460" w:lineRule="exact"/>
        <w:ind w:firstLine="420"/>
        <w:rPr>
          <w:rStyle w:val="43"/>
          <w:rFonts w:ascii="宋体" w:hAnsi="宋体"/>
          <w:sz w:val="21"/>
          <w:szCs w:val="21"/>
        </w:rPr>
      </w:pPr>
      <w:r>
        <w:rPr>
          <w:rStyle w:val="43"/>
          <w:rFonts w:hint="eastAsia" w:ascii="宋体" w:hAnsi="宋体"/>
          <w:sz w:val="21"/>
          <w:szCs w:val="21"/>
        </w:rPr>
        <w:t>在工业云平台基础设施之上，需要提供满足集数据源管理、数据预处理、算法建模、离线服务、在线服务于一体的可视化机器学习与深度学习服务，能够显著提供机器学习类业务应用的开发速度。</w:t>
      </w:r>
    </w:p>
    <w:p>
      <w:pPr>
        <w:spacing w:line="460" w:lineRule="exact"/>
        <w:ind w:firstLine="420"/>
        <w:rPr>
          <w:rStyle w:val="43"/>
          <w:rFonts w:ascii="宋体" w:hAnsi="宋体"/>
          <w:b/>
          <w:bCs/>
          <w:sz w:val="21"/>
          <w:szCs w:val="21"/>
        </w:rPr>
      </w:pPr>
      <w:bookmarkStart w:id="112" w:name="_Toc1653422648"/>
      <w:r>
        <w:rPr>
          <w:rStyle w:val="43"/>
          <w:rFonts w:hint="eastAsia" w:ascii="宋体" w:hAnsi="宋体"/>
          <w:b/>
          <w:bCs/>
          <w:sz w:val="21"/>
          <w:szCs w:val="21"/>
        </w:rPr>
        <w:t>2.16机器学习算法库</w:t>
      </w:r>
      <w:bookmarkEnd w:id="112"/>
    </w:p>
    <w:p>
      <w:pPr>
        <w:spacing w:line="460" w:lineRule="exact"/>
        <w:ind w:firstLine="420"/>
        <w:rPr>
          <w:rStyle w:val="43"/>
          <w:rFonts w:ascii="宋体" w:hAnsi="宋体"/>
          <w:sz w:val="21"/>
          <w:szCs w:val="21"/>
        </w:rPr>
      </w:pPr>
      <w:r>
        <w:rPr>
          <w:rStyle w:val="43"/>
          <w:rFonts w:hint="eastAsia" w:ascii="宋体" w:hAnsi="宋体"/>
          <w:sz w:val="21"/>
          <w:szCs w:val="21"/>
        </w:rPr>
        <w:t>算法库需要提供各类常见的机器学习算法，包括数据预处理、特征工程、分类算法、回归算法、聚类分析、关联规则、模型预测、模型评估等算法。支持基于spark、sklearn、tensorflow等机器学习或深度学习框架进行封装的算法；算法语言支python2、python3、scala、java；支持用户按照分析服务规范创建自定义算法。算法库需要提供不少于50个交付算法组件，包含数据预处理、特征工程、分类算法、回归算法等类目。</w:t>
      </w:r>
    </w:p>
    <w:p>
      <w:pPr>
        <w:spacing w:line="460" w:lineRule="exact"/>
        <w:ind w:firstLine="420"/>
        <w:rPr>
          <w:rStyle w:val="43"/>
          <w:rFonts w:ascii="宋体" w:hAnsi="宋体"/>
          <w:b/>
          <w:bCs/>
          <w:sz w:val="21"/>
          <w:szCs w:val="21"/>
        </w:rPr>
      </w:pPr>
      <w:bookmarkStart w:id="113" w:name="_Toc636052756"/>
      <w:r>
        <w:rPr>
          <w:rStyle w:val="43"/>
          <w:rFonts w:hint="eastAsia" w:ascii="宋体" w:hAnsi="宋体"/>
          <w:b/>
          <w:bCs/>
          <w:sz w:val="21"/>
          <w:szCs w:val="21"/>
        </w:rPr>
        <w:t>2.17工业机理模型服务</w:t>
      </w:r>
      <w:bookmarkEnd w:id="113"/>
    </w:p>
    <w:p>
      <w:pPr>
        <w:spacing w:line="460" w:lineRule="exact"/>
        <w:ind w:firstLine="420"/>
        <w:rPr>
          <w:rStyle w:val="43"/>
          <w:rFonts w:ascii="宋体" w:hAnsi="宋体"/>
          <w:sz w:val="21"/>
          <w:szCs w:val="21"/>
        </w:rPr>
      </w:pPr>
      <w:r>
        <w:rPr>
          <w:rStyle w:val="43"/>
          <w:rFonts w:hint="eastAsia" w:ascii="宋体" w:hAnsi="宋体"/>
          <w:sz w:val="21"/>
          <w:szCs w:val="21"/>
        </w:rPr>
        <w:t>需要提供符合FMI标准的机理模型管理、解析和仿真功能。</w:t>
      </w:r>
    </w:p>
    <w:p>
      <w:pPr>
        <w:spacing w:line="460" w:lineRule="exact"/>
        <w:ind w:firstLine="420"/>
        <w:rPr>
          <w:rStyle w:val="43"/>
          <w:rFonts w:ascii="宋体" w:hAnsi="宋体"/>
          <w:b/>
          <w:bCs/>
          <w:sz w:val="21"/>
          <w:szCs w:val="21"/>
        </w:rPr>
      </w:pPr>
      <w:bookmarkStart w:id="114" w:name="_Toc2112558973"/>
      <w:r>
        <w:rPr>
          <w:rStyle w:val="43"/>
          <w:rFonts w:hint="eastAsia" w:ascii="宋体" w:hAnsi="宋体"/>
          <w:b/>
          <w:bCs/>
          <w:sz w:val="21"/>
          <w:szCs w:val="21"/>
        </w:rPr>
        <w:t>2.18工业机理模型库</w:t>
      </w:r>
      <w:bookmarkEnd w:id="114"/>
    </w:p>
    <w:p>
      <w:pPr>
        <w:spacing w:line="460" w:lineRule="exact"/>
        <w:ind w:firstLine="420"/>
        <w:rPr>
          <w:rStyle w:val="43"/>
          <w:rFonts w:ascii="宋体" w:hAnsi="宋体"/>
          <w:sz w:val="21"/>
          <w:szCs w:val="21"/>
        </w:rPr>
      </w:pPr>
      <w:r>
        <w:rPr>
          <w:rStyle w:val="43"/>
          <w:rFonts w:hint="eastAsia" w:ascii="宋体" w:hAnsi="宋体"/>
          <w:sz w:val="21"/>
          <w:szCs w:val="21"/>
        </w:rPr>
        <w:t>需要提供机理模型库，覆盖诊断机理、工艺机理、控制机理、设备机理，机理模型数量不少于40个。</w:t>
      </w:r>
    </w:p>
    <w:p>
      <w:pPr>
        <w:spacing w:line="460" w:lineRule="exact"/>
        <w:ind w:firstLine="420"/>
        <w:rPr>
          <w:rStyle w:val="43"/>
          <w:rFonts w:ascii="宋体" w:hAnsi="宋体"/>
          <w:b/>
          <w:bCs/>
          <w:sz w:val="21"/>
          <w:szCs w:val="21"/>
        </w:rPr>
      </w:pPr>
      <w:bookmarkStart w:id="115" w:name="_Toc1431523360"/>
      <w:r>
        <w:rPr>
          <w:rStyle w:val="43"/>
          <w:rFonts w:hint="eastAsia" w:ascii="宋体" w:hAnsi="宋体"/>
          <w:b/>
          <w:bCs/>
          <w:sz w:val="21"/>
          <w:szCs w:val="21"/>
        </w:rPr>
        <w:t>2.19 应用安全服务</w:t>
      </w:r>
      <w:bookmarkEnd w:id="115"/>
    </w:p>
    <w:p>
      <w:pPr>
        <w:spacing w:line="460" w:lineRule="exact"/>
        <w:ind w:firstLine="420"/>
        <w:rPr>
          <w:rStyle w:val="43"/>
          <w:rFonts w:ascii="宋体" w:hAnsi="宋体"/>
          <w:sz w:val="21"/>
          <w:szCs w:val="21"/>
        </w:rPr>
      </w:pPr>
      <w:r>
        <w:rPr>
          <w:rStyle w:val="43"/>
          <w:rFonts w:hint="eastAsia" w:ascii="宋体" w:hAnsi="宋体"/>
          <w:sz w:val="21"/>
          <w:szCs w:val="21"/>
        </w:rPr>
        <w:t>为应用及服务提供支持OAuth2.0的完整特性的身份认证服务和授权服务。</w:t>
      </w:r>
    </w:p>
    <w:p>
      <w:pPr>
        <w:spacing w:line="460" w:lineRule="exact"/>
        <w:ind w:firstLine="420"/>
        <w:rPr>
          <w:rStyle w:val="43"/>
          <w:rFonts w:ascii="宋体" w:hAnsi="宋体"/>
          <w:b/>
          <w:bCs/>
          <w:sz w:val="21"/>
          <w:szCs w:val="21"/>
        </w:rPr>
      </w:pPr>
      <w:bookmarkStart w:id="116" w:name="_Toc1353814179"/>
      <w:r>
        <w:rPr>
          <w:rStyle w:val="43"/>
          <w:rFonts w:hint="eastAsia" w:ascii="宋体" w:hAnsi="宋体"/>
          <w:b/>
          <w:bCs/>
          <w:sz w:val="21"/>
          <w:szCs w:val="21"/>
        </w:rPr>
        <w:t>2.20 工业信息模型构建工具</w:t>
      </w:r>
      <w:bookmarkEnd w:id="116"/>
    </w:p>
    <w:p>
      <w:pPr>
        <w:spacing w:line="460" w:lineRule="exact"/>
        <w:ind w:firstLine="420"/>
        <w:rPr>
          <w:rStyle w:val="43"/>
          <w:rFonts w:ascii="宋体" w:hAnsi="宋体"/>
          <w:sz w:val="21"/>
          <w:szCs w:val="21"/>
        </w:rPr>
      </w:pPr>
      <w:r>
        <w:rPr>
          <w:rStyle w:val="43"/>
          <w:rFonts w:hint="eastAsia" w:ascii="宋体" w:hAnsi="宋体"/>
          <w:sz w:val="21"/>
          <w:szCs w:val="21"/>
        </w:rPr>
        <w:t>工业信息模型是平台的关键服务之一，遵循OPC UA规范实现了完整的地址空间，通过信息模型构建工具，可以将现实世界中的实体、虚体完整的映射到数字世界，以数字孪生的形式，以模型为抽象，以对象为载体，将静态和动态特性完整的映射到数字世界中。</w:t>
      </w:r>
    </w:p>
    <w:p>
      <w:pPr>
        <w:spacing w:line="460" w:lineRule="exact"/>
        <w:ind w:firstLine="420"/>
        <w:rPr>
          <w:rStyle w:val="43"/>
          <w:rFonts w:ascii="宋体" w:hAnsi="宋体"/>
          <w:b/>
          <w:bCs/>
          <w:sz w:val="21"/>
          <w:szCs w:val="21"/>
        </w:rPr>
      </w:pPr>
      <w:bookmarkStart w:id="117" w:name="_Toc965666488"/>
      <w:r>
        <w:rPr>
          <w:rStyle w:val="43"/>
          <w:rFonts w:hint="eastAsia" w:ascii="宋体" w:hAnsi="宋体"/>
          <w:b/>
          <w:bCs/>
          <w:sz w:val="21"/>
          <w:szCs w:val="21"/>
        </w:rPr>
        <w:t>2.21 HMI页面设计工具</w:t>
      </w:r>
      <w:bookmarkEnd w:id="117"/>
    </w:p>
    <w:p>
      <w:pPr>
        <w:spacing w:line="460" w:lineRule="exact"/>
        <w:ind w:firstLine="420"/>
        <w:rPr>
          <w:rStyle w:val="43"/>
          <w:rFonts w:ascii="宋体" w:hAnsi="宋体"/>
          <w:sz w:val="21"/>
          <w:szCs w:val="21"/>
        </w:rPr>
      </w:pPr>
      <w:r>
        <w:rPr>
          <w:rStyle w:val="43"/>
          <w:rFonts w:hint="eastAsia" w:ascii="宋体" w:hAnsi="宋体"/>
          <w:sz w:val="21"/>
          <w:szCs w:val="21"/>
        </w:rPr>
        <w:t>平台应提供可以通过点击拖、拉、拽方式来实现可视化快速开发工业应用的开发工具。</w:t>
      </w:r>
    </w:p>
    <w:p>
      <w:pPr>
        <w:spacing w:line="460" w:lineRule="exact"/>
        <w:ind w:firstLine="420"/>
        <w:rPr>
          <w:rStyle w:val="43"/>
          <w:rFonts w:ascii="宋体" w:hAnsi="宋体"/>
          <w:b/>
          <w:bCs/>
          <w:sz w:val="21"/>
          <w:szCs w:val="21"/>
        </w:rPr>
      </w:pPr>
      <w:bookmarkStart w:id="118" w:name="_Toc1422743437"/>
      <w:r>
        <w:rPr>
          <w:rStyle w:val="43"/>
          <w:rFonts w:hint="eastAsia" w:ascii="宋体" w:hAnsi="宋体"/>
          <w:b/>
          <w:bCs/>
          <w:sz w:val="21"/>
          <w:szCs w:val="21"/>
        </w:rPr>
        <w:t>2.22 3D可视化设计工具</w:t>
      </w:r>
      <w:bookmarkEnd w:id="118"/>
    </w:p>
    <w:p>
      <w:pPr>
        <w:spacing w:line="460" w:lineRule="exact"/>
        <w:ind w:firstLine="420"/>
        <w:rPr>
          <w:rStyle w:val="43"/>
          <w:rFonts w:ascii="宋体" w:hAnsi="宋体"/>
          <w:sz w:val="21"/>
          <w:szCs w:val="21"/>
        </w:rPr>
      </w:pPr>
      <w:r>
        <w:rPr>
          <w:rStyle w:val="43"/>
          <w:rFonts w:hint="eastAsia" w:ascii="宋体" w:hAnsi="宋体"/>
          <w:sz w:val="21"/>
          <w:szCs w:val="21"/>
        </w:rPr>
        <w:t>基于模型，实现各类工业3D模型的导入，可视化编辑，3D应用发布能力，实现数字孪生。可为全行业提供 3D 数字模型移动端、PC 端、Web 端的展示和交互，满足智能厨电行业需求。</w:t>
      </w:r>
    </w:p>
    <w:p>
      <w:pPr>
        <w:spacing w:line="460" w:lineRule="exact"/>
        <w:ind w:firstLine="420"/>
        <w:rPr>
          <w:rStyle w:val="43"/>
          <w:rFonts w:ascii="宋体" w:hAnsi="宋体"/>
          <w:b/>
          <w:bCs/>
          <w:sz w:val="21"/>
          <w:szCs w:val="21"/>
        </w:rPr>
      </w:pPr>
      <w:bookmarkStart w:id="119" w:name="_Toc1966019961"/>
      <w:r>
        <w:rPr>
          <w:rStyle w:val="43"/>
          <w:rFonts w:hint="eastAsia" w:ascii="宋体" w:hAnsi="宋体"/>
          <w:b/>
          <w:bCs/>
          <w:sz w:val="21"/>
          <w:szCs w:val="21"/>
        </w:rPr>
        <w:t>2.23算法编排设计器</w:t>
      </w:r>
      <w:bookmarkEnd w:id="119"/>
    </w:p>
    <w:p>
      <w:pPr>
        <w:spacing w:line="460" w:lineRule="exact"/>
        <w:ind w:firstLine="420"/>
        <w:rPr>
          <w:rStyle w:val="43"/>
          <w:rFonts w:ascii="宋体" w:hAnsi="宋体"/>
          <w:sz w:val="21"/>
          <w:szCs w:val="21"/>
        </w:rPr>
      </w:pPr>
      <w:r>
        <w:rPr>
          <w:rStyle w:val="43"/>
          <w:rFonts w:hint="eastAsia" w:ascii="宋体" w:hAnsi="宋体"/>
          <w:sz w:val="21"/>
          <w:szCs w:val="21"/>
        </w:rPr>
        <w:t>平台应为各种算法模型提供统一的开发模式和运行环境，以插件的方式支持多个数据算法模型的计算，通过大数据分析和机器学习等方法，能对数据进行深度解析，以图表、数据报告等方式进行可视化展示，以为生产过程和设备运行获取深度洞察的能力。</w:t>
      </w:r>
    </w:p>
    <w:p>
      <w:pPr>
        <w:spacing w:line="460" w:lineRule="exact"/>
        <w:ind w:firstLine="420"/>
        <w:rPr>
          <w:rStyle w:val="43"/>
          <w:rFonts w:ascii="宋体" w:hAnsi="宋体"/>
          <w:b/>
          <w:bCs/>
          <w:sz w:val="21"/>
          <w:szCs w:val="21"/>
        </w:rPr>
      </w:pPr>
      <w:bookmarkStart w:id="120" w:name="_Toc1714091785"/>
      <w:r>
        <w:rPr>
          <w:rStyle w:val="43"/>
          <w:rFonts w:hint="eastAsia" w:ascii="宋体" w:hAnsi="宋体"/>
          <w:b/>
          <w:bCs/>
          <w:sz w:val="21"/>
          <w:szCs w:val="21"/>
        </w:rPr>
        <w:t>2.24机理模型管理工具</w:t>
      </w:r>
      <w:bookmarkEnd w:id="120"/>
    </w:p>
    <w:p>
      <w:pPr>
        <w:spacing w:line="460" w:lineRule="exact"/>
        <w:ind w:firstLine="420"/>
        <w:rPr>
          <w:rStyle w:val="43"/>
          <w:rFonts w:ascii="宋体" w:hAnsi="宋体"/>
          <w:sz w:val="21"/>
          <w:szCs w:val="21"/>
        </w:rPr>
      </w:pPr>
      <w:r>
        <w:rPr>
          <w:rStyle w:val="43"/>
          <w:rFonts w:hint="eastAsia" w:ascii="宋体" w:hAnsi="宋体"/>
          <w:sz w:val="21"/>
          <w:szCs w:val="21"/>
        </w:rPr>
        <w:t>工业机理模型构建工具的核心功能是提供符合FMI标准的工业机理模型（FMU）的统一管理、解析和运行。</w:t>
      </w:r>
    </w:p>
    <w:p>
      <w:pPr>
        <w:spacing w:line="460" w:lineRule="exact"/>
        <w:ind w:firstLine="420"/>
        <w:rPr>
          <w:rStyle w:val="43"/>
          <w:rFonts w:ascii="宋体" w:hAnsi="宋体"/>
          <w:sz w:val="21"/>
          <w:szCs w:val="21"/>
        </w:rPr>
      </w:pPr>
      <w:r>
        <w:rPr>
          <w:rStyle w:val="43"/>
          <w:rFonts w:hint="eastAsia" w:ascii="宋体" w:hAnsi="宋体"/>
          <w:sz w:val="21"/>
          <w:szCs w:val="21"/>
        </w:rPr>
        <w:t>1)机理模型管理功能：机理模型查询、机理模型上传、机理模型查看(基本信息、模型参数、模型说明)、模型说明编辑。</w:t>
      </w:r>
    </w:p>
    <w:p>
      <w:pPr>
        <w:spacing w:line="460" w:lineRule="exact"/>
        <w:ind w:firstLine="420"/>
        <w:rPr>
          <w:rStyle w:val="43"/>
          <w:rFonts w:ascii="宋体" w:hAnsi="宋体"/>
          <w:sz w:val="21"/>
          <w:szCs w:val="21"/>
        </w:rPr>
      </w:pPr>
      <w:r>
        <w:rPr>
          <w:rStyle w:val="43"/>
          <w:rFonts w:hint="eastAsia" w:ascii="宋体" w:hAnsi="宋体"/>
          <w:sz w:val="21"/>
          <w:szCs w:val="21"/>
        </w:rPr>
        <w:t>2)服务管理：新建服务、自动创建层次化的信息模型、机理模型与信息模型绑定、仿真。</w:t>
      </w:r>
    </w:p>
    <w:p>
      <w:pPr>
        <w:spacing w:line="460" w:lineRule="exact"/>
        <w:ind w:firstLine="420"/>
        <w:rPr>
          <w:rStyle w:val="43"/>
          <w:rFonts w:ascii="宋体" w:hAnsi="宋体"/>
          <w:sz w:val="21"/>
          <w:szCs w:val="21"/>
        </w:rPr>
      </w:pPr>
      <w:r>
        <w:rPr>
          <w:rStyle w:val="43"/>
          <w:rFonts w:hint="eastAsia" w:ascii="宋体" w:hAnsi="宋体"/>
          <w:sz w:val="21"/>
          <w:szCs w:val="21"/>
        </w:rPr>
        <w:t>3)机理模型类别管理：机理模型类别的增、删、改、查管理。</w:t>
      </w:r>
    </w:p>
    <w:p>
      <w:pPr>
        <w:spacing w:line="460" w:lineRule="exact"/>
        <w:ind w:firstLine="420"/>
        <w:rPr>
          <w:rStyle w:val="43"/>
          <w:rFonts w:ascii="宋体" w:hAnsi="宋体"/>
          <w:b/>
          <w:bCs/>
          <w:sz w:val="21"/>
          <w:szCs w:val="21"/>
        </w:rPr>
      </w:pPr>
      <w:bookmarkStart w:id="121" w:name="_Toc247505990"/>
      <w:r>
        <w:rPr>
          <w:rStyle w:val="43"/>
          <w:rFonts w:hint="eastAsia" w:ascii="宋体" w:hAnsi="宋体"/>
          <w:b/>
          <w:bCs/>
          <w:sz w:val="21"/>
          <w:szCs w:val="21"/>
        </w:rPr>
        <w:t>2.25工业网关管理工具</w:t>
      </w:r>
      <w:bookmarkEnd w:id="121"/>
    </w:p>
    <w:p>
      <w:pPr>
        <w:spacing w:line="460" w:lineRule="exact"/>
        <w:ind w:firstLine="420"/>
        <w:rPr>
          <w:rStyle w:val="43"/>
          <w:rFonts w:ascii="宋体" w:hAnsi="宋体"/>
          <w:sz w:val="21"/>
          <w:szCs w:val="21"/>
        </w:rPr>
      </w:pPr>
      <w:r>
        <w:rPr>
          <w:rStyle w:val="43"/>
          <w:rFonts w:hint="eastAsia" w:ascii="宋体" w:hAnsi="宋体"/>
          <w:sz w:val="21"/>
          <w:szCs w:val="21"/>
        </w:rPr>
        <w:t>提供工业网关监视与管理的功能</w:t>
      </w:r>
    </w:p>
    <w:p>
      <w:pPr>
        <w:spacing w:line="460" w:lineRule="exact"/>
        <w:ind w:firstLine="420"/>
        <w:rPr>
          <w:rStyle w:val="43"/>
          <w:rFonts w:ascii="宋体" w:hAnsi="宋体"/>
          <w:b/>
          <w:bCs/>
          <w:sz w:val="21"/>
          <w:szCs w:val="21"/>
        </w:rPr>
      </w:pPr>
      <w:bookmarkStart w:id="122" w:name="_Toc157349691"/>
      <w:r>
        <w:rPr>
          <w:rStyle w:val="43"/>
          <w:rFonts w:hint="eastAsia" w:ascii="宋体" w:hAnsi="宋体"/>
          <w:b/>
          <w:bCs/>
          <w:sz w:val="21"/>
          <w:szCs w:val="21"/>
        </w:rPr>
        <w:t>2.26表单设计器</w:t>
      </w:r>
      <w:bookmarkEnd w:id="122"/>
    </w:p>
    <w:p>
      <w:pPr>
        <w:spacing w:line="460" w:lineRule="exact"/>
        <w:ind w:firstLine="420"/>
        <w:rPr>
          <w:rStyle w:val="43"/>
          <w:rFonts w:ascii="宋体" w:hAnsi="宋体"/>
          <w:sz w:val="21"/>
          <w:szCs w:val="21"/>
        </w:rPr>
      </w:pPr>
      <w:r>
        <w:rPr>
          <w:rStyle w:val="43"/>
          <w:rFonts w:hint="eastAsia" w:ascii="宋体" w:hAnsi="宋体"/>
          <w:sz w:val="21"/>
          <w:szCs w:val="21"/>
        </w:rPr>
        <w:t>平台提供表单设计器支持可拖拽的表单设计，即使不懂技术也可以搭建出自己需要的PC和移动端的页面。</w:t>
      </w:r>
    </w:p>
    <w:p>
      <w:pPr>
        <w:spacing w:line="460" w:lineRule="exact"/>
        <w:ind w:firstLine="420"/>
        <w:rPr>
          <w:rStyle w:val="43"/>
          <w:rFonts w:ascii="宋体" w:hAnsi="宋体"/>
          <w:sz w:val="21"/>
          <w:szCs w:val="21"/>
        </w:rPr>
      </w:pPr>
      <w:r>
        <w:rPr>
          <w:rStyle w:val="43"/>
          <w:rFonts w:hint="eastAsia" w:ascii="宋体" w:hAnsi="宋体" w:cs="宋体"/>
          <w:sz w:val="21"/>
          <w:szCs w:val="21"/>
          <w:lang w:val="en-US" w:eastAsia="zh-CN"/>
        </w:rPr>
        <w:t>1）</w:t>
      </w:r>
      <w:r>
        <w:rPr>
          <w:rStyle w:val="43"/>
          <w:rFonts w:hint="eastAsia" w:ascii="宋体" w:hAnsi="宋体"/>
          <w:sz w:val="21"/>
          <w:szCs w:val="21"/>
        </w:rPr>
        <w:t>平台提供了操作简便、直观的可视化表单编辑器，通过拖拽即可实现表单的设计。</w:t>
      </w:r>
    </w:p>
    <w:p>
      <w:pPr>
        <w:spacing w:line="460" w:lineRule="exact"/>
        <w:ind w:firstLine="420"/>
        <w:rPr>
          <w:rStyle w:val="43"/>
          <w:rFonts w:ascii="宋体" w:hAnsi="宋体"/>
          <w:sz w:val="21"/>
          <w:szCs w:val="21"/>
        </w:rPr>
      </w:pPr>
      <w:r>
        <w:rPr>
          <w:rStyle w:val="43"/>
          <w:rFonts w:hint="eastAsia" w:ascii="宋体" w:hAnsi="宋体" w:cs="宋体"/>
          <w:sz w:val="21"/>
          <w:szCs w:val="21"/>
          <w:lang w:val="en-US" w:eastAsia="zh-CN"/>
        </w:rPr>
        <w:t>2）</w:t>
      </w:r>
      <w:r>
        <w:rPr>
          <w:rStyle w:val="43"/>
          <w:rFonts w:hint="eastAsia" w:ascii="宋体" w:hAnsi="宋体"/>
          <w:sz w:val="21"/>
          <w:szCs w:val="21"/>
        </w:rPr>
        <w:t>支持自定义表单样式，设置数据联动、公式函数、逻辑规则、来源标记等。</w:t>
      </w:r>
    </w:p>
    <w:p>
      <w:pPr>
        <w:spacing w:line="460" w:lineRule="exact"/>
        <w:ind w:firstLine="420"/>
        <w:rPr>
          <w:rStyle w:val="43"/>
          <w:rFonts w:ascii="宋体" w:hAnsi="宋体"/>
          <w:sz w:val="21"/>
          <w:szCs w:val="21"/>
        </w:rPr>
      </w:pPr>
      <w:r>
        <w:rPr>
          <w:rStyle w:val="43"/>
          <w:rFonts w:hint="eastAsia" w:ascii="宋体" w:hAnsi="宋体" w:cs="宋体"/>
          <w:sz w:val="21"/>
          <w:szCs w:val="21"/>
          <w:lang w:val="en-US" w:eastAsia="zh-CN"/>
        </w:rPr>
        <w:t>3）</w:t>
      </w:r>
      <w:r>
        <w:rPr>
          <w:rStyle w:val="43"/>
          <w:rFonts w:hint="eastAsia" w:ascii="宋体" w:hAnsi="宋体"/>
          <w:sz w:val="21"/>
          <w:szCs w:val="21"/>
        </w:rPr>
        <w:t>表单与工作流结合，实现流程式表单类型的使用。</w:t>
      </w:r>
    </w:p>
    <w:p>
      <w:pPr>
        <w:spacing w:line="460" w:lineRule="exact"/>
        <w:ind w:firstLine="420"/>
        <w:rPr>
          <w:rStyle w:val="43"/>
          <w:rFonts w:ascii="宋体" w:hAnsi="宋体"/>
          <w:b/>
          <w:bCs/>
          <w:sz w:val="21"/>
          <w:szCs w:val="21"/>
        </w:rPr>
      </w:pPr>
      <w:bookmarkStart w:id="123" w:name="_Toc1023887180"/>
      <w:r>
        <w:rPr>
          <w:rStyle w:val="43"/>
          <w:rFonts w:hint="eastAsia" w:ascii="宋体" w:hAnsi="宋体"/>
          <w:b/>
          <w:bCs/>
          <w:sz w:val="21"/>
          <w:szCs w:val="21"/>
        </w:rPr>
        <w:t>2.27平台管理与控制</w:t>
      </w:r>
      <w:bookmarkEnd w:id="123"/>
    </w:p>
    <w:p>
      <w:pPr>
        <w:spacing w:line="460" w:lineRule="exact"/>
        <w:ind w:firstLine="420"/>
        <w:rPr>
          <w:rStyle w:val="43"/>
          <w:rFonts w:ascii="宋体" w:hAnsi="宋体"/>
          <w:b/>
          <w:bCs/>
          <w:sz w:val="21"/>
          <w:szCs w:val="21"/>
        </w:rPr>
      </w:pPr>
      <w:r>
        <w:rPr>
          <w:rStyle w:val="43"/>
          <w:rFonts w:hint="eastAsia" w:ascii="宋体" w:hAnsi="宋体"/>
          <w:b/>
          <w:bCs/>
          <w:sz w:val="21"/>
          <w:szCs w:val="21"/>
        </w:rPr>
        <w:t>2.27.1系统和安全管理</w:t>
      </w:r>
    </w:p>
    <w:p>
      <w:pPr>
        <w:spacing w:line="460" w:lineRule="exact"/>
        <w:ind w:firstLine="420"/>
        <w:rPr>
          <w:rStyle w:val="43"/>
          <w:rFonts w:ascii="宋体" w:hAnsi="宋体"/>
          <w:sz w:val="21"/>
          <w:szCs w:val="21"/>
        </w:rPr>
      </w:pPr>
      <w:r>
        <w:rPr>
          <w:rStyle w:val="43"/>
          <w:rFonts w:hint="eastAsia" w:ascii="宋体" w:hAnsi="宋体"/>
          <w:sz w:val="21"/>
          <w:szCs w:val="21"/>
        </w:rPr>
        <w:t>1)</w:t>
      </w:r>
      <w:r>
        <w:rPr>
          <w:rStyle w:val="43"/>
          <w:rFonts w:hint="eastAsia" w:ascii="宋体" w:hAnsi="宋体"/>
          <w:sz w:val="21"/>
          <w:szCs w:val="21"/>
        </w:rPr>
        <w:tab/>
      </w:r>
      <w:r>
        <w:rPr>
          <w:rStyle w:val="43"/>
          <w:rFonts w:hint="eastAsia" w:ascii="宋体" w:hAnsi="宋体"/>
          <w:sz w:val="21"/>
          <w:szCs w:val="21"/>
        </w:rPr>
        <w:t>提供计算资源的管理层对所有计算资源的部署、分配和运行实现统一的操作和管理功能。</w:t>
      </w:r>
    </w:p>
    <w:p>
      <w:pPr>
        <w:spacing w:line="460" w:lineRule="exact"/>
        <w:ind w:firstLine="420"/>
        <w:rPr>
          <w:rStyle w:val="43"/>
          <w:rFonts w:ascii="宋体" w:hAnsi="宋体"/>
          <w:sz w:val="21"/>
          <w:szCs w:val="21"/>
        </w:rPr>
      </w:pPr>
      <w:r>
        <w:rPr>
          <w:rStyle w:val="43"/>
          <w:rFonts w:hint="eastAsia" w:ascii="宋体" w:hAnsi="宋体"/>
          <w:sz w:val="21"/>
          <w:szCs w:val="21"/>
        </w:rPr>
        <w:t>2)</w:t>
      </w:r>
      <w:r>
        <w:rPr>
          <w:rStyle w:val="43"/>
          <w:rFonts w:hint="eastAsia" w:ascii="宋体" w:hAnsi="宋体"/>
          <w:sz w:val="21"/>
          <w:szCs w:val="21"/>
        </w:rPr>
        <w:tab/>
      </w:r>
      <w:r>
        <w:rPr>
          <w:rStyle w:val="43"/>
          <w:rFonts w:hint="eastAsia" w:ascii="宋体" w:hAnsi="宋体"/>
          <w:sz w:val="21"/>
          <w:szCs w:val="21"/>
        </w:rPr>
        <w:t>平台必须具备虚拟节点的基本管理功能。</w:t>
      </w:r>
    </w:p>
    <w:p>
      <w:pPr>
        <w:spacing w:line="460" w:lineRule="exact"/>
        <w:ind w:firstLine="420"/>
        <w:rPr>
          <w:rStyle w:val="43"/>
          <w:rFonts w:ascii="宋体" w:hAnsi="宋体"/>
          <w:sz w:val="21"/>
          <w:szCs w:val="21"/>
        </w:rPr>
      </w:pPr>
      <w:r>
        <w:rPr>
          <w:rStyle w:val="43"/>
          <w:rFonts w:hint="eastAsia" w:ascii="宋体" w:hAnsi="宋体"/>
          <w:sz w:val="21"/>
          <w:szCs w:val="21"/>
        </w:rPr>
        <w:t>3)</w:t>
      </w:r>
      <w:r>
        <w:rPr>
          <w:rStyle w:val="43"/>
          <w:rFonts w:hint="eastAsia" w:ascii="宋体" w:hAnsi="宋体"/>
          <w:sz w:val="21"/>
          <w:szCs w:val="21"/>
        </w:rPr>
        <w:tab/>
      </w:r>
      <w:r>
        <w:rPr>
          <w:rStyle w:val="43"/>
          <w:rFonts w:hint="eastAsia" w:ascii="宋体" w:hAnsi="宋体"/>
          <w:sz w:val="21"/>
          <w:szCs w:val="21"/>
        </w:rPr>
        <w:t>平台必须提供统一的用户配置和管理能力。</w:t>
      </w:r>
    </w:p>
    <w:p>
      <w:pPr>
        <w:spacing w:line="460" w:lineRule="exact"/>
        <w:ind w:firstLine="420"/>
        <w:rPr>
          <w:rStyle w:val="43"/>
          <w:rFonts w:ascii="宋体" w:hAnsi="宋体"/>
          <w:sz w:val="21"/>
          <w:szCs w:val="21"/>
        </w:rPr>
      </w:pPr>
      <w:r>
        <w:rPr>
          <w:rStyle w:val="43"/>
          <w:rFonts w:hint="eastAsia" w:ascii="宋体" w:hAnsi="宋体"/>
          <w:sz w:val="21"/>
          <w:szCs w:val="21"/>
        </w:rPr>
        <w:t>4)</w:t>
      </w:r>
      <w:r>
        <w:rPr>
          <w:rStyle w:val="43"/>
          <w:rFonts w:hint="eastAsia" w:ascii="宋体" w:hAnsi="宋体"/>
          <w:sz w:val="21"/>
          <w:szCs w:val="21"/>
        </w:rPr>
        <w:tab/>
      </w:r>
      <w:r>
        <w:rPr>
          <w:rStyle w:val="43"/>
          <w:rFonts w:hint="eastAsia" w:ascii="宋体" w:hAnsi="宋体"/>
          <w:sz w:val="21"/>
          <w:szCs w:val="21"/>
        </w:rPr>
        <w:t>平台必须从架构上支持多租户的使用模式，提供多种模式的多租户支持，包括完全资源共享和完全资源隔离的模式。</w:t>
      </w:r>
    </w:p>
    <w:p>
      <w:pPr>
        <w:spacing w:line="460" w:lineRule="exact"/>
        <w:ind w:firstLine="420"/>
        <w:rPr>
          <w:rStyle w:val="43"/>
          <w:rFonts w:ascii="宋体" w:hAnsi="宋体"/>
          <w:sz w:val="21"/>
          <w:szCs w:val="21"/>
        </w:rPr>
      </w:pPr>
      <w:r>
        <w:rPr>
          <w:rStyle w:val="43"/>
          <w:rFonts w:hint="eastAsia" w:ascii="宋体" w:hAnsi="宋体"/>
          <w:sz w:val="21"/>
          <w:szCs w:val="21"/>
        </w:rPr>
        <w:t>5)</w:t>
      </w:r>
      <w:r>
        <w:rPr>
          <w:rStyle w:val="43"/>
          <w:rFonts w:hint="eastAsia" w:ascii="宋体" w:hAnsi="宋体"/>
          <w:sz w:val="21"/>
          <w:szCs w:val="21"/>
        </w:rPr>
        <w:tab/>
      </w:r>
      <w:r>
        <w:rPr>
          <w:rStyle w:val="43"/>
          <w:rFonts w:hint="eastAsia" w:ascii="宋体" w:hAnsi="宋体"/>
          <w:sz w:val="21"/>
          <w:szCs w:val="21"/>
        </w:rPr>
        <w:t>平台必须具备负载均衡功能，实现多人并发访问，自动分摊执行, 其中平均故障间隔时间MTBF≥8000h，设备故障平均修复时间MTTR≤30min。</w:t>
      </w:r>
    </w:p>
    <w:p>
      <w:pPr>
        <w:spacing w:line="460" w:lineRule="exact"/>
        <w:ind w:firstLine="420"/>
        <w:rPr>
          <w:rStyle w:val="43"/>
          <w:rFonts w:ascii="宋体" w:hAnsi="宋体"/>
          <w:sz w:val="21"/>
          <w:szCs w:val="21"/>
        </w:rPr>
      </w:pPr>
      <w:r>
        <w:rPr>
          <w:rStyle w:val="43"/>
          <w:rFonts w:hint="eastAsia" w:ascii="宋体" w:hAnsi="宋体"/>
          <w:sz w:val="21"/>
          <w:szCs w:val="21"/>
        </w:rPr>
        <w:t>6)</w:t>
      </w:r>
      <w:r>
        <w:rPr>
          <w:rStyle w:val="43"/>
          <w:rFonts w:hint="eastAsia" w:ascii="宋体" w:hAnsi="宋体"/>
          <w:sz w:val="21"/>
          <w:szCs w:val="21"/>
        </w:rPr>
        <w:tab/>
      </w:r>
      <w:r>
        <w:rPr>
          <w:rStyle w:val="43"/>
          <w:rFonts w:hint="eastAsia" w:ascii="宋体" w:hAnsi="宋体"/>
          <w:sz w:val="21"/>
          <w:szCs w:val="21"/>
        </w:rPr>
        <w:t>平台必须具备安全策略配置及私密钥管理能力。</w:t>
      </w:r>
    </w:p>
    <w:p>
      <w:pPr>
        <w:spacing w:line="460" w:lineRule="exact"/>
        <w:ind w:firstLine="420"/>
        <w:rPr>
          <w:rStyle w:val="43"/>
          <w:rFonts w:ascii="宋体" w:hAnsi="宋体"/>
          <w:sz w:val="21"/>
          <w:szCs w:val="21"/>
        </w:rPr>
      </w:pPr>
      <w:r>
        <w:rPr>
          <w:rStyle w:val="43"/>
          <w:rFonts w:hint="eastAsia" w:ascii="宋体" w:hAnsi="宋体"/>
          <w:sz w:val="21"/>
          <w:szCs w:val="21"/>
        </w:rPr>
        <w:t>7)</w:t>
      </w:r>
      <w:r>
        <w:rPr>
          <w:rStyle w:val="43"/>
          <w:rFonts w:hint="eastAsia" w:ascii="宋体" w:hAnsi="宋体"/>
          <w:sz w:val="21"/>
          <w:szCs w:val="21"/>
        </w:rPr>
        <w:tab/>
      </w:r>
      <w:r>
        <w:rPr>
          <w:rStyle w:val="43"/>
          <w:rFonts w:hint="eastAsia" w:ascii="宋体" w:hAnsi="宋体"/>
          <w:sz w:val="21"/>
          <w:szCs w:val="21"/>
        </w:rPr>
        <w:t>平台管理员，下面设有租户管理员，对应类似一个企业，数据隔离，租户管理员维护下面的应用管理员。</w:t>
      </w:r>
    </w:p>
    <w:p>
      <w:pPr>
        <w:spacing w:line="460" w:lineRule="exact"/>
        <w:ind w:firstLine="420"/>
        <w:rPr>
          <w:rStyle w:val="43"/>
          <w:rFonts w:ascii="宋体" w:hAnsi="宋体"/>
          <w:b/>
          <w:bCs/>
          <w:sz w:val="21"/>
          <w:szCs w:val="21"/>
        </w:rPr>
      </w:pPr>
      <w:r>
        <w:rPr>
          <w:rStyle w:val="43"/>
          <w:rFonts w:hint="eastAsia" w:ascii="宋体" w:hAnsi="宋体"/>
          <w:b/>
          <w:bCs/>
          <w:sz w:val="21"/>
          <w:szCs w:val="21"/>
        </w:rPr>
        <w:t>2.27.2接入标准管理</w:t>
      </w:r>
    </w:p>
    <w:p>
      <w:pPr>
        <w:spacing w:line="460" w:lineRule="exact"/>
        <w:ind w:firstLine="420"/>
        <w:rPr>
          <w:rStyle w:val="43"/>
          <w:rFonts w:ascii="宋体" w:hAnsi="宋体"/>
          <w:sz w:val="21"/>
          <w:szCs w:val="21"/>
        </w:rPr>
      </w:pPr>
      <w:r>
        <w:rPr>
          <w:rStyle w:val="43"/>
          <w:rFonts w:hint="eastAsia" w:ascii="宋体" w:hAnsi="宋体"/>
          <w:sz w:val="21"/>
          <w:szCs w:val="21"/>
        </w:rPr>
        <w:t>需要针对制造型企业集团和各个分子公司数据分中心提供统一的面向数据管理和应用的接入标准管理。提供边缘平台在多地部署条件下，集团中心工业互联网数据平台与边缘平台间对接标准管理。</w:t>
      </w:r>
    </w:p>
    <w:p>
      <w:pPr>
        <w:spacing w:line="460" w:lineRule="exact"/>
        <w:ind w:firstLine="420"/>
        <w:rPr>
          <w:rStyle w:val="43"/>
          <w:rFonts w:ascii="宋体" w:hAnsi="宋体"/>
          <w:b/>
          <w:bCs/>
          <w:sz w:val="21"/>
          <w:szCs w:val="21"/>
        </w:rPr>
      </w:pPr>
      <w:r>
        <w:rPr>
          <w:rStyle w:val="43"/>
          <w:rFonts w:hint="eastAsia" w:ascii="宋体" w:hAnsi="宋体"/>
          <w:b/>
          <w:bCs/>
          <w:sz w:val="21"/>
          <w:szCs w:val="21"/>
        </w:rPr>
        <w:t>2.27.3容器运行管理</w:t>
      </w:r>
    </w:p>
    <w:p>
      <w:pPr>
        <w:spacing w:line="460" w:lineRule="exact"/>
        <w:ind w:firstLine="420"/>
        <w:rPr>
          <w:rStyle w:val="43"/>
          <w:rFonts w:ascii="宋体" w:hAnsi="宋体"/>
          <w:sz w:val="21"/>
          <w:szCs w:val="21"/>
        </w:rPr>
      </w:pPr>
      <w:r>
        <w:rPr>
          <w:rStyle w:val="43"/>
          <w:rFonts w:hint="eastAsia" w:ascii="宋体" w:hAnsi="宋体"/>
          <w:sz w:val="21"/>
          <w:szCs w:val="21"/>
        </w:rPr>
        <w:t>平台应提供对容器运行统一管理服务，包括在Kubernetes系统上不同的命名空间中Pods（容器集群）。</w:t>
      </w:r>
    </w:p>
    <w:p>
      <w:pPr>
        <w:spacing w:line="460" w:lineRule="exact"/>
        <w:ind w:firstLine="420"/>
        <w:rPr>
          <w:rStyle w:val="43"/>
          <w:rFonts w:ascii="宋体" w:hAnsi="宋体"/>
          <w:sz w:val="21"/>
          <w:szCs w:val="21"/>
        </w:rPr>
      </w:pPr>
      <w:r>
        <w:rPr>
          <w:rStyle w:val="43"/>
          <w:rFonts w:hint="eastAsia" w:ascii="宋体" w:hAnsi="宋体"/>
          <w:sz w:val="21"/>
          <w:szCs w:val="21"/>
        </w:rPr>
        <w:t>1)</w:t>
      </w:r>
      <w:r>
        <w:rPr>
          <w:rStyle w:val="43"/>
          <w:rFonts w:hint="eastAsia" w:ascii="宋体" w:hAnsi="宋体"/>
          <w:sz w:val="21"/>
          <w:szCs w:val="21"/>
        </w:rPr>
        <w:tab/>
      </w:r>
      <w:r>
        <w:rPr>
          <w:rStyle w:val="43"/>
          <w:rFonts w:hint="eastAsia" w:ascii="宋体" w:hAnsi="宋体"/>
          <w:sz w:val="21"/>
          <w:szCs w:val="21"/>
        </w:rPr>
        <w:t>应用编排（对不同应用与容器集群的编排）。</w:t>
      </w:r>
    </w:p>
    <w:p>
      <w:pPr>
        <w:spacing w:line="460" w:lineRule="exact"/>
        <w:ind w:firstLine="420"/>
        <w:rPr>
          <w:rStyle w:val="43"/>
          <w:rFonts w:ascii="宋体" w:hAnsi="宋体"/>
          <w:sz w:val="21"/>
          <w:szCs w:val="21"/>
        </w:rPr>
      </w:pPr>
      <w:r>
        <w:rPr>
          <w:rStyle w:val="43"/>
          <w:rFonts w:hint="eastAsia" w:ascii="宋体" w:hAnsi="宋体"/>
          <w:sz w:val="21"/>
          <w:szCs w:val="21"/>
        </w:rPr>
        <w:t>2)</w:t>
      </w:r>
      <w:r>
        <w:rPr>
          <w:rStyle w:val="43"/>
          <w:rFonts w:hint="eastAsia" w:ascii="宋体" w:hAnsi="宋体"/>
          <w:sz w:val="21"/>
          <w:szCs w:val="21"/>
        </w:rPr>
        <w:tab/>
      </w:r>
      <w:r>
        <w:rPr>
          <w:rStyle w:val="43"/>
          <w:rFonts w:hint="eastAsia" w:ascii="宋体" w:hAnsi="宋体"/>
          <w:sz w:val="21"/>
          <w:szCs w:val="21"/>
        </w:rPr>
        <w:t>资源配置（包括可用的节点数量、CPU、内存、以及容器数量的上限）。</w:t>
      </w:r>
    </w:p>
    <w:p>
      <w:pPr>
        <w:spacing w:line="460" w:lineRule="exact"/>
        <w:ind w:firstLine="420"/>
        <w:rPr>
          <w:rStyle w:val="43"/>
          <w:rFonts w:ascii="宋体" w:hAnsi="宋体"/>
          <w:sz w:val="21"/>
          <w:szCs w:val="21"/>
        </w:rPr>
      </w:pPr>
      <w:r>
        <w:rPr>
          <w:rStyle w:val="43"/>
          <w:rFonts w:hint="eastAsia" w:ascii="宋体" w:hAnsi="宋体"/>
          <w:sz w:val="21"/>
          <w:szCs w:val="21"/>
        </w:rPr>
        <w:t>3)</w:t>
      </w:r>
      <w:r>
        <w:rPr>
          <w:rStyle w:val="43"/>
          <w:rFonts w:hint="eastAsia" w:ascii="宋体" w:hAnsi="宋体"/>
          <w:sz w:val="21"/>
          <w:szCs w:val="21"/>
        </w:rPr>
        <w:tab/>
      </w:r>
      <w:r>
        <w:rPr>
          <w:rStyle w:val="43"/>
          <w:rFonts w:hint="eastAsia" w:ascii="宋体" w:hAnsi="宋体"/>
          <w:sz w:val="21"/>
          <w:szCs w:val="21"/>
        </w:rPr>
        <w:t>自动扩缩（根据CPU、内存双维度的容器数量自动伸缩功能）。</w:t>
      </w:r>
    </w:p>
    <w:p>
      <w:pPr>
        <w:spacing w:line="460" w:lineRule="exact"/>
        <w:ind w:firstLine="420"/>
        <w:rPr>
          <w:rStyle w:val="43"/>
          <w:rFonts w:ascii="宋体" w:hAnsi="宋体"/>
          <w:sz w:val="21"/>
          <w:szCs w:val="21"/>
        </w:rPr>
      </w:pPr>
      <w:r>
        <w:rPr>
          <w:rStyle w:val="43"/>
          <w:rFonts w:hint="eastAsia" w:ascii="宋体" w:hAnsi="宋体"/>
          <w:sz w:val="21"/>
          <w:szCs w:val="21"/>
        </w:rPr>
        <w:t>4)</w:t>
      </w:r>
      <w:r>
        <w:rPr>
          <w:rStyle w:val="43"/>
          <w:rFonts w:hint="eastAsia" w:ascii="宋体" w:hAnsi="宋体"/>
          <w:sz w:val="21"/>
          <w:szCs w:val="21"/>
        </w:rPr>
        <w:tab/>
      </w:r>
      <w:r>
        <w:rPr>
          <w:rStyle w:val="43"/>
          <w:rFonts w:hint="eastAsia" w:ascii="宋体" w:hAnsi="宋体"/>
          <w:sz w:val="21"/>
          <w:szCs w:val="21"/>
        </w:rPr>
        <w:t>状态监控（图形化的CPU、内存、存储、网络的资源总量和使用率信息，以及容器节点运行的健康状态。</w:t>
      </w:r>
    </w:p>
    <w:p>
      <w:pPr>
        <w:spacing w:line="460" w:lineRule="exact"/>
        <w:ind w:firstLine="420"/>
        <w:rPr>
          <w:rStyle w:val="43"/>
          <w:rFonts w:ascii="宋体" w:hAnsi="宋体"/>
          <w:sz w:val="21"/>
          <w:szCs w:val="21"/>
        </w:rPr>
      </w:pPr>
      <w:r>
        <w:rPr>
          <w:rStyle w:val="43"/>
          <w:rFonts w:hint="eastAsia" w:ascii="宋体" w:hAnsi="宋体"/>
          <w:sz w:val="21"/>
          <w:szCs w:val="21"/>
        </w:rPr>
        <w:t>5)</w:t>
      </w:r>
      <w:r>
        <w:rPr>
          <w:rStyle w:val="43"/>
          <w:rFonts w:hint="eastAsia" w:ascii="宋体" w:hAnsi="宋体"/>
          <w:sz w:val="21"/>
          <w:szCs w:val="21"/>
        </w:rPr>
        <w:tab/>
      </w:r>
      <w:r>
        <w:rPr>
          <w:rStyle w:val="43"/>
          <w:rFonts w:hint="eastAsia" w:ascii="宋体" w:hAnsi="宋体"/>
          <w:sz w:val="21"/>
          <w:szCs w:val="21"/>
        </w:rPr>
        <w:t>操作指令（启动和停止具体容器的操作）。</w:t>
      </w:r>
    </w:p>
    <w:p>
      <w:pPr>
        <w:spacing w:line="460" w:lineRule="exact"/>
        <w:ind w:firstLine="420"/>
        <w:rPr>
          <w:rStyle w:val="43"/>
          <w:rFonts w:ascii="宋体" w:hAnsi="宋体"/>
          <w:b/>
          <w:bCs/>
          <w:sz w:val="21"/>
          <w:szCs w:val="21"/>
        </w:rPr>
      </w:pPr>
      <w:r>
        <w:rPr>
          <w:rStyle w:val="43"/>
          <w:rFonts w:hint="eastAsia" w:ascii="宋体" w:hAnsi="宋体"/>
          <w:b/>
          <w:bCs/>
          <w:sz w:val="21"/>
          <w:szCs w:val="21"/>
        </w:rPr>
        <w:t>2.27.4边缘层管理</w:t>
      </w:r>
    </w:p>
    <w:p>
      <w:pPr>
        <w:spacing w:line="460" w:lineRule="exact"/>
        <w:ind w:firstLine="420"/>
        <w:rPr>
          <w:rStyle w:val="43"/>
          <w:rFonts w:ascii="宋体" w:hAnsi="宋体"/>
          <w:sz w:val="21"/>
          <w:szCs w:val="21"/>
        </w:rPr>
      </w:pPr>
      <w:r>
        <w:rPr>
          <w:rStyle w:val="43"/>
          <w:rFonts w:hint="eastAsia" w:ascii="宋体" w:hAnsi="宋体"/>
          <w:sz w:val="21"/>
          <w:szCs w:val="21"/>
        </w:rPr>
        <w:t>平台应提供对数据采集网关和边缘计算节点的统一管理能力。通过平台边缘管理实现边缘侧的设备发现，注册和管理，平台配置信息下发，边缘端系统程序在线更新，控制指令传输等功能。实现数据和业务信息在边缘侧和平台侧的双向可控传输。同时提供对第三方物联网模块的对接标准，由平台侧的统一化管理实现。</w:t>
      </w:r>
    </w:p>
    <w:p>
      <w:pPr>
        <w:spacing w:line="460" w:lineRule="exact"/>
        <w:ind w:firstLine="420"/>
        <w:rPr>
          <w:rStyle w:val="43"/>
          <w:rFonts w:ascii="宋体" w:hAnsi="宋体"/>
          <w:b/>
          <w:bCs/>
          <w:sz w:val="21"/>
          <w:szCs w:val="21"/>
        </w:rPr>
      </w:pPr>
      <w:r>
        <w:rPr>
          <w:rStyle w:val="43"/>
          <w:rFonts w:hint="eastAsia" w:ascii="宋体" w:hAnsi="宋体"/>
          <w:b/>
          <w:bCs/>
          <w:sz w:val="21"/>
          <w:szCs w:val="21"/>
        </w:rPr>
        <w:t>2.27.5微服务管理</w:t>
      </w:r>
    </w:p>
    <w:p>
      <w:pPr>
        <w:spacing w:line="460" w:lineRule="exact"/>
        <w:ind w:firstLine="420"/>
        <w:rPr>
          <w:rStyle w:val="43"/>
          <w:rFonts w:ascii="宋体" w:hAnsi="宋体"/>
          <w:sz w:val="21"/>
          <w:szCs w:val="21"/>
        </w:rPr>
      </w:pPr>
      <w:r>
        <w:rPr>
          <w:rStyle w:val="43"/>
          <w:rFonts w:hint="eastAsia" w:ascii="宋体" w:hAnsi="宋体"/>
          <w:sz w:val="21"/>
          <w:szCs w:val="21"/>
        </w:rPr>
        <w:t>平台应提供具有云计算技术的微服务开发和运营框架（DevOps），使能具体</w:t>
      </w:r>
      <w:r>
        <w:rPr>
          <w:rStyle w:val="43"/>
          <w:rFonts w:ascii="宋体" w:hAnsi="宋体"/>
          <w:sz w:val="21"/>
          <w:szCs w:val="21"/>
        </w:rPr>
        <w:t>工业应用</w:t>
      </w:r>
      <w:r>
        <w:rPr>
          <w:rStyle w:val="43"/>
          <w:rFonts w:hint="eastAsia" w:ascii="宋体" w:hAnsi="宋体"/>
          <w:sz w:val="21"/>
          <w:szCs w:val="21"/>
        </w:rPr>
        <w:t>开发者能在数字孪生API和其它相关API的支持下，根据具体应用场景的需求，把数据分析结果、业务逻辑、以及多角色的用户交互界面结合在一起，敏捷开发和迭代更新</w:t>
      </w:r>
      <w:r>
        <w:rPr>
          <w:rStyle w:val="43"/>
          <w:rFonts w:ascii="宋体" w:hAnsi="宋体"/>
          <w:sz w:val="21"/>
          <w:szCs w:val="21"/>
        </w:rPr>
        <w:t>工业应用</w:t>
      </w:r>
      <w:r>
        <w:rPr>
          <w:rStyle w:val="43"/>
          <w:rFonts w:hint="eastAsia" w:ascii="宋体" w:hAnsi="宋体"/>
          <w:sz w:val="21"/>
          <w:szCs w:val="21"/>
        </w:rPr>
        <w:t>，并使这些工业应用在这个统一的、规范化的框架里部署、运行和管理。</w:t>
      </w:r>
    </w:p>
    <w:p>
      <w:pPr>
        <w:spacing w:line="460" w:lineRule="exact"/>
        <w:ind w:firstLine="420"/>
        <w:rPr>
          <w:rStyle w:val="43"/>
          <w:rFonts w:ascii="宋体" w:hAnsi="宋体"/>
          <w:b/>
          <w:bCs/>
          <w:sz w:val="21"/>
          <w:szCs w:val="21"/>
        </w:rPr>
      </w:pPr>
      <w:r>
        <w:rPr>
          <w:rStyle w:val="43"/>
          <w:rFonts w:hint="eastAsia" w:ascii="宋体" w:hAnsi="宋体"/>
          <w:b/>
          <w:bCs/>
          <w:sz w:val="21"/>
          <w:szCs w:val="21"/>
        </w:rPr>
        <w:t>2.27.6运维监控</w:t>
      </w:r>
    </w:p>
    <w:p>
      <w:pPr>
        <w:spacing w:line="460" w:lineRule="exact"/>
        <w:ind w:firstLine="420"/>
        <w:rPr>
          <w:rStyle w:val="43"/>
          <w:rFonts w:ascii="宋体" w:hAnsi="宋体"/>
          <w:sz w:val="21"/>
          <w:szCs w:val="21"/>
        </w:rPr>
      </w:pPr>
      <w:r>
        <w:rPr>
          <w:rStyle w:val="43"/>
          <w:rFonts w:hint="eastAsia" w:ascii="宋体" w:hAnsi="宋体"/>
          <w:sz w:val="21"/>
          <w:szCs w:val="21"/>
        </w:rPr>
        <w:t>实时监控整个工业互联网平台的计算机资源运行情况，包括数据采集网关、边缘计算节点、边缘平台、数据平台的硬件资源。</w:t>
      </w:r>
    </w:p>
    <w:p>
      <w:pPr>
        <w:spacing w:line="460" w:lineRule="exact"/>
        <w:ind w:firstLine="420"/>
        <w:rPr>
          <w:rStyle w:val="43"/>
          <w:rFonts w:ascii="宋体" w:hAnsi="宋体"/>
          <w:b/>
          <w:bCs/>
          <w:sz w:val="21"/>
          <w:szCs w:val="21"/>
        </w:rPr>
      </w:pPr>
      <w:r>
        <w:rPr>
          <w:rStyle w:val="43"/>
          <w:rFonts w:hint="eastAsia" w:ascii="宋体" w:hAnsi="宋体"/>
          <w:b/>
          <w:bCs/>
          <w:sz w:val="21"/>
          <w:szCs w:val="21"/>
        </w:rPr>
        <w:t>2.27.7租户管理</w:t>
      </w:r>
    </w:p>
    <w:p>
      <w:pPr>
        <w:spacing w:line="460" w:lineRule="exact"/>
        <w:ind w:firstLine="420"/>
        <w:rPr>
          <w:rStyle w:val="43"/>
          <w:rFonts w:ascii="宋体" w:hAnsi="宋体"/>
          <w:sz w:val="21"/>
          <w:szCs w:val="21"/>
        </w:rPr>
      </w:pPr>
      <w:r>
        <w:rPr>
          <w:rStyle w:val="43"/>
          <w:rFonts w:hint="eastAsia" w:ascii="宋体" w:hAnsi="宋体"/>
          <w:sz w:val="21"/>
          <w:szCs w:val="21"/>
        </w:rPr>
        <w:t>租户是用户权限的管理者，主要是对用户和项目的管理。可根据用户职责规划用户组，赋予用户组对应的权限，使用户组中的用户拥有对应的权限。平台支持注册多个租户。一个租户最多可注册多个用户。租户创建成功后可以申请配额，申请镜像和创建项目。</w:t>
      </w:r>
    </w:p>
    <w:p>
      <w:pPr>
        <w:spacing w:line="460" w:lineRule="exact"/>
        <w:ind w:firstLine="420"/>
        <w:rPr>
          <w:rStyle w:val="43"/>
          <w:rFonts w:ascii="宋体" w:hAnsi="宋体"/>
          <w:sz w:val="21"/>
          <w:szCs w:val="21"/>
        </w:rPr>
      </w:pPr>
      <w:r>
        <w:rPr>
          <w:rStyle w:val="43"/>
          <w:rFonts w:hint="eastAsia" w:ascii="宋体" w:hAnsi="宋体"/>
          <w:sz w:val="21"/>
          <w:szCs w:val="21"/>
        </w:rPr>
        <w:t>租户状态包括租户审核不通过、租户审核信息通过、租户审核节点通过、租户激活、租户待审核、租户待配额审核、租户冻结等几个状态。</w:t>
      </w:r>
    </w:p>
    <w:p>
      <w:pPr>
        <w:spacing w:line="460" w:lineRule="exact"/>
        <w:ind w:firstLine="420"/>
        <w:rPr>
          <w:rStyle w:val="43"/>
          <w:rFonts w:ascii="宋体" w:hAnsi="宋体"/>
          <w:b/>
          <w:bCs/>
          <w:sz w:val="21"/>
          <w:szCs w:val="21"/>
        </w:rPr>
      </w:pPr>
      <w:r>
        <w:rPr>
          <w:rStyle w:val="43"/>
          <w:rFonts w:hint="eastAsia" w:ascii="宋体" w:hAnsi="宋体"/>
          <w:b/>
          <w:bCs/>
          <w:sz w:val="21"/>
          <w:szCs w:val="21"/>
        </w:rPr>
        <w:t>2.27.8 SDK支持</w:t>
      </w:r>
    </w:p>
    <w:p>
      <w:pPr>
        <w:spacing w:line="460" w:lineRule="exact"/>
        <w:ind w:firstLine="420"/>
        <w:rPr>
          <w:rStyle w:val="43"/>
          <w:rFonts w:ascii="宋体" w:hAnsi="宋体"/>
          <w:sz w:val="21"/>
          <w:szCs w:val="21"/>
        </w:rPr>
      </w:pPr>
      <w:r>
        <w:rPr>
          <w:rStyle w:val="43"/>
          <w:rFonts w:hint="eastAsia" w:ascii="宋体" w:hAnsi="宋体"/>
          <w:sz w:val="21"/>
          <w:szCs w:val="21"/>
        </w:rPr>
        <w:t>平台应提供多种项目模板用于方便创建项目如JavaScript、Java、Springboot项目模板。平台也应提供SDK工具，用于应用APP的开发、调试和部署。</w:t>
      </w:r>
    </w:p>
    <w:p>
      <w:pPr>
        <w:spacing w:line="460" w:lineRule="exact"/>
        <w:ind w:firstLine="420"/>
        <w:rPr>
          <w:rStyle w:val="43"/>
          <w:rFonts w:ascii="宋体" w:hAnsi="宋体"/>
          <w:b/>
          <w:bCs/>
          <w:sz w:val="21"/>
          <w:szCs w:val="21"/>
        </w:rPr>
      </w:pPr>
      <w:r>
        <w:rPr>
          <w:rStyle w:val="43"/>
          <w:rFonts w:hint="eastAsia" w:ascii="宋体" w:hAnsi="宋体"/>
          <w:b/>
          <w:bCs/>
          <w:sz w:val="21"/>
          <w:szCs w:val="21"/>
        </w:rPr>
        <w:t>2.27.9 API接口</w:t>
      </w:r>
    </w:p>
    <w:p>
      <w:pPr>
        <w:spacing w:line="460" w:lineRule="exact"/>
        <w:ind w:firstLine="420"/>
        <w:rPr>
          <w:rStyle w:val="43"/>
          <w:rFonts w:ascii="宋体" w:hAnsi="宋体"/>
          <w:sz w:val="21"/>
          <w:szCs w:val="21"/>
        </w:rPr>
      </w:pPr>
      <w:r>
        <w:rPr>
          <w:rStyle w:val="43"/>
          <w:rFonts w:hint="eastAsia" w:ascii="宋体" w:hAnsi="宋体"/>
          <w:sz w:val="21"/>
          <w:szCs w:val="21"/>
        </w:rPr>
        <w:t>平台应提供基于标准RESTful API接口实现所有前端应用的数据操作，并提供多种数据格式包括但不限于Json和CSV等格式，来满足不同平台的跨平台设计需求和减少用户的开发工作量和降低接口理解难。</w:t>
      </w:r>
    </w:p>
    <w:p>
      <w:pPr>
        <w:spacing w:line="460" w:lineRule="exact"/>
        <w:ind w:firstLine="420"/>
        <w:rPr>
          <w:rStyle w:val="43"/>
          <w:rFonts w:ascii="宋体" w:hAnsi="宋体"/>
          <w:b/>
          <w:bCs/>
          <w:sz w:val="21"/>
          <w:szCs w:val="21"/>
        </w:rPr>
      </w:pPr>
      <w:bookmarkStart w:id="124" w:name="_Toc685370849"/>
      <w:r>
        <w:rPr>
          <w:rStyle w:val="43"/>
          <w:rFonts w:hint="eastAsia" w:ascii="宋体" w:hAnsi="宋体"/>
          <w:b/>
          <w:bCs/>
          <w:sz w:val="21"/>
          <w:szCs w:val="21"/>
        </w:rPr>
        <w:t>2.28企业数字化应用</w:t>
      </w:r>
      <w:bookmarkEnd w:id="124"/>
    </w:p>
    <w:p>
      <w:pPr>
        <w:spacing w:line="460" w:lineRule="exact"/>
        <w:ind w:firstLine="420"/>
        <w:rPr>
          <w:rStyle w:val="43"/>
          <w:rFonts w:ascii="宋体" w:hAnsi="宋体"/>
          <w:sz w:val="21"/>
          <w:szCs w:val="21"/>
        </w:rPr>
      </w:pPr>
      <w:r>
        <w:rPr>
          <w:rStyle w:val="43"/>
          <w:rFonts w:hint="eastAsia" w:ascii="宋体" w:hAnsi="宋体"/>
          <w:sz w:val="21"/>
          <w:szCs w:val="21"/>
        </w:rPr>
        <w:t>围绕企业生产运营痛点，重点开发订单管理、生产计划管理、生产执行管理、质量追溯管理、物联集成、库存管理、系统集成等新智造应用场景，推动企业提质降本增效。企业侧应用规划八大共性场景解决行业六大痛点，详见下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56"/>
        <w:gridCol w:w="711"/>
        <w:gridCol w:w="1123"/>
        <w:gridCol w:w="261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68" w:type="pct"/>
            <w:shd w:val="clear" w:color="000000"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痛点</w:t>
            </w:r>
          </w:p>
        </w:tc>
        <w:tc>
          <w:tcPr>
            <w:tcW w:w="1206" w:type="pct"/>
            <w:shd w:val="clear" w:color="000000"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痛点分析</w:t>
            </w:r>
          </w:p>
        </w:tc>
        <w:tc>
          <w:tcPr>
            <w:tcW w:w="417" w:type="pct"/>
            <w:shd w:val="clear" w:color="000000"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应用场景</w:t>
            </w:r>
          </w:p>
        </w:tc>
        <w:tc>
          <w:tcPr>
            <w:tcW w:w="2191" w:type="pct"/>
            <w:gridSpan w:val="2"/>
            <w:shd w:val="clear" w:color="000000"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功能描述</w:t>
            </w:r>
          </w:p>
        </w:tc>
        <w:tc>
          <w:tcPr>
            <w:tcW w:w="716" w:type="pct"/>
            <w:shd w:val="clear" w:color="000000"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restart"/>
            <w:shd w:val="clear" w:color="000000" w:fill="FFFFFF"/>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订单生产进度跟踪难</w:t>
            </w:r>
          </w:p>
        </w:tc>
        <w:tc>
          <w:tcPr>
            <w:tcW w:w="120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订单进度无法实时准确反映生产进度，无法出现异常第一时间解决</w:t>
            </w:r>
          </w:p>
        </w:tc>
        <w:tc>
          <w:tcPr>
            <w:tcW w:w="417" w:type="pct"/>
            <w:vMerge w:val="restar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订单管理</w:t>
            </w:r>
          </w:p>
        </w:tc>
        <w:tc>
          <w:tcPr>
            <w:tcW w:w="659"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订单管理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同步ERP或导入订单</w:t>
            </w:r>
          </w:p>
        </w:tc>
        <w:tc>
          <w:tcPr>
            <w:tcW w:w="71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实时掌控订单进度并提前预警，交付客户满意度提升10%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订单超期预警</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订单生产超期预警</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订单历史追溯</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订单生产等记录可便捷追溯</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restar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生产过程是黑箱</w:t>
            </w:r>
          </w:p>
        </w:tc>
        <w:tc>
          <w:tcPr>
            <w:tcW w:w="120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由于缺失生产任务单的系统管理，无法精确梳理生产节拍，不清楚生产状况和问题，无法快速提高生产效率</w:t>
            </w:r>
          </w:p>
        </w:tc>
        <w:tc>
          <w:tcPr>
            <w:tcW w:w="417" w:type="pct"/>
            <w:vMerge w:val="restar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生产计划管理</w:t>
            </w: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计划管理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同步ERP或导入生产计划，同步物料基础信息</w:t>
            </w:r>
          </w:p>
        </w:tc>
        <w:tc>
          <w:tcPr>
            <w:tcW w:w="71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1.</w:t>
            </w:r>
            <w:r>
              <w:rPr>
                <w:rFonts w:hint="eastAsia" w:ascii="仿宋" w:hAnsi="仿宋" w:eastAsia="仿宋" w:cs="宋体"/>
                <w:kern w:val="0"/>
                <w:sz w:val="21"/>
                <w:szCs w:val="21"/>
              </w:rPr>
              <w:t xml:space="preserve">建立工单（生产任务单）的管理机制    </w:t>
            </w:r>
            <w:r>
              <w:rPr>
                <w:rFonts w:ascii="仿宋" w:hAnsi="仿宋" w:eastAsia="仿宋" w:cs="宋体"/>
                <w:kern w:val="0"/>
                <w:sz w:val="21"/>
                <w:szCs w:val="21"/>
              </w:rPr>
              <w:t xml:space="preserve">    </w:t>
            </w:r>
            <w:r>
              <w:rPr>
                <w:rFonts w:hint="eastAsia" w:ascii="仿宋" w:hAnsi="仿宋" w:eastAsia="仿宋" w:cs="宋体"/>
                <w:kern w:val="0"/>
                <w:sz w:val="21"/>
                <w:szCs w:val="21"/>
                <w:lang w:val="en-US" w:eastAsia="zh-CN"/>
              </w:rPr>
              <w:t>2.</w:t>
            </w:r>
            <w:r>
              <w:rPr>
                <w:rFonts w:hint="eastAsia" w:ascii="仿宋" w:hAnsi="仿宋" w:eastAsia="仿宋" w:cs="宋体"/>
                <w:kern w:val="0"/>
                <w:sz w:val="21"/>
                <w:szCs w:val="21"/>
              </w:rPr>
              <w:t xml:space="preserve"> 实现从计划到产品的数字化实现过程   </w:t>
            </w:r>
            <w:r>
              <w:rPr>
                <w:rFonts w:ascii="仿宋" w:hAnsi="仿宋" w:eastAsia="仿宋" w:cs="宋体"/>
                <w:kern w:val="0"/>
                <w:sz w:val="21"/>
                <w:szCs w:val="21"/>
              </w:rPr>
              <w:t xml:space="preserve">     </w:t>
            </w:r>
            <w:r>
              <w:rPr>
                <w:rFonts w:hint="eastAsia" w:ascii="仿宋" w:hAnsi="仿宋" w:eastAsia="仿宋" w:cs="宋体"/>
                <w:kern w:val="0"/>
                <w:sz w:val="21"/>
                <w:szCs w:val="21"/>
              </w:rPr>
              <w:t xml:space="preserve"> </w:t>
            </w:r>
            <w:r>
              <w:rPr>
                <w:rFonts w:hint="eastAsia" w:ascii="仿宋" w:hAnsi="仿宋" w:eastAsia="仿宋" w:cs="宋体"/>
                <w:kern w:val="0"/>
                <w:sz w:val="21"/>
                <w:szCs w:val="21"/>
                <w:lang w:val="en-US" w:eastAsia="zh-CN"/>
              </w:rPr>
              <w:t>3.</w:t>
            </w:r>
            <w:r>
              <w:rPr>
                <w:rFonts w:hint="eastAsia" w:ascii="仿宋" w:hAnsi="仿宋" w:eastAsia="仿宋" w:cs="宋体"/>
                <w:kern w:val="0"/>
                <w:sz w:val="21"/>
                <w:szCs w:val="21"/>
              </w:rPr>
              <w:t>打通了从订单-计划-产品的信息流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工单管理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通过计划、工艺路线等信息可以自动生成工单</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物料齐套分析</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基于生产工单与BOM信息一键分析物料齐套状况</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领料管理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根据</w:t>
            </w:r>
            <w:r>
              <w:rPr>
                <w:rFonts w:ascii="仿宋" w:hAnsi="仿宋" w:eastAsia="仿宋" w:cs="宋体"/>
                <w:kern w:val="0"/>
                <w:sz w:val="21"/>
                <w:szCs w:val="21"/>
              </w:rPr>
              <w:t>BOM</w:t>
            </w:r>
            <w:r>
              <w:rPr>
                <w:rFonts w:hint="eastAsia" w:ascii="仿宋" w:hAnsi="仿宋" w:eastAsia="仿宋" w:cs="宋体"/>
                <w:kern w:val="0"/>
                <w:sz w:val="21"/>
                <w:szCs w:val="21"/>
              </w:rPr>
              <w:t>配置自动生成领料单，可以多次领料出库</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进度管理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通过工单的状态可以实时呈现每个工单的最新进展</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1.</w:t>
            </w:r>
            <w:r>
              <w:rPr>
                <w:rFonts w:hint="eastAsia" w:ascii="仿宋" w:hAnsi="仿宋" w:eastAsia="仿宋" w:cs="宋体"/>
                <w:kern w:val="0"/>
                <w:sz w:val="21"/>
                <w:szCs w:val="21"/>
              </w:rPr>
              <w:t xml:space="preserve">报工涉及多个环节，通常是手工手写单据报单，信息错误难以核对                   </w:t>
            </w:r>
            <w:r>
              <w:rPr>
                <w:rFonts w:hint="eastAsia" w:ascii="仿宋" w:hAnsi="仿宋" w:eastAsia="仿宋" w:cs="宋体"/>
                <w:kern w:val="0"/>
                <w:sz w:val="21"/>
                <w:szCs w:val="21"/>
                <w:lang w:val="en-US" w:eastAsia="zh-CN"/>
              </w:rPr>
              <w:t>2.</w:t>
            </w:r>
            <w:r>
              <w:rPr>
                <w:rFonts w:hint="eastAsia" w:ascii="仿宋" w:hAnsi="仿宋" w:eastAsia="仿宋" w:cs="宋体"/>
                <w:kern w:val="0"/>
                <w:sz w:val="21"/>
                <w:szCs w:val="21"/>
              </w:rPr>
              <w:t xml:space="preserve">报工报多经常发生，比如由于质量坏件和返工问题也计入正常报工                   </w:t>
            </w:r>
            <w:r>
              <w:rPr>
                <w:rFonts w:hint="eastAsia" w:ascii="仿宋" w:hAnsi="仿宋" w:eastAsia="仿宋" w:cs="宋体"/>
                <w:kern w:val="0"/>
                <w:sz w:val="21"/>
                <w:szCs w:val="21"/>
                <w:lang w:val="en-US" w:eastAsia="zh-CN"/>
              </w:rPr>
              <w:t>3.</w:t>
            </w:r>
            <w:r>
              <w:rPr>
                <w:rFonts w:hint="eastAsia" w:ascii="仿宋" w:hAnsi="仿宋" w:eastAsia="仿宋" w:cs="宋体"/>
                <w:kern w:val="0"/>
                <w:sz w:val="21"/>
                <w:szCs w:val="21"/>
              </w:rPr>
              <w:t xml:space="preserve">报工由组长、线长、主管等人工核算，极易出现差错，导致员工工作分配不公，员工收入差异较大，甚至导致员工流失严重                     </w:t>
            </w:r>
            <w:r>
              <w:rPr>
                <w:rFonts w:hint="eastAsia" w:ascii="仿宋" w:hAnsi="仿宋" w:eastAsia="仿宋" w:cs="宋体"/>
                <w:kern w:val="0"/>
                <w:sz w:val="21"/>
                <w:szCs w:val="21"/>
                <w:lang w:val="en-US" w:eastAsia="zh-CN"/>
              </w:rPr>
              <w:t>4.</w:t>
            </w:r>
            <w:r>
              <w:rPr>
                <w:rFonts w:hint="eastAsia" w:ascii="仿宋" w:hAnsi="仿宋" w:eastAsia="仿宋" w:cs="宋体"/>
                <w:kern w:val="0"/>
                <w:sz w:val="21"/>
                <w:szCs w:val="21"/>
              </w:rPr>
              <w:t>员工计件工资到月底统计，有延迟且可能出错</w:t>
            </w:r>
          </w:p>
        </w:tc>
        <w:tc>
          <w:tcPr>
            <w:tcW w:w="417" w:type="pct"/>
            <w:vMerge w:val="restar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生产执行管理</w:t>
            </w: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生产派工</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计划可以直接导入工单，根据排产情况发布工单</w:t>
            </w:r>
          </w:p>
        </w:tc>
        <w:tc>
          <w:tcPr>
            <w:tcW w:w="71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1.</w:t>
            </w:r>
            <w:r>
              <w:rPr>
                <w:rFonts w:hint="eastAsia" w:ascii="仿宋" w:hAnsi="仿宋" w:eastAsia="仿宋" w:cs="宋体"/>
                <w:kern w:val="0"/>
                <w:sz w:val="21"/>
                <w:szCs w:val="21"/>
              </w:rPr>
              <w:t xml:space="preserve"> 工时统计周期从6天缩短到1天       </w:t>
            </w:r>
            <w:r>
              <w:rPr>
                <w:rFonts w:ascii="仿宋" w:hAnsi="仿宋" w:eastAsia="仿宋" w:cs="宋体"/>
                <w:kern w:val="0"/>
                <w:sz w:val="21"/>
                <w:szCs w:val="21"/>
              </w:rPr>
              <w:t xml:space="preserve">   </w:t>
            </w:r>
            <w:r>
              <w:rPr>
                <w:rFonts w:hint="eastAsia" w:ascii="仿宋" w:hAnsi="仿宋" w:eastAsia="仿宋" w:cs="宋体"/>
                <w:kern w:val="0"/>
                <w:sz w:val="21"/>
                <w:szCs w:val="21"/>
              </w:rPr>
              <w:t xml:space="preserve">   </w:t>
            </w:r>
            <w:r>
              <w:rPr>
                <w:rFonts w:hint="eastAsia" w:ascii="仿宋" w:hAnsi="仿宋" w:eastAsia="仿宋" w:cs="宋体"/>
                <w:kern w:val="0"/>
                <w:sz w:val="21"/>
                <w:szCs w:val="21"/>
                <w:lang w:val="en-US" w:eastAsia="zh-CN"/>
              </w:rPr>
              <w:t>2.</w:t>
            </w:r>
            <w:r>
              <w:rPr>
                <w:rFonts w:hint="eastAsia" w:ascii="仿宋" w:hAnsi="仿宋" w:eastAsia="仿宋" w:cs="宋体"/>
                <w:kern w:val="0"/>
                <w:sz w:val="21"/>
                <w:szCs w:val="21"/>
              </w:rPr>
              <w:t xml:space="preserve"> 工时差错率从大于10%降到1%以内，员工满意度提升20%                         </w:t>
            </w:r>
            <w:r>
              <w:rPr>
                <w:rFonts w:hint="eastAsia" w:ascii="仿宋" w:hAnsi="仿宋" w:eastAsia="仿宋" w:cs="宋体"/>
                <w:kern w:val="0"/>
                <w:sz w:val="21"/>
                <w:szCs w:val="21"/>
                <w:lang w:val="en-US" w:eastAsia="zh-CN"/>
              </w:rPr>
              <w:t>3.</w:t>
            </w:r>
            <w:r>
              <w:rPr>
                <w:rFonts w:hint="eastAsia" w:ascii="仿宋" w:hAnsi="仿宋" w:eastAsia="仿宋" w:cs="宋体"/>
                <w:kern w:val="0"/>
                <w:sz w:val="21"/>
                <w:szCs w:val="21"/>
              </w:rPr>
              <w:t xml:space="preserve"> 各环节的工时统计审核工作量下降90%  </w:t>
            </w:r>
            <w:r>
              <w:rPr>
                <w:rFonts w:ascii="仿宋" w:hAnsi="仿宋" w:eastAsia="仿宋" w:cs="宋体"/>
                <w:kern w:val="0"/>
                <w:sz w:val="21"/>
                <w:szCs w:val="21"/>
              </w:rPr>
              <w:t xml:space="preserve">    </w:t>
            </w:r>
            <w:r>
              <w:rPr>
                <w:rFonts w:hint="eastAsia" w:ascii="仿宋" w:hAnsi="仿宋" w:eastAsia="仿宋" w:cs="宋体"/>
                <w:kern w:val="0"/>
                <w:sz w:val="21"/>
                <w:szCs w:val="21"/>
              </w:rPr>
              <w:t xml:space="preserve"> </w:t>
            </w:r>
            <w:r>
              <w:rPr>
                <w:rFonts w:hint="eastAsia" w:ascii="仿宋" w:hAnsi="仿宋" w:eastAsia="仿宋" w:cs="宋体"/>
                <w:kern w:val="0"/>
                <w:sz w:val="21"/>
                <w:szCs w:val="21"/>
                <w:lang w:val="en-US" w:eastAsia="zh-CN"/>
              </w:rPr>
              <w:t>4.</w:t>
            </w:r>
            <w:r>
              <w:rPr>
                <w:rFonts w:hint="eastAsia" w:ascii="仿宋" w:hAnsi="仿宋" w:eastAsia="仿宋" w:cs="宋体"/>
                <w:kern w:val="0"/>
                <w:sz w:val="21"/>
                <w:szCs w:val="21"/>
              </w:rPr>
              <w:t xml:space="preserve"> 员工工资可每日结算，提高工作积极性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生产任务管理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电子化标准化执行现场任务单，实现工艺流转、派工报工全流程数字化管理</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工艺下发</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工艺参数，工艺指导书下发到现场设备与人机界面</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生产报工</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员工完成一个工单就填报一次数量，也可以班组长代报</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生产进度管理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对生产过程中的数据、方式实现数字化管理，实时了解生产进度</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生产统计</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车间可以实时统计产线生产、员工、质量、绩效等状况</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计件工资</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车间可以实时统各生产小组、人员计件工资</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1.</w:t>
            </w:r>
            <w:r>
              <w:rPr>
                <w:rFonts w:hint="eastAsia" w:ascii="仿宋" w:hAnsi="仿宋" w:eastAsia="仿宋" w:cs="宋体"/>
                <w:kern w:val="0"/>
                <w:sz w:val="21"/>
                <w:szCs w:val="21"/>
              </w:rPr>
              <w:t>企业缺乏订单层面的质量管理，内部生产、来料质量要求无法与客户质量要求对应</w:t>
            </w:r>
          </w:p>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2.</w:t>
            </w:r>
            <w:r>
              <w:rPr>
                <w:rFonts w:hint="eastAsia" w:ascii="仿宋" w:hAnsi="仿宋" w:eastAsia="仿宋" w:cs="宋体"/>
                <w:kern w:val="0"/>
                <w:sz w:val="21"/>
                <w:szCs w:val="21"/>
              </w:rPr>
              <w:t>质量过程数据均为人工记录，无法进行过程管控和系统化追溯，无法把质量信息系统性的呈现给客户</w:t>
            </w:r>
          </w:p>
        </w:tc>
        <w:tc>
          <w:tcPr>
            <w:tcW w:w="417" w:type="pct"/>
            <w:vMerge w:val="restar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质量追溯管理</w:t>
            </w: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首、巡检</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对首件产品进行质量检验以及生产巡检</w:t>
            </w:r>
          </w:p>
        </w:tc>
        <w:tc>
          <w:tcPr>
            <w:tcW w:w="71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1.</w:t>
            </w:r>
            <w:r>
              <w:rPr>
                <w:rFonts w:hint="eastAsia" w:ascii="仿宋" w:hAnsi="仿宋" w:eastAsia="仿宋" w:cs="宋体"/>
                <w:kern w:val="0"/>
                <w:sz w:val="21"/>
                <w:szCs w:val="21"/>
              </w:rPr>
              <w:t xml:space="preserve"> 质量全过程可追溯，内抓质量提升，满足客户质量需求</w:t>
            </w:r>
          </w:p>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2.</w:t>
            </w:r>
            <w:r>
              <w:rPr>
                <w:rFonts w:hint="eastAsia" w:ascii="仿宋" w:hAnsi="仿宋" w:eastAsia="仿宋" w:cs="宋体"/>
                <w:kern w:val="0"/>
                <w:sz w:val="21"/>
                <w:szCs w:val="21"/>
              </w:rPr>
              <w:t xml:space="preserve"> 客户质量要求满足率从85%提升到98%</w:t>
            </w:r>
          </w:p>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3.</w:t>
            </w:r>
            <w:r>
              <w:rPr>
                <w:rFonts w:hint="eastAsia" w:ascii="仿宋" w:hAnsi="仿宋" w:eastAsia="仿宋" w:cs="宋体"/>
                <w:kern w:val="0"/>
                <w:sz w:val="21"/>
                <w:szCs w:val="21"/>
              </w:rPr>
              <w:t>生产过程质量管理执行率从不到70%提升到98%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来料检</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对供应商采购订单的来料进行检验</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成品出库检验</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对出货的成品按客户质量要求进行检验</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noWrap/>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追溯管理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检验人员通过终端反馈检验数据，后台实时生成统计</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68"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生产数据不准确，不及时，不全面；现场协同控制差</w:t>
            </w:r>
          </w:p>
        </w:tc>
        <w:tc>
          <w:tcPr>
            <w:tcW w:w="120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1.</w:t>
            </w:r>
            <w:r>
              <w:rPr>
                <w:rFonts w:hint="eastAsia" w:ascii="仿宋" w:hAnsi="仿宋" w:eastAsia="仿宋" w:cs="宋体"/>
                <w:kern w:val="0"/>
                <w:sz w:val="21"/>
                <w:szCs w:val="21"/>
              </w:rPr>
              <w:t xml:space="preserve">检验与测试数据、生产设备数据，工艺过程数据，物流数据等制造数据上不来，存不了，算不了                 </w:t>
            </w:r>
            <w:r>
              <w:rPr>
                <w:rFonts w:hint="eastAsia" w:ascii="仿宋" w:hAnsi="仿宋" w:eastAsia="仿宋" w:cs="宋体"/>
                <w:kern w:val="0"/>
                <w:sz w:val="21"/>
                <w:szCs w:val="21"/>
                <w:lang w:val="en-US" w:eastAsia="zh-CN"/>
              </w:rPr>
              <w:t>2.</w:t>
            </w:r>
            <w:r>
              <w:rPr>
                <w:rFonts w:hint="eastAsia" w:ascii="仿宋" w:hAnsi="仿宋" w:eastAsia="仿宋" w:cs="宋体"/>
                <w:kern w:val="0"/>
                <w:sz w:val="21"/>
                <w:szCs w:val="21"/>
              </w:rPr>
              <w:t xml:space="preserve">统一管控&amp;协同控制差，如程序&amp;工艺参数的下装，生产过程的协同                     </w:t>
            </w:r>
            <w:r>
              <w:rPr>
                <w:rFonts w:hint="eastAsia" w:ascii="仿宋" w:hAnsi="仿宋" w:eastAsia="仿宋" w:cs="宋体"/>
                <w:kern w:val="0"/>
                <w:sz w:val="21"/>
                <w:szCs w:val="21"/>
                <w:lang w:val="en-US" w:eastAsia="zh-CN"/>
              </w:rPr>
              <w:t>3.</w:t>
            </w:r>
            <w:r>
              <w:rPr>
                <w:rFonts w:hint="eastAsia" w:ascii="仿宋" w:hAnsi="仿宋" w:eastAsia="仿宋" w:cs="宋体"/>
                <w:kern w:val="0"/>
                <w:sz w:val="21"/>
                <w:szCs w:val="21"/>
              </w:rPr>
              <w:t>可视化、透明化缺失：生产过程数据滞后或遗漏且不透明</w:t>
            </w:r>
          </w:p>
        </w:tc>
        <w:tc>
          <w:tcPr>
            <w:tcW w:w="417" w:type="pct"/>
            <w:vMerge w:val="restar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物联集成</w:t>
            </w: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数据采集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各类数据的采集、存储、配置、处理</w:t>
            </w:r>
          </w:p>
        </w:tc>
        <w:tc>
          <w:tcPr>
            <w:tcW w:w="71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1.</w:t>
            </w:r>
            <w:r>
              <w:rPr>
                <w:rFonts w:hint="eastAsia" w:ascii="仿宋" w:hAnsi="仿宋" w:eastAsia="仿宋" w:cs="宋体"/>
                <w:kern w:val="0"/>
                <w:sz w:val="21"/>
                <w:szCs w:val="21"/>
              </w:rPr>
              <w:t xml:space="preserve">实现生产现场全要素数据的准确、实时采集与管理                              </w:t>
            </w:r>
            <w:r>
              <w:rPr>
                <w:rFonts w:hint="eastAsia" w:ascii="仿宋" w:hAnsi="仿宋" w:eastAsia="仿宋" w:cs="宋体"/>
                <w:kern w:val="0"/>
                <w:sz w:val="21"/>
                <w:szCs w:val="21"/>
                <w:lang w:val="en-US" w:eastAsia="zh-CN"/>
              </w:rPr>
              <w:t>2.</w:t>
            </w:r>
            <w:r>
              <w:rPr>
                <w:rFonts w:hint="eastAsia" w:ascii="仿宋" w:hAnsi="仿宋" w:eastAsia="仿宋" w:cs="宋体"/>
                <w:kern w:val="0"/>
                <w:sz w:val="21"/>
                <w:szCs w:val="21"/>
              </w:rPr>
              <w:t xml:space="preserve">IT与OT之间实现深度、完美融合      </w:t>
            </w:r>
            <w:r>
              <w:rPr>
                <w:rFonts w:ascii="仿宋" w:hAnsi="仿宋" w:eastAsia="仿宋" w:cs="宋体"/>
                <w:kern w:val="0"/>
                <w:sz w:val="21"/>
                <w:szCs w:val="21"/>
              </w:rPr>
              <w:t xml:space="preserve">   </w:t>
            </w:r>
            <w:r>
              <w:rPr>
                <w:rFonts w:hint="eastAsia" w:ascii="仿宋" w:hAnsi="仿宋" w:eastAsia="仿宋" w:cs="宋体"/>
                <w:kern w:val="0"/>
                <w:sz w:val="21"/>
                <w:szCs w:val="21"/>
              </w:rPr>
              <w:t xml:space="preserve">  </w:t>
            </w:r>
            <w:r>
              <w:rPr>
                <w:rFonts w:hint="eastAsia" w:ascii="仿宋" w:hAnsi="仿宋" w:eastAsia="仿宋" w:cs="宋体"/>
                <w:kern w:val="0"/>
                <w:sz w:val="21"/>
                <w:szCs w:val="21"/>
                <w:lang w:val="en-US" w:eastAsia="zh-CN"/>
              </w:rPr>
              <w:t>3.</w:t>
            </w:r>
            <w:r>
              <w:rPr>
                <w:rFonts w:hint="eastAsia" w:ascii="仿宋" w:hAnsi="仿宋" w:eastAsia="仿宋" w:cs="宋体"/>
                <w:kern w:val="0"/>
                <w:sz w:val="21"/>
                <w:szCs w:val="21"/>
              </w:rPr>
              <w:t>生产过程可视、可控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可视化</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生产监控、环境监控以及集成视频</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现场数据分析</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设备数据、节拍性能、专机数据分析</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协同控制</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生产与视频联动、质检系统联动等业务协同</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库存管理散乱差、呆滞库存</w:t>
            </w:r>
          </w:p>
        </w:tc>
        <w:tc>
          <w:tcPr>
            <w:tcW w:w="120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1.</w:t>
            </w:r>
            <w:r>
              <w:rPr>
                <w:rFonts w:hint="eastAsia" w:ascii="仿宋" w:hAnsi="仿宋" w:eastAsia="仿宋" w:cs="宋体"/>
                <w:kern w:val="0"/>
                <w:sz w:val="21"/>
                <w:szCs w:val="21"/>
              </w:rPr>
              <w:t>仓管员忙于实物收发货，收发存单据记录不及时不完整</w:t>
            </w:r>
          </w:p>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2.</w:t>
            </w:r>
            <w:r>
              <w:rPr>
                <w:rFonts w:hint="eastAsia" w:ascii="仿宋" w:hAnsi="仿宋" w:eastAsia="仿宋" w:cs="宋体"/>
                <w:kern w:val="0"/>
                <w:sz w:val="21"/>
                <w:szCs w:val="21"/>
              </w:rPr>
              <w:t>仓库物料编码管理不规范，盘点困难，通常三个月半年也无法做一次完整盘点</w:t>
            </w:r>
          </w:p>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3.</w:t>
            </w:r>
            <w:r>
              <w:rPr>
                <w:rFonts w:hint="eastAsia" w:ascii="仿宋" w:hAnsi="仿宋" w:eastAsia="仿宋" w:cs="宋体"/>
                <w:kern w:val="0"/>
                <w:sz w:val="21"/>
                <w:szCs w:val="21"/>
              </w:rPr>
              <w:t>管理意识不足，认为货在仓库不丢就行，管理的精细度和重视程度不够</w:t>
            </w:r>
          </w:p>
        </w:tc>
        <w:tc>
          <w:tcPr>
            <w:tcW w:w="417" w:type="pct"/>
            <w:vMerge w:val="restar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库存管理</w:t>
            </w: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库存数量管理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让库存数量一目了然</w:t>
            </w:r>
          </w:p>
        </w:tc>
        <w:tc>
          <w:tcPr>
            <w:tcW w:w="71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1.</w:t>
            </w:r>
            <w:r>
              <w:rPr>
                <w:rFonts w:hint="eastAsia" w:ascii="仿宋" w:hAnsi="仿宋" w:eastAsia="仿宋" w:cs="宋体"/>
                <w:kern w:val="0"/>
                <w:sz w:val="21"/>
                <w:szCs w:val="21"/>
              </w:rPr>
              <w:t>入库由原来的3~4天，通过数字化改造缩短至1天</w:t>
            </w:r>
          </w:p>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2.</w:t>
            </w:r>
            <w:r>
              <w:rPr>
                <w:rFonts w:hint="eastAsia" w:ascii="仿宋" w:hAnsi="仿宋" w:eastAsia="仿宋" w:cs="宋体"/>
                <w:kern w:val="0"/>
                <w:sz w:val="21"/>
                <w:szCs w:val="21"/>
              </w:rPr>
              <w:t>仓库一次出入库单据的处理时间从十几分钟变成一秒完成</w:t>
            </w:r>
          </w:p>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3.</w:t>
            </w:r>
            <w:r>
              <w:rPr>
                <w:rFonts w:hint="eastAsia" w:ascii="仿宋" w:hAnsi="仿宋" w:eastAsia="仿宋" w:cs="宋体"/>
                <w:kern w:val="0"/>
                <w:sz w:val="21"/>
                <w:szCs w:val="21"/>
              </w:rPr>
              <w:t>库存数据实时展示给各业务部门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发货出库管理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根据销售订单生成的发货预约单进行管理出库</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领料出库管理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根据工单生成的领料单进行处理管理，可以分批</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来料入库管理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对来料进行入库管理</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生产入库管理</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参考产线的报工数据进行成品入库管理</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管理粗放、拍脑袋</w:t>
            </w:r>
          </w:p>
        </w:tc>
        <w:tc>
          <w:tcPr>
            <w:tcW w:w="120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1.</w:t>
            </w:r>
            <w:r>
              <w:rPr>
                <w:rFonts w:hint="eastAsia" w:ascii="仿宋" w:hAnsi="仿宋" w:eastAsia="仿宋" w:cs="宋体"/>
                <w:kern w:val="0"/>
                <w:sz w:val="21"/>
                <w:szCs w:val="21"/>
              </w:rPr>
              <w:t>公司没有全面的数据支撑，很难精确定位企业问题</w:t>
            </w:r>
          </w:p>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2.</w:t>
            </w:r>
            <w:r>
              <w:rPr>
                <w:rFonts w:hint="eastAsia" w:ascii="仿宋" w:hAnsi="仿宋" w:eastAsia="仿宋" w:cs="宋体"/>
                <w:kern w:val="0"/>
                <w:sz w:val="21"/>
                <w:szCs w:val="21"/>
              </w:rPr>
              <w:t>由于没有基于大数据分析的运行看板，企业无法实时了解业务状态数据，因此也无法及时调整企业的经营策略</w:t>
            </w:r>
          </w:p>
        </w:tc>
        <w:tc>
          <w:tcPr>
            <w:tcW w:w="417" w:type="pct"/>
            <w:vMerge w:val="restar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报表&amp;看板</w:t>
            </w: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订单报表/看板</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跟踪订单生产，对交付延期订单进行预警</w:t>
            </w:r>
          </w:p>
        </w:tc>
        <w:tc>
          <w:tcPr>
            <w:tcW w:w="71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1.</w:t>
            </w:r>
            <w:r>
              <w:rPr>
                <w:rFonts w:hint="eastAsia" w:ascii="仿宋" w:hAnsi="仿宋" w:eastAsia="仿宋" w:cs="宋体"/>
                <w:kern w:val="0"/>
                <w:sz w:val="21"/>
                <w:szCs w:val="21"/>
              </w:rPr>
              <w:t>实现全透明化管理，主动引导管理者经营分析和风险管控</w:t>
            </w:r>
          </w:p>
          <w:p>
            <w:pPr>
              <w:jc w:val="left"/>
              <w:rPr>
                <w:rFonts w:ascii="仿宋" w:hAnsi="仿宋" w:eastAsia="仿宋" w:cs="宋体"/>
                <w:kern w:val="0"/>
                <w:sz w:val="21"/>
                <w:szCs w:val="21"/>
              </w:rPr>
            </w:pPr>
            <w:r>
              <w:rPr>
                <w:rFonts w:hint="eastAsia" w:ascii="仿宋" w:hAnsi="仿宋" w:eastAsia="仿宋" w:cs="宋体"/>
                <w:kern w:val="0"/>
                <w:sz w:val="21"/>
                <w:szCs w:val="21"/>
                <w:lang w:val="en-US" w:eastAsia="zh-CN"/>
              </w:rPr>
              <w:t>2.</w:t>
            </w:r>
            <w:r>
              <w:rPr>
                <w:rFonts w:hint="eastAsia" w:ascii="仿宋" w:hAnsi="仿宋" w:eastAsia="仿宋" w:cs="宋体"/>
                <w:kern w:val="0"/>
                <w:sz w:val="21"/>
                <w:szCs w:val="21"/>
              </w:rPr>
              <w:t>老板带头看报表/看板倒逼管理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仓储报表/看板</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跟踪库存出入库情况，对仓库呆滞进行预警</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 xml:space="preserve">  生产车间报表/看板</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从车间每一条产线、每个人员的报工数据可以分析车间产能、效率、质量、进度、绩效等状况，对影响产能和交付的问题进行预警</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 xml:space="preserve">  质量管理报表/看板</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通过对IQC来料检验、PQC生产质量、OQC出货检验数据的智能分析和实施呈现，帮助企业快速解决由质量带来的异常，并主动加以改进</w:t>
            </w:r>
          </w:p>
        </w:tc>
        <w:tc>
          <w:tcPr>
            <w:tcW w:w="716" w:type="pct"/>
            <w:vMerge w:val="continue"/>
            <w:vAlign w:val="center"/>
          </w:tcPr>
          <w:p>
            <w:pPr>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8"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数据孤岛</w:t>
            </w:r>
          </w:p>
        </w:tc>
        <w:tc>
          <w:tcPr>
            <w:tcW w:w="120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系统之间没有集成，数据流动不畅，信息不对称</w:t>
            </w:r>
          </w:p>
        </w:tc>
        <w:tc>
          <w:tcPr>
            <w:tcW w:w="417" w:type="pct"/>
            <w:vMerge w:val="restar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系统集成</w:t>
            </w: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业务信息系统接口</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与ERP、WMS等信息系统进行数据对接，实现信息系统集成</w:t>
            </w:r>
          </w:p>
        </w:tc>
        <w:tc>
          <w:tcPr>
            <w:tcW w:w="716" w:type="pct"/>
            <w:vMerge w:val="restar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消除数据孤岛，订单流（物流&amp;信息流）流动顺畅，有效降低生产周期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8" w:type="pct"/>
            <w:vMerge w:val="continue"/>
            <w:vAlign w:val="center"/>
          </w:tcPr>
          <w:p>
            <w:pPr>
              <w:jc w:val="left"/>
              <w:rPr>
                <w:rFonts w:ascii="仿宋" w:hAnsi="仿宋" w:eastAsia="仿宋" w:cs="宋体"/>
                <w:kern w:val="0"/>
                <w:sz w:val="21"/>
                <w:szCs w:val="21"/>
              </w:rPr>
            </w:pPr>
          </w:p>
        </w:tc>
        <w:tc>
          <w:tcPr>
            <w:tcW w:w="1206" w:type="pct"/>
            <w:vMerge w:val="continue"/>
            <w:vAlign w:val="center"/>
          </w:tcPr>
          <w:p>
            <w:pPr>
              <w:jc w:val="left"/>
              <w:rPr>
                <w:rFonts w:ascii="仿宋" w:hAnsi="仿宋" w:eastAsia="仿宋" w:cs="宋体"/>
                <w:kern w:val="0"/>
                <w:sz w:val="21"/>
                <w:szCs w:val="21"/>
              </w:rPr>
            </w:pPr>
          </w:p>
        </w:tc>
        <w:tc>
          <w:tcPr>
            <w:tcW w:w="417" w:type="pct"/>
            <w:vMerge w:val="continue"/>
            <w:vAlign w:val="center"/>
          </w:tcPr>
          <w:p>
            <w:pPr>
              <w:jc w:val="left"/>
              <w:rPr>
                <w:rFonts w:ascii="仿宋" w:hAnsi="仿宋" w:eastAsia="仿宋" w:cs="宋体"/>
                <w:kern w:val="0"/>
                <w:sz w:val="21"/>
                <w:szCs w:val="21"/>
              </w:rPr>
            </w:pPr>
          </w:p>
        </w:tc>
        <w:tc>
          <w:tcPr>
            <w:tcW w:w="659" w:type="pct"/>
            <w:shd w:val="clear" w:color="auto" w:fill="auto"/>
            <w:vAlign w:val="center"/>
          </w:tcPr>
          <w:p>
            <w:pPr>
              <w:jc w:val="center"/>
              <w:rPr>
                <w:rFonts w:ascii="仿宋" w:hAnsi="仿宋" w:eastAsia="仿宋" w:cs="宋体"/>
                <w:kern w:val="0"/>
                <w:sz w:val="21"/>
                <w:szCs w:val="21"/>
              </w:rPr>
            </w:pPr>
            <w:r>
              <w:rPr>
                <w:rFonts w:hint="eastAsia" w:ascii="仿宋" w:hAnsi="仿宋" w:eastAsia="仿宋" w:cs="宋体"/>
                <w:kern w:val="0"/>
                <w:sz w:val="21"/>
                <w:szCs w:val="21"/>
              </w:rPr>
              <w:t>物联集成系统接口</w:t>
            </w:r>
          </w:p>
        </w:tc>
        <w:tc>
          <w:tcPr>
            <w:tcW w:w="1532" w:type="pct"/>
            <w:shd w:val="clear" w:color="auto" w:fill="auto"/>
            <w:vAlign w:val="center"/>
          </w:tcPr>
          <w:p>
            <w:pPr>
              <w:jc w:val="left"/>
              <w:rPr>
                <w:rFonts w:ascii="仿宋" w:hAnsi="仿宋" w:eastAsia="仿宋" w:cs="宋体"/>
                <w:kern w:val="0"/>
                <w:sz w:val="21"/>
                <w:szCs w:val="21"/>
              </w:rPr>
            </w:pPr>
            <w:r>
              <w:rPr>
                <w:rFonts w:hint="eastAsia" w:ascii="仿宋" w:hAnsi="仿宋" w:eastAsia="仿宋" w:cs="宋体"/>
                <w:kern w:val="0"/>
                <w:sz w:val="21"/>
                <w:szCs w:val="21"/>
              </w:rPr>
              <w:t>与SCADA系统进行数据对接，实现生产管理与生产控制的集成</w:t>
            </w:r>
          </w:p>
        </w:tc>
        <w:tc>
          <w:tcPr>
            <w:tcW w:w="716" w:type="pct"/>
            <w:vMerge w:val="continue"/>
            <w:vAlign w:val="center"/>
          </w:tcPr>
          <w:p>
            <w:pPr>
              <w:jc w:val="left"/>
              <w:rPr>
                <w:rFonts w:ascii="仿宋" w:hAnsi="仿宋" w:eastAsia="仿宋" w:cs="宋体"/>
                <w:kern w:val="0"/>
                <w:sz w:val="21"/>
                <w:szCs w:val="21"/>
              </w:rPr>
            </w:pPr>
          </w:p>
        </w:tc>
      </w:tr>
    </w:tbl>
    <w:p>
      <w:pPr>
        <w:spacing w:line="460" w:lineRule="exact"/>
        <w:ind w:firstLine="422" w:firstLineChars="200"/>
        <w:rPr>
          <w:rStyle w:val="43"/>
          <w:rFonts w:ascii="宋体" w:hAnsi="宋体"/>
          <w:b/>
          <w:bCs/>
          <w:sz w:val="21"/>
          <w:szCs w:val="21"/>
        </w:rPr>
      </w:pPr>
      <w:bookmarkStart w:id="125" w:name="_Toc2073060282"/>
      <w:r>
        <w:rPr>
          <w:rStyle w:val="43"/>
          <w:rFonts w:hint="eastAsia" w:ascii="宋体" w:hAnsi="宋体"/>
          <w:b/>
          <w:bCs/>
          <w:sz w:val="21"/>
          <w:szCs w:val="21"/>
        </w:rPr>
        <w:t>2.29产业应用</w:t>
      </w:r>
      <w:bookmarkEnd w:id="125"/>
    </w:p>
    <w:p>
      <w:pPr>
        <w:spacing w:line="460" w:lineRule="exact"/>
        <w:ind w:firstLine="420"/>
        <w:rPr>
          <w:rStyle w:val="43"/>
          <w:rFonts w:ascii="宋体" w:hAnsi="宋体"/>
          <w:sz w:val="21"/>
          <w:szCs w:val="21"/>
        </w:rPr>
      </w:pPr>
      <w:r>
        <w:rPr>
          <w:rStyle w:val="43"/>
          <w:rFonts w:hint="eastAsia" w:ascii="宋体" w:hAnsi="宋体"/>
          <w:sz w:val="21"/>
          <w:szCs w:val="21"/>
        </w:rPr>
        <w:t>围绕产业发展，重点打造供应链协同、原材料联储联备、供应链集采等产业生态应用场景，推动产业协同发展。本项目以供应链集采为目标，建设原材料集采拼购、分销配送智慧调度等产业应用。</w:t>
      </w:r>
    </w:p>
    <w:p>
      <w:pPr>
        <w:spacing w:line="460" w:lineRule="exact"/>
        <w:ind w:firstLine="420"/>
        <w:rPr>
          <w:rStyle w:val="43"/>
          <w:rFonts w:ascii="宋体" w:hAnsi="宋体"/>
          <w:sz w:val="21"/>
          <w:szCs w:val="21"/>
        </w:rPr>
      </w:pPr>
      <w:r>
        <w:rPr>
          <w:rStyle w:val="43"/>
          <w:rFonts w:hint="eastAsia" w:ascii="宋体" w:hAnsi="宋体"/>
          <w:sz w:val="21"/>
          <w:szCs w:val="21"/>
        </w:rPr>
        <w:t>1）原材料集采拼购：</w:t>
      </w:r>
    </w:p>
    <w:p>
      <w:pPr>
        <w:spacing w:line="460" w:lineRule="exact"/>
        <w:ind w:firstLine="420"/>
        <w:rPr>
          <w:rStyle w:val="43"/>
          <w:rFonts w:ascii="宋体" w:hAnsi="宋体"/>
          <w:sz w:val="21"/>
          <w:szCs w:val="21"/>
        </w:rPr>
      </w:pPr>
      <w:r>
        <w:rPr>
          <w:rStyle w:val="43"/>
          <w:rFonts w:hint="eastAsia" w:ascii="宋体" w:hAnsi="宋体"/>
          <w:sz w:val="21"/>
          <w:szCs w:val="21"/>
        </w:rPr>
        <w:t>以“拼多多”式的流量聚集，在供应商侧获取话语权。以金属板材为起点，再扩展品类至电机、玻璃、灶头、紧固件等集成灶相关品类。针对嵊州企业存在的中小企业采购规模小、对价格无议价权，信息不对称、获一流资源难、原材料品质无法得到保障，大宗原材料异常波动等严重影响着企业经营、缺乏稳定原材料价格方式方法、交期无保障，采购等流程复杂、对供应商缺乏数据研判等问题，通过整合平台资源，打造的线上线下相结合的精准、高效、零风险的采购价值交互平台，建立规模优势，有利于统筹区域原材料交易，提高议价能力，帮助企业共享原材料采购渠道，抱团稳定供销体系和原材料价格。</w:t>
      </w:r>
    </w:p>
    <w:p>
      <w:pPr>
        <w:spacing w:line="460" w:lineRule="exact"/>
        <w:ind w:firstLine="420"/>
        <w:rPr>
          <w:rStyle w:val="43"/>
          <w:rFonts w:ascii="宋体" w:hAnsi="宋体"/>
          <w:sz w:val="21"/>
          <w:szCs w:val="21"/>
        </w:rPr>
      </w:pPr>
      <w:r>
        <w:rPr>
          <w:rStyle w:val="43"/>
          <w:rFonts w:hint="eastAsia" w:ascii="宋体" w:hAnsi="宋体"/>
          <w:sz w:val="21"/>
          <w:szCs w:val="21"/>
        </w:rPr>
        <w:t>帮助企业挖掘更多的成本降低机会（集约采购、供料采购），并建立零缺陷的质量保证体系，通过责任追溯、用户评价、问题闭环提高质量水平、交付准时性，实现即需即供。平台将企业采购流程简化，通过大数据精准控制，提升采购效率。</w:t>
      </w:r>
    </w:p>
    <w:p>
      <w:pPr>
        <w:spacing w:line="460" w:lineRule="exact"/>
        <w:ind w:firstLine="420"/>
        <w:rPr>
          <w:rStyle w:val="43"/>
          <w:rFonts w:ascii="宋体" w:hAnsi="宋体"/>
          <w:sz w:val="21"/>
          <w:szCs w:val="21"/>
        </w:rPr>
      </w:pPr>
      <w:r>
        <w:rPr>
          <w:rStyle w:val="43"/>
          <w:rFonts w:hint="eastAsia" w:ascii="宋体" w:hAnsi="宋体"/>
          <w:sz w:val="21"/>
          <w:szCs w:val="21"/>
        </w:rPr>
        <w:t>分销配送智慧调度：</w:t>
      </w:r>
    </w:p>
    <w:p>
      <w:pPr>
        <w:spacing w:line="460" w:lineRule="exact"/>
        <w:ind w:firstLine="420"/>
        <w:rPr>
          <w:rStyle w:val="43"/>
          <w:rFonts w:ascii="宋体" w:hAnsi="宋体"/>
          <w:sz w:val="21"/>
          <w:szCs w:val="21"/>
        </w:rPr>
      </w:pPr>
      <w:r>
        <w:rPr>
          <w:rStyle w:val="43"/>
          <w:rFonts w:hint="eastAsia" w:ascii="宋体" w:hAnsi="宋体"/>
          <w:sz w:val="21"/>
          <w:szCs w:val="21"/>
        </w:rPr>
        <w:t>建设集成灶产品成品立体仓库+物流中心，将销售订单数据整合，利用算法调度物流，降低零单配载的运力浪费，为集成灶全产业链提供全球可达的低成本物流服务。整合嵊州市以及口岸优质物流供应商，标准化跨境物流方案，全链条的数字化运行，提高企业自身的管理效率，降低人员成本。</w:t>
      </w:r>
    </w:p>
    <w:p>
      <w:pPr>
        <w:spacing w:line="460" w:lineRule="exact"/>
        <w:ind w:firstLine="420"/>
        <w:rPr>
          <w:rStyle w:val="43"/>
          <w:rFonts w:ascii="宋体" w:hAnsi="宋体"/>
          <w:b/>
          <w:bCs/>
          <w:sz w:val="21"/>
          <w:szCs w:val="21"/>
        </w:rPr>
      </w:pPr>
      <w:bookmarkStart w:id="126" w:name="_Toc1149470646"/>
      <w:r>
        <w:rPr>
          <w:rStyle w:val="43"/>
          <w:rFonts w:hint="eastAsia" w:ascii="宋体" w:hAnsi="宋体"/>
          <w:b/>
          <w:bCs/>
          <w:sz w:val="21"/>
          <w:szCs w:val="21"/>
        </w:rPr>
        <w:t>2.30政府侧应用</w:t>
      </w:r>
      <w:bookmarkEnd w:id="126"/>
    </w:p>
    <w:p>
      <w:pPr>
        <w:spacing w:line="460" w:lineRule="exact"/>
        <w:ind w:firstLine="420"/>
        <w:rPr>
          <w:rStyle w:val="43"/>
          <w:rFonts w:ascii="宋体" w:hAnsi="宋体"/>
          <w:sz w:val="21"/>
          <w:szCs w:val="21"/>
        </w:rPr>
      </w:pPr>
      <w:r>
        <w:rPr>
          <w:rStyle w:val="43"/>
          <w:rFonts w:ascii="宋体" w:hAnsi="宋体"/>
          <w:sz w:val="21"/>
          <w:szCs w:val="21"/>
        </w:rPr>
        <w:t>围绕政府产业治理，重点开发</w:t>
      </w:r>
      <w:r>
        <w:rPr>
          <w:rStyle w:val="43"/>
          <w:rFonts w:hint="eastAsia" w:ascii="宋体" w:hAnsi="宋体"/>
          <w:sz w:val="21"/>
          <w:szCs w:val="21"/>
        </w:rPr>
        <w:t>应用场景包括产业链图谱、产业知识库和产业公共服务平台三大应用。</w:t>
      </w:r>
    </w:p>
    <w:p>
      <w:pPr>
        <w:spacing w:line="460" w:lineRule="exact"/>
        <w:ind w:firstLine="420"/>
        <w:rPr>
          <w:rStyle w:val="43"/>
          <w:rFonts w:ascii="宋体" w:hAnsi="宋体"/>
          <w:b/>
          <w:bCs/>
          <w:sz w:val="21"/>
          <w:szCs w:val="21"/>
        </w:rPr>
      </w:pPr>
      <w:r>
        <w:rPr>
          <w:rStyle w:val="43"/>
          <w:rFonts w:hint="eastAsia" w:ascii="宋体" w:hAnsi="宋体"/>
          <w:b/>
          <w:bCs/>
          <w:sz w:val="21"/>
          <w:szCs w:val="21"/>
        </w:rPr>
        <w:t>（1）产业链图谱</w:t>
      </w:r>
    </w:p>
    <w:p>
      <w:pPr>
        <w:spacing w:line="460" w:lineRule="exact"/>
        <w:ind w:firstLine="420"/>
        <w:rPr>
          <w:rStyle w:val="43"/>
          <w:rFonts w:ascii="宋体" w:hAnsi="宋体"/>
          <w:sz w:val="21"/>
          <w:szCs w:val="21"/>
        </w:rPr>
      </w:pPr>
      <w:r>
        <w:rPr>
          <w:rStyle w:val="43"/>
          <w:rFonts w:hint="eastAsia" w:ascii="宋体" w:hAnsi="宋体"/>
          <w:sz w:val="21"/>
          <w:szCs w:val="21"/>
        </w:rPr>
        <w:t>产业链图谱依赖产业链生产链路上产品之间的各种生产关系，沉淀产业链上下游关系，同时基于标志性产业链核心环节，厘清产业链各环节之间的关系，实现产业链节点与企业、专家、技术、项目等核心实体的精准挂接和关联，完成区标志性产业链图谱的绘制。产业链谱图的建设有助于突破区域经济发展中产业集群和行政区划的有形界限，延伸和整合地区产业集群的集聚优势与辐射效应，加强产业内部与产业之间的资源优化配置与政策响应能力，快速获得发展机遇和建立地区竞争优势，对厨电产业升级转型具有重要意义。</w:t>
      </w:r>
    </w:p>
    <w:p>
      <w:pPr>
        <w:spacing w:line="460" w:lineRule="exact"/>
        <w:ind w:firstLine="420"/>
        <w:rPr>
          <w:rStyle w:val="43"/>
          <w:rFonts w:ascii="宋体" w:hAnsi="宋体"/>
          <w:sz w:val="21"/>
          <w:szCs w:val="21"/>
        </w:rPr>
      </w:pPr>
      <w:r>
        <w:rPr>
          <w:rStyle w:val="43"/>
          <w:rFonts w:hint="eastAsia" w:ascii="宋体" w:hAnsi="宋体"/>
          <w:sz w:val="21"/>
          <w:szCs w:val="21"/>
        </w:rPr>
        <w:t>产业链鱼骨图探查服务：以鱼骨图形式清晰展现产业链上下游信息，支持节点层层下钻，基于厨电产业链核心环节，厘清产业链各环节之间的关系，完成厨电产业链鱼骨图谱的绘制，建立产品节点与全省重点企业及全国企业的映射关系。</w:t>
      </w:r>
    </w:p>
    <w:p>
      <w:pPr>
        <w:spacing w:line="460" w:lineRule="exact"/>
        <w:ind w:firstLine="420"/>
        <w:rPr>
          <w:rStyle w:val="43"/>
          <w:rFonts w:ascii="宋体" w:hAnsi="宋体"/>
          <w:sz w:val="21"/>
          <w:szCs w:val="21"/>
        </w:rPr>
      </w:pPr>
      <w:r>
        <w:rPr>
          <w:rStyle w:val="43"/>
          <w:rFonts w:hint="eastAsia" w:ascii="宋体" w:hAnsi="宋体"/>
          <w:sz w:val="21"/>
          <w:szCs w:val="21"/>
        </w:rPr>
        <w:t>产业链企业全景画像：围绕产业链认知决策需求，基于产业链知识图谱，提供企业全景画像 服务，支持对企业基本信息、企业标签信息、企业相关产品节点信息、企业上下游信息、企业涉及技术、资讯等内容信息，企业基本指标数据及分析的完整企业画像内容，支撑从产业链视角洞察企业概况。</w:t>
      </w:r>
    </w:p>
    <w:p>
      <w:pPr>
        <w:spacing w:line="460" w:lineRule="exact"/>
        <w:ind w:firstLine="420"/>
        <w:rPr>
          <w:rStyle w:val="43"/>
          <w:rFonts w:ascii="宋体" w:hAnsi="宋体"/>
          <w:sz w:val="21"/>
          <w:szCs w:val="21"/>
        </w:rPr>
      </w:pPr>
      <w:r>
        <w:rPr>
          <w:rStyle w:val="43"/>
          <w:rFonts w:hint="eastAsia" w:ascii="宋体" w:hAnsi="宋体"/>
          <w:sz w:val="21"/>
          <w:szCs w:val="21"/>
        </w:rPr>
        <w:t>产业空间秩序图可视化：基于企业的注册地址、经营地址等地理位置 信息，依赖地图服务，抽象成地图上的点位，重点围绕厨电产业链已处于监控范围的重点企业，完成全国电机产业链地理空间秩序图谱，立足于产业链重点环节的区域分布及企业变迁的观察和分析。</w:t>
      </w:r>
    </w:p>
    <w:p>
      <w:pPr>
        <w:spacing w:line="460" w:lineRule="exact"/>
        <w:ind w:firstLine="420"/>
        <w:rPr>
          <w:rStyle w:val="43"/>
          <w:rFonts w:ascii="宋体" w:hAnsi="宋体"/>
          <w:b/>
          <w:bCs/>
          <w:sz w:val="21"/>
          <w:szCs w:val="21"/>
        </w:rPr>
      </w:pPr>
      <w:r>
        <w:rPr>
          <w:rStyle w:val="43"/>
          <w:rFonts w:hint="eastAsia" w:ascii="宋体" w:hAnsi="宋体"/>
          <w:b/>
          <w:bCs/>
          <w:sz w:val="21"/>
          <w:szCs w:val="21"/>
        </w:rPr>
        <w:t>（2）产业知识库</w:t>
      </w:r>
    </w:p>
    <w:p>
      <w:pPr>
        <w:spacing w:line="460" w:lineRule="exact"/>
        <w:ind w:firstLine="420"/>
        <w:rPr>
          <w:rStyle w:val="43"/>
          <w:rFonts w:ascii="宋体" w:hAnsi="宋体"/>
          <w:sz w:val="21"/>
          <w:szCs w:val="21"/>
        </w:rPr>
      </w:pPr>
      <w:r>
        <w:rPr>
          <w:rStyle w:val="43"/>
          <w:rFonts w:hint="eastAsia" w:ascii="宋体" w:hAnsi="宋体"/>
          <w:sz w:val="21"/>
          <w:szCs w:val="21"/>
        </w:rPr>
        <w:t>把信息化融入到厨电行业企业的实际生产中，全面落实依法行政、依法管理、依法经营，运用信息化开展技术创新、管理创新何制度创新，建立全面准确量化的管理体系，实现从定性向定量、由静态向动态、由事后向实时的转变，提升行业生产经营管理水平，为厨电制造行业提供一个最全面的标准信息化智库。</w:t>
      </w:r>
    </w:p>
    <w:p>
      <w:pPr>
        <w:spacing w:line="460" w:lineRule="exact"/>
        <w:ind w:firstLine="420"/>
        <w:rPr>
          <w:rStyle w:val="43"/>
          <w:rFonts w:ascii="宋体" w:hAnsi="宋体"/>
          <w:b/>
          <w:bCs/>
          <w:sz w:val="21"/>
          <w:szCs w:val="21"/>
        </w:rPr>
      </w:pPr>
      <w:r>
        <w:rPr>
          <w:rStyle w:val="43"/>
          <w:rFonts w:hint="eastAsia" w:ascii="宋体" w:hAnsi="宋体"/>
          <w:b/>
          <w:bCs/>
          <w:sz w:val="21"/>
          <w:szCs w:val="21"/>
        </w:rPr>
        <w:t>（3）产业公共服务平台</w:t>
      </w:r>
    </w:p>
    <w:p>
      <w:pPr>
        <w:spacing w:line="460" w:lineRule="exact"/>
        <w:ind w:firstLine="420"/>
        <w:rPr>
          <w:rStyle w:val="43"/>
          <w:rFonts w:ascii="宋体" w:hAnsi="宋体"/>
          <w:sz w:val="21"/>
          <w:szCs w:val="21"/>
        </w:rPr>
      </w:pPr>
      <w:r>
        <w:rPr>
          <w:rStyle w:val="43"/>
          <w:rFonts w:hint="eastAsia" w:ascii="宋体" w:hAnsi="宋体"/>
          <w:sz w:val="21"/>
          <w:szCs w:val="21"/>
        </w:rPr>
        <w:t>搭建包括技术共享专区、人才引进专区以及惠企政策专区三个应用模块。</w:t>
      </w:r>
    </w:p>
    <w:p>
      <w:pPr>
        <w:spacing w:line="460" w:lineRule="exact"/>
        <w:ind w:firstLine="420"/>
        <w:rPr>
          <w:rStyle w:val="43"/>
          <w:rFonts w:ascii="宋体" w:hAnsi="宋体"/>
          <w:sz w:val="21"/>
          <w:szCs w:val="21"/>
        </w:rPr>
      </w:pPr>
      <w:r>
        <w:rPr>
          <w:rStyle w:val="43"/>
          <w:rFonts w:hint="eastAsia" w:ascii="宋体" w:hAnsi="宋体"/>
          <w:sz w:val="21"/>
          <w:szCs w:val="21"/>
        </w:rPr>
        <w:t>技术共享专区：包含厨电行业新技术、新专利以及信息发布三方面内容的信息共享线上渠道。依托产业集群为厨电制造行业企业提供服务，是一个面向行业全企业开放、共享的多学科、多用户、多功能的科技资源保障与服务专区，依托本专区可为产业集群优化升级和转型提供技术支撑，为集群内企业产品研发、解决共性技术难题提供服务，提高优势产业集聚的竞争力，促进产业集群技术创新。</w:t>
      </w:r>
    </w:p>
    <w:p>
      <w:pPr>
        <w:spacing w:line="460" w:lineRule="exact"/>
        <w:ind w:firstLine="420"/>
        <w:rPr>
          <w:rStyle w:val="43"/>
          <w:rFonts w:ascii="宋体" w:hAnsi="宋体"/>
          <w:sz w:val="21"/>
          <w:szCs w:val="21"/>
        </w:rPr>
      </w:pPr>
      <w:r>
        <w:rPr>
          <w:rStyle w:val="43"/>
          <w:rFonts w:hint="eastAsia" w:ascii="宋体" w:hAnsi="宋体"/>
          <w:sz w:val="21"/>
          <w:szCs w:val="21"/>
        </w:rPr>
        <w:t>人才引进专区：作为区域性人才引进政策对外展示及宣贯的统一线上窗口，统一发布人才政策以及人才需求，汇聚人才资源，结合政府人才引进战略可有效改善区域人才匮乏、人才流失等问题，同时有效帮助政企汇聚一批专业性强的复合型人才。</w:t>
      </w:r>
    </w:p>
    <w:p>
      <w:pPr>
        <w:spacing w:line="460" w:lineRule="exact"/>
        <w:ind w:firstLine="420"/>
        <w:rPr>
          <w:rStyle w:val="43"/>
          <w:rFonts w:ascii="宋体" w:hAnsi="宋体"/>
          <w:sz w:val="21"/>
          <w:szCs w:val="21"/>
        </w:rPr>
      </w:pPr>
      <w:r>
        <w:rPr>
          <w:rStyle w:val="43"/>
          <w:rFonts w:hint="eastAsia" w:ascii="宋体" w:hAnsi="宋体"/>
          <w:sz w:val="21"/>
          <w:szCs w:val="21"/>
        </w:rPr>
        <w:t>惠企政策专区：杜绝政策信息孤岛，为嵊州企业提供政策直通、政策智配等一系列一站式综合服务。</w:t>
      </w:r>
    </w:p>
    <w:p>
      <w:pPr>
        <w:spacing w:line="460" w:lineRule="exact"/>
        <w:ind w:firstLine="420"/>
        <w:rPr>
          <w:rStyle w:val="43"/>
          <w:rFonts w:ascii="宋体" w:hAnsi="宋体"/>
          <w:b/>
          <w:bCs/>
          <w:sz w:val="21"/>
          <w:szCs w:val="21"/>
        </w:rPr>
      </w:pPr>
      <w:bookmarkStart w:id="127" w:name="_Toc390258910"/>
      <w:r>
        <w:rPr>
          <w:rStyle w:val="43"/>
          <w:rFonts w:hint="eastAsia" w:ascii="宋体" w:hAnsi="宋体"/>
          <w:b/>
          <w:bCs/>
          <w:sz w:val="21"/>
          <w:szCs w:val="21"/>
        </w:rPr>
        <w:t>2.31产业大脑门户</w:t>
      </w:r>
      <w:bookmarkEnd w:id="127"/>
    </w:p>
    <w:p>
      <w:pPr>
        <w:spacing w:line="460" w:lineRule="exact"/>
        <w:ind w:firstLine="420"/>
        <w:rPr>
          <w:rStyle w:val="43"/>
          <w:rFonts w:ascii="宋体" w:hAnsi="宋体"/>
          <w:sz w:val="21"/>
          <w:szCs w:val="21"/>
        </w:rPr>
      </w:pPr>
      <w:r>
        <w:rPr>
          <w:rStyle w:val="43"/>
          <w:rFonts w:hint="eastAsia" w:ascii="宋体" w:hAnsi="宋体"/>
          <w:sz w:val="21"/>
          <w:szCs w:val="21"/>
        </w:rPr>
        <w:t>按照《浙江省数字经济系统建设工作指南》《数字经济综合应用门户设计规范》，智能厨电</w:t>
      </w:r>
      <w:r>
        <w:rPr>
          <w:rStyle w:val="43"/>
          <w:rFonts w:ascii="宋体" w:hAnsi="宋体"/>
          <w:sz w:val="21"/>
          <w:szCs w:val="21"/>
        </w:rPr>
        <w:t>产业大脑的门户基于不同用户对象的不同应用需求，分为政府侧、企业侧，作为产业大脑的整体入口。在呈现的载体上，可以支持PC端和移动端</w:t>
      </w:r>
      <w:r>
        <w:rPr>
          <w:rStyle w:val="43"/>
          <w:rFonts w:hint="eastAsia" w:ascii="宋体" w:hAnsi="宋体"/>
          <w:sz w:val="21"/>
          <w:szCs w:val="21"/>
        </w:rPr>
        <w:t>，并为门户建设提供统一认证服务</w:t>
      </w:r>
      <w:r>
        <w:rPr>
          <w:rStyle w:val="43"/>
          <w:rFonts w:ascii="宋体" w:hAnsi="宋体"/>
          <w:sz w:val="21"/>
          <w:szCs w:val="21"/>
        </w:rPr>
        <w:t>。</w:t>
      </w:r>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1</w:t>
      </w:r>
      <w:r>
        <w:rPr>
          <w:rStyle w:val="43"/>
          <w:rFonts w:hint="eastAsia" w:ascii="宋体" w:hAnsi="宋体"/>
          <w:sz w:val="21"/>
          <w:szCs w:val="21"/>
        </w:rPr>
        <w:t>）政府侧门户</w:t>
      </w:r>
    </w:p>
    <w:p>
      <w:pPr>
        <w:spacing w:line="460" w:lineRule="exact"/>
        <w:ind w:firstLine="420"/>
        <w:rPr>
          <w:rStyle w:val="43"/>
          <w:rFonts w:ascii="宋体" w:hAnsi="宋体"/>
          <w:sz w:val="21"/>
          <w:szCs w:val="21"/>
        </w:rPr>
      </w:pPr>
      <w:r>
        <w:rPr>
          <w:rStyle w:val="43"/>
          <w:rFonts w:ascii="宋体" w:hAnsi="宋体"/>
          <w:sz w:val="21"/>
          <w:szCs w:val="21"/>
        </w:rPr>
        <w:t>主要涉及重大任务、业务协同和应用场景三个一级栏目。</w:t>
      </w:r>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2</w:t>
      </w:r>
      <w:r>
        <w:rPr>
          <w:rStyle w:val="43"/>
          <w:rFonts w:hint="eastAsia" w:ascii="宋体" w:hAnsi="宋体"/>
          <w:sz w:val="21"/>
          <w:szCs w:val="21"/>
        </w:rPr>
        <w:t>）企业侧门户</w:t>
      </w:r>
    </w:p>
    <w:p>
      <w:pPr>
        <w:spacing w:line="460" w:lineRule="exact"/>
        <w:ind w:firstLine="420"/>
        <w:rPr>
          <w:rStyle w:val="43"/>
          <w:rFonts w:ascii="宋体" w:hAnsi="宋体"/>
          <w:sz w:val="21"/>
          <w:szCs w:val="21"/>
        </w:rPr>
      </w:pPr>
      <w:r>
        <w:rPr>
          <w:rStyle w:val="43"/>
          <w:rFonts w:ascii="宋体" w:hAnsi="宋体"/>
          <w:sz w:val="21"/>
          <w:szCs w:val="21"/>
        </w:rPr>
        <w:t>产业大脑企业侧门户是提供面向行业、产业链和企业全生命周期服务和信息展示的集成平台，是企业获取服务、信息的重要</w:t>
      </w:r>
      <w:r>
        <w:rPr>
          <w:rStyle w:val="43"/>
          <w:rFonts w:hint="eastAsia" w:ascii="宋体" w:hAnsi="宋体"/>
          <w:sz w:val="21"/>
          <w:szCs w:val="21"/>
        </w:rPr>
        <w:t>入口。</w:t>
      </w:r>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3</w:t>
      </w:r>
      <w:r>
        <w:rPr>
          <w:rStyle w:val="43"/>
          <w:rFonts w:hint="eastAsia" w:ascii="宋体" w:hAnsi="宋体"/>
          <w:sz w:val="21"/>
          <w:szCs w:val="21"/>
        </w:rPr>
        <w:t>）互联网门户</w:t>
      </w:r>
    </w:p>
    <w:p>
      <w:pPr>
        <w:spacing w:line="460" w:lineRule="exact"/>
        <w:ind w:firstLine="420"/>
        <w:rPr>
          <w:rStyle w:val="43"/>
          <w:rFonts w:ascii="宋体" w:hAnsi="宋体"/>
          <w:sz w:val="21"/>
          <w:szCs w:val="21"/>
        </w:rPr>
      </w:pPr>
      <w:r>
        <w:rPr>
          <w:rStyle w:val="43"/>
          <w:rFonts w:hint="eastAsia" w:ascii="宋体" w:hAnsi="宋体"/>
          <w:sz w:val="21"/>
          <w:szCs w:val="21"/>
        </w:rPr>
        <w:t>互联网门户是提供面向行业、产业链和企业全生命周期服务和信息展示的集成平台，是企业获取服务、信息的重要入口，主要包括行业新闻、政策指导、工业应用展示、工业服务展示、行业知识、产业集群分析、企业接入情况、产业数据等展示功能。</w:t>
      </w:r>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4</w:t>
      </w:r>
      <w:r>
        <w:rPr>
          <w:rStyle w:val="43"/>
          <w:rFonts w:hint="eastAsia" w:ascii="宋体" w:hAnsi="宋体"/>
          <w:sz w:val="21"/>
          <w:szCs w:val="21"/>
        </w:rPr>
        <w:t>）统一认证管理</w:t>
      </w:r>
    </w:p>
    <w:p>
      <w:pPr>
        <w:spacing w:line="460" w:lineRule="exact"/>
        <w:ind w:firstLine="420"/>
        <w:rPr>
          <w:rStyle w:val="43"/>
          <w:rFonts w:ascii="宋体" w:hAnsi="宋体"/>
          <w:sz w:val="21"/>
          <w:szCs w:val="21"/>
        </w:rPr>
      </w:pPr>
      <w:r>
        <w:rPr>
          <w:rStyle w:val="43"/>
          <w:rFonts w:hint="eastAsia" w:ascii="宋体" w:hAnsi="宋体"/>
          <w:sz w:val="21"/>
          <w:szCs w:val="21"/>
        </w:rPr>
        <w:t>为保障产业大脑平台的安全运营管理，平台为政府、企业、开发者等用户提供统一用户管理服务，即IDaaS，作为一种平台基础设施构架在云上的身份服务。</w:t>
      </w:r>
    </w:p>
    <w:p>
      <w:pPr>
        <w:spacing w:line="460" w:lineRule="exact"/>
        <w:ind w:firstLine="420"/>
        <w:rPr>
          <w:rStyle w:val="43"/>
          <w:rFonts w:ascii="宋体" w:hAnsi="宋体"/>
          <w:b/>
          <w:bCs/>
          <w:sz w:val="21"/>
          <w:szCs w:val="21"/>
        </w:rPr>
      </w:pPr>
      <w:bookmarkStart w:id="128" w:name="_Toc666442432"/>
      <w:r>
        <w:rPr>
          <w:rStyle w:val="43"/>
          <w:rFonts w:hint="eastAsia" w:ascii="宋体" w:hAnsi="宋体"/>
          <w:b/>
          <w:bCs/>
          <w:sz w:val="21"/>
          <w:szCs w:val="21"/>
        </w:rPr>
        <w:t>3、接口及对相关系统配合改造要求</w:t>
      </w:r>
      <w:bookmarkEnd w:id="128"/>
    </w:p>
    <w:p>
      <w:pPr>
        <w:spacing w:line="460" w:lineRule="exact"/>
        <w:ind w:firstLine="420"/>
        <w:rPr>
          <w:rStyle w:val="43"/>
          <w:rFonts w:ascii="宋体" w:hAnsi="宋体"/>
          <w:sz w:val="21"/>
          <w:szCs w:val="21"/>
        </w:rPr>
      </w:pPr>
      <w:r>
        <w:rPr>
          <w:rStyle w:val="43"/>
          <w:rFonts w:hint="eastAsia" w:ascii="宋体" w:hAnsi="宋体"/>
          <w:sz w:val="21"/>
          <w:szCs w:val="21"/>
        </w:rPr>
        <w:t>以一体化、全面协同的思路提供制造企业现有信息系统进行整合集成，消除数据孤岛，实现企业内数据共享利用，流程一体化。完成如下工作：</w:t>
      </w:r>
    </w:p>
    <w:p>
      <w:pPr>
        <w:spacing w:line="460" w:lineRule="exact"/>
        <w:ind w:firstLine="420"/>
        <w:rPr>
          <w:rStyle w:val="43"/>
          <w:rFonts w:ascii="宋体" w:hAnsi="宋体"/>
          <w:sz w:val="21"/>
          <w:szCs w:val="21"/>
        </w:rPr>
      </w:pPr>
      <w:r>
        <w:rPr>
          <w:rStyle w:val="43"/>
          <w:rFonts w:hint="eastAsia" w:ascii="宋体" w:hAnsi="宋体"/>
          <w:sz w:val="21"/>
          <w:szCs w:val="21"/>
        </w:rPr>
        <w:t>提供数据层面的集成，共享多系统多应用数据，打破数据孤岛，实现制造企业数据共享共用。</w:t>
      </w:r>
    </w:p>
    <w:p>
      <w:pPr>
        <w:spacing w:line="460" w:lineRule="exact"/>
        <w:ind w:firstLine="420"/>
        <w:rPr>
          <w:rStyle w:val="43"/>
          <w:rFonts w:ascii="宋体" w:hAnsi="宋体"/>
          <w:sz w:val="21"/>
          <w:szCs w:val="21"/>
        </w:rPr>
      </w:pPr>
      <w:r>
        <w:rPr>
          <w:rStyle w:val="43"/>
          <w:rFonts w:hint="eastAsia" w:ascii="宋体" w:hAnsi="宋体"/>
          <w:sz w:val="21"/>
          <w:szCs w:val="21"/>
        </w:rPr>
        <w:t>提供实现应用系统方面的集成，使不同应用系统之间能够相互调用读写信息。</w:t>
      </w:r>
    </w:p>
    <w:p>
      <w:pPr>
        <w:spacing w:line="460" w:lineRule="exact"/>
        <w:ind w:firstLine="420"/>
        <w:rPr>
          <w:rStyle w:val="43"/>
          <w:rFonts w:ascii="宋体" w:hAnsi="宋体"/>
          <w:sz w:val="21"/>
          <w:szCs w:val="21"/>
          <w:highlight w:val="none"/>
        </w:rPr>
      </w:pPr>
      <w:r>
        <w:rPr>
          <w:rStyle w:val="43"/>
          <w:rFonts w:hint="eastAsia" w:ascii="宋体" w:hAnsi="宋体"/>
          <w:sz w:val="21"/>
          <w:szCs w:val="21"/>
        </w:rPr>
        <w:t>提供用户界面集成，提供面向制造企业业务岗位的个性化的门户服务及</w:t>
      </w:r>
      <w:r>
        <w:rPr>
          <w:rStyle w:val="43"/>
          <w:rFonts w:ascii="宋体" w:hAnsi="宋体"/>
          <w:sz w:val="21"/>
          <w:szCs w:val="21"/>
        </w:rPr>
        <w:t>RESTful API</w:t>
      </w:r>
      <w:r>
        <w:rPr>
          <w:rStyle w:val="43"/>
          <w:rFonts w:hint="eastAsia" w:ascii="宋体" w:hAnsi="宋体"/>
          <w:sz w:val="21"/>
          <w:szCs w:val="21"/>
        </w:rPr>
        <w:t>接口，实现业务应用的多终端访问。实现业务流程整合，梳理优化企业现有业务系统，并</w:t>
      </w:r>
      <w:r>
        <w:rPr>
          <w:rStyle w:val="43"/>
          <w:rFonts w:hint="eastAsia" w:ascii="宋体" w:hAnsi="宋体"/>
          <w:sz w:val="21"/>
          <w:szCs w:val="21"/>
          <w:highlight w:val="none"/>
        </w:rPr>
        <w:t>通过流程将应用、数据进行管理，贯穿应用业务、数据、用户等。</w:t>
      </w:r>
    </w:p>
    <w:p>
      <w:pPr>
        <w:spacing w:line="460" w:lineRule="exact"/>
        <w:ind w:firstLine="420"/>
        <w:rPr>
          <w:rStyle w:val="43"/>
          <w:rFonts w:ascii="宋体" w:hAnsi="宋体"/>
          <w:sz w:val="21"/>
          <w:szCs w:val="21"/>
          <w:highlight w:val="none"/>
        </w:rPr>
      </w:pPr>
      <w:r>
        <w:rPr>
          <w:rStyle w:val="43"/>
          <w:rFonts w:hint="eastAsia" w:ascii="微软雅黑" w:hAnsi="微软雅黑" w:eastAsia="微软雅黑" w:cs="微软雅黑"/>
          <w:sz w:val="21"/>
          <w:szCs w:val="21"/>
          <w:highlight w:val="none"/>
          <w:lang w:val="en-US" w:eastAsia="zh-CN"/>
        </w:rPr>
        <w:t>1）</w:t>
      </w:r>
      <w:r>
        <w:rPr>
          <w:rStyle w:val="43"/>
          <w:rFonts w:hint="eastAsia" w:ascii="宋体" w:hAnsi="宋体"/>
          <w:sz w:val="21"/>
          <w:szCs w:val="21"/>
          <w:highlight w:val="none"/>
        </w:rPr>
        <w:t>产品数据集成：识别物料编码、名称、型号等基础信息和跟踪物料加工过程。</w:t>
      </w:r>
    </w:p>
    <w:p>
      <w:pPr>
        <w:spacing w:line="460" w:lineRule="exact"/>
        <w:ind w:firstLine="420"/>
        <w:rPr>
          <w:rStyle w:val="43"/>
          <w:rFonts w:ascii="宋体" w:hAnsi="宋体"/>
          <w:sz w:val="21"/>
          <w:szCs w:val="21"/>
          <w:highlight w:val="none"/>
        </w:rPr>
      </w:pPr>
      <w:r>
        <w:rPr>
          <w:rStyle w:val="43"/>
          <w:rFonts w:hint="eastAsia" w:ascii="微软雅黑" w:hAnsi="微软雅黑" w:eastAsia="微软雅黑" w:cs="微软雅黑"/>
          <w:sz w:val="21"/>
          <w:szCs w:val="21"/>
          <w:highlight w:val="none"/>
          <w:lang w:val="en-US" w:eastAsia="zh-CN"/>
        </w:rPr>
        <w:t>2）</w:t>
      </w:r>
      <w:r>
        <w:rPr>
          <w:rStyle w:val="43"/>
          <w:rFonts w:hint="eastAsia" w:ascii="宋体" w:hAnsi="宋体"/>
          <w:sz w:val="21"/>
          <w:szCs w:val="21"/>
          <w:highlight w:val="none"/>
        </w:rPr>
        <w:t>设备数据集成（设备类型：加工设备、检测设备、物流设备、能源设备以及其他辅助设备）：采集设备开停机、故障、工艺参数、检测数据等数据。协议要支持常用工业现场总线、工业以太网、互联网协议解析及转化，包括：Modbus、FINS、S7、OPC UA、IEC、DLT、CDT、EIP、MC、ProfiNet等工业协议，以及Http、MQTT、CoAP等互联网协议。</w:t>
      </w:r>
    </w:p>
    <w:p>
      <w:pPr>
        <w:spacing w:line="460" w:lineRule="exact"/>
        <w:ind w:firstLine="420"/>
        <w:rPr>
          <w:rStyle w:val="43"/>
          <w:rFonts w:ascii="宋体" w:hAnsi="宋体"/>
          <w:sz w:val="21"/>
          <w:szCs w:val="21"/>
          <w:highlight w:val="none"/>
        </w:rPr>
      </w:pPr>
      <w:r>
        <w:rPr>
          <w:rStyle w:val="43"/>
          <w:rFonts w:hint="eastAsia" w:ascii="微软雅黑" w:hAnsi="微软雅黑" w:eastAsia="微软雅黑" w:cs="微软雅黑"/>
          <w:sz w:val="21"/>
          <w:szCs w:val="21"/>
          <w:highlight w:val="none"/>
          <w:lang w:val="en-US" w:eastAsia="zh-CN"/>
        </w:rPr>
        <w:t>3）</w:t>
      </w:r>
      <w:r>
        <w:rPr>
          <w:rStyle w:val="43"/>
          <w:rFonts w:hint="eastAsia" w:ascii="宋体" w:hAnsi="宋体"/>
          <w:sz w:val="21"/>
          <w:szCs w:val="21"/>
          <w:highlight w:val="none"/>
        </w:rPr>
        <w:t>其他信息系统数据交互：支持与ERP、MES、WMS、LIMS等信息系统数据交互, 同时要支持以下关系型数据库：MySQL、Oracle、SQL Server、SQLite、DB2、Access等。</w:t>
      </w:r>
    </w:p>
    <w:p>
      <w:pPr>
        <w:spacing w:line="460" w:lineRule="exact"/>
        <w:ind w:firstLine="420"/>
        <w:rPr>
          <w:rStyle w:val="43"/>
          <w:rFonts w:ascii="宋体" w:hAnsi="宋体"/>
          <w:sz w:val="21"/>
          <w:szCs w:val="21"/>
        </w:rPr>
      </w:pPr>
      <w:r>
        <w:rPr>
          <w:rStyle w:val="43"/>
          <w:rFonts w:hint="eastAsia" w:ascii="微软雅黑" w:hAnsi="微软雅黑" w:eastAsia="微软雅黑" w:cs="微软雅黑"/>
          <w:sz w:val="21"/>
          <w:szCs w:val="21"/>
          <w:highlight w:val="none"/>
          <w:lang w:val="en-US" w:eastAsia="zh-CN"/>
        </w:rPr>
        <w:t>4）</w:t>
      </w:r>
      <w:r>
        <w:rPr>
          <w:rStyle w:val="43"/>
          <w:rFonts w:hint="eastAsia" w:ascii="宋体" w:hAnsi="宋体"/>
          <w:sz w:val="21"/>
          <w:szCs w:val="21"/>
          <w:highlight w:val="none"/>
        </w:rPr>
        <w:t>非结构化数据采集：实现视频、音频、图像、文件等多源非结构化数据采集，同时要支持以下</w:t>
      </w:r>
      <w:r>
        <w:rPr>
          <w:rStyle w:val="43"/>
          <w:rFonts w:hint="eastAsia" w:ascii="宋体" w:hAnsi="宋体"/>
          <w:sz w:val="21"/>
          <w:szCs w:val="21"/>
        </w:rPr>
        <w:t>非关系型数据库：HBase、MongoDB、Redis、ElasticSearch、InfluxDB等。</w:t>
      </w:r>
    </w:p>
    <w:p>
      <w:pPr>
        <w:spacing w:line="460" w:lineRule="exact"/>
        <w:ind w:firstLine="420"/>
        <w:rPr>
          <w:rStyle w:val="43"/>
          <w:rFonts w:ascii="宋体" w:hAnsi="宋体"/>
          <w:b/>
          <w:bCs/>
          <w:sz w:val="21"/>
          <w:szCs w:val="21"/>
        </w:rPr>
      </w:pPr>
      <w:bookmarkStart w:id="129" w:name="_Toc1770735519"/>
      <w:r>
        <w:rPr>
          <w:rStyle w:val="43"/>
          <w:rFonts w:hint="eastAsia" w:ascii="宋体" w:hAnsi="宋体"/>
          <w:b/>
          <w:bCs/>
          <w:sz w:val="21"/>
          <w:szCs w:val="21"/>
        </w:rPr>
        <w:t>4、配置要求</w:t>
      </w:r>
      <w:bookmarkEnd w:id="129"/>
    </w:p>
    <w:p>
      <w:pPr>
        <w:spacing w:line="460" w:lineRule="exact"/>
        <w:ind w:firstLine="420"/>
        <w:rPr>
          <w:rStyle w:val="43"/>
          <w:rFonts w:ascii="宋体" w:hAnsi="宋体"/>
          <w:sz w:val="21"/>
          <w:szCs w:val="21"/>
        </w:rPr>
      </w:pPr>
      <w:r>
        <w:rPr>
          <w:rStyle w:val="43"/>
          <w:rFonts w:hint="eastAsia" w:ascii="宋体" w:hAnsi="宋体"/>
          <w:sz w:val="21"/>
          <w:szCs w:val="21"/>
        </w:rPr>
        <w:t>（1）投标人应确保其技术建议的可行性。若出现由于投标人提供的软件不满足要求或其所提供的技术支持和服务不全面而导致系统功能无法实现或不能完全实现，由投标人无偿补足，并负全部责任。由投标人原因造成的工期延误等损失，均由投标人赔偿给采购人。</w:t>
      </w:r>
    </w:p>
    <w:p>
      <w:pPr>
        <w:spacing w:line="460" w:lineRule="exact"/>
        <w:ind w:firstLine="420"/>
        <w:rPr>
          <w:rStyle w:val="43"/>
          <w:rFonts w:ascii="宋体" w:hAnsi="宋体"/>
          <w:sz w:val="21"/>
          <w:szCs w:val="21"/>
        </w:rPr>
      </w:pPr>
      <w:r>
        <w:rPr>
          <w:rStyle w:val="43"/>
          <w:rFonts w:ascii="宋体" w:hAnsi="宋体"/>
          <w:sz w:val="21"/>
          <w:szCs w:val="21"/>
        </w:rPr>
        <w:t>（2）</w:t>
      </w:r>
      <w:r>
        <w:rPr>
          <w:rStyle w:val="43"/>
          <w:rFonts w:hint="eastAsia" w:ascii="宋体" w:hAnsi="宋体"/>
          <w:sz w:val="21"/>
          <w:szCs w:val="21"/>
        </w:rPr>
        <w:t>投标人提供的所有软件（应用软件、数据库软件、中间件软件、操作系统及其他第三方软件等 ）均应为成熟、稳定、集成度高、兼容性好、已大规模商用，并且适用于全国范围集中部署、高并发，多线程应用的主流大型系统软件产品。</w:t>
      </w:r>
    </w:p>
    <w:p>
      <w:pPr>
        <w:spacing w:line="460" w:lineRule="exact"/>
        <w:ind w:firstLine="420"/>
        <w:rPr>
          <w:rStyle w:val="43"/>
          <w:rFonts w:ascii="宋体" w:hAnsi="宋体"/>
          <w:sz w:val="21"/>
          <w:szCs w:val="21"/>
        </w:rPr>
      </w:pPr>
      <w:r>
        <w:rPr>
          <w:rStyle w:val="43"/>
          <w:rFonts w:ascii="宋体" w:hAnsi="宋体"/>
          <w:sz w:val="21"/>
          <w:szCs w:val="21"/>
        </w:rPr>
        <w:t>（3）</w:t>
      </w:r>
      <w:r>
        <w:rPr>
          <w:rStyle w:val="43"/>
          <w:rFonts w:hint="eastAsia" w:ascii="宋体" w:hAnsi="宋体"/>
          <w:sz w:val="21"/>
          <w:szCs w:val="21"/>
        </w:rPr>
        <w:t>要求详细说明各虚拟服务器的主要功能（例如各种应用服务器、数据库服务器、接口服务器等），提供软硬件部署的对应表，即每个资源池硬件设备上安装的软件情况，包括应用软件（各</w:t>
      </w:r>
      <w:r>
        <w:rPr>
          <w:rStyle w:val="43"/>
          <w:rFonts w:ascii="宋体" w:hAnsi="宋体"/>
          <w:sz w:val="21"/>
          <w:szCs w:val="21"/>
        </w:rPr>
        <w:t>功能模块</w:t>
      </w:r>
      <w:r>
        <w:rPr>
          <w:rStyle w:val="43"/>
          <w:rFonts w:hint="eastAsia" w:ascii="宋体" w:hAnsi="宋体"/>
          <w:sz w:val="21"/>
          <w:szCs w:val="21"/>
        </w:rPr>
        <w:t>）、数据库软件、中间件软件、操作系统及其他第三方软件等；</w:t>
      </w:r>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4</w:t>
      </w:r>
      <w:r>
        <w:rPr>
          <w:rStyle w:val="43"/>
          <w:rFonts w:hint="eastAsia" w:ascii="宋体" w:hAnsi="宋体"/>
          <w:sz w:val="21"/>
          <w:szCs w:val="21"/>
        </w:rPr>
        <w:t>）投标人自有应用软件开发、系统集成均要求按照人天方式提供工作量。</w:t>
      </w:r>
    </w:p>
    <w:p>
      <w:pPr>
        <w:pStyle w:val="560"/>
        <w:numPr>
          <w:ilvl w:val="0"/>
          <w:numId w:val="5"/>
        </w:numPr>
        <w:spacing w:line="360" w:lineRule="auto"/>
        <w:ind w:left="432" w:firstLine="0" w:firstLineChars="0"/>
        <w:outlineLvl w:val="2"/>
        <w:rPr>
          <w:rFonts w:ascii="宋体" w:hAnsi="宋体"/>
          <w:b/>
          <w:szCs w:val="24"/>
        </w:rPr>
      </w:pPr>
      <w:bookmarkStart w:id="130" w:name="_Toc391043783"/>
      <w:bookmarkStart w:id="131" w:name="_Toc923487707"/>
      <w:bookmarkStart w:id="132" w:name="_Toc399342366"/>
      <w:bookmarkStart w:id="133" w:name="_Toc246415339"/>
      <w:bookmarkStart w:id="134" w:name="_Toc246434828"/>
      <w:bookmarkStart w:id="135" w:name="_Toc297757155"/>
      <w:bookmarkStart w:id="136" w:name="_Toc49437290"/>
      <w:bookmarkStart w:id="137" w:name="_Toc246436134"/>
      <w:bookmarkStart w:id="138" w:name="_Toc327797334"/>
      <w:bookmarkStart w:id="139" w:name="_Toc246735258"/>
      <w:bookmarkStart w:id="140" w:name="_Toc633622"/>
      <w:bookmarkStart w:id="141" w:name="_Toc536220154"/>
      <w:bookmarkStart w:id="142" w:name="_Toc536436827"/>
      <w:bookmarkStart w:id="143" w:name="_Toc65156983"/>
      <w:bookmarkStart w:id="144" w:name="_Toc536219975"/>
      <w:r>
        <w:rPr>
          <w:rFonts w:hint="eastAsia" w:ascii="宋体" w:hAnsi="宋体"/>
          <w:b/>
          <w:szCs w:val="24"/>
        </w:rPr>
        <w:t>项目实施与验收</w:t>
      </w:r>
      <w:bookmarkEnd w:id="130"/>
      <w:bookmarkEnd w:id="131"/>
      <w:bookmarkEnd w:id="132"/>
      <w:bookmarkEnd w:id="133"/>
      <w:bookmarkEnd w:id="134"/>
      <w:bookmarkEnd w:id="135"/>
      <w:bookmarkEnd w:id="136"/>
      <w:bookmarkEnd w:id="137"/>
      <w:bookmarkEnd w:id="138"/>
      <w:bookmarkEnd w:id="139"/>
    </w:p>
    <w:p>
      <w:pPr>
        <w:spacing w:line="460" w:lineRule="exact"/>
        <w:ind w:firstLine="420"/>
        <w:rPr>
          <w:rStyle w:val="43"/>
          <w:rFonts w:ascii="宋体" w:hAnsi="宋体"/>
          <w:sz w:val="21"/>
          <w:szCs w:val="21"/>
        </w:rPr>
      </w:pPr>
      <w:r>
        <w:rPr>
          <w:rStyle w:val="43"/>
          <w:rFonts w:hint="eastAsia" w:ascii="宋体" w:hAnsi="宋体"/>
          <w:sz w:val="21"/>
          <w:szCs w:val="21"/>
        </w:rPr>
        <w:t>人员</w:t>
      </w:r>
      <w:r>
        <w:rPr>
          <w:rStyle w:val="43"/>
          <w:rFonts w:ascii="宋体" w:hAnsi="宋体"/>
          <w:sz w:val="21"/>
          <w:szCs w:val="21"/>
        </w:rPr>
        <w:t>名单要求</w:t>
      </w:r>
      <w:r>
        <w:rPr>
          <w:rStyle w:val="43"/>
          <w:rFonts w:hint="eastAsia" w:ascii="宋体" w:hAnsi="宋体"/>
          <w:sz w:val="21"/>
          <w:szCs w:val="21"/>
        </w:rPr>
        <w:t>(参考附录1</w:t>
      </w:r>
      <w:r>
        <w:rPr>
          <w:rStyle w:val="43"/>
          <w:rFonts w:ascii="宋体" w:hAnsi="宋体"/>
          <w:sz w:val="21"/>
          <w:szCs w:val="21"/>
        </w:rPr>
        <w:t>)：投标人</w:t>
      </w:r>
      <w:r>
        <w:rPr>
          <w:rStyle w:val="43"/>
          <w:rFonts w:hint="eastAsia" w:ascii="宋体" w:hAnsi="宋体"/>
          <w:sz w:val="21"/>
          <w:szCs w:val="21"/>
        </w:rPr>
        <w:t>提供</w:t>
      </w:r>
      <w:r>
        <w:rPr>
          <w:rStyle w:val="43"/>
          <w:rFonts w:ascii="宋体" w:hAnsi="宋体"/>
          <w:sz w:val="21"/>
          <w:szCs w:val="21"/>
        </w:rPr>
        <w:t>参与项目建设的项目经理及项目人员名单</w:t>
      </w:r>
      <w:r>
        <w:rPr>
          <w:rStyle w:val="43"/>
          <w:rFonts w:hint="eastAsia" w:ascii="宋体" w:hAnsi="宋体"/>
          <w:sz w:val="21"/>
          <w:szCs w:val="21"/>
        </w:rPr>
        <w:t>、简历</w:t>
      </w:r>
      <w:r>
        <w:rPr>
          <w:rStyle w:val="43"/>
          <w:rFonts w:ascii="宋体" w:hAnsi="宋体"/>
          <w:sz w:val="21"/>
          <w:szCs w:val="21"/>
        </w:rPr>
        <w:t>。</w:t>
      </w:r>
    </w:p>
    <w:p>
      <w:pPr>
        <w:spacing w:line="460" w:lineRule="exact"/>
        <w:ind w:firstLine="420"/>
        <w:rPr>
          <w:rStyle w:val="43"/>
          <w:rFonts w:ascii="宋体" w:hAnsi="宋体"/>
          <w:sz w:val="21"/>
          <w:szCs w:val="21"/>
        </w:rPr>
      </w:pPr>
      <w:r>
        <w:rPr>
          <w:rStyle w:val="43"/>
          <w:rFonts w:hint="eastAsia" w:ascii="宋体" w:hAnsi="宋体"/>
          <w:sz w:val="21"/>
          <w:szCs w:val="21"/>
        </w:rPr>
        <w:t>维护要求：7*24支持，</w:t>
      </w:r>
      <w:r>
        <w:rPr>
          <w:rStyle w:val="43"/>
          <w:rFonts w:ascii="宋体" w:hAnsi="宋体"/>
          <w:sz w:val="21"/>
          <w:szCs w:val="21"/>
        </w:rPr>
        <w:t>7</w:t>
      </w:r>
      <w:r>
        <w:rPr>
          <w:rStyle w:val="43"/>
          <w:rFonts w:hint="eastAsia" w:ascii="宋体" w:hAnsi="宋体"/>
          <w:sz w:val="21"/>
          <w:szCs w:val="21"/>
        </w:rPr>
        <w:t>*8现场工作支持，其余时间远程或电话支持。严重故障持续时间不超过１小时，响应时间半小时。一般问题不超过2天解决。每月被用户投诉次数少于３次。</w:t>
      </w:r>
    </w:p>
    <w:p>
      <w:pPr>
        <w:spacing w:line="460" w:lineRule="exact"/>
        <w:ind w:firstLine="420"/>
        <w:rPr>
          <w:rStyle w:val="43"/>
          <w:rFonts w:ascii="宋体" w:hAnsi="宋体"/>
          <w:sz w:val="21"/>
          <w:szCs w:val="21"/>
        </w:rPr>
      </w:pPr>
      <w:r>
        <w:rPr>
          <w:rStyle w:val="43"/>
          <w:rFonts w:ascii="宋体" w:hAnsi="宋体"/>
          <w:sz w:val="21"/>
          <w:szCs w:val="21"/>
        </w:rPr>
        <w:t>投标人负责完成本项目软件的设计、开发、安装、联调等集成工作，实现业务需求功能要求。投标人根据项目需求完成以下列工作：</w:t>
      </w:r>
    </w:p>
    <w:p>
      <w:pPr>
        <w:spacing w:line="460" w:lineRule="exact"/>
        <w:ind w:firstLine="420"/>
        <w:rPr>
          <w:rStyle w:val="43"/>
          <w:rFonts w:ascii="宋体" w:hAnsi="宋体"/>
          <w:sz w:val="21"/>
          <w:szCs w:val="21"/>
        </w:rPr>
      </w:pPr>
      <w:r>
        <w:rPr>
          <w:rStyle w:val="43"/>
          <w:rFonts w:hint="eastAsia" w:ascii="宋体" w:hAnsi="宋体" w:cs="宋体"/>
          <w:sz w:val="21"/>
          <w:szCs w:val="21"/>
          <w:lang w:val="en-US" w:eastAsia="zh-CN"/>
        </w:rPr>
        <w:t>1)</w:t>
      </w:r>
      <w:r>
        <w:rPr>
          <w:rStyle w:val="43"/>
          <w:rFonts w:ascii="宋体" w:hAnsi="宋体"/>
          <w:sz w:val="21"/>
          <w:szCs w:val="21"/>
        </w:rPr>
        <w:t>完成</w:t>
      </w:r>
      <w:r>
        <w:rPr>
          <w:rStyle w:val="43"/>
          <w:rFonts w:hint="eastAsia" w:ascii="宋体" w:hAnsi="宋体"/>
          <w:sz w:val="21"/>
          <w:szCs w:val="21"/>
        </w:rPr>
        <w:t>整个系统的设计、开发、测试、部署</w:t>
      </w:r>
      <w:r>
        <w:rPr>
          <w:rStyle w:val="43"/>
          <w:rFonts w:ascii="宋体" w:hAnsi="宋体"/>
          <w:sz w:val="21"/>
          <w:szCs w:val="21"/>
        </w:rPr>
        <w:t>；</w:t>
      </w:r>
    </w:p>
    <w:p>
      <w:pPr>
        <w:spacing w:line="460" w:lineRule="exact"/>
        <w:ind w:firstLine="420"/>
        <w:rPr>
          <w:rStyle w:val="43"/>
          <w:rFonts w:ascii="宋体" w:hAnsi="宋体"/>
          <w:sz w:val="21"/>
          <w:szCs w:val="21"/>
        </w:rPr>
      </w:pPr>
      <w:r>
        <w:rPr>
          <w:rStyle w:val="43"/>
          <w:rFonts w:hint="eastAsia" w:ascii="宋体" w:hAnsi="宋体" w:cs="宋体"/>
          <w:sz w:val="21"/>
          <w:szCs w:val="21"/>
          <w:lang w:val="en-US" w:eastAsia="zh-CN"/>
        </w:rPr>
        <w:t>2)</w:t>
      </w:r>
      <w:r>
        <w:rPr>
          <w:rStyle w:val="43"/>
          <w:rFonts w:ascii="宋体" w:hAnsi="宋体"/>
          <w:sz w:val="21"/>
          <w:szCs w:val="21"/>
        </w:rPr>
        <w:t>组织完成整个平台的安装、测试等；</w:t>
      </w:r>
    </w:p>
    <w:p>
      <w:pPr>
        <w:spacing w:line="460" w:lineRule="exact"/>
        <w:ind w:firstLine="420"/>
        <w:rPr>
          <w:rStyle w:val="43"/>
          <w:rFonts w:ascii="宋体" w:hAnsi="宋体"/>
          <w:sz w:val="21"/>
          <w:szCs w:val="21"/>
        </w:rPr>
      </w:pPr>
      <w:r>
        <w:rPr>
          <w:rStyle w:val="43"/>
          <w:rFonts w:hint="eastAsia" w:ascii="宋体" w:hAnsi="宋体" w:cs="宋体"/>
          <w:sz w:val="21"/>
          <w:szCs w:val="21"/>
          <w:lang w:val="en-US" w:eastAsia="zh-CN"/>
        </w:rPr>
        <w:t>3)</w:t>
      </w:r>
      <w:r>
        <w:rPr>
          <w:rStyle w:val="43"/>
          <w:rFonts w:ascii="宋体" w:hAnsi="宋体"/>
          <w:sz w:val="21"/>
          <w:szCs w:val="21"/>
        </w:rPr>
        <w:t>提交详细的系统设计和系统配置文档；</w:t>
      </w:r>
    </w:p>
    <w:p>
      <w:pPr>
        <w:spacing w:line="460" w:lineRule="exact"/>
        <w:ind w:firstLine="420"/>
        <w:rPr>
          <w:rStyle w:val="43"/>
          <w:rFonts w:ascii="宋体" w:hAnsi="宋体"/>
          <w:sz w:val="21"/>
          <w:szCs w:val="21"/>
        </w:rPr>
      </w:pPr>
      <w:r>
        <w:rPr>
          <w:rStyle w:val="43"/>
          <w:rFonts w:hint="eastAsia" w:ascii="宋体" w:hAnsi="宋体" w:cs="宋体"/>
          <w:sz w:val="21"/>
          <w:szCs w:val="21"/>
          <w:lang w:val="en-US" w:eastAsia="zh-CN"/>
        </w:rPr>
        <w:t>4)</w:t>
      </w:r>
      <w:r>
        <w:rPr>
          <w:rStyle w:val="43"/>
          <w:rFonts w:ascii="宋体" w:hAnsi="宋体"/>
          <w:sz w:val="21"/>
          <w:szCs w:val="21"/>
        </w:rPr>
        <w:t>完成系统试运行；</w:t>
      </w:r>
    </w:p>
    <w:p>
      <w:pPr>
        <w:spacing w:line="460" w:lineRule="exact"/>
        <w:ind w:firstLine="420"/>
        <w:rPr>
          <w:rStyle w:val="43"/>
          <w:rFonts w:ascii="宋体" w:hAnsi="宋体"/>
          <w:sz w:val="21"/>
          <w:szCs w:val="21"/>
        </w:rPr>
      </w:pPr>
      <w:r>
        <w:rPr>
          <w:rStyle w:val="43"/>
          <w:rFonts w:hint="eastAsia" w:ascii="宋体" w:hAnsi="宋体" w:cs="宋体"/>
          <w:sz w:val="21"/>
          <w:szCs w:val="21"/>
          <w:lang w:val="en-US" w:eastAsia="zh-CN"/>
        </w:rPr>
        <w:t>5)</w:t>
      </w:r>
      <w:r>
        <w:rPr>
          <w:rStyle w:val="43"/>
          <w:rFonts w:ascii="宋体" w:hAnsi="宋体"/>
          <w:sz w:val="21"/>
          <w:szCs w:val="21"/>
        </w:rPr>
        <w:t>确保达到本项目对产品的各项规范和功能要求，并提供之后日常运行和维护的方案。</w:t>
      </w:r>
    </w:p>
    <w:p>
      <w:pPr>
        <w:spacing w:line="460" w:lineRule="exact"/>
        <w:ind w:firstLine="420"/>
        <w:rPr>
          <w:rStyle w:val="43"/>
          <w:rFonts w:ascii="宋体" w:hAnsi="宋体"/>
          <w:sz w:val="21"/>
          <w:szCs w:val="21"/>
        </w:rPr>
      </w:pPr>
      <w:r>
        <w:rPr>
          <w:rStyle w:val="43"/>
          <w:rFonts w:hint="eastAsia" w:ascii="宋体" w:hAnsi="宋体" w:cs="宋体"/>
          <w:sz w:val="21"/>
          <w:szCs w:val="21"/>
          <w:lang w:val="en-US" w:eastAsia="zh-CN"/>
        </w:rPr>
        <w:t>6)</w:t>
      </w:r>
      <w:r>
        <w:rPr>
          <w:rStyle w:val="43"/>
          <w:rFonts w:hint="eastAsia" w:ascii="宋体" w:hAnsi="宋体"/>
          <w:sz w:val="21"/>
          <w:szCs w:val="21"/>
        </w:rPr>
        <w:t>要求满足GB/T 25070-2019 信息安全技术网络安全等级保护安全设计。</w:t>
      </w:r>
    </w:p>
    <w:p>
      <w:pPr>
        <w:spacing w:line="460" w:lineRule="exact"/>
        <w:ind w:firstLine="420"/>
        <w:rPr>
          <w:rStyle w:val="43"/>
          <w:rFonts w:ascii="宋体" w:hAnsi="宋体"/>
          <w:b/>
          <w:bCs/>
          <w:sz w:val="21"/>
          <w:szCs w:val="21"/>
        </w:rPr>
      </w:pPr>
      <w:bookmarkStart w:id="145" w:name="_Toc329691280"/>
      <w:bookmarkStart w:id="146" w:name="_Toc49437291"/>
      <w:bookmarkStart w:id="147" w:name="_Toc329693189"/>
      <w:bookmarkStart w:id="148" w:name="_Toc413673449"/>
      <w:bookmarkStart w:id="149" w:name="_Toc303882634"/>
      <w:bookmarkStart w:id="150" w:name="_Toc1193574680"/>
      <w:bookmarkStart w:id="151" w:name="_Toc324338331"/>
      <w:bookmarkStart w:id="152" w:name="_Toc437403413"/>
      <w:bookmarkStart w:id="153" w:name="_Toc441034170"/>
      <w:bookmarkStart w:id="154" w:name="_Toc474200783"/>
      <w:bookmarkStart w:id="155" w:name="_Toc470578353"/>
      <w:bookmarkStart w:id="156" w:name="_Toc473948299"/>
      <w:bookmarkStart w:id="157" w:name="_Toc473452604"/>
      <w:bookmarkStart w:id="158" w:name="_Toc473452705"/>
      <w:bookmarkStart w:id="159" w:name="_Toc473457298"/>
      <w:bookmarkStart w:id="160" w:name="_Toc473453808"/>
      <w:bookmarkStart w:id="161" w:name="_Toc440868507"/>
      <w:bookmarkStart w:id="162" w:name="_Toc437403418"/>
      <w:bookmarkStart w:id="163" w:name="_Toc440871445"/>
      <w:bookmarkStart w:id="164" w:name="_Toc441034175"/>
      <w:bookmarkStart w:id="165" w:name="_Toc455802698"/>
      <w:bookmarkStart w:id="166" w:name="_Toc440803743"/>
      <w:bookmarkStart w:id="167" w:name="_Toc452365322"/>
      <w:r>
        <w:rPr>
          <w:rStyle w:val="43"/>
          <w:rFonts w:hint="eastAsia" w:ascii="宋体" w:hAnsi="宋体"/>
          <w:b/>
          <w:bCs/>
          <w:sz w:val="21"/>
          <w:szCs w:val="21"/>
        </w:rPr>
        <w:t>1、</w:t>
      </w:r>
      <w:r>
        <w:rPr>
          <w:rStyle w:val="43"/>
          <w:rFonts w:ascii="宋体" w:hAnsi="宋体"/>
          <w:b/>
          <w:bCs/>
          <w:sz w:val="21"/>
          <w:szCs w:val="21"/>
        </w:rPr>
        <w:t>现场开发</w:t>
      </w:r>
      <w:bookmarkEnd w:id="145"/>
      <w:bookmarkEnd w:id="146"/>
      <w:bookmarkEnd w:id="147"/>
      <w:bookmarkEnd w:id="148"/>
      <w:bookmarkEnd w:id="149"/>
      <w:bookmarkEnd w:id="150"/>
      <w:bookmarkEnd w:id="151"/>
    </w:p>
    <w:p>
      <w:pPr>
        <w:spacing w:line="460" w:lineRule="exact"/>
        <w:ind w:firstLine="420"/>
        <w:rPr>
          <w:rStyle w:val="43"/>
          <w:rFonts w:ascii="宋体" w:hAnsi="宋体"/>
          <w:sz w:val="21"/>
          <w:szCs w:val="21"/>
        </w:rPr>
      </w:pPr>
      <w:r>
        <w:rPr>
          <w:rStyle w:val="43"/>
          <w:rFonts w:ascii="宋体" w:hAnsi="宋体"/>
          <w:sz w:val="21"/>
          <w:szCs w:val="21"/>
        </w:rPr>
        <w:t>包括需求分析、概要设计、详细设计、编码开发等工作；投标人需要在采购人现场</w:t>
      </w:r>
      <w:r>
        <w:rPr>
          <w:rStyle w:val="43"/>
          <w:rFonts w:hint="eastAsia" w:ascii="宋体" w:hAnsi="宋体"/>
          <w:sz w:val="21"/>
          <w:szCs w:val="21"/>
        </w:rPr>
        <w:t>嵊州市</w:t>
      </w:r>
      <w:r>
        <w:rPr>
          <w:rStyle w:val="43"/>
          <w:rFonts w:ascii="宋体" w:hAnsi="宋体"/>
          <w:sz w:val="21"/>
          <w:szCs w:val="21"/>
        </w:rPr>
        <w:t>安排专业技术团队进行平台对接以及现场实时技术支撑。</w:t>
      </w:r>
      <w:bookmarkEnd w:id="152"/>
      <w:bookmarkEnd w:id="153"/>
      <w:bookmarkEnd w:id="154"/>
      <w:bookmarkEnd w:id="155"/>
      <w:bookmarkEnd w:id="156"/>
      <w:bookmarkEnd w:id="157"/>
      <w:bookmarkEnd w:id="158"/>
      <w:bookmarkEnd w:id="159"/>
      <w:bookmarkEnd w:id="160"/>
    </w:p>
    <w:p>
      <w:pPr>
        <w:spacing w:line="460" w:lineRule="exact"/>
        <w:ind w:firstLine="420"/>
        <w:rPr>
          <w:rStyle w:val="43"/>
          <w:rFonts w:ascii="宋体" w:hAnsi="宋体"/>
          <w:b/>
          <w:bCs/>
          <w:sz w:val="21"/>
          <w:szCs w:val="21"/>
        </w:rPr>
      </w:pPr>
      <w:bookmarkStart w:id="168" w:name="_Toc49437292"/>
      <w:bookmarkStart w:id="169" w:name="_Toc324338333"/>
      <w:bookmarkStart w:id="170" w:name="_Toc303882636"/>
      <w:bookmarkStart w:id="171" w:name="_Toc413673451"/>
      <w:bookmarkStart w:id="172" w:name="_Toc764900133"/>
      <w:bookmarkStart w:id="173" w:name="_Toc329691282"/>
      <w:bookmarkStart w:id="174" w:name="_Toc329693191"/>
      <w:r>
        <w:rPr>
          <w:rStyle w:val="43"/>
          <w:rFonts w:hint="eastAsia" w:ascii="宋体" w:hAnsi="宋体"/>
          <w:b/>
          <w:bCs/>
          <w:sz w:val="21"/>
          <w:szCs w:val="21"/>
        </w:rPr>
        <w:t>2、</w:t>
      </w:r>
      <w:r>
        <w:rPr>
          <w:rStyle w:val="43"/>
          <w:rFonts w:ascii="宋体" w:hAnsi="宋体"/>
          <w:b/>
          <w:bCs/>
          <w:sz w:val="21"/>
          <w:szCs w:val="21"/>
        </w:rPr>
        <w:t>上线测试</w:t>
      </w:r>
      <w:bookmarkEnd w:id="168"/>
      <w:bookmarkEnd w:id="169"/>
      <w:bookmarkEnd w:id="170"/>
      <w:bookmarkEnd w:id="171"/>
      <w:bookmarkEnd w:id="172"/>
      <w:bookmarkEnd w:id="173"/>
      <w:bookmarkEnd w:id="174"/>
      <w:bookmarkStart w:id="175" w:name="_Toc473457301"/>
      <w:bookmarkStart w:id="176" w:name="_Toc474200786"/>
      <w:bookmarkStart w:id="177" w:name="_Toc441034174"/>
      <w:bookmarkStart w:id="178" w:name="_Toc473948302"/>
      <w:bookmarkStart w:id="179" w:name="_Toc473452708"/>
      <w:bookmarkStart w:id="180" w:name="_Toc473453811"/>
      <w:bookmarkStart w:id="181" w:name="_Toc470578356"/>
      <w:bookmarkStart w:id="182" w:name="_Toc473452607"/>
      <w:bookmarkStart w:id="183" w:name="_Toc437403417"/>
    </w:p>
    <w:p>
      <w:pPr>
        <w:spacing w:line="460" w:lineRule="exact"/>
        <w:ind w:firstLine="420"/>
        <w:rPr>
          <w:rStyle w:val="43"/>
          <w:rFonts w:ascii="宋体" w:hAnsi="宋体"/>
          <w:sz w:val="21"/>
          <w:szCs w:val="21"/>
        </w:rPr>
      </w:pPr>
      <w:r>
        <w:rPr>
          <w:rStyle w:val="43"/>
          <w:rFonts w:ascii="宋体" w:hAnsi="宋体"/>
          <w:sz w:val="21"/>
          <w:szCs w:val="21"/>
        </w:rPr>
        <w:t>包括程序的单元测试、集成测试、用户测试、压力测试等。项目实施过程中，投标人需遵守采购人的质量管理规定，配合采购人的质量人员和验收人员完成项目的分析、度量、监控和验收工作。</w:t>
      </w:r>
    </w:p>
    <w:p>
      <w:pPr>
        <w:spacing w:line="460" w:lineRule="exact"/>
        <w:ind w:firstLine="420"/>
        <w:rPr>
          <w:rStyle w:val="43"/>
          <w:rFonts w:ascii="宋体" w:hAnsi="宋体"/>
          <w:b/>
          <w:bCs/>
          <w:sz w:val="21"/>
          <w:szCs w:val="21"/>
        </w:rPr>
      </w:pPr>
      <w:bookmarkStart w:id="184" w:name="_Toc49437293"/>
      <w:bookmarkStart w:id="185" w:name="_Toc303882637"/>
      <w:bookmarkStart w:id="186" w:name="_Toc839424389"/>
      <w:bookmarkStart w:id="187" w:name="_Toc413673452"/>
      <w:bookmarkStart w:id="188" w:name="_Toc324338334"/>
      <w:bookmarkStart w:id="189" w:name="_Toc329691283"/>
      <w:bookmarkStart w:id="190" w:name="_Toc329693192"/>
      <w:r>
        <w:rPr>
          <w:rStyle w:val="43"/>
          <w:rFonts w:hint="eastAsia" w:ascii="宋体" w:hAnsi="宋体"/>
          <w:b/>
          <w:bCs/>
          <w:sz w:val="21"/>
          <w:szCs w:val="21"/>
        </w:rPr>
        <w:t>3、</w:t>
      </w:r>
      <w:r>
        <w:rPr>
          <w:rStyle w:val="43"/>
          <w:rFonts w:ascii="宋体" w:hAnsi="宋体"/>
          <w:b/>
          <w:bCs/>
          <w:sz w:val="21"/>
          <w:szCs w:val="21"/>
        </w:rPr>
        <w:t>试运行</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pacing w:line="460" w:lineRule="exact"/>
        <w:ind w:firstLine="420"/>
        <w:rPr>
          <w:rStyle w:val="43"/>
          <w:rFonts w:ascii="宋体" w:hAnsi="宋体"/>
          <w:sz w:val="21"/>
          <w:szCs w:val="21"/>
        </w:rPr>
      </w:pPr>
      <w:r>
        <w:rPr>
          <w:rStyle w:val="43"/>
          <w:rFonts w:hint="eastAsia" w:ascii="宋体" w:hAnsi="宋体"/>
          <w:sz w:val="21"/>
          <w:szCs w:val="21"/>
        </w:rPr>
        <w:t>系统上线后3个月为试运行期，</w:t>
      </w:r>
      <w:r>
        <w:rPr>
          <w:rStyle w:val="43"/>
          <w:rFonts w:ascii="宋体" w:hAnsi="宋体"/>
          <w:sz w:val="21"/>
          <w:szCs w:val="21"/>
        </w:rPr>
        <w:t>试运行期3个月，在此期间系统质量和可靠性等各项指标应始终保持合格。试运行期间如果主要指标不符合要求应从次日开始重新计算试运行的时间，如果其中有一项指标不符合要求，那么试运行期就延长1个月，直至全部指标都合格为止。如在系统试运行期间发生故障，从故障恢复之日起重新开始试运行。</w:t>
      </w:r>
    </w:p>
    <w:p>
      <w:pPr>
        <w:spacing w:line="460" w:lineRule="exact"/>
        <w:ind w:firstLine="420"/>
        <w:rPr>
          <w:rStyle w:val="43"/>
          <w:rFonts w:ascii="宋体" w:hAnsi="宋体"/>
          <w:b/>
          <w:bCs/>
          <w:sz w:val="21"/>
          <w:szCs w:val="21"/>
        </w:rPr>
      </w:pPr>
      <w:bookmarkStart w:id="191" w:name="_Toc49437294"/>
      <w:bookmarkStart w:id="192" w:name="_Toc329691284"/>
      <w:bookmarkStart w:id="193" w:name="_Toc303882638"/>
      <w:bookmarkStart w:id="194" w:name="_Toc470578357"/>
      <w:bookmarkStart w:id="195" w:name="_Toc413673453"/>
      <w:bookmarkStart w:id="196" w:name="_Toc473948303"/>
      <w:bookmarkStart w:id="197" w:name="_Toc473452709"/>
      <w:bookmarkStart w:id="198" w:name="_Toc474200787"/>
      <w:bookmarkStart w:id="199" w:name="_Toc473457302"/>
      <w:bookmarkStart w:id="200" w:name="_Toc473453812"/>
      <w:bookmarkStart w:id="201" w:name="_Toc1385628780"/>
      <w:bookmarkStart w:id="202" w:name="_Toc329693193"/>
      <w:bookmarkStart w:id="203" w:name="_Toc473452608"/>
      <w:bookmarkStart w:id="204" w:name="_Toc324338335"/>
      <w:r>
        <w:rPr>
          <w:rStyle w:val="43"/>
          <w:rFonts w:hint="eastAsia" w:ascii="宋体" w:hAnsi="宋体"/>
          <w:b/>
          <w:bCs/>
          <w:sz w:val="21"/>
          <w:szCs w:val="21"/>
        </w:rPr>
        <w:t>4、</w:t>
      </w:r>
      <w:r>
        <w:rPr>
          <w:rStyle w:val="43"/>
          <w:rFonts w:ascii="宋体" w:hAnsi="宋体"/>
          <w:b/>
          <w:bCs/>
          <w:sz w:val="21"/>
          <w:szCs w:val="21"/>
        </w:rPr>
        <w:t>验收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460" w:lineRule="exact"/>
        <w:ind w:firstLine="420"/>
        <w:rPr>
          <w:rStyle w:val="43"/>
          <w:rFonts w:ascii="宋体" w:hAnsi="宋体"/>
          <w:sz w:val="21"/>
          <w:szCs w:val="21"/>
        </w:rPr>
      </w:pPr>
      <w:r>
        <w:rPr>
          <w:rStyle w:val="43"/>
          <w:rFonts w:ascii="宋体" w:hAnsi="宋体"/>
          <w:sz w:val="21"/>
          <w:szCs w:val="21"/>
        </w:rPr>
        <w:t>试运行</w:t>
      </w:r>
      <w:r>
        <w:rPr>
          <w:rStyle w:val="43"/>
          <w:rFonts w:hint="eastAsia" w:ascii="宋体" w:hAnsi="宋体"/>
          <w:sz w:val="21"/>
          <w:szCs w:val="21"/>
        </w:rPr>
        <w:t>期</w:t>
      </w:r>
      <w:r>
        <w:rPr>
          <w:rStyle w:val="43"/>
          <w:rFonts w:ascii="宋体" w:hAnsi="宋体"/>
          <w:sz w:val="21"/>
          <w:szCs w:val="21"/>
        </w:rPr>
        <w:t>对各项检查测试合格后，运行3个月，双方将根据技术规范书的要求确认各阶段测试检验结果，对系统的各项性能进行总验收（终验）。对工程进行综合评定，签署最终验收合格证书。</w:t>
      </w:r>
    </w:p>
    <w:p>
      <w:pPr>
        <w:spacing w:line="460" w:lineRule="exact"/>
        <w:ind w:firstLine="420"/>
        <w:rPr>
          <w:rStyle w:val="43"/>
          <w:rFonts w:ascii="宋体" w:hAnsi="宋体"/>
          <w:b/>
          <w:bCs/>
          <w:sz w:val="21"/>
          <w:szCs w:val="21"/>
        </w:rPr>
      </w:pPr>
      <w:bookmarkStart w:id="205" w:name="_Toc329691285"/>
      <w:bookmarkStart w:id="206" w:name="_Toc473453813"/>
      <w:bookmarkStart w:id="207" w:name="_Toc950237392"/>
      <w:bookmarkStart w:id="208" w:name="_Toc49437295"/>
      <w:bookmarkStart w:id="209" w:name="_Toc324338336"/>
      <w:bookmarkStart w:id="210" w:name="_Toc470578358"/>
      <w:bookmarkStart w:id="211" w:name="_Toc413673454"/>
      <w:bookmarkStart w:id="212" w:name="_Toc329693194"/>
      <w:bookmarkStart w:id="213" w:name="_Toc473457303"/>
      <w:bookmarkStart w:id="214" w:name="_Toc473452609"/>
      <w:bookmarkStart w:id="215" w:name="_Toc474200788"/>
      <w:bookmarkStart w:id="216" w:name="_Toc473948304"/>
      <w:bookmarkStart w:id="217" w:name="_Toc303882639"/>
      <w:bookmarkStart w:id="218" w:name="_Toc473452710"/>
      <w:r>
        <w:rPr>
          <w:rStyle w:val="43"/>
          <w:rFonts w:hint="eastAsia" w:ascii="宋体" w:hAnsi="宋体"/>
          <w:b/>
          <w:bCs/>
          <w:sz w:val="21"/>
          <w:szCs w:val="21"/>
        </w:rPr>
        <w:t>5、</w:t>
      </w:r>
      <w:r>
        <w:rPr>
          <w:rStyle w:val="43"/>
          <w:rFonts w:ascii="宋体" w:hAnsi="宋体"/>
          <w:b/>
          <w:bCs/>
          <w:sz w:val="21"/>
          <w:szCs w:val="21"/>
        </w:rPr>
        <w:t>保修期</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pacing w:line="460" w:lineRule="exact"/>
        <w:ind w:firstLine="420"/>
        <w:rPr>
          <w:rStyle w:val="43"/>
          <w:rFonts w:ascii="宋体" w:hAnsi="宋体"/>
          <w:b/>
          <w:bCs/>
          <w:sz w:val="21"/>
          <w:szCs w:val="21"/>
        </w:rPr>
      </w:pPr>
      <w:r>
        <w:rPr>
          <w:rStyle w:val="43"/>
          <w:rFonts w:ascii="宋体" w:hAnsi="宋体"/>
          <w:b/>
          <w:bCs/>
          <w:sz w:val="21"/>
          <w:szCs w:val="21"/>
        </w:rPr>
        <w:t>验收</w:t>
      </w:r>
      <w:r>
        <w:rPr>
          <w:rStyle w:val="43"/>
          <w:rFonts w:hint="eastAsia" w:ascii="宋体" w:hAnsi="宋体"/>
          <w:b/>
          <w:bCs/>
          <w:sz w:val="21"/>
          <w:szCs w:val="21"/>
        </w:rPr>
        <w:t>合格</w:t>
      </w:r>
      <w:r>
        <w:rPr>
          <w:rStyle w:val="43"/>
          <w:rFonts w:ascii="宋体" w:hAnsi="宋体"/>
          <w:b/>
          <w:bCs/>
          <w:sz w:val="21"/>
          <w:szCs w:val="21"/>
        </w:rPr>
        <w:t>后</w:t>
      </w:r>
      <w:r>
        <w:rPr>
          <w:rStyle w:val="43"/>
          <w:rFonts w:hint="eastAsia" w:ascii="宋体" w:hAnsi="宋体"/>
          <w:b/>
          <w:bCs/>
          <w:sz w:val="21"/>
          <w:szCs w:val="21"/>
        </w:rPr>
        <w:t>1年</w:t>
      </w:r>
      <w:r>
        <w:rPr>
          <w:rStyle w:val="43"/>
          <w:rFonts w:ascii="宋体" w:hAnsi="宋体"/>
          <w:b/>
          <w:bCs/>
          <w:sz w:val="21"/>
          <w:szCs w:val="21"/>
        </w:rPr>
        <w:t>。</w:t>
      </w:r>
      <w:bookmarkEnd w:id="161"/>
      <w:bookmarkEnd w:id="162"/>
      <w:bookmarkEnd w:id="163"/>
      <w:bookmarkEnd w:id="164"/>
      <w:bookmarkEnd w:id="165"/>
      <w:bookmarkEnd w:id="166"/>
      <w:bookmarkEnd w:id="167"/>
    </w:p>
    <w:p>
      <w:pPr>
        <w:spacing w:line="460" w:lineRule="exact"/>
        <w:ind w:firstLine="420"/>
        <w:rPr>
          <w:rStyle w:val="43"/>
          <w:rFonts w:ascii="宋体" w:hAnsi="宋体"/>
          <w:b/>
          <w:bCs/>
          <w:sz w:val="21"/>
          <w:szCs w:val="21"/>
        </w:rPr>
      </w:pPr>
      <w:bookmarkStart w:id="219" w:name="_Toc49437296"/>
      <w:bookmarkStart w:id="220" w:name="_Toc1951448252"/>
      <w:r>
        <w:rPr>
          <w:rStyle w:val="43"/>
          <w:rFonts w:hint="eastAsia" w:ascii="宋体" w:hAnsi="宋体"/>
          <w:b/>
          <w:bCs/>
          <w:sz w:val="21"/>
          <w:szCs w:val="21"/>
        </w:rPr>
        <w:t>6、工期要求</w:t>
      </w:r>
      <w:bookmarkEnd w:id="219"/>
      <w:bookmarkEnd w:id="220"/>
    </w:p>
    <w:p>
      <w:pPr>
        <w:spacing w:line="460" w:lineRule="exact"/>
        <w:ind w:firstLine="420"/>
        <w:rPr>
          <w:rStyle w:val="43"/>
          <w:rFonts w:ascii="宋体" w:hAnsi="宋体"/>
          <w:sz w:val="21"/>
          <w:szCs w:val="21"/>
        </w:rPr>
      </w:pPr>
      <w:r>
        <w:rPr>
          <w:rStyle w:val="43"/>
          <w:rFonts w:hint="eastAsia" w:ascii="宋体" w:hAnsi="宋体"/>
          <w:sz w:val="21"/>
          <w:szCs w:val="21"/>
        </w:rPr>
        <w:t>要求</w:t>
      </w:r>
      <w:r>
        <w:rPr>
          <w:rStyle w:val="43"/>
          <w:rFonts w:hint="eastAsia" w:ascii="宋体" w:hAnsi="宋体"/>
          <w:sz w:val="21"/>
          <w:szCs w:val="21"/>
          <w:highlight w:val="none"/>
        </w:rPr>
        <w:t>中标</w:t>
      </w:r>
      <w:r>
        <w:rPr>
          <w:rStyle w:val="43"/>
          <w:rFonts w:hint="eastAsia" w:ascii="宋体" w:hAnsi="宋体"/>
          <w:sz w:val="21"/>
          <w:szCs w:val="21"/>
          <w:highlight w:val="none"/>
          <w:lang w:eastAsia="zh-CN"/>
        </w:rPr>
        <w:t>单位</w:t>
      </w:r>
      <w:r>
        <w:rPr>
          <w:rStyle w:val="43"/>
          <w:rFonts w:hint="eastAsia" w:ascii="宋体" w:hAnsi="宋体"/>
          <w:sz w:val="21"/>
          <w:szCs w:val="21"/>
          <w:highlight w:val="none"/>
        </w:rPr>
        <w:t>在</w:t>
      </w:r>
      <w:r>
        <w:rPr>
          <w:rStyle w:val="43"/>
          <w:rFonts w:ascii="宋体" w:hAnsi="宋体"/>
          <w:sz w:val="21"/>
          <w:szCs w:val="21"/>
          <w:highlight w:val="none"/>
        </w:rPr>
        <w:t>2023年</w:t>
      </w:r>
      <w:r>
        <w:rPr>
          <w:rStyle w:val="43"/>
          <w:rFonts w:hint="eastAsia" w:ascii="宋体" w:hAnsi="宋体"/>
          <w:sz w:val="21"/>
          <w:szCs w:val="21"/>
          <w:highlight w:val="none"/>
          <w:lang w:val="en-US" w:eastAsia="zh-CN"/>
        </w:rPr>
        <w:t>6</w:t>
      </w:r>
      <w:r>
        <w:rPr>
          <w:rStyle w:val="43"/>
          <w:rFonts w:ascii="宋体" w:hAnsi="宋体"/>
          <w:sz w:val="21"/>
          <w:szCs w:val="21"/>
          <w:highlight w:val="none"/>
        </w:rPr>
        <w:t>月</w:t>
      </w:r>
      <w:r>
        <w:rPr>
          <w:rStyle w:val="43"/>
          <w:rFonts w:hint="eastAsia" w:ascii="宋体" w:hAnsi="宋体"/>
          <w:sz w:val="21"/>
          <w:szCs w:val="21"/>
          <w:highlight w:val="none"/>
          <w:lang w:val="en-US" w:eastAsia="zh-CN"/>
        </w:rPr>
        <w:t>30</w:t>
      </w:r>
      <w:r>
        <w:rPr>
          <w:rStyle w:val="43"/>
          <w:rFonts w:ascii="宋体" w:hAnsi="宋体"/>
          <w:sz w:val="21"/>
          <w:szCs w:val="21"/>
          <w:highlight w:val="none"/>
        </w:rPr>
        <w:t>日</w:t>
      </w:r>
      <w:r>
        <w:rPr>
          <w:rStyle w:val="43"/>
          <w:rFonts w:hint="eastAsia" w:ascii="宋体" w:hAnsi="宋体"/>
          <w:sz w:val="21"/>
          <w:szCs w:val="21"/>
          <w:highlight w:val="none"/>
        </w:rPr>
        <w:t>前完成本项</w:t>
      </w:r>
      <w:r>
        <w:rPr>
          <w:rStyle w:val="43"/>
          <w:rFonts w:hint="eastAsia" w:ascii="宋体" w:hAnsi="宋体"/>
          <w:sz w:val="21"/>
          <w:szCs w:val="21"/>
        </w:rPr>
        <w:t>目要求的所有系统需求开发、测试及部署上线，包括系统间接口开发和联调、遗留系统存量数据割接方案的评审，具备整体功能上线条件。（如因基础资源不到位等原因，功能可分批上线）</w:t>
      </w:r>
    </w:p>
    <w:p>
      <w:pPr>
        <w:spacing w:line="460" w:lineRule="exact"/>
        <w:ind w:firstLine="420"/>
        <w:rPr>
          <w:rStyle w:val="43"/>
          <w:rFonts w:ascii="宋体" w:hAnsi="宋体"/>
          <w:sz w:val="21"/>
          <w:szCs w:val="21"/>
        </w:rPr>
      </w:pPr>
      <w:r>
        <w:rPr>
          <w:rStyle w:val="43"/>
          <w:rFonts w:hint="eastAsia" w:ascii="宋体" w:hAnsi="宋体"/>
          <w:sz w:val="21"/>
          <w:szCs w:val="21"/>
        </w:rPr>
        <w:t>要求中标</w:t>
      </w:r>
      <w:r>
        <w:rPr>
          <w:rStyle w:val="43"/>
          <w:rFonts w:hint="eastAsia" w:ascii="宋体" w:hAnsi="宋体"/>
          <w:sz w:val="21"/>
          <w:szCs w:val="21"/>
          <w:lang w:eastAsia="zh-CN"/>
        </w:rPr>
        <w:t>单位</w:t>
      </w:r>
      <w:r>
        <w:rPr>
          <w:rStyle w:val="43"/>
          <w:rFonts w:hint="eastAsia" w:ascii="宋体" w:hAnsi="宋体"/>
          <w:sz w:val="21"/>
          <w:szCs w:val="21"/>
        </w:rPr>
        <w:t>提供详细的施工进度计划表，包括各系统模块的需求调研、开发、测试、部署、数据割接时间计划。</w:t>
      </w:r>
    </w:p>
    <w:p>
      <w:pPr>
        <w:spacing w:line="460" w:lineRule="exact"/>
        <w:ind w:firstLine="420"/>
        <w:rPr>
          <w:rStyle w:val="43"/>
          <w:rFonts w:ascii="宋体" w:hAnsi="宋体"/>
          <w:b/>
          <w:bCs/>
          <w:sz w:val="21"/>
          <w:szCs w:val="21"/>
        </w:rPr>
      </w:pPr>
      <w:bookmarkStart w:id="221" w:name="_Toc1620514380"/>
      <w:bookmarkStart w:id="222" w:name="_Toc49437297"/>
      <w:r>
        <w:rPr>
          <w:rStyle w:val="43"/>
          <w:rFonts w:hint="eastAsia" w:ascii="宋体" w:hAnsi="宋体"/>
          <w:b/>
          <w:bCs/>
          <w:sz w:val="21"/>
          <w:szCs w:val="21"/>
        </w:rPr>
        <w:t>7、验收标准</w:t>
      </w:r>
      <w:bookmarkEnd w:id="221"/>
      <w:bookmarkEnd w:id="222"/>
    </w:p>
    <w:p>
      <w:pPr>
        <w:spacing w:line="460" w:lineRule="exact"/>
        <w:ind w:firstLine="420"/>
        <w:rPr>
          <w:rStyle w:val="43"/>
          <w:rFonts w:ascii="宋体" w:hAnsi="宋体"/>
          <w:sz w:val="21"/>
          <w:szCs w:val="21"/>
        </w:rPr>
      </w:pPr>
      <w:r>
        <w:rPr>
          <w:rStyle w:val="43"/>
          <w:rFonts w:ascii="宋体" w:hAnsi="宋体"/>
          <w:sz w:val="21"/>
          <w:szCs w:val="21"/>
        </w:rPr>
        <w:t>投标人提供的软件到货应严格遵循合同中规定的到货时间。</w:t>
      </w:r>
    </w:p>
    <w:p>
      <w:pPr>
        <w:spacing w:line="460" w:lineRule="exact"/>
        <w:ind w:firstLine="420"/>
        <w:rPr>
          <w:rStyle w:val="43"/>
          <w:rFonts w:ascii="宋体" w:hAnsi="宋体"/>
          <w:sz w:val="21"/>
          <w:szCs w:val="21"/>
        </w:rPr>
      </w:pPr>
      <w:r>
        <w:rPr>
          <w:rStyle w:val="43"/>
          <w:rFonts w:ascii="宋体" w:hAnsi="宋体"/>
          <w:sz w:val="21"/>
          <w:szCs w:val="21"/>
        </w:rPr>
        <w:t>投标人在合同中必须提供详细的软件功能清单，此软件功能清单作为验收的依据。实际到货必须与合同中软件功能清单一致。</w:t>
      </w:r>
      <w:bookmarkStart w:id="372" w:name="_GoBack"/>
      <w:bookmarkEnd w:id="372"/>
    </w:p>
    <w:p>
      <w:pPr>
        <w:spacing w:line="460" w:lineRule="exact"/>
        <w:ind w:firstLine="420"/>
        <w:rPr>
          <w:rStyle w:val="43"/>
          <w:rFonts w:ascii="宋体" w:hAnsi="宋体"/>
          <w:sz w:val="21"/>
          <w:szCs w:val="21"/>
        </w:rPr>
      </w:pPr>
      <w:r>
        <w:rPr>
          <w:rStyle w:val="43"/>
          <w:rFonts w:ascii="宋体" w:hAnsi="宋体"/>
          <w:sz w:val="21"/>
          <w:szCs w:val="21"/>
        </w:rPr>
        <w:t>到货的软件功能清单必须在到货之前到达采购人，方便采购人根据合同软件功能清单与到货软件功能清单对实际到货验收。</w:t>
      </w:r>
    </w:p>
    <w:p>
      <w:pPr>
        <w:spacing w:line="460" w:lineRule="exact"/>
        <w:ind w:firstLine="420"/>
        <w:rPr>
          <w:rStyle w:val="43"/>
          <w:rFonts w:ascii="宋体" w:hAnsi="宋体"/>
          <w:sz w:val="21"/>
          <w:szCs w:val="21"/>
        </w:rPr>
      </w:pPr>
      <w:r>
        <w:rPr>
          <w:rStyle w:val="43"/>
          <w:rFonts w:ascii="宋体" w:hAnsi="宋体"/>
          <w:sz w:val="21"/>
          <w:szCs w:val="21"/>
        </w:rPr>
        <w:t>验货时发现软件存在缺陷或故障或无法满足采购人提出的功能要求等情况要求投标人两周内更换或修复。</w:t>
      </w:r>
    </w:p>
    <w:p>
      <w:pPr>
        <w:spacing w:line="460" w:lineRule="exact"/>
        <w:ind w:firstLine="420"/>
        <w:rPr>
          <w:rStyle w:val="43"/>
          <w:rFonts w:ascii="宋体" w:hAnsi="宋体"/>
          <w:sz w:val="21"/>
          <w:szCs w:val="21"/>
        </w:rPr>
      </w:pPr>
      <w:r>
        <w:rPr>
          <w:rStyle w:val="43"/>
          <w:rFonts w:ascii="宋体" w:hAnsi="宋体"/>
          <w:sz w:val="21"/>
          <w:szCs w:val="21"/>
        </w:rPr>
        <w:t>投标人应保证所提供软件的质量及完整性，对由于投标人软件所引起的工期延误及经济损失应予以赔偿。</w:t>
      </w:r>
    </w:p>
    <w:p>
      <w:pPr>
        <w:pStyle w:val="560"/>
        <w:numPr>
          <w:ilvl w:val="0"/>
          <w:numId w:val="5"/>
        </w:numPr>
        <w:spacing w:line="360" w:lineRule="auto"/>
        <w:ind w:left="432" w:firstLine="0" w:firstLineChars="0"/>
        <w:outlineLvl w:val="2"/>
        <w:rPr>
          <w:rFonts w:ascii="宋体" w:hAnsi="宋体"/>
          <w:b/>
          <w:szCs w:val="24"/>
        </w:rPr>
      </w:pPr>
      <w:bookmarkStart w:id="223" w:name="_Toc329691292"/>
      <w:bookmarkStart w:id="224" w:name="_Toc49437298"/>
      <w:bookmarkStart w:id="225" w:name="_Toc413673462"/>
      <w:bookmarkStart w:id="226" w:name="_Toc329693201"/>
      <w:bookmarkStart w:id="227" w:name="_Toc1597573406"/>
      <w:r>
        <w:rPr>
          <w:rFonts w:hint="eastAsia" w:ascii="宋体" w:hAnsi="宋体"/>
          <w:b/>
          <w:szCs w:val="24"/>
        </w:rPr>
        <w:t>技术服务和培训及技术文件</w:t>
      </w:r>
      <w:bookmarkEnd w:id="223"/>
      <w:bookmarkEnd w:id="224"/>
      <w:bookmarkEnd w:id="225"/>
      <w:bookmarkEnd w:id="226"/>
      <w:bookmarkEnd w:id="227"/>
      <w:bookmarkStart w:id="228" w:name="_Toc436810097"/>
      <w:bookmarkStart w:id="229" w:name="_Toc477428547"/>
      <w:bookmarkStart w:id="230" w:name="_Toc307590000"/>
      <w:bookmarkStart w:id="231" w:name="_Toc470578359"/>
      <w:bookmarkStart w:id="232" w:name="_Toc473452610"/>
      <w:bookmarkStart w:id="233" w:name="_Toc486943916"/>
      <w:bookmarkStart w:id="234" w:name="_Toc474200789"/>
      <w:bookmarkStart w:id="235" w:name="_Toc436809466"/>
      <w:bookmarkStart w:id="236" w:name="_Toc478198194"/>
      <w:bookmarkStart w:id="237" w:name="_Toc441034176"/>
    </w:p>
    <w:p>
      <w:pPr>
        <w:spacing w:line="460" w:lineRule="exact"/>
        <w:ind w:firstLine="420"/>
        <w:rPr>
          <w:rStyle w:val="43"/>
          <w:rFonts w:ascii="宋体" w:hAnsi="宋体"/>
          <w:b/>
          <w:bCs/>
          <w:sz w:val="21"/>
          <w:szCs w:val="21"/>
        </w:rPr>
      </w:pPr>
      <w:bookmarkStart w:id="238" w:name="_Toc413673463"/>
      <w:bookmarkStart w:id="239" w:name="_Toc428196201"/>
      <w:bookmarkStart w:id="240" w:name="_Toc329691293"/>
      <w:bookmarkStart w:id="241" w:name="_Toc49437299"/>
      <w:bookmarkStart w:id="242" w:name="_Toc329693202"/>
      <w:r>
        <w:rPr>
          <w:rStyle w:val="43"/>
          <w:rFonts w:hint="eastAsia" w:ascii="宋体" w:hAnsi="宋体"/>
          <w:b/>
          <w:bCs/>
          <w:sz w:val="21"/>
          <w:szCs w:val="21"/>
        </w:rPr>
        <w:t>1、</w:t>
      </w:r>
      <w:r>
        <w:rPr>
          <w:rStyle w:val="43"/>
          <w:rFonts w:ascii="宋体" w:hAnsi="宋体"/>
          <w:b/>
          <w:bCs/>
          <w:sz w:val="21"/>
          <w:szCs w:val="21"/>
        </w:rPr>
        <w:t>技术服务</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spacing w:line="460" w:lineRule="exact"/>
        <w:ind w:firstLine="420"/>
        <w:rPr>
          <w:rStyle w:val="43"/>
          <w:rFonts w:ascii="宋体" w:hAnsi="宋体"/>
          <w:b/>
          <w:bCs/>
          <w:sz w:val="21"/>
          <w:szCs w:val="21"/>
        </w:rPr>
      </w:pPr>
      <w:bookmarkStart w:id="243" w:name="_Toc475849110"/>
      <w:bookmarkStart w:id="244" w:name="_Toc216973247"/>
      <w:bookmarkStart w:id="245" w:name="_Toc329691294"/>
      <w:bookmarkStart w:id="246" w:name="_Toc413673464"/>
      <w:bookmarkStart w:id="247" w:name="_Toc49437300"/>
      <w:bookmarkStart w:id="248" w:name="_Toc329693203"/>
      <w:bookmarkStart w:id="249" w:name="_Toc217139138"/>
      <w:bookmarkStart w:id="250" w:name="_Toc307590001"/>
      <w:bookmarkStart w:id="251" w:name="_Toc217196113"/>
      <w:r>
        <w:rPr>
          <w:rStyle w:val="43"/>
          <w:rFonts w:hint="eastAsia" w:ascii="宋体" w:hAnsi="宋体"/>
          <w:b/>
          <w:bCs/>
          <w:sz w:val="21"/>
          <w:szCs w:val="21"/>
        </w:rPr>
        <w:t>1.1</w:t>
      </w:r>
      <w:r>
        <w:rPr>
          <w:rStyle w:val="43"/>
          <w:rFonts w:ascii="宋体" w:hAnsi="宋体"/>
          <w:b/>
          <w:bCs/>
          <w:sz w:val="21"/>
          <w:szCs w:val="21"/>
        </w:rPr>
        <w:t>安装技术指导</w:t>
      </w:r>
      <w:bookmarkEnd w:id="243"/>
      <w:bookmarkEnd w:id="244"/>
      <w:bookmarkEnd w:id="245"/>
      <w:bookmarkEnd w:id="246"/>
      <w:bookmarkEnd w:id="247"/>
      <w:bookmarkEnd w:id="248"/>
      <w:bookmarkEnd w:id="249"/>
      <w:bookmarkEnd w:id="250"/>
      <w:bookmarkEnd w:id="251"/>
    </w:p>
    <w:p>
      <w:pPr>
        <w:spacing w:line="460" w:lineRule="exact"/>
        <w:ind w:firstLine="420"/>
        <w:rPr>
          <w:rStyle w:val="43"/>
          <w:rFonts w:ascii="宋体" w:hAnsi="宋体"/>
          <w:sz w:val="21"/>
          <w:szCs w:val="21"/>
        </w:rPr>
      </w:pPr>
      <w:bookmarkStart w:id="252" w:name="_Toc475240310"/>
      <w:bookmarkStart w:id="253" w:name="_Toc475265595"/>
      <w:bookmarkStart w:id="254" w:name="_Toc475268894"/>
      <w:r>
        <w:rPr>
          <w:rStyle w:val="43"/>
          <w:rFonts w:ascii="宋体" w:hAnsi="宋体"/>
          <w:sz w:val="21"/>
          <w:szCs w:val="21"/>
        </w:rPr>
        <w:t>（1）投标人须负责安装调测的技术指导；</w:t>
      </w:r>
    </w:p>
    <w:p>
      <w:pPr>
        <w:spacing w:line="460" w:lineRule="exact"/>
        <w:ind w:firstLine="420"/>
        <w:rPr>
          <w:rStyle w:val="43"/>
          <w:rFonts w:ascii="宋体" w:hAnsi="宋体"/>
          <w:sz w:val="21"/>
          <w:szCs w:val="21"/>
        </w:rPr>
      </w:pPr>
      <w:r>
        <w:rPr>
          <w:rStyle w:val="43"/>
          <w:rFonts w:ascii="宋体" w:hAnsi="宋体"/>
          <w:sz w:val="21"/>
          <w:szCs w:val="21"/>
        </w:rPr>
        <w:t>（2）投标人应派具有丰富实际工作经验的技术人员任工程督导，投标人应事先向采购人给出工程督导的资历，并征得采购人的同意；</w:t>
      </w:r>
    </w:p>
    <w:p>
      <w:pPr>
        <w:spacing w:line="460" w:lineRule="exact"/>
        <w:ind w:firstLine="420"/>
        <w:rPr>
          <w:rStyle w:val="43"/>
          <w:rFonts w:ascii="宋体" w:hAnsi="宋体"/>
          <w:sz w:val="21"/>
          <w:szCs w:val="21"/>
        </w:rPr>
      </w:pPr>
      <w:r>
        <w:rPr>
          <w:rStyle w:val="43"/>
          <w:rFonts w:ascii="宋体" w:hAnsi="宋体"/>
          <w:sz w:val="21"/>
          <w:szCs w:val="21"/>
        </w:rPr>
        <w:t>（3）投标人的督导人员应能指导设备的安装、测试，并对系统质量全面负责。</w:t>
      </w:r>
    </w:p>
    <w:p>
      <w:pPr>
        <w:spacing w:line="460" w:lineRule="exact"/>
        <w:ind w:firstLine="420"/>
        <w:rPr>
          <w:rStyle w:val="43"/>
          <w:rFonts w:ascii="宋体" w:hAnsi="宋体"/>
          <w:sz w:val="21"/>
          <w:szCs w:val="21"/>
        </w:rPr>
      </w:pPr>
      <w:bookmarkStart w:id="255" w:name="_Toc366890342"/>
      <w:bookmarkStart w:id="256" w:name="_Toc49437301"/>
      <w:bookmarkStart w:id="257" w:name="_Toc413673465"/>
      <w:r>
        <w:rPr>
          <w:rStyle w:val="43"/>
          <w:rFonts w:hint="eastAsia" w:ascii="宋体" w:hAnsi="宋体"/>
          <w:b/>
          <w:bCs/>
          <w:sz w:val="21"/>
          <w:szCs w:val="21"/>
        </w:rPr>
        <w:t>1.2</w:t>
      </w:r>
      <w:r>
        <w:rPr>
          <w:rStyle w:val="43"/>
          <w:rFonts w:ascii="宋体" w:hAnsi="宋体"/>
          <w:b/>
          <w:bCs/>
          <w:sz w:val="21"/>
          <w:szCs w:val="21"/>
        </w:rPr>
        <w:t>维护支撑服务要求</w:t>
      </w:r>
      <w:bookmarkEnd w:id="252"/>
      <w:bookmarkEnd w:id="253"/>
      <w:bookmarkEnd w:id="254"/>
      <w:bookmarkEnd w:id="255"/>
      <w:bookmarkEnd w:id="256"/>
      <w:bookmarkEnd w:id="257"/>
      <w:r>
        <w:rPr>
          <w:rStyle w:val="43"/>
          <w:rFonts w:ascii="宋体" w:hAnsi="宋体"/>
          <w:sz w:val="21"/>
          <w:szCs w:val="21"/>
        </w:rPr>
        <w:t xml:space="preserve"> </w:t>
      </w:r>
    </w:p>
    <w:p>
      <w:pPr>
        <w:spacing w:line="460" w:lineRule="exact"/>
        <w:ind w:firstLine="420"/>
        <w:rPr>
          <w:rStyle w:val="43"/>
          <w:rFonts w:ascii="宋体" w:hAnsi="宋体"/>
          <w:sz w:val="21"/>
          <w:szCs w:val="21"/>
        </w:rPr>
      </w:pPr>
      <w:r>
        <w:rPr>
          <w:rStyle w:val="43"/>
          <w:rFonts w:ascii="宋体" w:hAnsi="宋体"/>
          <w:sz w:val="21"/>
          <w:szCs w:val="21"/>
        </w:rPr>
        <w:t>（</w:t>
      </w:r>
      <w:r>
        <w:rPr>
          <w:rStyle w:val="43"/>
          <w:rFonts w:hint="eastAsia" w:ascii="宋体" w:hAnsi="宋体"/>
          <w:sz w:val="21"/>
          <w:szCs w:val="21"/>
        </w:rPr>
        <w:t>1</w:t>
      </w:r>
      <w:r>
        <w:rPr>
          <w:rStyle w:val="43"/>
          <w:rFonts w:ascii="宋体" w:hAnsi="宋体"/>
          <w:sz w:val="21"/>
          <w:szCs w:val="21"/>
        </w:rPr>
        <w:t>）</w:t>
      </w:r>
      <w:r>
        <w:rPr>
          <w:rStyle w:val="43"/>
          <w:rFonts w:hint="eastAsia" w:ascii="宋体" w:hAnsi="宋体"/>
          <w:sz w:val="21"/>
          <w:szCs w:val="21"/>
        </w:rPr>
        <w:t>维护支撑</w:t>
      </w:r>
      <w:r>
        <w:rPr>
          <w:rStyle w:val="43"/>
          <w:rFonts w:ascii="宋体" w:hAnsi="宋体"/>
          <w:sz w:val="21"/>
          <w:szCs w:val="21"/>
        </w:rPr>
        <w:t>期间，投标人需建立相关制度，根据需求方的要求保证业务平台的稳定可靠运行；</w:t>
      </w:r>
    </w:p>
    <w:p>
      <w:pPr>
        <w:spacing w:line="460" w:lineRule="exact"/>
        <w:ind w:firstLine="420"/>
        <w:rPr>
          <w:rStyle w:val="43"/>
          <w:rFonts w:ascii="宋体" w:hAnsi="宋体"/>
          <w:sz w:val="21"/>
          <w:szCs w:val="21"/>
        </w:rPr>
      </w:pPr>
      <w:r>
        <w:rPr>
          <w:rStyle w:val="43"/>
          <w:rFonts w:ascii="宋体" w:hAnsi="宋体"/>
          <w:sz w:val="21"/>
          <w:szCs w:val="21"/>
        </w:rPr>
        <w:t>（</w:t>
      </w:r>
      <w:r>
        <w:rPr>
          <w:rStyle w:val="43"/>
          <w:rFonts w:hint="eastAsia" w:ascii="宋体" w:hAnsi="宋体"/>
          <w:sz w:val="21"/>
          <w:szCs w:val="21"/>
        </w:rPr>
        <w:t>2</w:t>
      </w:r>
      <w:r>
        <w:rPr>
          <w:rStyle w:val="43"/>
          <w:rFonts w:ascii="宋体" w:hAnsi="宋体"/>
          <w:sz w:val="21"/>
          <w:szCs w:val="21"/>
        </w:rPr>
        <w:t>）故障快速响应与排除：建立7×24小时服务热线</w:t>
      </w:r>
      <w:r>
        <w:rPr>
          <w:rStyle w:val="43"/>
          <w:rFonts w:hint="eastAsia" w:ascii="宋体" w:hAnsi="宋体"/>
          <w:sz w:val="21"/>
          <w:szCs w:val="21"/>
        </w:rPr>
        <w:t>。</w:t>
      </w:r>
    </w:p>
    <w:p>
      <w:pPr>
        <w:spacing w:line="460" w:lineRule="exact"/>
        <w:ind w:firstLine="420"/>
        <w:rPr>
          <w:rStyle w:val="43"/>
          <w:rFonts w:ascii="宋体" w:hAnsi="宋体"/>
          <w:b/>
          <w:bCs/>
          <w:sz w:val="21"/>
          <w:szCs w:val="21"/>
        </w:rPr>
      </w:pPr>
      <w:bookmarkStart w:id="258" w:name="_Toc475240311"/>
      <w:bookmarkStart w:id="259" w:name="_Toc217196115"/>
      <w:bookmarkStart w:id="260" w:name="_Toc329693205"/>
      <w:bookmarkStart w:id="261" w:name="_Toc900427457"/>
      <w:bookmarkStart w:id="262" w:name="_Toc413673466"/>
      <w:bookmarkStart w:id="263" w:name="_Toc307590003"/>
      <w:bookmarkStart w:id="264" w:name="_Toc216973249"/>
      <w:bookmarkStart w:id="265" w:name="_Toc49437302"/>
      <w:bookmarkStart w:id="266" w:name="_Toc217139140"/>
      <w:bookmarkStart w:id="267" w:name="_Toc475268895"/>
      <w:bookmarkStart w:id="268" w:name="_Toc329691296"/>
      <w:bookmarkStart w:id="269" w:name="_Toc475265596"/>
      <w:r>
        <w:rPr>
          <w:rStyle w:val="43"/>
          <w:rFonts w:hint="eastAsia" w:ascii="宋体" w:hAnsi="宋体"/>
          <w:b/>
          <w:bCs/>
          <w:sz w:val="21"/>
          <w:szCs w:val="21"/>
        </w:rPr>
        <w:t>1.3</w:t>
      </w:r>
      <w:r>
        <w:rPr>
          <w:rStyle w:val="43"/>
          <w:rFonts w:ascii="宋体" w:hAnsi="宋体"/>
          <w:b/>
          <w:bCs/>
          <w:sz w:val="21"/>
          <w:szCs w:val="21"/>
        </w:rPr>
        <w:t>技术支持</w:t>
      </w:r>
      <w:bookmarkEnd w:id="258"/>
      <w:bookmarkEnd w:id="259"/>
      <w:bookmarkEnd w:id="260"/>
      <w:bookmarkEnd w:id="261"/>
      <w:bookmarkEnd w:id="262"/>
      <w:bookmarkEnd w:id="263"/>
      <w:bookmarkEnd w:id="264"/>
      <w:bookmarkEnd w:id="265"/>
      <w:bookmarkEnd w:id="266"/>
      <w:bookmarkEnd w:id="267"/>
      <w:bookmarkEnd w:id="268"/>
      <w:bookmarkEnd w:id="269"/>
    </w:p>
    <w:p>
      <w:pPr>
        <w:spacing w:line="460" w:lineRule="exact"/>
        <w:ind w:firstLine="420"/>
        <w:rPr>
          <w:rStyle w:val="43"/>
          <w:rFonts w:ascii="宋体" w:hAnsi="宋体"/>
          <w:sz w:val="21"/>
          <w:szCs w:val="21"/>
        </w:rPr>
      </w:pPr>
      <w:r>
        <w:rPr>
          <w:rStyle w:val="43"/>
          <w:rFonts w:ascii="宋体" w:hAnsi="宋体"/>
          <w:sz w:val="21"/>
          <w:szCs w:val="21"/>
        </w:rPr>
        <w:t>（1）投标人应具体说明所能提供的技术指导及技术支持的范围和程度，尤其是在需求预测、系统规划、网络带宽计算等方面；</w:t>
      </w:r>
    </w:p>
    <w:p>
      <w:pPr>
        <w:spacing w:line="460" w:lineRule="exact"/>
        <w:ind w:firstLine="420"/>
        <w:rPr>
          <w:rStyle w:val="43"/>
          <w:rFonts w:ascii="宋体" w:hAnsi="宋体"/>
          <w:sz w:val="21"/>
          <w:szCs w:val="21"/>
        </w:rPr>
      </w:pPr>
      <w:r>
        <w:rPr>
          <w:rStyle w:val="43"/>
          <w:rFonts w:ascii="宋体" w:hAnsi="宋体"/>
          <w:sz w:val="21"/>
          <w:szCs w:val="21"/>
        </w:rPr>
        <w:t>（2）当系统进行二次开发或在建设其它工程涉及到本系统时，投标人应到现场配合并提供一切可能的支持；</w:t>
      </w:r>
    </w:p>
    <w:p>
      <w:pPr>
        <w:spacing w:line="460" w:lineRule="exact"/>
        <w:ind w:firstLine="420"/>
        <w:rPr>
          <w:rStyle w:val="43"/>
          <w:rFonts w:ascii="宋体" w:hAnsi="宋体"/>
          <w:b/>
          <w:bCs/>
          <w:sz w:val="21"/>
          <w:szCs w:val="21"/>
        </w:rPr>
      </w:pPr>
      <w:bookmarkStart w:id="270" w:name="_Toc307590004"/>
      <w:bookmarkStart w:id="271" w:name="_Toc475268897"/>
      <w:bookmarkStart w:id="272" w:name="_Toc216973250"/>
      <w:bookmarkStart w:id="273" w:name="_Toc475240313"/>
      <w:bookmarkStart w:id="274" w:name="_Toc49437303"/>
      <w:bookmarkStart w:id="275" w:name="_Toc217196116"/>
      <w:bookmarkStart w:id="276" w:name="_Toc329693206"/>
      <w:bookmarkStart w:id="277" w:name="_Toc475265598"/>
      <w:bookmarkStart w:id="278" w:name="_Toc167009390"/>
      <w:bookmarkStart w:id="279" w:name="_Toc329691297"/>
      <w:bookmarkStart w:id="280" w:name="_Toc413673467"/>
      <w:bookmarkStart w:id="281" w:name="_Toc217139141"/>
      <w:r>
        <w:rPr>
          <w:rStyle w:val="43"/>
          <w:rFonts w:hint="eastAsia" w:ascii="宋体" w:hAnsi="宋体"/>
          <w:b/>
          <w:bCs/>
          <w:sz w:val="21"/>
          <w:szCs w:val="21"/>
        </w:rPr>
        <w:t>1.4</w:t>
      </w:r>
      <w:r>
        <w:rPr>
          <w:rStyle w:val="43"/>
          <w:rFonts w:ascii="宋体" w:hAnsi="宋体"/>
          <w:b/>
          <w:bCs/>
          <w:sz w:val="21"/>
          <w:szCs w:val="21"/>
        </w:rPr>
        <w:t>系统软件的局部修改</w:t>
      </w:r>
      <w:bookmarkEnd w:id="270"/>
      <w:bookmarkEnd w:id="271"/>
      <w:bookmarkEnd w:id="272"/>
      <w:bookmarkEnd w:id="273"/>
      <w:bookmarkEnd w:id="274"/>
      <w:bookmarkEnd w:id="275"/>
      <w:bookmarkEnd w:id="276"/>
      <w:bookmarkEnd w:id="277"/>
      <w:bookmarkEnd w:id="278"/>
      <w:bookmarkEnd w:id="279"/>
      <w:bookmarkEnd w:id="280"/>
      <w:bookmarkEnd w:id="281"/>
    </w:p>
    <w:p>
      <w:pPr>
        <w:spacing w:line="460" w:lineRule="exact"/>
        <w:ind w:firstLine="420"/>
        <w:rPr>
          <w:rStyle w:val="43"/>
          <w:rFonts w:ascii="宋体" w:hAnsi="宋体"/>
          <w:sz w:val="21"/>
          <w:szCs w:val="21"/>
        </w:rPr>
      </w:pPr>
      <w:r>
        <w:rPr>
          <w:rStyle w:val="43"/>
          <w:rFonts w:ascii="宋体" w:hAnsi="宋体"/>
          <w:sz w:val="21"/>
          <w:szCs w:val="21"/>
        </w:rPr>
        <w:t>（1）系统在安装期与运营期内，任何因系统设计、系统制造、程序编制、安装工程等缺陷而发生的软件更换，投标人应免费提供并负责修改工作；</w:t>
      </w:r>
    </w:p>
    <w:p>
      <w:pPr>
        <w:spacing w:line="460" w:lineRule="exact"/>
        <w:ind w:firstLine="420"/>
        <w:rPr>
          <w:rStyle w:val="43"/>
          <w:rFonts w:ascii="宋体" w:hAnsi="宋体"/>
          <w:sz w:val="21"/>
          <w:szCs w:val="21"/>
        </w:rPr>
      </w:pPr>
      <w:r>
        <w:rPr>
          <w:rStyle w:val="43"/>
          <w:rFonts w:ascii="宋体" w:hAnsi="宋体"/>
          <w:sz w:val="21"/>
          <w:szCs w:val="21"/>
        </w:rPr>
        <w:t>（2）采购人需改进系统的运行状况和可靠性时，投标人应提供软件的修改；</w:t>
      </w:r>
    </w:p>
    <w:p>
      <w:pPr>
        <w:spacing w:line="460" w:lineRule="exact"/>
        <w:ind w:firstLine="420"/>
        <w:rPr>
          <w:rStyle w:val="43"/>
          <w:rFonts w:ascii="宋体" w:hAnsi="宋体"/>
          <w:sz w:val="21"/>
          <w:szCs w:val="21"/>
        </w:rPr>
      </w:pPr>
      <w:r>
        <w:rPr>
          <w:rStyle w:val="43"/>
          <w:rFonts w:ascii="宋体" w:hAnsi="宋体"/>
          <w:sz w:val="21"/>
          <w:szCs w:val="21"/>
        </w:rPr>
        <w:t>（3）对系统软件的任何修改，投标人应提供软件技术支持；</w:t>
      </w:r>
    </w:p>
    <w:p>
      <w:pPr>
        <w:spacing w:line="460" w:lineRule="exact"/>
        <w:ind w:firstLine="420"/>
        <w:rPr>
          <w:rStyle w:val="43"/>
          <w:rFonts w:ascii="宋体" w:hAnsi="宋体"/>
          <w:sz w:val="21"/>
          <w:szCs w:val="21"/>
        </w:rPr>
      </w:pPr>
      <w:r>
        <w:rPr>
          <w:rStyle w:val="43"/>
          <w:rFonts w:ascii="宋体" w:hAnsi="宋体"/>
          <w:sz w:val="21"/>
          <w:szCs w:val="21"/>
        </w:rPr>
        <w:t>（4）所供系统在今后利用新技术从硬件或软件方面有任何性能或功能的改进以及产品革新，投标人须免费书面通知采购人其改进的详细情况，并提供以优惠价格为基础的修改部分的报价，以便采购人选择。</w:t>
      </w:r>
    </w:p>
    <w:p>
      <w:pPr>
        <w:spacing w:line="460" w:lineRule="exact"/>
        <w:ind w:firstLine="420"/>
        <w:rPr>
          <w:rStyle w:val="43"/>
          <w:rFonts w:ascii="宋体" w:hAnsi="宋体"/>
          <w:b/>
          <w:bCs/>
          <w:sz w:val="21"/>
          <w:szCs w:val="21"/>
        </w:rPr>
      </w:pPr>
      <w:bookmarkStart w:id="282" w:name="_Toc49437304"/>
      <w:bookmarkStart w:id="283" w:name="_Toc165691101"/>
      <w:r>
        <w:rPr>
          <w:rStyle w:val="43"/>
          <w:rFonts w:hint="eastAsia" w:ascii="宋体" w:hAnsi="宋体"/>
          <w:b/>
          <w:bCs/>
          <w:sz w:val="21"/>
          <w:szCs w:val="21"/>
        </w:rPr>
        <w:t>1.5</w:t>
      </w:r>
      <w:r>
        <w:rPr>
          <w:rStyle w:val="43"/>
          <w:rFonts w:ascii="宋体" w:hAnsi="宋体"/>
          <w:b/>
          <w:bCs/>
          <w:sz w:val="21"/>
          <w:szCs w:val="21"/>
        </w:rPr>
        <w:t>售后服务</w:t>
      </w:r>
      <w:bookmarkEnd w:id="282"/>
      <w:bookmarkEnd w:id="283"/>
    </w:p>
    <w:p>
      <w:pPr>
        <w:spacing w:line="460" w:lineRule="exact"/>
        <w:ind w:firstLine="420"/>
        <w:rPr>
          <w:rStyle w:val="43"/>
          <w:rFonts w:ascii="宋体" w:hAnsi="宋体"/>
          <w:sz w:val="21"/>
          <w:szCs w:val="21"/>
        </w:rPr>
      </w:pPr>
      <w:r>
        <w:rPr>
          <w:rStyle w:val="43"/>
          <w:rFonts w:hint="eastAsia" w:ascii="宋体" w:hAnsi="宋体"/>
          <w:sz w:val="21"/>
          <w:szCs w:val="21"/>
        </w:rPr>
        <w:t>（1）保修期要求</w:t>
      </w:r>
    </w:p>
    <w:p>
      <w:pPr>
        <w:spacing w:line="460" w:lineRule="exact"/>
        <w:ind w:firstLine="420"/>
        <w:rPr>
          <w:rStyle w:val="43"/>
          <w:rFonts w:ascii="宋体" w:hAnsi="宋体"/>
          <w:sz w:val="21"/>
          <w:szCs w:val="21"/>
        </w:rPr>
      </w:pPr>
      <w:r>
        <w:rPr>
          <w:rStyle w:val="43"/>
          <w:rFonts w:hint="eastAsia" w:ascii="宋体" w:hAnsi="宋体"/>
          <w:sz w:val="21"/>
          <w:szCs w:val="21"/>
        </w:rPr>
        <w:t>投标人向采购人提供从最终验收完成之后的系统软件及平台</w:t>
      </w:r>
      <w:r>
        <w:rPr>
          <w:rStyle w:val="43"/>
          <w:rFonts w:ascii="宋体" w:hAnsi="宋体"/>
          <w:sz w:val="21"/>
          <w:szCs w:val="21"/>
        </w:rPr>
        <w:t>1</w:t>
      </w:r>
      <w:r>
        <w:rPr>
          <w:rStyle w:val="43"/>
          <w:rFonts w:hint="eastAsia" w:ascii="宋体" w:hAnsi="宋体"/>
          <w:sz w:val="21"/>
          <w:szCs w:val="21"/>
        </w:rPr>
        <w:t>年内免费维保和技术支持服务。保修期内的技术服务内容包括招标系统的日常问题处理、数据处理、BUG修正、功能优化、系统安装部署和调优等，如果系统发生故障，投标人要调查故障原因并修复直至满足最终验收指标和性能的要求。以上都应是免费的。</w:t>
      </w:r>
    </w:p>
    <w:p>
      <w:pPr>
        <w:spacing w:line="460" w:lineRule="exact"/>
        <w:ind w:firstLine="420"/>
        <w:rPr>
          <w:rStyle w:val="43"/>
          <w:rFonts w:ascii="宋体" w:hAnsi="宋体"/>
          <w:sz w:val="21"/>
          <w:szCs w:val="21"/>
        </w:rPr>
      </w:pPr>
      <w:r>
        <w:rPr>
          <w:rStyle w:val="43"/>
          <w:rFonts w:hint="eastAsia" w:ascii="宋体" w:hAnsi="宋体"/>
          <w:sz w:val="21"/>
          <w:szCs w:val="21"/>
        </w:rPr>
        <w:t>投标人应在嵊州市有常驻服务团队</w:t>
      </w:r>
      <w:r>
        <w:rPr>
          <w:rStyle w:val="43"/>
          <w:rFonts w:hint="eastAsia" w:ascii="宋体" w:hAnsi="宋体"/>
          <w:sz w:val="21"/>
          <w:szCs w:val="21"/>
          <w:lang w:val="en-US" w:eastAsia="zh-CN"/>
        </w:rPr>
        <w:t>并</w:t>
      </w:r>
      <w:r>
        <w:rPr>
          <w:rStyle w:val="43"/>
          <w:rFonts w:hint="eastAsia" w:ascii="宋体" w:hAnsi="宋体"/>
          <w:sz w:val="21"/>
          <w:szCs w:val="21"/>
        </w:rPr>
        <w:t>承诺中标后15日内组建。项目实施过程中必须保证项目实施团队人员稳定。</w:t>
      </w:r>
    </w:p>
    <w:p>
      <w:pPr>
        <w:spacing w:line="460" w:lineRule="exact"/>
        <w:ind w:firstLine="420"/>
        <w:rPr>
          <w:rStyle w:val="43"/>
          <w:rFonts w:ascii="宋体" w:hAnsi="宋体"/>
          <w:sz w:val="21"/>
          <w:szCs w:val="21"/>
        </w:rPr>
      </w:pPr>
      <w:r>
        <w:rPr>
          <w:rStyle w:val="43"/>
          <w:rFonts w:hint="eastAsia" w:ascii="宋体" w:hAnsi="宋体"/>
          <w:sz w:val="21"/>
          <w:szCs w:val="21"/>
        </w:rPr>
        <w:t>投标人应提供服务团队组成情况、人员信息和项目实施经验等内容，见附录1：项目组人员名单与项目进度模板。</w:t>
      </w:r>
    </w:p>
    <w:p>
      <w:pPr>
        <w:spacing w:line="460" w:lineRule="exact"/>
        <w:ind w:firstLine="420"/>
        <w:rPr>
          <w:rStyle w:val="43"/>
          <w:rFonts w:ascii="宋体" w:hAnsi="宋体"/>
          <w:sz w:val="21"/>
          <w:szCs w:val="21"/>
        </w:rPr>
      </w:pPr>
      <w:r>
        <w:rPr>
          <w:rStyle w:val="43"/>
          <w:rFonts w:hint="eastAsia" w:ascii="宋体" w:hAnsi="宋体"/>
          <w:sz w:val="21"/>
          <w:szCs w:val="21"/>
        </w:rPr>
        <w:t>（2）保修期内服务要求</w:t>
      </w:r>
    </w:p>
    <w:p>
      <w:pPr>
        <w:spacing w:line="460" w:lineRule="exact"/>
        <w:ind w:firstLine="420"/>
        <w:rPr>
          <w:rStyle w:val="43"/>
          <w:rFonts w:ascii="宋体" w:hAnsi="宋体"/>
          <w:sz w:val="21"/>
          <w:szCs w:val="21"/>
        </w:rPr>
      </w:pPr>
      <w:r>
        <w:rPr>
          <w:rStyle w:val="43"/>
          <w:rFonts w:hint="eastAsia" w:ascii="宋体" w:hAnsi="宋体"/>
          <w:sz w:val="21"/>
          <w:szCs w:val="21"/>
        </w:rPr>
        <w:t>投标人</w:t>
      </w:r>
      <w:r>
        <w:rPr>
          <w:rStyle w:val="43"/>
          <w:rFonts w:ascii="宋体" w:hAnsi="宋体"/>
          <w:sz w:val="21"/>
          <w:szCs w:val="21"/>
        </w:rPr>
        <w:t>建立完善技术服务保障体系，形成闭环管理。</w:t>
      </w:r>
      <w:r>
        <w:rPr>
          <w:rStyle w:val="43"/>
          <w:rFonts w:hint="eastAsia" w:ascii="宋体" w:hAnsi="宋体"/>
          <w:sz w:val="21"/>
          <w:szCs w:val="21"/>
        </w:rPr>
        <w:t>投标人</w:t>
      </w:r>
      <w:r>
        <w:rPr>
          <w:rStyle w:val="43"/>
          <w:rFonts w:ascii="宋体" w:hAnsi="宋体"/>
          <w:sz w:val="21"/>
          <w:szCs w:val="21"/>
        </w:rPr>
        <w:t>的技术服务人员资质需经过采购人认可，方可进驻现场。技术服务保障体系请详细说明</w:t>
      </w:r>
      <w:r>
        <w:rPr>
          <w:rStyle w:val="43"/>
          <w:rFonts w:hint="eastAsia" w:ascii="宋体" w:hAnsi="宋体"/>
          <w:sz w:val="21"/>
          <w:szCs w:val="21"/>
        </w:rPr>
        <w:t>（包括但不限于服务内容、服务范围、服务等级、服务承诺、服务响应、人员安排、服务受理及处理流程图等内容）</w:t>
      </w:r>
      <w:r>
        <w:rPr>
          <w:rStyle w:val="43"/>
          <w:rFonts w:ascii="宋体" w:hAnsi="宋体"/>
          <w:sz w:val="21"/>
          <w:szCs w:val="21"/>
        </w:rPr>
        <w:t>。</w:t>
      </w:r>
    </w:p>
    <w:p>
      <w:pPr>
        <w:spacing w:line="460" w:lineRule="exact"/>
        <w:ind w:firstLine="420"/>
        <w:rPr>
          <w:rStyle w:val="43"/>
          <w:rFonts w:ascii="宋体" w:hAnsi="宋体"/>
          <w:sz w:val="21"/>
          <w:szCs w:val="21"/>
        </w:rPr>
      </w:pPr>
      <w:r>
        <w:rPr>
          <w:rStyle w:val="43"/>
          <w:rFonts w:hint="eastAsia" w:ascii="宋体" w:hAnsi="宋体"/>
          <w:sz w:val="21"/>
          <w:szCs w:val="21"/>
        </w:rPr>
        <w:t>投标人承诺</w:t>
      </w:r>
      <w:r>
        <w:rPr>
          <w:rStyle w:val="43"/>
          <w:rFonts w:ascii="宋体" w:hAnsi="宋体"/>
          <w:sz w:val="21"/>
          <w:szCs w:val="21"/>
        </w:rPr>
        <w:t>提供7x24技术支持服务，响应时间小于30分钟，1小时到达现场；影响采购人业务连续性的故障在3小时内协助解决，其它故障在12小时解决。</w:t>
      </w:r>
    </w:p>
    <w:p>
      <w:pPr>
        <w:spacing w:line="460" w:lineRule="exact"/>
        <w:ind w:firstLine="420"/>
        <w:rPr>
          <w:rStyle w:val="43"/>
          <w:rFonts w:ascii="宋体" w:hAnsi="宋体"/>
          <w:sz w:val="21"/>
          <w:szCs w:val="21"/>
        </w:rPr>
      </w:pPr>
      <w:r>
        <w:rPr>
          <w:rStyle w:val="43"/>
          <w:rFonts w:hint="eastAsia" w:ascii="宋体" w:hAnsi="宋体"/>
          <w:sz w:val="21"/>
          <w:szCs w:val="21"/>
        </w:rPr>
        <w:t>（3）保修期后的服务要求</w:t>
      </w:r>
    </w:p>
    <w:p>
      <w:pPr>
        <w:spacing w:line="460" w:lineRule="exact"/>
        <w:ind w:firstLine="420"/>
        <w:rPr>
          <w:rStyle w:val="43"/>
          <w:rFonts w:ascii="宋体" w:hAnsi="宋体"/>
          <w:sz w:val="21"/>
          <w:szCs w:val="21"/>
        </w:rPr>
      </w:pPr>
      <w:r>
        <w:rPr>
          <w:rStyle w:val="43"/>
          <w:rFonts w:hint="eastAsia" w:ascii="宋体" w:hAnsi="宋体"/>
          <w:sz w:val="21"/>
          <w:szCs w:val="21"/>
        </w:rPr>
        <w:t>在</w:t>
      </w:r>
      <w:r>
        <w:rPr>
          <w:rStyle w:val="43"/>
          <w:rFonts w:ascii="宋体" w:hAnsi="宋体"/>
          <w:sz w:val="21"/>
          <w:szCs w:val="21"/>
        </w:rPr>
        <w:t>嵊州市经济和信息化局</w:t>
      </w:r>
      <w:r>
        <w:rPr>
          <w:rStyle w:val="43"/>
          <w:rFonts w:hint="eastAsia" w:ascii="宋体" w:hAnsi="宋体"/>
          <w:sz w:val="21"/>
          <w:szCs w:val="21"/>
        </w:rPr>
        <w:t>购买保修期后同等级的维保服务后，投标人需能够继续提供同样等级的服务响应。</w:t>
      </w:r>
    </w:p>
    <w:p>
      <w:pPr>
        <w:spacing w:line="460" w:lineRule="exact"/>
        <w:ind w:firstLine="420"/>
        <w:rPr>
          <w:rStyle w:val="43"/>
          <w:rFonts w:ascii="宋体" w:hAnsi="宋体"/>
          <w:sz w:val="21"/>
          <w:szCs w:val="21"/>
        </w:rPr>
      </w:pPr>
      <w:r>
        <w:rPr>
          <w:rStyle w:val="43"/>
          <w:rFonts w:hint="eastAsia" w:ascii="宋体" w:hAnsi="宋体"/>
          <w:sz w:val="21"/>
          <w:szCs w:val="21"/>
        </w:rPr>
        <w:t>投标人需明确提交产品续保费用，以成交价的百分比方式提供（不高于5%），投标人承诺对本系统出保后每年维保价格不得高于本次项目年维保报价。</w:t>
      </w:r>
    </w:p>
    <w:p>
      <w:pPr>
        <w:spacing w:line="460" w:lineRule="exact"/>
        <w:ind w:firstLine="420"/>
        <w:rPr>
          <w:rStyle w:val="43"/>
          <w:rFonts w:ascii="宋体" w:hAnsi="宋体"/>
          <w:b/>
          <w:bCs/>
          <w:sz w:val="21"/>
          <w:szCs w:val="21"/>
        </w:rPr>
      </w:pPr>
      <w:bookmarkStart w:id="284" w:name="_Toc1631527995"/>
      <w:bookmarkStart w:id="285" w:name="_Toc49437305"/>
      <w:bookmarkStart w:id="286" w:name="_Toc413673471"/>
      <w:r>
        <w:rPr>
          <w:rStyle w:val="43"/>
          <w:rFonts w:hint="eastAsia" w:ascii="宋体" w:hAnsi="宋体"/>
          <w:b/>
          <w:bCs/>
          <w:sz w:val="21"/>
          <w:szCs w:val="21"/>
        </w:rPr>
        <w:t>1.6</w:t>
      </w:r>
      <w:r>
        <w:rPr>
          <w:rStyle w:val="43"/>
          <w:rFonts w:ascii="宋体" w:hAnsi="宋体"/>
          <w:b/>
          <w:bCs/>
          <w:sz w:val="21"/>
          <w:szCs w:val="21"/>
        </w:rPr>
        <w:t>技术文件</w:t>
      </w:r>
      <w:bookmarkEnd w:id="284"/>
      <w:bookmarkEnd w:id="285"/>
      <w:bookmarkEnd w:id="286"/>
    </w:p>
    <w:p>
      <w:pPr>
        <w:spacing w:line="460" w:lineRule="exact"/>
        <w:ind w:firstLine="420"/>
        <w:rPr>
          <w:rStyle w:val="43"/>
          <w:rFonts w:ascii="宋体" w:hAnsi="宋体"/>
          <w:sz w:val="21"/>
          <w:szCs w:val="21"/>
        </w:rPr>
      </w:pPr>
      <w:r>
        <w:rPr>
          <w:rStyle w:val="43"/>
          <w:rFonts w:ascii="宋体" w:hAnsi="宋体"/>
          <w:sz w:val="21"/>
          <w:szCs w:val="21"/>
        </w:rPr>
        <w:t>投标人提供的书面技术资料应能确保系统正常运行所需的管理、运营及维护有关的全套文件，并在方案建议书中列出提供的书面技术资料详细清单。</w:t>
      </w:r>
    </w:p>
    <w:p>
      <w:pPr>
        <w:spacing w:line="460" w:lineRule="exact"/>
        <w:ind w:firstLine="420"/>
        <w:rPr>
          <w:rStyle w:val="43"/>
          <w:rFonts w:ascii="宋体" w:hAnsi="宋体"/>
          <w:sz w:val="21"/>
          <w:szCs w:val="21"/>
        </w:rPr>
      </w:pPr>
      <w:r>
        <w:rPr>
          <w:rStyle w:val="43"/>
          <w:rFonts w:hint="eastAsia" w:ascii="宋体" w:hAnsi="宋体"/>
          <w:sz w:val="21"/>
          <w:szCs w:val="21"/>
        </w:rPr>
        <w:t>（1）</w:t>
      </w:r>
      <w:r>
        <w:rPr>
          <w:rStyle w:val="43"/>
          <w:rFonts w:ascii="宋体" w:hAnsi="宋体"/>
          <w:sz w:val="21"/>
          <w:szCs w:val="21"/>
        </w:rPr>
        <w:t>投标人提供的技术文件应包括</w:t>
      </w:r>
      <w:r>
        <w:rPr>
          <w:rStyle w:val="43"/>
          <w:rFonts w:hint="eastAsia" w:ascii="宋体" w:hAnsi="宋体"/>
          <w:sz w:val="21"/>
          <w:szCs w:val="21"/>
        </w:rPr>
        <w:t>平台安装与部署、服务API手册、使用文档、运维手册、</w:t>
      </w:r>
      <w:r>
        <w:rPr>
          <w:rStyle w:val="43"/>
          <w:rFonts w:ascii="宋体" w:hAnsi="宋体"/>
          <w:sz w:val="21"/>
          <w:szCs w:val="21"/>
        </w:rPr>
        <w:t>及与系统有关的采购人认为必要的其它技术文件，文件要求用中文书写。</w:t>
      </w:r>
    </w:p>
    <w:p>
      <w:pPr>
        <w:spacing w:line="460" w:lineRule="exact"/>
        <w:ind w:firstLine="420"/>
        <w:rPr>
          <w:rStyle w:val="43"/>
          <w:rFonts w:ascii="宋体" w:hAnsi="宋体"/>
          <w:sz w:val="21"/>
          <w:szCs w:val="21"/>
        </w:rPr>
      </w:pPr>
      <w:r>
        <w:rPr>
          <w:rStyle w:val="43"/>
          <w:rFonts w:hint="eastAsia" w:ascii="宋体" w:hAnsi="宋体"/>
          <w:sz w:val="21"/>
          <w:szCs w:val="21"/>
        </w:rPr>
        <w:t>（2）</w:t>
      </w:r>
      <w:r>
        <w:rPr>
          <w:rStyle w:val="43"/>
          <w:rFonts w:ascii="宋体" w:hAnsi="宋体"/>
          <w:sz w:val="21"/>
          <w:szCs w:val="21"/>
        </w:rPr>
        <w:t>投标人应提供1份包括以上技术文件在内的文件清单，所有文件均应有简洁明了的名称和编号。</w:t>
      </w:r>
    </w:p>
    <w:p>
      <w:pPr>
        <w:spacing w:line="460" w:lineRule="exact"/>
        <w:ind w:firstLine="420"/>
        <w:rPr>
          <w:rStyle w:val="43"/>
          <w:rFonts w:ascii="宋体" w:hAnsi="宋体"/>
          <w:sz w:val="21"/>
          <w:szCs w:val="21"/>
        </w:rPr>
      </w:pPr>
      <w:r>
        <w:rPr>
          <w:rStyle w:val="43"/>
          <w:rFonts w:hint="eastAsia" w:ascii="宋体" w:hAnsi="宋体"/>
          <w:sz w:val="21"/>
          <w:szCs w:val="21"/>
        </w:rPr>
        <w:t>（3）</w:t>
      </w:r>
      <w:r>
        <w:rPr>
          <w:rStyle w:val="43"/>
          <w:rFonts w:ascii="宋体" w:hAnsi="宋体"/>
          <w:sz w:val="21"/>
          <w:szCs w:val="21"/>
        </w:rPr>
        <w:t>在双方商定的某一时期内由于软硬件的修改而导致文件的任何修改，投标人均应提供修改更正或补充的文件；</w:t>
      </w:r>
    </w:p>
    <w:p>
      <w:pPr>
        <w:spacing w:line="460" w:lineRule="exact"/>
        <w:ind w:firstLine="420"/>
        <w:rPr>
          <w:rStyle w:val="43"/>
          <w:rFonts w:ascii="宋体" w:hAnsi="宋体"/>
          <w:sz w:val="21"/>
          <w:szCs w:val="21"/>
        </w:rPr>
      </w:pPr>
      <w:r>
        <w:rPr>
          <w:rStyle w:val="43"/>
          <w:rFonts w:hint="eastAsia" w:ascii="宋体" w:hAnsi="宋体"/>
          <w:sz w:val="21"/>
          <w:szCs w:val="21"/>
        </w:rPr>
        <w:t>（4）</w:t>
      </w:r>
      <w:r>
        <w:rPr>
          <w:rStyle w:val="43"/>
          <w:rFonts w:ascii="宋体" w:hAnsi="宋体"/>
          <w:sz w:val="21"/>
          <w:szCs w:val="21"/>
        </w:rPr>
        <w:t>提供的技术文件应能够满足软、硬件设备安装、使用、维护、应用开发的需要；</w:t>
      </w:r>
    </w:p>
    <w:p>
      <w:pPr>
        <w:spacing w:line="460" w:lineRule="exact"/>
        <w:ind w:firstLine="420"/>
        <w:rPr>
          <w:rStyle w:val="43"/>
          <w:rFonts w:ascii="宋体" w:hAnsi="宋体"/>
          <w:sz w:val="21"/>
          <w:szCs w:val="21"/>
        </w:rPr>
      </w:pPr>
      <w:r>
        <w:rPr>
          <w:rStyle w:val="43"/>
          <w:rFonts w:hint="eastAsia" w:ascii="宋体" w:hAnsi="宋体"/>
          <w:sz w:val="21"/>
          <w:szCs w:val="21"/>
        </w:rPr>
        <w:t>（5）</w:t>
      </w:r>
      <w:r>
        <w:rPr>
          <w:rStyle w:val="43"/>
          <w:rFonts w:ascii="宋体" w:hAnsi="宋体"/>
          <w:sz w:val="21"/>
          <w:szCs w:val="21"/>
        </w:rPr>
        <w:t>其它有关问题在合同中确定。</w:t>
      </w:r>
    </w:p>
    <w:p>
      <w:pPr>
        <w:spacing w:line="460" w:lineRule="exact"/>
        <w:ind w:firstLine="420"/>
        <w:rPr>
          <w:rStyle w:val="43"/>
          <w:rFonts w:ascii="宋体" w:hAnsi="宋体"/>
          <w:b/>
          <w:bCs/>
          <w:sz w:val="21"/>
          <w:szCs w:val="21"/>
        </w:rPr>
      </w:pPr>
      <w:bookmarkStart w:id="287" w:name="_Toc441034177"/>
      <w:bookmarkStart w:id="288" w:name="_Toc486943917"/>
      <w:bookmarkStart w:id="289" w:name="_Toc473452611"/>
      <w:bookmarkStart w:id="290" w:name="_Toc470578360"/>
      <w:bookmarkStart w:id="291" w:name="_Toc49437306"/>
      <w:bookmarkStart w:id="292" w:name="_Toc329693207"/>
      <w:bookmarkStart w:id="293" w:name="_Toc476469872"/>
      <w:bookmarkStart w:id="294" w:name="_Toc329691298"/>
      <w:bookmarkStart w:id="295" w:name="_Toc307590005"/>
      <w:bookmarkStart w:id="296" w:name="_Toc436810098"/>
      <w:bookmarkStart w:id="297" w:name="_Toc413673468"/>
      <w:bookmarkStart w:id="298" w:name="_Toc478198195"/>
      <w:bookmarkStart w:id="299" w:name="_Toc477428548"/>
      <w:bookmarkStart w:id="300" w:name="_Toc474200790"/>
      <w:bookmarkStart w:id="301" w:name="_Toc2019807069"/>
      <w:r>
        <w:rPr>
          <w:rStyle w:val="43"/>
          <w:rFonts w:hint="eastAsia" w:ascii="宋体" w:hAnsi="宋体"/>
          <w:b/>
          <w:bCs/>
          <w:sz w:val="21"/>
          <w:szCs w:val="21"/>
        </w:rPr>
        <w:t>2、</w:t>
      </w:r>
      <w:r>
        <w:rPr>
          <w:rStyle w:val="43"/>
          <w:rFonts w:ascii="宋体" w:hAnsi="宋体"/>
          <w:b/>
          <w:bCs/>
          <w:sz w:val="21"/>
          <w:szCs w:val="21"/>
        </w:rPr>
        <w:t>技术培训</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spacing w:line="460" w:lineRule="exact"/>
        <w:ind w:firstLine="420"/>
        <w:rPr>
          <w:rStyle w:val="43"/>
          <w:rFonts w:ascii="宋体" w:hAnsi="宋体"/>
          <w:sz w:val="21"/>
          <w:szCs w:val="21"/>
        </w:rPr>
      </w:pPr>
      <w:r>
        <w:rPr>
          <w:rStyle w:val="43"/>
          <w:rFonts w:ascii="宋体" w:hAnsi="宋体"/>
          <w:sz w:val="21"/>
          <w:szCs w:val="21"/>
        </w:rPr>
        <w:t>为了保证投标人所提供的系统良好运行，必须培训合格的维护人员和少量高级工程技术人员、管理人员。</w:t>
      </w:r>
    </w:p>
    <w:p>
      <w:pPr>
        <w:spacing w:line="460" w:lineRule="exact"/>
        <w:ind w:firstLine="420"/>
        <w:rPr>
          <w:rStyle w:val="43"/>
          <w:rFonts w:ascii="宋体" w:hAnsi="宋体"/>
          <w:sz w:val="21"/>
          <w:szCs w:val="21"/>
        </w:rPr>
      </w:pPr>
      <w:r>
        <w:rPr>
          <w:rStyle w:val="43"/>
          <w:rFonts w:ascii="宋体" w:hAnsi="宋体"/>
          <w:sz w:val="21"/>
          <w:szCs w:val="21"/>
        </w:rPr>
        <w:t>提供系统管理和使用现场培训，包括：</w:t>
      </w:r>
    </w:p>
    <w:p>
      <w:pPr>
        <w:spacing w:line="460" w:lineRule="exact"/>
        <w:ind w:firstLine="420"/>
        <w:rPr>
          <w:rStyle w:val="43"/>
          <w:rFonts w:ascii="宋体" w:hAnsi="宋体"/>
          <w:sz w:val="21"/>
          <w:szCs w:val="21"/>
        </w:rPr>
      </w:pPr>
      <w:r>
        <w:rPr>
          <w:rStyle w:val="43"/>
          <w:rFonts w:hint="eastAsia" w:ascii="宋体" w:hAnsi="宋体" w:cs="宋体"/>
          <w:sz w:val="21"/>
          <w:szCs w:val="21"/>
          <w:lang w:val="en-US" w:eastAsia="zh-CN"/>
        </w:rPr>
        <w:t>1）</w:t>
      </w:r>
      <w:r>
        <w:rPr>
          <w:rStyle w:val="43"/>
          <w:rFonts w:ascii="宋体" w:hAnsi="宋体"/>
          <w:sz w:val="21"/>
          <w:szCs w:val="21"/>
        </w:rPr>
        <w:t>系统管理人员</w:t>
      </w:r>
      <w:r>
        <w:rPr>
          <w:rStyle w:val="43"/>
          <w:rFonts w:hint="eastAsia" w:ascii="宋体" w:hAnsi="宋体"/>
          <w:sz w:val="21"/>
          <w:szCs w:val="21"/>
        </w:rPr>
        <w:t>培训</w:t>
      </w:r>
      <w:r>
        <w:rPr>
          <w:rStyle w:val="43"/>
          <w:rFonts w:ascii="宋体" w:hAnsi="宋体"/>
          <w:sz w:val="21"/>
          <w:szCs w:val="21"/>
        </w:rPr>
        <w:t>，包括软硬件培训、使用配置培训、系统维护管理等培训；</w:t>
      </w:r>
    </w:p>
    <w:p>
      <w:pPr>
        <w:spacing w:line="460" w:lineRule="exact"/>
        <w:ind w:firstLine="420"/>
        <w:rPr>
          <w:rStyle w:val="43"/>
          <w:rFonts w:ascii="宋体" w:hAnsi="宋体"/>
          <w:sz w:val="21"/>
          <w:szCs w:val="21"/>
        </w:rPr>
      </w:pPr>
      <w:r>
        <w:rPr>
          <w:rStyle w:val="43"/>
          <w:rFonts w:hint="eastAsia" w:ascii="宋体" w:hAnsi="宋体" w:cs="宋体"/>
          <w:sz w:val="21"/>
          <w:szCs w:val="21"/>
          <w:lang w:val="en-US" w:eastAsia="zh-CN"/>
        </w:rPr>
        <w:t>2）</w:t>
      </w:r>
      <w:r>
        <w:rPr>
          <w:rStyle w:val="43"/>
          <w:rFonts w:ascii="宋体" w:hAnsi="宋体"/>
          <w:sz w:val="21"/>
          <w:szCs w:val="21"/>
        </w:rPr>
        <w:t>培训</w:t>
      </w:r>
      <w:r>
        <w:rPr>
          <w:rStyle w:val="43"/>
          <w:rFonts w:hint="eastAsia" w:ascii="宋体" w:hAnsi="宋体"/>
          <w:sz w:val="21"/>
          <w:szCs w:val="21"/>
        </w:rPr>
        <w:t>系统</w:t>
      </w:r>
      <w:r>
        <w:rPr>
          <w:rStyle w:val="43"/>
          <w:rFonts w:ascii="宋体" w:hAnsi="宋体"/>
          <w:sz w:val="21"/>
          <w:szCs w:val="21"/>
        </w:rPr>
        <w:t>使用人员，含结合本系统实际情况的使用培训。</w:t>
      </w:r>
    </w:p>
    <w:p>
      <w:pPr>
        <w:spacing w:line="460" w:lineRule="exact"/>
        <w:ind w:firstLine="420"/>
        <w:rPr>
          <w:rStyle w:val="43"/>
          <w:rFonts w:ascii="宋体" w:hAnsi="宋体"/>
          <w:b/>
          <w:bCs/>
          <w:sz w:val="21"/>
          <w:szCs w:val="21"/>
        </w:rPr>
      </w:pPr>
      <w:bookmarkStart w:id="302" w:name="_Toc216973252"/>
      <w:bookmarkStart w:id="303" w:name="_Toc49437307"/>
      <w:bookmarkStart w:id="304" w:name="_Toc307590006"/>
      <w:bookmarkStart w:id="305" w:name="_Toc217139143"/>
      <w:bookmarkStart w:id="306" w:name="_Toc217196118"/>
      <w:bookmarkStart w:id="307" w:name="_Toc329693208"/>
      <w:bookmarkStart w:id="308" w:name="_Toc413673469"/>
      <w:bookmarkStart w:id="309" w:name="_Toc1623400554"/>
      <w:bookmarkStart w:id="310" w:name="_Toc329691299"/>
      <w:r>
        <w:rPr>
          <w:rStyle w:val="43"/>
          <w:rFonts w:hint="eastAsia" w:ascii="宋体" w:hAnsi="宋体"/>
          <w:b/>
          <w:bCs/>
          <w:sz w:val="21"/>
          <w:szCs w:val="21"/>
        </w:rPr>
        <w:t>2.1</w:t>
      </w:r>
      <w:r>
        <w:rPr>
          <w:rStyle w:val="43"/>
          <w:rFonts w:ascii="宋体" w:hAnsi="宋体"/>
          <w:b/>
          <w:bCs/>
          <w:sz w:val="21"/>
          <w:szCs w:val="21"/>
        </w:rPr>
        <w:t>培训内容</w:t>
      </w:r>
      <w:bookmarkEnd w:id="302"/>
      <w:bookmarkEnd w:id="303"/>
      <w:bookmarkEnd w:id="304"/>
      <w:bookmarkEnd w:id="305"/>
      <w:bookmarkEnd w:id="306"/>
      <w:bookmarkEnd w:id="307"/>
      <w:bookmarkEnd w:id="308"/>
      <w:bookmarkEnd w:id="309"/>
      <w:bookmarkEnd w:id="310"/>
    </w:p>
    <w:p>
      <w:pPr>
        <w:spacing w:line="460" w:lineRule="exact"/>
        <w:ind w:firstLine="420"/>
        <w:rPr>
          <w:rStyle w:val="43"/>
          <w:rFonts w:ascii="宋体" w:hAnsi="宋体"/>
          <w:sz w:val="21"/>
          <w:szCs w:val="21"/>
        </w:rPr>
      </w:pPr>
      <w:r>
        <w:rPr>
          <w:rStyle w:val="43"/>
          <w:rFonts w:hint="eastAsia" w:ascii="宋体" w:hAnsi="宋体"/>
          <w:sz w:val="21"/>
          <w:szCs w:val="21"/>
        </w:rPr>
        <w:t>（1）</w:t>
      </w:r>
      <w:r>
        <w:rPr>
          <w:rStyle w:val="43"/>
          <w:rFonts w:ascii="宋体" w:hAnsi="宋体"/>
          <w:sz w:val="21"/>
          <w:szCs w:val="21"/>
        </w:rPr>
        <w:t>系统安装部署培训</w:t>
      </w:r>
    </w:p>
    <w:p>
      <w:pPr>
        <w:spacing w:line="460" w:lineRule="exact"/>
        <w:ind w:firstLine="420"/>
        <w:rPr>
          <w:rStyle w:val="43"/>
          <w:rFonts w:ascii="宋体" w:hAnsi="宋体"/>
          <w:sz w:val="21"/>
          <w:szCs w:val="21"/>
        </w:rPr>
      </w:pPr>
      <w:r>
        <w:rPr>
          <w:rStyle w:val="43"/>
          <w:rFonts w:ascii="宋体" w:hAnsi="宋体"/>
          <w:sz w:val="21"/>
          <w:szCs w:val="21"/>
        </w:rPr>
        <w:t>为保证采购人系统管理员对系统的软件配置及安装过程的熟悉，系统管理员可在系统安装时参与系统安装，并进行实际的安装培训；</w:t>
      </w:r>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2</w:t>
      </w:r>
      <w:r>
        <w:rPr>
          <w:rStyle w:val="43"/>
          <w:rFonts w:hint="eastAsia" w:ascii="宋体" w:hAnsi="宋体"/>
          <w:sz w:val="21"/>
          <w:szCs w:val="21"/>
        </w:rPr>
        <w:t>）</w:t>
      </w:r>
      <w:r>
        <w:rPr>
          <w:rStyle w:val="43"/>
          <w:rFonts w:ascii="宋体" w:hAnsi="宋体"/>
          <w:sz w:val="21"/>
          <w:szCs w:val="21"/>
        </w:rPr>
        <w:t>系统管理培训</w:t>
      </w:r>
    </w:p>
    <w:p>
      <w:pPr>
        <w:spacing w:line="460" w:lineRule="exact"/>
        <w:ind w:firstLine="420"/>
        <w:rPr>
          <w:rStyle w:val="43"/>
          <w:rFonts w:ascii="宋体" w:hAnsi="宋体"/>
          <w:sz w:val="21"/>
          <w:szCs w:val="21"/>
        </w:rPr>
      </w:pPr>
      <w:r>
        <w:rPr>
          <w:rStyle w:val="43"/>
          <w:rFonts w:ascii="宋体" w:hAnsi="宋体"/>
          <w:sz w:val="21"/>
          <w:szCs w:val="21"/>
        </w:rPr>
        <w:t>在系统试运行后，对负责平台系统管理的操作人员进行统一的系统培训，熟悉系统的使用及维护；</w:t>
      </w:r>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3</w:t>
      </w:r>
      <w:r>
        <w:rPr>
          <w:rStyle w:val="43"/>
          <w:rFonts w:hint="eastAsia" w:ascii="宋体" w:hAnsi="宋体"/>
          <w:sz w:val="21"/>
          <w:szCs w:val="21"/>
        </w:rPr>
        <w:t>）</w:t>
      </w:r>
      <w:r>
        <w:rPr>
          <w:rStyle w:val="43"/>
          <w:rFonts w:ascii="宋体" w:hAnsi="宋体"/>
          <w:sz w:val="21"/>
          <w:szCs w:val="21"/>
        </w:rPr>
        <w:t>系统维护培训</w:t>
      </w:r>
    </w:p>
    <w:p>
      <w:pPr>
        <w:spacing w:line="460" w:lineRule="exact"/>
        <w:ind w:firstLine="420"/>
        <w:rPr>
          <w:rStyle w:val="43"/>
          <w:rFonts w:ascii="宋体" w:hAnsi="宋体"/>
          <w:sz w:val="21"/>
          <w:szCs w:val="21"/>
        </w:rPr>
      </w:pPr>
      <w:r>
        <w:rPr>
          <w:rStyle w:val="43"/>
          <w:rFonts w:ascii="宋体" w:hAnsi="宋体"/>
          <w:sz w:val="21"/>
          <w:szCs w:val="21"/>
        </w:rPr>
        <w:t>为保证系统管理员对系统的熟练维护，在系统试运行后，对系统管理员进行整个系统的操作及内部的管理培训。</w:t>
      </w:r>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4</w:t>
      </w:r>
      <w:r>
        <w:rPr>
          <w:rStyle w:val="43"/>
          <w:rFonts w:hint="eastAsia" w:ascii="宋体" w:hAnsi="宋体"/>
          <w:sz w:val="21"/>
          <w:szCs w:val="21"/>
        </w:rPr>
        <w:t>）</w:t>
      </w:r>
      <w:r>
        <w:rPr>
          <w:rStyle w:val="43"/>
          <w:rFonts w:ascii="宋体" w:hAnsi="宋体"/>
          <w:sz w:val="21"/>
          <w:szCs w:val="21"/>
        </w:rPr>
        <w:t>使用操作培训</w:t>
      </w:r>
    </w:p>
    <w:p>
      <w:pPr>
        <w:spacing w:line="460" w:lineRule="exact"/>
        <w:ind w:firstLine="420"/>
        <w:rPr>
          <w:rStyle w:val="43"/>
          <w:rFonts w:ascii="宋体" w:hAnsi="宋体"/>
          <w:sz w:val="21"/>
          <w:szCs w:val="21"/>
        </w:rPr>
      </w:pPr>
      <w:r>
        <w:rPr>
          <w:rStyle w:val="43"/>
          <w:rFonts w:ascii="宋体" w:hAnsi="宋体"/>
          <w:sz w:val="21"/>
          <w:szCs w:val="21"/>
        </w:rPr>
        <w:t>为保证业务操作人员对系统的熟练操作，在系统试运行后，对业务操作人员进行系统的操作及内部的管理培训。</w:t>
      </w:r>
      <w:bookmarkStart w:id="311" w:name="_Toc307590008"/>
      <w:bookmarkEnd w:id="311"/>
      <w:bookmarkStart w:id="312" w:name="_Toc477428549"/>
      <w:bookmarkEnd w:id="312"/>
      <w:bookmarkStart w:id="313" w:name="_Toc329691301"/>
      <w:bookmarkEnd w:id="313"/>
      <w:bookmarkStart w:id="314" w:name="_Toc486943918"/>
      <w:bookmarkEnd w:id="314"/>
      <w:bookmarkStart w:id="315" w:name="_Toc329693210"/>
      <w:bookmarkEnd w:id="315"/>
      <w:bookmarkStart w:id="316" w:name="_Toc478198196"/>
      <w:bookmarkEnd w:id="316"/>
    </w:p>
    <w:p>
      <w:pPr>
        <w:spacing w:line="460" w:lineRule="exact"/>
        <w:ind w:firstLine="420"/>
        <w:rPr>
          <w:rStyle w:val="43"/>
          <w:rFonts w:ascii="宋体" w:hAnsi="宋体"/>
          <w:b/>
          <w:bCs/>
          <w:sz w:val="21"/>
          <w:szCs w:val="21"/>
        </w:rPr>
      </w:pPr>
      <w:bookmarkStart w:id="317" w:name="_Toc713375943"/>
      <w:r>
        <w:rPr>
          <w:rStyle w:val="43"/>
          <w:rFonts w:hint="eastAsia" w:ascii="宋体" w:hAnsi="宋体"/>
          <w:b/>
          <w:bCs/>
          <w:sz w:val="21"/>
          <w:szCs w:val="21"/>
        </w:rPr>
        <w:t>3、平台运营管理需求</w:t>
      </w:r>
      <w:bookmarkEnd w:id="317"/>
    </w:p>
    <w:p>
      <w:pPr>
        <w:spacing w:line="460" w:lineRule="exact"/>
        <w:ind w:firstLine="420"/>
        <w:rPr>
          <w:rStyle w:val="43"/>
          <w:rFonts w:ascii="宋体" w:hAnsi="宋体"/>
          <w:sz w:val="21"/>
          <w:szCs w:val="21"/>
        </w:rPr>
      </w:pPr>
      <w:r>
        <w:rPr>
          <w:rStyle w:val="43"/>
          <w:rFonts w:hint="eastAsia" w:ascii="宋体" w:hAnsi="宋体"/>
          <w:sz w:val="21"/>
          <w:szCs w:val="21"/>
        </w:rPr>
        <w:t>为嵊州厨电产业用户提供持续高效的工业互联网平台及应用服务，本项目成立运营中心（能力中心），运营内容包括：</w:t>
      </w:r>
    </w:p>
    <w:p>
      <w:pPr>
        <w:spacing w:line="460" w:lineRule="exact"/>
        <w:ind w:firstLine="420"/>
        <w:rPr>
          <w:rStyle w:val="43"/>
          <w:rFonts w:ascii="宋体" w:hAnsi="宋体"/>
          <w:sz w:val="21"/>
          <w:szCs w:val="21"/>
        </w:rPr>
      </w:pPr>
      <w:r>
        <w:rPr>
          <w:rStyle w:val="43"/>
          <w:rFonts w:hint="eastAsia" w:ascii="宋体" w:hAnsi="宋体"/>
          <w:sz w:val="21"/>
          <w:szCs w:val="21"/>
          <w:lang w:val="en-US" w:eastAsia="zh-CN"/>
        </w:rPr>
        <w:t>1）</w:t>
      </w:r>
      <w:r>
        <w:rPr>
          <w:rStyle w:val="43"/>
          <w:rFonts w:hint="eastAsia" w:ascii="宋体" w:hAnsi="宋体"/>
          <w:sz w:val="21"/>
          <w:szCs w:val="21"/>
        </w:rPr>
        <w:t>产业大脑能力中心的日常运营</w:t>
      </w:r>
    </w:p>
    <w:p>
      <w:pPr>
        <w:spacing w:line="460" w:lineRule="exact"/>
        <w:ind w:firstLine="420"/>
        <w:rPr>
          <w:rStyle w:val="43"/>
          <w:rFonts w:ascii="宋体" w:hAnsi="宋体"/>
          <w:sz w:val="21"/>
          <w:szCs w:val="21"/>
        </w:rPr>
      </w:pPr>
      <w:r>
        <w:rPr>
          <w:rStyle w:val="43"/>
          <w:rFonts w:hint="eastAsia" w:ascii="宋体" w:hAnsi="宋体"/>
          <w:sz w:val="21"/>
          <w:szCs w:val="21"/>
          <w:lang w:val="en-US" w:eastAsia="zh-CN"/>
        </w:rPr>
        <w:t>2）</w:t>
      </w:r>
      <w:r>
        <w:rPr>
          <w:rStyle w:val="43"/>
          <w:rFonts w:hint="eastAsia" w:ascii="宋体" w:hAnsi="宋体"/>
          <w:sz w:val="21"/>
          <w:szCs w:val="21"/>
        </w:rPr>
        <w:t>产业大脑数据管理与安全运营</w:t>
      </w:r>
    </w:p>
    <w:p>
      <w:pPr>
        <w:spacing w:line="460" w:lineRule="exact"/>
        <w:ind w:firstLine="420"/>
        <w:rPr>
          <w:rStyle w:val="43"/>
          <w:rFonts w:ascii="宋体" w:hAnsi="宋体"/>
          <w:sz w:val="21"/>
          <w:szCs w:val="21"/>
        </w:rPr>
      </w:pPr>
      <w:r>
        <w:rPr>
          <w:rStyle w:val="43"/>
          <w:rFonts w:hint="eastAsia" w:ascii="宋体" w:hAnsi="宋体"/>
          <w:sz w:val="21"/>
          <w:szCs w:val="21"/>
          <w:lang w:val="en-US" w:eastAsia="zh-CN"/>
        </w:rPr>
        <w:t>3）</w:t>
      </w:r>
      <w:r>
        <w:rPr>
          <w:rStyle w:val="43"/>
          <w:rFonts w:hint="eastAsia" w:ascii="宋体" w:hAnsi="宋体"/>
          <w:sz w:val="21"/>
          <w:szCs w:val="21"/>
        </w:rPr>
        <w:t xml:space="preserve">中小企业数字化改造县域试点支持   </w:t>
      </w:r>
    </w:p>
    <w:p>
      <w:pPr>
        <w:spacing w:line="460" w:lineRule="exact"/>
        <w:ind w:firstLine="420"/>
        <w:rPr>
          <w:rStyle w:val="43"/>
          <w:rFonts w:ascii="宋体" w:hAnsi="宋体"/>
          <w:sz w:val="21"/>
          <w:szCs w:val="21"/>
        </w:rPr>
      </w:pPr>
      <w:r>
        <w:rPr>
          <w:rStyle w:val="43"/>
          <w:rFonts w:hint="eastAsia" w:ascii="宋体" w:hAnsi="宋体"/>
          <w:sz w:val="21"/>
          <w:szCs w:val="21"/>
        </w:rPr>
        <w:t>本项目建设运营中心（能力中心）所需配套，详见附录</w:t>
      </w:r>
      <w:r>
        <w:rPr>
          <w:rStyle w:val="43"/>
          <w:rFonts w:ascii="宋体" w:hAnsi="宋体"/>
          <w:sz w:val="21"/>
          <w:szCs w:val="21"/>
        </w:rPr>
        <w:t>3</w:t>
      </w:r>
      <w:r>
        <w:rPr>
          <w:rStyle w:val="43"/>
          <w:rFonts w:hint="eastAsia" w:ascii="宋体" w:hAnsi="宋体"/>
          <w:sz w:val="21"/>
          <w:szCs w:val="21"/>
        </w:rPr>
        <w:t>：运营中心（能力中心）建设配套设备需求清单。</w:t>
      </w:r>
      <w:r>
        <w:rPr>
          <w:rStyle w:val="43"/>
          <w:rFonts w:hint="eastAsia" w:ascii="宋体" w:hAnsi="宋体"/>
          <w:sz w:val="21"/>
          <w:szCs w:val="21"/>
          <w:lang w:val="en-US" w:eastAsia="zh-CN"/>
        </w:rPr>
        <w:t>注：运营中心选址暂定科创中心老楼5楼。</w:t>
      </w:r>
      <w:r>
        <w:rPr>
          <w:rStyle w:val="43"/>
          <w:rFonts w:hint="eastAsia" w:ascii="宋体" w:hAnsi="宋体"/>
          <w:sz w:val="21"/>
          <w:szCs w:val="21"/>
        </w:rPr>
        <w:t xml:space="preserve">         </w:t>
      </w:r>
    </w:p>
    <w:p>
      <w:pPr>
        <w:spacing w:line="460" w:lineRule="exact"/>
        <w:ind w:firstLine="420"/>
        <w:rPr>
          <w:rStyle w:val="43"/>
          <w:rFonts w:ascii="宋体" w:hAnsi="宋体"/>
          <w:b/>
          <w:bCs/>
          <w:sz w:val="21"/>
          <w:szCs w:val="21"/>
        </w:rPr>
      </w:pPr>
      <w:bookmarkStart w:id="318" w:name="_Toc308272800"/>
      <w:r>
        <w:rPr>
          <w:rStyle w:val="43"/>
          <w:rFonts w:hint="eastAsia" w:ascii="宋体" w:hAnsi="宋体"/>
          <w:b/>
          <w:bCs/>
          <w:sz w:val="21"/>
          <w:szCs w:val="21"/>
        </w:rPr>
        <w:t>3.1运营中心能力中心的日常运营</w:t>
      </w:r>
      <w:bookmarkEnd w:id="318"/>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1</w:t>
      </w:r>
      <w:r>
        <w:rPr>
          <w:rStyle w:val="43"/>
          <w:rFonts w:hint="eastAsia" w:ascii="宋体" w:hAnsi="宋体"/>
          <w:sz w:val="21"/>
          <w:szCs w:val="21"/>
        </w:rPr>
        <w:t>）运营内容</w:t>
      </w:r>
    </w:p>
    <w:p>
      <w:pPr>
        <w:spacing w:line="460" w:lineRule="exact"/>
        <w:ind w:firstLine="420"/>
        <w:rPr>
          <w:rStyle w:val="43"/>
          <w:rFonts w:ascii="宋体" w:hAnsi="宋体"/>
          <w:sz w:val="21"/>
          <w:szCs w:val="21"/>
        </w:rPr>
      </w:pPr>
      <w:r>
        <w:rPr>
          <w:rStyle w:val="43"/>
          <w:rFonts w:hint="eastAsia" w:ascii="宋体" w:hAnsi="宋体"/>
          <w:sz w:val="21"/>
          <w:szCs w:val="21"/>
        </w:rPr>
        <w:t>为厨电行业提供企业数字化转型的高质量服务：定期为企业提供智能化诊断和咨询服务；定期开展企业应用软件开发、应用培训，培养本地企业数字化应用人才；定期进行企业智能制造、数字化应用培训，提升企业智能化、信息化相关应用水平；定期开展企业与供应商的供需对接、推广应用、技术研讨等活动；平台生态拓展，引进相关平台应用提供商、专家，更好地为本地企业服务等。</w:t>
      </w:r>
    </w:p>
    <w:p>
      <w:pPr>
        <w:spacing w:line="460" w:lineRule="exact"/>
        <w:ind w:firstLine="420"/>
        <w:rPr>
          <w:rStyle w:val="43"/>
          <w:rFonts w:ascii="宋体" w:hAnsi="宋体"/>
          <w:sz w:val="21"/>
          <w:szCs w:val="21"/>
        </w:rPr>
      </w:pPr>
      <w:r>
        <w:rPr>
          <w:rStyle w:val="43"/>
          <w:rFonts w:hint="eastAsia" w:ascii="宋体" w:hAnsi="宋体"/>
          <w:sz w:val="21"/>
          <w:szCs w:val="21"/>
        </w:rPr>
        <w:t>能力中心对外展示、接待工作：包括政府外部宣传及参观接待，展现产业大脑建设成果、区域产业发展成果等。</w:t>
      </w:r>
    </w:p>
    <w:p>
      <w:pPr>
        <w:spacing w:line="460" w:lineRule="exact"/>
        <w:ind w:firstLine="420"/>
        <w:rPr>
          <w:rStyle w:val="43"/>
          <w:rFonts w:ascii="宋体" w:hAnsi="宋体"/>
          <w:sz w:val="21"/>
          <w:szCs w:val="21"/>
        </w:rPr>
      </w:pPr>
      <w:r>
        <w:rPr>
          <w:rStyle w:val="43"/>
          <w:rFonts w:hint="eastAsia" w:ascii="宋体" w:hAnsi="宋体"/>
          <w:sz w:val="21"/>
          <w:szCs w:val="21"/>
        </w:rPr>
        <w:t>能力中心的后勤工作：包括设备维护、水电管理、卫生清洁等。</w:t>
      </w:r>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2</w:t>
      </w:r>
      <w:r>
        <w:rPr>
          <w:rStyle w:val="43"/>
          <w:rFonts w:hint="eastAsia" w:ascii="宋体" w:hAnsi="宋体"/>
          <w:sz w:val="21"/>
          <w:szCs w:val="21"/>
        </w:rPr>
        <w:t>）运营团队配置</w:t>
      </w:r>
    </w:p>
    <w:p>
      <w:pPr>
        <w:spacing w:line="460" w:lineRule="exact"/>
        <w:ind w:firstLine="420"/>
        <w:rPr>
          <w:rStyle w:val="43"/>
          <w:rFonts w:ascii="宋体" w:hAnsi="宋体"/>
          <w:sz w:val="21"/>
          <w:szCs w:val="21"/>
        </w:rPr>
      </w:pPr>
      <w:r>
        <w:rPr>
          <w:rStyle w:val="43"/>
          <w:rFonts w:hint="eastAsia" w:ascii="宋体" w:hAnsi="宋体"/>
          <w:sz w:val="21"/>
          <w:szCs w:val="21"/>
        </w:rPr>
        <w:t>配备本地运营人员不少于8人，覆盖日常运营、参观接待、企业应用推广、数字化诊断、活动组织策划、生态对接、资源对接等能力，促进平台良性发展。主要人员包括：</w:t>
      </w:r>
    </w:p>
    <w:p>
      <w:pPr>
        <w:spacing w:line="460" w:lineRule="exact"/>
        <w:ind w:firstLine="420"/>
        <w:rPr>
          <w:rStyle w:val="43"/>
          <w:rFonts w:ascii="宋体" w:hAnsi="宋体"/>
          <w:sz w:val="21"/>
          <w:szCs w:val="21"/>
        </w:rPr>
      </w:pPr>
      <w:r>
        <w:rPr>
          <w:rStyle w:val="43"/>
          <w:rFonts w:hint="eastAsia" w:ascii="宋体" w:hAnsi="宋体"/>
          <w:sz w:val="21"/>
          <w:szCs w:val="21"/>
        </w:rPr>
        <w:t>运营经理1名：具备企业数字化、智能制造从业经验、有平台运营经验，具备较高的沟通交流、市场推广、团队管理能力，统筹整体运营工作。</w:t>
      </w:r>
    </w:p>
    <w:p>
      <w:pPr>
        <w:spacing w:line="460" w:lineRule="exact"/>
        <w:ind w:firstLine="420"/>
        <w:rPr>
          <w:rStyle w:val="43"/>
          <w:rFonts w:ascii="宋体" w:hAnsi="宋体"/>
          <w:sz w:val="21"/>
          <w:szCs w:val="21"/>
        </w:rPr>
      </w:pPr>
      <w:r>
        <w:rPr>
          <w:rStyle w:val="43"/>
          <w:rFonts w:hint="eastAsia" w:ascii="宋体" w:hAnsi="宋体"/>
          <w:sz w:val="21"/>
          <w:szCs w:val="21"/>
        </w:rPr>
        <w:t>高级顾问2名：具备智能制造、企业数字化应用服务、企业应用选型服务、生态对接、企业需求对接等能力。</w:t>
      </w:r>
    </w:p>
    <w:p>
      <w:pPr>
        <w:spacing w:line="460" w:lineRule="exact"/>
        <w:ind w:firstLine="420"/>
        <w:rPr>
          <w:rStyle w:val="43"/>
          <w:rFonts w:ascii="宋体" w:hAnsi="宋体"/>
          <w:sz w:val="21"/>
          <w:szCs w:val="21"/>
        </w:rPr>
      </w:pPr>
      <w:r>
        <w:rPr>
          <w:rStyle w:val="43"/>
          <w:rFonts w:hint="eastAsia" w:ascii="宋体" w:hAnsi="宋体"/>
          <w:sz w:val="21"/>
          <w:szCs w:val="21"/>
        </w:rPr>
        <w:t>服务顾问5名：具备智能制造、企业数字化应用服务、企业应用选型服务、生态对接、企业需求对接等能力。</w:t>
      </w:r>
    </w:p>
    <w:p>
      <w:pPr>
        <w:spacing w:line="460" w:lineRule="exact"/>
        <w:ind w:firstLine="420"/>
        <w:rPr>
          <w:rStyle w:val="43"/>
          <w:rFonts w:ascii="宋体" w:hAnsi="宋体"/>
          <w:b/>
          <w:bCs/>
          <w:sz w:val="21"/>
          <w:szCs w:val="21"/>
        </w:rPr>
      </w:pPr>
      <w:bookmarkStart w:id="319" w:name="_Toc1410393036"/>
      <w:bookmarkStart w:id="320" w:name="_Toc117256096"/>
      <w:r>
        <w:rPr>
          <w:rStyle w:val="43"/>
          <w:rFonts w:hint="eastAsia" w:ascii="宋体" w:hAnsi="宋体"/>
          <w:b/>
          <w:bCs/>
          <w:sz w:val="21"/>
          <w:szCs w:val="21"/>
        </w:rPr>
        <w:t>3.2产业大脑数据管理与安全运营</w:t>
      </w:r>
      <w:bookmarkEnd w:id="319"/>
      <w:bookmarkEnd w:id="320"/>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1</w:t>
      </w:r>
      <w:r>
        <w:rPr>
          <w:rStyle w:val="43"/>
          <w:rFonts w:hint="eastAsia" w:ascii="宋体" w:hAnsi="宋体"/>
          <w:sz w:val="21"/>
          <w:szCs w:val="21"/>
        </w:rPr>
        <w:t>）运营内容</w:t>
      </w:r>
    </w:p>
    <w:p>
      <w:pPr>
        <w:spacing w:line="460" w:lineRule="exact"/>
        <w:ind w:firstLine="420"/>
        <w:rPr>
          <w:rStyle w:val="43"/>
          <w:rFonts w:ascii="宋体" w:hAnsi="宋体"/>
          <w:sz w:val="21"/>
          <w:szCs w:val="21"/>
        </w:rPr>
      </w:pPr>
      <w:r>
        <w:rPr>
          <w:rStyle w:val="43"/>
          <w:rFonts w:hint="eastAsia" w:ascii="宋体" w:hAnsi="宋体"/>
          <w:sz w:val="21"/>
          <w:szCs w:val="21"/>
        </w:rPr>
        <w:t>承担产业大脑数据权限管理职责，加强对产业大脑数据的采集、传输、存储、处理、共享和销毁全流程管理，依法依规建立分类分级管理制度，在合规基础上激活数据要素价值。</w:t>
      </w:r>
    </w:p>
    <w:p>
      <w:pPr>
        <w:spacing w:line="460" w:lineRule="exact"/>
        <w:ind w:firstLine="420"/>
        <w:rPr>
          <w:rStyle w:val="43"/>
          <w:rFonts w:ascii="宋体" w:hAnsi="宋体"/>
          <w:sz w:val="21"/>
          <w:szCs w:val="21"/>
        </w:rPr>
      </w:pPr>
      <w:r>
        <w:rPr>
          <w:rStyle w:val="43"/>
          <w:rFonts w:hint="eastAsia" w:ascii="宋体" w:hAnsi="宋体"/>
          <w:sz w:val="21"/>
          <w:szCs w:val="21"/>
        </w:rPr>
        <w:t>更新、维护各类应用的数据，尤其是供应链集采接口数据，以及政府应用数据，能更有效帮助企业降低成本、更准确辅助政府决策。</w:t>
      </w:r>
    </w:p>
    <w:p>
      <w:pPr>
        <w:spacing w:line="460" w:lineRule="exact"/>
        <w:ind w:firstLine="420"/>
        <w:rPr>
          <w:rStyle w:val="43"/>
          <w:rFonts w:ascii="宋体" w:hAnsi="宋体"/>
          <w:sz w:val="21"/>
          <w:szCs w:val="21"/>
        </w:rPr>
      </w:pPr>
      <w:r>
        <w:rPr>
          <w:rStyle w:val="43"/>
          <w:rFonts w:hint="eastAsia" w:ascii="宋体" w:hAnsi="宋体"/>
          <w:sz w:val="21"/>
          <w:szCs w:val="21"/>
        </w:rPr>
        <w:t>承担产业大脑安全管理职责，包括：网络环境安全、访问环境安全、计算环境安全和管理行为安全。</w:t>
      </w:r>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2</w:t>
      </w:r>
      <w:r>
        <w:rPr>
          <w:rStyle w:val="43"/>
          <w:rFonts w:hint="eastAsia" w:ascii="宋体" w:hAnsi="宋体"/>
          <w:sz w:val="21"/>
          <w:szCs w:val="21"/>
        </w:rPr>
        <w:t>）运营团队配置</w:t>
      </w:r>
    </w:p>
    <w:p>
      <w:pPr>
        <w:spacing w:line="460" w:lineRule="exact"/>
        <w:ind w:firstLine="420"/>
        <w:rPr>
          <w:rStyle w:val="43"/>
          <w:rFonts w:ascii="宋体" w:hAnsi="宋体"/>
          <w:sz w:val="21"/>
          <w:szCs w:val="21"/>
        </w:rPr>
      </w:pPr>
      <w:r>
        <w:rPr>
          <w:rStyle w:val="43"/>
          <w:rFonts w:hint="eastAsia" w:ascii="宋体" w:hAnsi="宋体"/>
          <w:sz w:val="21"/>
          <w:szCs w:val="21"/>
        </w:rPr>
        <w:t>配备本地运营人员5人。</w:t>
      </w:r>
    </w:p>
    <w:p>
      <w:pPr>
        <w:spacing w:line="460" w:lineRule="exact"/>
        <w:ind w:firstLine="420"/>
        <w:rPr>
          <w:rStyle w:val="43"/>
          <w:rFonts w:ascii="宋体" w:hAnsi="宋体"/>
          <w:b/>
          <w:bCs/>
          <w:sz w:val="21"/>
          <w:szCs w:val="21"/>
        </w:rPr>
      </w:pPr>
      <w:bookmarkStart w:id="321" w:name="_Toc551260466"/>
      <w:bookmarkStart w:id="322" w:name="_Toc117256097"/>
      <w:r>
        <w:rPr>
          <w:rStyle w:val="43"/>
          <w:rFonts w:hint="eastAsia" w:ascii="宋体" w:hAnsi="宋体"/>
          <w:b/>
          <w:bCs/>
          <w:sz w:val="21"/>
          <w:szCs w:val="21"/>
        </w:rPr>
        <w:t>3.3中小企业数字化改造县域试点支持</w:t>
      </w:r>
      <w:bookmarkEnd w:id="321"/>
      <w:bookmarkEnd w:id="322"/>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1</w:t>
      </w:r>
      <w:r>
        <w:rPr>
          <w:rStyle w:val="43"/>
          <w:rFonts w:hint="eastAsia" w:ascii="宋体" w:hAnsi="宋体"/>
          <w:sz w:val="21"/>
          <w:szCs w:val="21"/>
        </w:rPr>
        <w:t>）运营内容</w:t>
      </w:r>
    </w:p>
    <w:p>
      <w:pPr>
        <w:spacing w:line="460" w:lineRule="exact"/>
        <w:ind w:firstLine="420"/>
        <w:rPr>
          <w:rStyle w:val="43"/>
          <w:rFonts w:ascii="宋体" w:hAnsi="宋体"/>
          <w:sz w:val="21"/>
          <w:szCs w:val="21"/>
        </w:rPr>
      </w:pPr>
      <w:r>
        <w:rPr>
          <w:rStyle w:val="43"/>
          <w:rFonts w:hint="eastAsia" w:ascii="宋体" w:hAnsi="宋体"/>
          <w:sz w:val="21"/>
          <w:szCs w:val="21"/>
        </w:rPr>
        <w:t>配合政府完成厨电行业中小企业数字化改造县域试点工作的宣传、活动组织。</w:t>
      </w:r>
    </w:p>
    <w:p>
      <w:pPr>
        <w:spacing w:line="460" w:lineRule="exact"/>
        <w:ind w:firstLine="420"/>
        <w:rPr>
          <w:rStyle w:val="43"/>
          <w:rFonts w:ascii="宋体" w:hAnsi="宋体"/>
          <w:sz w:val="21"/>
          <w:szCs w:val="21"/>
        </w:rPr>
      </w:pPr>
      <w:r>
        <w:rPr>
          <w:rStyle w:val="43"/>
          <w:rFonts w:hint="eastAsia" w:ascii="宋体" w:hAnsi="宋体"/>
          <w:sz w:val="21"/>
          <w:szCs w:val="21"/>
        </w:rPr>
        <w:t>（</w:t>
      </w:r>
      <w:r>
        <w:rPr>
          <w:rStyle w:val="43"/>
          <w:rFonts w:ascii="宋体" w:hAnsi="宋体"/>
          <w:sz w:val="21"/>
          <w:szCs w:val="21"/>
        </w:rPr>
        <w:t>2</w:t>
      </w:r>
      <w:r>
        <w:rPr>
          <w:rStyle w:val="43"/>
          <w:rFonts w:hint="eastAsia" w:ascii="宋体" w:hAnsi="宋体"/>
          <w:sz w:val="21"/>
          <w:szCs w:val="21"/>
        </w:rPr>
        <w:t>）运营团队配置</w:t>
      </w:r>
    </w:p>
    <w:p>
      <w:pPr>
        <w:spacing w:line="460" w:lineRule="exact"/>
        <w:ind w:firstLine="420"/>
        <w:rPr>
          <w:rStyle w:val="43"/>
          <w:rFonts w:ascii="宋体" w:hAnsi="宋体"/>
          <w:sz w:val="21"/>
          <w:szCs w:val="21"/>
        </w:rPr>
      </w:pPr>
      <w:r>
        <w:rPr>
          <w:rStyle w:val="43"/>
          <w:rFonts w:hint="eastAsia" w:ascii="宋体" w:hAnsi="宋体"/>
          <w:sz w:val="21"/>
          <w:szCs w:val="21"/>
        </w:rPr>
        <w:t>配备运营人员1名，具备宣传材料编制、智造现场会等活动的组织策划经验与能力。</w:t>
      </w:r>
    </w:p>
    <w:p>
      <w:pPr>
        <w:spacing w:line="460" w:lineRule="exact"/>
        <w:ind w:firstLine="420"/>
        <w:rPr>
          <w:rStyle w:val="43"/>
          <w:rFonts w:ascii="宋体" w:hAnsi="宋体"/>
          <w:b/>
          <w:bCs/>
          <w:sz w:val="21"/>
          <w:szCs w:val="21"/>
        </w:rPr>
      </w:pPr>
      <w:bookmarkStart w:id="323" w:name="_Toc246415348"/>
      <w:bookmarkStart w:id="324" w:name="_Toc211307654"/>
      <w:bookmarkStart w:id="325" w:name="_Toc790198904"/>
      <w:bookmarkStart w:id="326" w:name="_Toc187655913"/>
      <w:bookmarkStart w:id="327" w:name="_Toc246436143"/>
      <w:bookmarkStart w:id="328" w:name="_Toc327797339"/>
      <w:bookmarkStart w:id="329" w:name="_Toc391043787"/>
      <w:bookmarkStart w:id="330" w:name="_Toc246434837"/>
      <w:bookmarkStart w:id="331" w:name="_Toc246735267"/>
      <w:bookmarkStart w:id="332" w:name="_Toc49437308"/>
      <w:bookmarkStart w:id="333" w:name="_Toc297757161"/>
      <w:bookmarkStart w:id="334" w:name="_Toc399342370"/>
      <w:r>
        <w:rPr>
          <w:rStyle w:val="43"/>
          <w:rFonts w:hint="eastAsia" w:ascii="宋体" w:hAnsi="宋体"/>
          <w:b/>
          <w:bCs/>
          <w:sz w:val="21"/>
          <w:szCs w:val="21"/>
        </w:rPr>
        <w:t>4、</w:t>
      </w:r>
      <w:r>
        <w:rPr>
          <w:rStyle w:val="43"/>
          <w:rFonts w:ascii="宋体" w:hAnsi="宋体"/>
          <w:b/>
          <w:bCs/>
          <w:sz w:val="21"/>
          <w:szCs w:val="21"/>
        </w:rPr>
        <w:t>知识产权与保密要求</w:t>
      </w:r>
      <w:bookmarkEnd w:id="140"/>
      <w:bookmarkEnd w:id="141"/>
      <w:bookmarkEnd w:id="142"/>
      <w:bookmarkEnd w:id="143"/>
      <w:bookmarkEnd w:id="144"/>
      <w:bookmarkEnd w:id="323"/>
      <w:bookmarkEnd w:id="324"/>
      <w:bookmarkEnd w:id="325"/>
      <w:bookmarkEnd w:id="326"/>
      <w:bookmarkEnd w:id="327"/>
      <w:bookmarkEnd w:id="328"/>
      <w:bookmarkEnd w:id="329"/>
      <w:bookmarkEnd w:id="330"/>
      <w:bookmarkEnd w:id="331"/>
      <w:bookmarkEnd w:id="332"/>
      <w:bookmarkEnd w:id="333"/>
      <w:bookmarkEnd w:id="334"/>
    </w:p>
    <w:p>
      <w:pPr>
        <w:spacing w:line="460" w:lineRule="exact"/>
        <w:ind w:firstLine="420"/>
        <w:rPr>
          <w:rStyle w:val="43"/>
          <w:rFonts w:ascii="宋体" w:hAnsi="宋体"/>
          <w:sz w:val="21"/>
          <w:szCs w:val="21"/>
        </w:rPr>
      </w:pPr>
      <w:r>
        <w:rPr>
          <w:rStyle w:val="43"/>
          <w:rFonts w:ascii="宋体" w:hAnsi="宋体"/>
          <w:sz w:val="21"/>
          <w:szCs w:val="21"/>
        </w:rPr>
        <w:t>对在本项目下由采购人向投标人提供的技术规范、技术标准的知识产权归采购人拥有（其中，本项目实施之前的国际和国内标准以及已经声明的第三方知识产权除外）。投标人依据采购人拥有知识产权的技术规范、技术标准和要求开发的所有软件、形成的技术文档及软件的任何数据或程序的知识产权归采购人所有，包括并不限于软件源代码（包含与本项目有依赖关系的基线版本的代码）及相关文档资料。</w:t>
      </w:r>
    </w:p>
    <w:p>
      <w:pPr>
        <w:spacing w:line="460" w:lineRule="exact"/>
        <w:ind w:firstLine="420"/>
        <w:rPr>
          <w:rStyle w:val="43"/>
          <w:rFonts w:ascii="宋体" w:hAnsi="宋体"/>
          <w:sz w:val="21"/>
          <w:szCs w:val="21"/>
        </w:rPr>
      </w:pPr>
      <w:r>
        <w:rPr>
          <w:rStyle w:val="43"/>
          <w:rFonts w:ascii="宋体" w:hAnsi="宋体"/>
          <w:sz w:val="21"/>
          <w:szCs w:val="21"/>
        </w:rPr>
        <w:t>未经采购人书面许可，潜在投标人不得以任何形式向第三方透露本项目成果和技术细节。若出现潜在投标人向任何第三方（非本项目相关第三方）提供本项目涉及信息等泄密情况，一经确认，投标人将承担一切经济责任，同时采购人可解除投标人参与本项目的资格，追究相关法律责任。</w:t>
      </w:r>
    </w:p>
    <w:p>
      <w:pPr>
        <w:spacing w:line="460" w:lineRule="exact"/>
        <w:ind w:firstLine="420"/>
        <w:rPr>
          <w:rStyle w:val="43"/>
          <w:rFonts w:ascii="宋体" w:hAnsi="宋体"/>
          <w:b/>
          <w:bCs/>
          <w:sz w:val="21"/>
          <w:szCs w:val="21"/>
        </w:rPr>
      </w:pPr>
      <w:bookmarkStart w:id="335" w:name="_Toc834106480"/>
      <w:bookmarkStart w:id="336" w:name="_Toc49437309"/>
      <w:r>
        <w:rPr>
          <w:rStyle w:val="43"/>
          <w:rFonts w:hint="eastAsia" w:ascii="宋体" w:hAnsi="宋体"/>
          <w:b/>
          <w:bCs/>
          <w:sz w:val="21"/>
          <w:szCs w:val="21"/>
        </w:rPr>
        <w:t>5、不可偏离项</w:t>
      </w:r>
      <w:bookmarkEnd w:id="335"/>
      <w:bookmarkEnd w:id="336"/>
    </w:p>
    <w:p>
      <w:pPr>
        <w:spacing w:line="460" w:lineRule="exact"/>
        <w:ind w:firstLine="420"/>
        <w:rPr>
          <w:rStyle w:val="43"/>
          <w:rFonts w:ascii="宋体" w:hAnsi="宋体"/>
          <w:sz w:val="21"/>
          <w:szCs w:val="21"/>
        </w:rPr>
      </w:pPr>
      <w:r>
        <w:rPr>
          <w:rStyle w:val="43"/>
          <w:rFonts w:hint="eastAsia" w:ascii="宋体" w:hAnsi="宋体"/>
          <w:sz w:val="21"/>
          <w:szCs w:val="21"/>
        </w:rPr>
        <w:t>★至少具备在某个工业领域的工业互联网平台实施经验，需要提供合同证明材料、包含但不限于合同首页、合同工作范围、A</w:t>
      </w:r>
      <w:r>
        <w:rPr>
          <w:rStyle w:val="43"/>
          <w:rFonts w:ascii="宋体" w:hAnsi="宋体"/>
          <w:sz w:val="21"/>
          <w:szCs w:val="21"/>
        </w:rPr>
        <w:t>PP</w:t>
      </w:r>
      <w:r>
        <w:rPr>
          <w:rStyle w:val="43"/>
          <w:rFonts w:hint="eastAsia" w:ascii="宋体" w:hAnsi="宋体"/>
          <w:sz w:val="21"/>
          <w:szCs w:val="21"/>
        </w:rPr>
        <w:t>截图、机理模型截图、算法模型截图等。</w:t>
      </w:r>
    </w:p>
    <w:p>
      <w:pPr>
        <w:spacing w:line="460" w:lineRule="exact"/>
        <w:ind w:firstLine="420"/>
        <w:rPr>
          <w:rStyle w:val="43"/>
          <w:rFonts w:ascii="宋体" w:hAnsi="宋体"/>
          <w:sz w:val="21"/>
          <w:szCs w:val="21"/>
        </w:rPr>
      </w:pPr>
      <w:r>
        <w:rPr>
          <w:rStyle w:val="43"/>
          <w:rFonts w:hint="eastAsia" w:ascii="宋体" w:hAnsi="宋体"/>
          <w:sz w:val="21"/>
          <w:szCs w:val="21"/>
        </w:rPr>
        <w:t>投标人向采购人提供的系统软件，需提供从最终验收完成后</w:t>
      </w:r>
      <w:r>
        <w:rPr>
          <w:rStyle w:val="43"/>
          <w:rFonts w:ascii="宋体" w:hAnsi="宋体"/>
          <w:sz w:val="21"/>
          <w:szCs w:val="21"/>
        </w:rPr>
        <w:t>1</w:t>
      </w:r>
      <w:r>
        <w:rPr>
          <w:rStyle w:val="43"/>
          <w:rFonts w:hint="eastAsia" w:ascii="宋体" w:hAnsi="宋体"/>
          <w:sz w:val="21"/>
          <w:szCs w:val="21"/>
        </w:rPr>
        <w:t>年内免费维保和技术支持服务。免费维保及技术服务内容包括但不限于：系统的日常问题处理、数据处理、BUG修正、功能优化、系统安装部署和调优等，如果系统发生故障，投标人要调查故障原因并修复直至满足最终验收指标和性能的要求。</w:t>
      </w:r>
    </w:p>
    <w:p>
      <w:pPr>
        <w:spacing w:line="460" w:lineRule="exact"/>
        <w:ind w:firstLine="420"/>
        <w:rPr>
          <w:rStyle w:val="43"/>
          <w:rFonts w:ascii="宋体" w:hAnsi="宋体"/>
          <w:b/>
          <w:bCs/>
          <w:sz w:val="21"/>
          <w:szCs w:val="21"/>
        </w:rPr>
      </w:pPr>
      <w:bookmarkStart w:id="337" w:name="_Toc49437310"/>
      <w:bookmarkStart w:id="338" w:name="_Toc54361744"/>
      <w:bookmarkStart w:id="339" w:name="_Toc413673475"/>
      <w:bookmarkStart w:id="340" w:name="_Toc433286522"/>
      <w:r>
        <w:rPr>
          <w:rStyle w:val="43"/>
          <w:rFonts w:hint="eastAsia" w:ascii="宋体" w:hAnsi="宋体"/>
          <w:b/>
          <w:bCs/>
          <w:sz w:val="21"/>
          <w:szCs w:val="21"/>
        </w:rPr>
        <w:t>6、</w:t>
      </w:r>
      <w:bookmarkEnd w:id="337"/>
      <w:bookmarkEnd w:id="338"/>
      <w:bookmarkEnd w:id="339"/>
      <w:bookmarkEnd w:id="340"/>
      <w:r>
        <w:rPr>
          <w:rStyle w:val="43"/>
          <w:rFonts w:hint="eastAsia" w:ascii="宋体" w:hAnsi="宋体"/>
          <w:b/>
          <w:bCs/>
          <w:sz w:val="21"/>
          <w:szCs w:val="21"/>
        </w:rPr>
        <w:t>运营中心（能力中心）建设配套设备需求清单</w:t>
      </w:r>
    </w:p>
    <w:p>
      <w:pPr>
        <w:spacing w:line="460" w:lineRule="exact"/>
        <w:ind w:firstLine="420"/>
        <w:rPr>
          <w:rStyle w:val="43"/>
          <w:rFonts w:ascii="宋体" w:hAnsi="宋体"/>
          <w:sz w:val="21"/>
          <w:szCs w:val="21"/>
        </w:rPr>
      </w:pPr>
    </w:p>
    <w:p>
      <w:pPr>
        <w:spacing w:line="460" w:lineRule="exact"/>
        <w:ind w:firstLine="420"/>
        <w:rPr>
          <w:rFonts w:ascii="宋体" w:hAnsi="宋体"/>
          <w:sz w:val="22"/>
          <w:szCs w:val="22"/>
        </w:rPr>
      </w:pPr>
      <w:r>
        <w:rPr>
          <w:rStyle w:val="43"/>
          <w:rFonts w:ascii="宋体" w:hAnsi="宋体"/>
          <w:sz w:val="21"/>
          <w:szCs w:val="21"/>
        </w:rPr>
        <w:br w:type="page"/>
      </w:r>
    </w:p>
    <w:p>
      <w:pPr>
        <w:rPr>
          <w:rFonts w:ascii="宋体" w:hAnsi="宋体"/>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560"/>
        <w:spacing w:line="360" w:lineRule="auto"/>
        <w:ind w:left="0" w:leftChars="0" w:firstLine="0" w:firstLineChars="0"/>
        <w:outlineLvl w:val="3"/>
        <w:rPr>
          <w:rFonts w:ascii="宋体" w:hAnsi="宋体"/>
          <w:b/>
          <w:szCs w:val="24"/>
        </w:rPr>
      </w:pPr>
      <w:bookmarkStart w:id="341" w:name="_Toc193711431"/>
      <w:r>
        <w:rPr>
          <w:rFonts w:hint="eastAsia" w:ascii="宋体" w:hAnsi="宋体"/>
          <w:b/>
          <w:szCs w:val="24"/>
        </w:rPr>
        <w:t>运营中心（能力中心）建设配套设备需求清单</w:t>
      </w:r>
      <w:bookmarkEnd w:id="341"/>
    </w:p>
    <w:tbl>
      <w:tblPr>
        <w:tblStyle w:val="26"/>
        <w:tblW w:w="5000" w:type="pct"/>
        <w:tblInd w:w="0" w:type="dxa"/>
        <w:tblLayout w:type="autofit"/>
        <w:tblCellMar>
          <w:top w:w="0" w:type="dxa"/>
          <w:left w:w="108" w:type="dxa"/>
          <w:bottom w:w="0" w:type="dxa"/>
          <w:right w:w="108" w:type="dxa"/>
        </w:tblCellMar>
      </w:tblPr>
      <w:tblGrid>
        <w:gridCol w:w="548"/>
        <w:gridCol w:w="573"/>
        <w:gridCol w:w="1875"/>
        <w:gridCol w:w="761"/>
        <w:gridCol w:w="1003"/>
        <w:gridCol w:w="1343"/>
        <w:gridCol w:w="7214"/>
        <w:gridCol w:w="430"/>
        <w:gridCol w:w="427"/>
      </w:tblGrid>
      <w:tr>
        <w:tblPrEx>
          <w:tblCellMar>
            <w:top w:w="0" w:type="dxa"/>
            <w:left w:w="108" w:type="dxa"/>
            <w:bottom w:w="0" w:type="dxa"/>
            <w:right w:w="108" w:type="dxa"/>
          </w:tblCellMar>
        </w:tblPrEx>
        <w:trPr>
          <w:trHeight w:val="336"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嵊州运营中心（能力中心）建设配套设备需求清单</w:t>
            </w:r>
          </w:p>
        </w:tc>
      </w:tr>
      <w:tr>
        <w:tblPrEx>
          <w:tblCellMar>
            <w:top w:w="0" w:type="dxa"/>
            <w:left w:w="108" w:type="dxa"/>
            <w:bottom w:w="0" w:type="dxa"/>
            <w:right w:w="108" w:type="dxa"/>
          </w:tblCellMar>
        </w:tblPrEx>
        <w:trPr>
          <w:trHeight w:val="335"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r>
      <w:tr>
        <w:tblPrEx>
          <w:tblCellMar>
            <w:top w:w="0" w:type="dxa"/>
            <w:left w:w="108" w:type="dxa"/>
            <w:bottom w:w="0" w:type="dxa"/>
            <w:right w:w="108" w:type="dxa"/>
          </w:tblCellMar>
        </w:tblPrEx>
        <w:trPr>
          <w:trHeight w:val="336" w:hRule="atLeast"/>
        </w:trPr>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空间</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区块</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功能描述</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b/>
                <w:bCs/>
                <w:color w:val="000000"/>
                <w:sz w:val="21"/>
                <w:szCs w:val="21"/>
              </w:rPr>
            </w:pPr>
            <w:r>
              <w:rPr>
                <w:rFonts w:hint="eastAsia" w:ascii="宋体" w:hAnsi="宋体" w:cs="宋体"/>
                <w:b/>
                <w:bCs/>
                <w:color w:val="000000"/>
                <w:kern w:val="0"/>
                <w:sz w:val="21"/>
                <w:szCs w:val="21"/>
              </w:rPr>
              <w:t>名称</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b/>
                <w:bCs/>
                <w:color w:val="000000"/>
                <w:kern w:val="0"/>
                <w:sz w:val="21"/>
                <w:szCs w:val="21"/>
                <w:lang w:eastAsia="zh-CN"/>
              </w:rPr>
            </w:pPr>
            <w:r>
              <w:rPr>
                <w:rFonts w:hint="eastAsia" w:ascii="宋体" w:hAnsi="宋体" w:cs="宋体"/>
                <w:b/>
                <w:bCs/>
                <w:color w:val="000000"/>
                <w:kern w:val="0"/>
                <w:sz w:val="21"/>
                <w:szCs w:val="21"/>
                <w:lang w:eastAsia="zh-CN"/>
              </w:rPr>
              <w:t>推荐</w:t>
            </w:r>
          </w:p>
          <w:p>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品牌</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型号</w:t>
            </w:r>
          </w:p>
        </w:tc>
        <w:tc>
          <w:tcPr>
            <w:tcW w:w="2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基本参数</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单位</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数量</w:t>
            </w:r>
          </w:p>
        </w:tc>
      </w:tr>
      <w:tr>
        <w:tblPrEx>
          <w:tblCellMar>
            <w:top w:w="0" w:type="dxa"/>
            <w:left w:w="108" w:type="dxa"/>
            <w:bottom w:w="0" w:type="dxa"/>
            <w:right w:w="108" w:type="dxa"/>
          </w:tblCellMar>
        </w:tblPrEx>
        <w:trPr>
          <w:trHeight w:val="335"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r>
      <w:tr>
        <w:tblPrEx>
          <w:tblCellMar>
            <w:top w:w="0" w:type="dxa"/>
            <w:left w:w="108" w:type="dxa"/>
            <w:bottom w:w="0" w:type="dxa"/>
            <w:right w:w="108" w:type="dxa"/>
          </w:tblCellMar>
        </w:tblPrEx>
        <w:trPr>
          <w:trHeight w:val="336" w:hRule="atLeast"/>
        </w:trPr>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产业大脑展示空间</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产业大脑能力展示区</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通过多媒体形式展示产业大脑相关政策、服务范围、服务能力、技术支撑等。</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显示设备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宇柯世纪/锐丽/海康威视</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YK-5500PJ</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1、名称：55寸1.7mm</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2、技术参数：含屏体所需支架及相关配件；</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尺寸：三星55寸A级原装面板、拼缝1.7mm；</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LED背光 屏幕比例：16:9 ；</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显示面积：1209.6(H)×680.4(V)；</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亮度：500cd/m2；</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显示分辨率：1920*1080；</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背光模式：LED可视角度：178度水平/垂直视角；</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外型尺寸（宽/高/厚）：1213.5mm*684.3mm；接口检查：应具有与产品标称相适应的数字输入接口；功能要求：应具有中文操作菜单；</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图像显示清晰度：1000TVL（HDMI）；</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亮度均匀性：≥75%；</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色彩还原能力：≥16.7M；</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像素缺陷允许范围：应无残影；</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亮度鉴别等级：≥11级；亮度试验：≥704cd/㎡</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对比度试验：≥4141:1</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泄露电流：应不大于0.02MA(AC峰值）；</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视频输入接口为：1个BNC、1个VGA、1个HDMI、1个DVI、视频输出接口为：1个BNC；</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色域覆盖率：屏幕尺寸≥101cm  ≥35.8%；</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网络服务器</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中科可控，符合信创要求</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W3335HA1</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1、名称：视频服务器，小型服务器，支持视频播放、视频软件的安装</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2、技术参数：中科可控W3335HA1 海光3250 8G 256G DVDRW 2G独显  23.8寸    </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扩声系统设备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音王，惠威，北极星ARCTIC</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H81W</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1、名称：音箱</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2、技术参数：二分频扬声器：8寸低音、1寸高音；阻抗8欧；高频控制：+/-3dB；灵敏度88dB；频率响应30Hz-20kHz；颜色：黑色箱体；体积（高X宽X深）：435x295x235mm。</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扩声系统设备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音王，惠威，北极星ARCTIC</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DSP800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1、名称：功放</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2、技术参数：2通道功放：立体声/并口/桥接单声道模式；</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输入灵敏度-0.775V和1.4V；</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电子平衡RCA和XLR输入；</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接线柱和输出的Speak on、高效风冷、电子平衡RCA和XLR输入；</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接线柱和输出的Speak on两电平控制、电源开关、电源指示灯和六个LED、用来指示信号的存在、剪辑和故障为每个通道防止短路、空载、开/关重击和射频干扰；</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灵敏度（全额定功率在8欧姆）0.775V或1.4V；</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信噪比（低于额定功率20Hz到20kHz，A加权）&gt;100分贝；</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总谐波失真（THD）（为20Hz-20kHz的)&lt;0.5%；</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互调失真（60Hz和7kHz的、在4：1的最大额定输出为-40分贝）=/&lt;0.35%，频率响应（1W时，为20Hz-20kHz的）0分贝，-1分贝，串音（低于额定功率）。</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软件</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定制，符合信创要求</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定制，符合信创要求</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1、名称：系统播放管理客户端</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2、技术参数：多媒体系统远程管理客户端：基本控制视频播放功能</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具备陌生系统IP、系统参数、显示参数、命令参数远程自动登记、配给功能，计算机应用系统故障检测、启动异常计时及信息反馈。</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数据自动接收、更新、备份，数据状态实施更新及损坏信息反馈，客户端本地数据属性只读、加密。</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产业大脑成果展示区</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通过大屏形式呈现区域产业大脑建设成果、产业地图等。</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显示设备沉浸式数字沙盘</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高科，利亚德，洲明</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G1.86</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1、名称：LED全彩显示屏</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m2</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25</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2、技术参数：像素构成：表贴三合一1515（1R1G1B）；</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点间距：1.86mm ；</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像素密度：288906 ；</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模组尺寸（W*H*D）：320×160×15mm；</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视角（水平、垂直）： H≥170°V≥150°；</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平整度：≤0.05mm ；</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白平衡亮度：≥800cd/㎡；</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亮度调节功能：0-100%亮度可调，屏幕亮度具有随环境照度的变化任意调整功能；</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换帧频率：60Hz；</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刷新频率：≥3840Hz ；</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最大对比度：≥5000:1；</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亮度均匀性：≥98%；</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色度均匀性：±0.003Cx，Cy之内；</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单点亮度校正：支持单点亮度校正功能；</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驱动方式：恒流驱动；</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稳定性：支持7*24H连续工作；</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泄漏电流：对地漏电流∶I（漏）≤3.5mA/㎡</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抗电强度：显示模组或LED显示屏应承受50Hz、1500VAC（交流有效值）的试验电压60S不发生绝缘击穿；</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蓝光安全：蓝光对皮肤和眼睛紫外线危害、宽波</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视频传输设备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卡莱特，利亚德，诺瓦</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E120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1、名称：控制系统</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2、技术参数：集成HUB75，无需再配转接板，更方便，成本更低；</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减少接插连接件，减少故障点，故障率更低；</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支持常规芯片实现高刷新、高灰度、高亮度；</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全新灰度引擎，低灰度表现更佳；</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细节处理更完美，可消除单元板设计引起的某行偏暗、低灰偏红、鬼影等细节问题；</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支持14bit精度的色度、亮度一体化逐点校正；</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支持所有常规芯片、PWM芯片和灯饰芯片；</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支持静态屏、1/2~1/64扫之间的任意扫描类型；</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支持任意抽点，支持数据偏移，可轻松实现各种异型屏、球形屏、创意显示屏；</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单卡支持16组RGB信号输出；</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支持超大带载面积，单卡带载128*512，256*256；</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先进设计，优质元器件，全自动高低温老化测试，零故障出厂；</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支持DC 3.3V~6V超宽工作电压，有效减弱电压波动带来的影响；</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视频控制设备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卡莱特，利亚德，诺瓦</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X16</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1、名称：LED视频（拼接）处理器1</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28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针对LED显示屏工程应用领域的专业级控制系统和视频处理设备，具备丰富的视频信号接口，支持SDI、HDMI、DVI等高清数字接口，多路信号间无缝切换；支持广播级缩放及多画面显示。具备6个千兆网口输出，单机可支持最宽8192像素，或最高8192像素的LED显示屏。同时，还具备一系列丰富实用的功能，可以实现灵活的屏幕控制和高品质的图像显示，在LED显示屏工程应用领域具有显著优势。</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支持丰富的数字信号接口，包括1路SDI，1路HDMI，2路DVI；</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最大输入分辨率1920*1200@60Hz，支持分辨率任意设置；</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最大带载390万像素，最宽可达8192点，或最高可达8192点；</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支持视频源任意切换，任意缩放；</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支持三画面显示，位置、大小可自由调节；</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支持HDCP1.4；</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双USB2.0高速通讯接口，用于电脑调试和主控间任意级联；支持亮度和色温调节；</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支持低亮高灰；</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扩声系统设备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音王，惠威，北极星ARCTIC</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H81W</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1、名称：音箱</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2、技术参数：二分频扬声器：8寸低音、1寸高音；阻抗8欧；高频控制：+/-3dB；灵敏度88dB；频率响应30Hz-20kHz；颜色：黑色箱体；体积（高X宽X深）：435x295x235mm。</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扩声系统设备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音王，惠威，北极星ARCTIC</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DSP800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1、名称：功放</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2、技术参数：2通道功放：立体声/并口/桥接单声道模式；</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输入灵敏度-0.775V和1.4V；</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电子平衡RCA和XLR输入；</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接线柱和输出的Speak on、高效风冷、电子平衡RCA和XLR输入；</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接线柱和输出的Speak on两电平控制、电源开关、电源指示灯和六个LED、用来指示信号的存在、剪辑和故障为每个通道防止短路、空载、开/关重击和射频干扰；</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灵敏度（全额定功率在8欧姆）0.775V或1.4V；</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信噪比（低于额定功率20Hz到20kHz，A加权）&gt;100分贝；</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总谐波失真（THD）（为20Hz-20kHz的)&lt;0.5%；</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互调失真（60Hz和7kHz的、在4：1的最大额定输出为-40分贝）=/&lt;0.35%，频率响应（1W时，为20Hz-20kHz的）0分贝，-1分贝，串音（低于额定功率）。</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软件</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定制，符合信创要求</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定制，符合信创要求</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1、名称：系统播放管理客户端</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2、技术参数：多媒体系统远程管理客户端：基本控制视频播放功能</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具备陌生系统IP、系统参数、显示参数、命令参数远程自动登记、配给功能，计算机应用系统故障检测、启动异常计时及信息反馈。</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数据自动接收、更新、备份，数据状态实施更新及损坏信息反馈，客户端本地数据属性只读、加密。</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1158"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典型服务场景展示区</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通过多媒体投影、滑轨屏等，展现产业大脑典型服务场景，如产业协同、集采集供等。</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55寸壁挂触控一体机</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宇柯世纪</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YK-LY5500HW</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55寸红外触控一体机，竖屏立式结构，WIN10系统,LED/550cd/m2/1080*1920/铝合金边框（颜色可按需定制）/红外触控（10点触控）/Intel 酷睿i7  8G  128G固态硬盘/采用专用工业级液晶屏，专为触摸设计；</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高亮度、高对比度、高清晰度，提升画面层次感；</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16.7M 色彩，真实再现画面的每一个细节；</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采用最新 3D 数字滤波和 3D 数字降噪技术，更好消除亮色、杂色干扰；</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5ms 快速响应时间，去除画面拖影，自动消除残影功能；</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178°宽视角,保证图像显示不变形，无失真；</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全金属机壳设计，防静电、防磁场、防干扰、无辐射；</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支持多种接口，支持VGA、HDMI、USB、LAN等接口；                      </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滑动轨道</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铝合金上轨道+下轨道，带滑轮滚动功能，移动轻巧方便，可任意延长</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米</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6</w:t>
            </w:r>
          </w:p>
        </w:tc>
      </w:tr>
      <w:tr>
        <w:tblPrEx>
          <w:tblCellMar>
            <w:top w:w="0" w:type="dxa"/>
            <w:left w:w="108" w:type="dxa"/>
            <w:bottom w:w="0" w:type="dxa"/>
            <w:right w:w="108" w:type="dxa"/>
          </w:tblCellMar>
        </w:tblPrEx>
        <w:trPr>
          <w:trHeight w:val="9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感应控制器</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标准RS232/RS485/TTL输出接口,尺寸:  L50×W42×H15mm ,方位角测量范围:360°,方位角精度: 1° 宽温工作:  -20℃～+70℃,DC 5V供电    </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r>
      <w:tr>
        <w:tblPrEx>
          <w:tblCellMar>
            <w:top w:w="0" w:type="dxa"/>
            <w:left w:w="108" w:type="dxa"/>
            <w:bottom w:w="0" w:type="dxa"/>
            <w:right w:w="108" w:type="dxa"/>
          </w:tblCellMar>
        </w:tblPrEx>
        <w:trPr>
          <w:trHeight w:val="31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伺服电机、编码器</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工业级伺服电机控制系统，通过计算触摸屏在滑轨上的运行距离，将感应信号传输给感应装置</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r>
      <w:tr>
        <w:tblPrEx>
          <w:tblCellMar>
            <w:top w:w="0" w:type="dxa"/>
            <w:left w:w="108" w:type="dxa"/>
            <w:bottom w:w="0" w:type="dxa"/>
            <w:right w:w="108" w:type="dxa"/>
          </w:tblCellMar>
        </w:tblPrEx>
        <w:trPr>
          <w:trHeight w:val="9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移动控制软件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控制电机转速，将数据传输给电脑，控制触摸屏移动；应用软件节点2、3级定制开发，根据实际应用搭建框架，定制节点2、3级菜单展示内容。</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r>
      <w:tr>
        <w:tblPrEx>
          <w:tblCellMar>
            <w:top w:w="0" w:type="dxa"/>
            <w:left w:w="108" w:type="dxa"/>
            <w:bottom w:w="0" w:type="dxa"/>
            <w:right w:w="108" w:type="dxa"/>
          </w:tblCellMar>
        </w:tblPrEx>
        <w:trPr>
          <w:trHeight w:val="9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滑轨屏互动软件</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控制电机转速，将数据传输给电脑，控制触摸屏移动；应用软件节点2、3级定制开发，根据实际应用搭建框架，定制节点2、3级菜单展示内容。</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视频控制设备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卡莱特，利亚德，诺瓦</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X6</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1、名称：LED视频（拼接）处理器1</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1754"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针对LED显示屏工程应用领域的专业级控制系统和视频处理设备，具备丰富的视频信号接口，支持SDI、HDMI、DVI等高清数字接口，多路信号间无缝切换；支持广播级缩放及多画面显示。具备6个千兆网口输出，单机可支持最宽8192像素，或最高8192像素的LED显示屏。同时，还具备一系列丰富实用的功能，可以实现灵活的屏幕控制和高品质的图像显示，在LED显示屏工程应用领域具有显著优势。</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支持丰富的数字信号接口，包括1路SDI，1路HDMI，2路DVI；</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最大输入分辨率1920*1200@60Hz，支持分辨率任意设置；</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最大带载390万像素，最宽可达8192点，或最高可达8192点；</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支持视频源任意切换，任意缩放；</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支持三画面显示，位置、大小可自由调节；</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支持HDCP1.4；</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双USB2.0高速通讯接口，用于电脑调试和主控间任意级联；支持亮度和色温调节；</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支持低亮高灰；</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扩声系统设备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音王，惠威，北极星ARCTIC</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H81W</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1、名称：音箱</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2、技术参数：二分频扬声器：8寸低音、1寸高音；阻抗8欧；高频控制：+/-3dB；灵敏度88dB；频率响应30Hz-20kHz；颜色：黑色箱体；体积（高X宽X深）：435x295x235mm。</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扩声系统设备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音王，惠威，北极星ARCTIC</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DSP800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1、名称：功放</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2、技术参数：2通道功放：立体声/并口/桥接单声道模式；</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输入灵敏度-0.775V和1.4V；</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电子平衡RCA和XLR输入；</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接线柱和输出的Speak on、高效风冷、电子平衡RCA和XLR输入；</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接线柱和输出的Speak on两电平控制、电源开关、电源指示灯和六个LED、用来指示信号的存在、剪辑和故障为每个通道防止短路、空载、开/关重击和射频干扰；</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灵敏度（全额定功率在8欧姆）0.775V或1.4V；</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信噪比（低于额定功率20Hz到20kHz，A加权）&gt;100分贝；</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总谐波失真（THD）（为20Hz-20kHz的)&lt;0.5%；</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互调失真（60Hz和7kHz的、在4：1的最大额定输出为-40分贝）=/&lt;0.35%，频率响应（1W时，为20Hz-20kHz的）0分贝，-1分贝，串音（低于额定功率）。</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显示设备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宇柯世纪/锐丽/海康威视</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YK-300B</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1、名称：播放器</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2、技术参数：8K高清、网络串口播放控制器</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60" w:hRule="atLeast"/>
        </w:trPr>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产业大脑体验空间</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典型方案与案例区</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通过多媒体投影或者滑轨屏的翻盖式呈现区域企业数字化服务过程中的典型案例与方案。如万事兴、兰特等。</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显示设备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宇柯世纪/锐丽/海康威视</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YK-LY7500HW</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1、名称：75寸触控一体机，为可触控的中控一体机，简称触控一体机，通过触摸屏幕的方式就可以对终端设备进行控制，人机交互操作简单易行</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6</w:t>
            </w:r>
          </w:p>
        </w:tc>
      </w:tr>
      <w:tr>
        <w:tblPrEx>
          <w:tblCellMar>
            <w:top w:w="0" w:type="dxa"/>
            <w:left w:w="108" w:type="dxa"/>
            <w:bottom w:w="0" w:type="dxa"/>
            <w:right w:w="108" w:type="dxa"/>
          </w:tblCellMar>
        </w:tblPrEx>
        <w:trPr>
          <w:trHeight w:val="24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2、技术参数：75寸中控一体机，支持中控播放控制，尺寸：1866.3mm*1150.2*84.5mm；WIN10系统,LED/550cd/m2/1920*1080/铝合金边框（颜色可按需定制）/红外触摸（10点）Intel 酷睿i7  8G  128G固态硬盘/采用专用工业级液晶屏，高亮度、高对比度、高清晰度，提升画面层次感；16.7M 色彩，真实再现画面的每一个细节；</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采用最新 3D 数字滤波和 3D 数字降噪技术，更好消除亮色、杂色干扰；</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5ms 快速响应时间，去除画面拖影，自动消除残影功能；</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178°宽视角,保证图像显示不变形，无失真；</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全金属机壳设计，防静电、防磁场、防干扰、无辐射；</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支持多种接口，支持VGA、HDMI、USB、LAN等接口；</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框架</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1、名称：框架</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6</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2、技术参数：定制嵌入式框架，304不锈钢包边</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软件</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定制，符合信创要求</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定制，符合信创要求</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1、名称：系统播放配置的触控屏，除了中控功能外，还可以进行软件内容制作</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6</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2、技术参数：多媒体系统远程管理客户端：基本控制视频播放功能</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具备陌生系统IP、系统参数、显示参数、命令参数远程自动登记、配给功能，计算机应用系统故障检测、启动异常计时及信息反馈。</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数据自动接收、更新、备份，数据状态实施更新及损坏信息反馈，客户端本地数据属性只读、加密。</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144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互动页面内容页面UI设计、制作、排版、视频剪辑等，二、三级菜单架构设计，多媒体查询系统内容合成制作、互动触摸系统设计与开发、可通过点击触摸屏互动，简单直观的了解相关信息等。</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应用商店与体验区</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通过触控投影等技术，提供产业大脑应用选型服务，并通过现场试用，明确和引导用户需求。</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显示设备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宇柯世纪/锐丽/海康威视</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YK-5517PJ</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1、名称：拼接屏1.7mm</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9</w:t>
            </w: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2、技术参数：屏幕尺寸：55寸</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显示类型：TFT-LCD</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最佳分辨率：3840*2160</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亮度：500cd/m2，对比度：4000:1；</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拼缝：3.5mm   </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裸机尺寸：1214mm*684mm                 </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可视角度：178°/178°</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响应时间（G to G）：5ms</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功耗：≤210W，待机功耗：≤0.5W</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上下左右可视角度178度，最佳分辨率3840*2160，兼容分辨率1920*1080；1366x768；1600x1200；1280x1024；1280x768；1024x768</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特殊的抗反光处理，可在强光下使用也能保证画面绚丽、生动</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内嵌3D视频亮色分离电路单元；内嵌3D逐行处理及帧频归一转化电路单元；</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单元可支持驱动到3840*2160，最大支持3840*2160的液晶屏幕</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可通过控制软件与不同厂家的矩阵进行联控，智能开关机功能。</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实用性：能满足任何视频矩阵BNC、RGB、DVI、HDMI、VGA、DP等信号显示</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持续7*24小时连</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软件</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定制，符合信创要求</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定制，符合信创要求</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1、名称：控制软件，做为触控一体机上的软件系统，连接终端电脑的数据。</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9</w:t>
            </w: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2、技术参数：系统运行环境：操作系统 中英文Windows 98/2000/ NT/XP/WIN7/ Vista/WIN10</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144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最低配置 CPU：奔腾133Mhz 内存：128MB显示卡：标准VGA，256色显示模式以上硬盘：典型安装 10M串行通讯口： 标准RS232通讯接口或其兼容型号。该配置为满足系统正常展示的最低配置需求</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支持漫游、画中画功能，支持全屏范围所有窗口任意比例、任意尺寸缩放，没有窗口比例、尺寸限制</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视频控制设备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宇柯世纪，欧迪特，海康威视</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ODT-T9100-TL</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1、名称：图像拼接处理器</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9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ODT品牌ODT9100T-7L拼接处理器采用纯硬件FPGA架构，稳定性极强、不死机、无黑屏现象，具备7*24小时连续工作能力；卡片式结构，极其容易扩展或更换，主机支持72路输入，72路输出；接口格式：输入信号支持：BCN、VGA、DVI、HDMI，输出信号支持：HDMI、DVI、VGA；一卡4路；支持32组场景预案保存，随意调取，方便快捷的操作模式；支持矩阵切换，处理器内部集成矩阵功能，支持所有输入信号任意切换至所有输出端口。支持大屏滚动字幕、自定义字幕的颜色、大小、形状、滚动方向及透明度调节，如欢迎语；物理分辨率：HDPC：1920x1200P@60；HDTV：1920x1080P@60Hz；支持EDID管理，兼容性强；设备具有信号窗口的开窗、漫游叠加、拼接、缩放、画中画、画面任意拉大拉小等图像处理功能；IP流实时解码，支持H.265支持ONVIF、RT</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扩声系统设备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音王，惠威，北极星ARCTIC</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QA800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1、名称：音箱</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2、技术参数：二分频扬声器：8寸低音、1寸高音；阻抗8欧；高频控制：+/-3dB；灵敏度88dB；频率响应30Hz-20kHz；颜色：黑色箱体；体积（高X宽X深）：435x295x235mm。</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体验设备</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联想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信创昭阳N4620Z </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便于使用者操作体验应用商店</w:t>
            </w:r>
          </w:p>
          <w:p>
            <w:pPr>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内存容量：8GB硬盘容量：256G固态硬盘CPU：兆芯E KX-6640</w:t>
            </w:r>
          </w:p>
          <w:p>
            <w:pPr>
              <w:jc w:val="left"/>
              <w:textAlignment w:val="center"/>
              <w:rPr>
                <w:rFonts w:ascii="宋体" w:hAnsi="宋体" w:cs="宋体"/>
                <w:color w:val="000000"/>
                <w:sz w:val="21"/>
                <w:szCs w:val="21"/>
              </w:rPr>
            </w:pPr>
            <w:r>
              <w:rPr>
                <w:rFonts w:hint="eastAsia" w:ascii="宋体" w:hAnsi="宋体" w:cs="宋体"/>
                <w:color w:val="000000"/>
                <w:kern w:val="0"/>
                <w:sz w:val="21"/>
                <w:szCs w:val="21"/>
              </w:rPr>
              <w:t>显存容量：集成显卡</w:t>
            </w: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扩声系统设备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音王，惠威，北极星ARCTIC</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H81W</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1、名称：功放</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2、技术参数：2通道功放：立体声/并口/桥接单声道模式；</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输入灵敏度-0.775V和1.4V；</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电子平衡RCA和XLR输入；</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接线柱和输出的Speak on、高效风冷、电子平衡RCA和XLR输入；</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接线柱和输出的Speak on两电平控制、电源开关、电源指示灯和六个LED、用来指示信号的存在、剪辑和故障为每个通道防止短路、空载、开/关重击和射频干扰；</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灵敏度（全额定功率在8欧姆）0.775V或1.4V；</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信噪比（低于额定功率20Hz到20kHz，A加权）&gt;100分贝；</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总谐波失真（THD）（为20Hz-20kHz的)&lt;0.5%；</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9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互调失真（60Hz和7kHz的、在4：1的最大额定输出为-40分贝）=/&lt;0.35%，频率响应（1W时，为20Hz-20kHz的）0分贝，-1分贝，串音（低于额定功率）。</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网络服务器</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中科可控，符合信创要求</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W3335HA1</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1、名称：视频服务器，是一种小型服务器，用于支持视频播放、视频软件的安装</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2、技术参数：CPU 海光3250 内存容量 8G 硬盘容量256G DVDRW 显存容量 2G独显  23.8寸</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数字孪生体验区</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通过数字孪生画面呈现或DIY构建数字孪生的方式，让用户直观感受数字化成果。</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显示设备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宇柯世纪/锐丽/海康威视</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YK-LY7500HW</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1、名称：75寸触控一体机，为可触控的中控一体机，简称触控一体机，通过触摸屏幕的方式就可以对终端设备进行控制，人机交互操作简单易行</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r>
      <w:tr>
        <w:tblPrEx>
          <w:tblCellMar>
            <w:top w:w="0" w:type="dxa"/>
            <w:left w:w="108" w:type="dxa"/>
            <w:bottom w:w="0" w:type="dxa"/>
            <w:right w:w="108" w:type="dxa"/>
          </w:tblCellMar>
        </w:tblPrEx>
        <w:trPr>
          <w:trHeight w:val="24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2、技术参数：75寸中控一体机，支持中控播放控制，尺寸：1866.3mm*1150.2*84.5mm；WIN10系统,LED/550cd/m2/1920*1080/铝合金边框（颜色可按需定制）/红外触摸（10点）Intel 酷睿i7  8G  128G固态硬盘/采用专用工业级液晶屏，高亮度、高对比度、高清晰度，提升画面层次感；16.7M 色彩，真实再现画面的每一个细节；</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采用最新 3D 数字滤波和 3D 数字降噪技术，更好消除亮色、杂色干扰；</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5ms 快速响应时间，去除画面拖影，自动消除残影功能；</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178°宽视角,保证图像显示不变形，无失真；</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全金属机壳设计，防静电、防磁场、防干扰、无辐射；</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支持多种接口，支持VGA、HDMI、USB、LAN等接口；</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软件</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定制，符合信创要求</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定制，符合信创要求</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1、名称：系统播放管理客户端</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2、技术参数：多媒体系统远程管理客户端：基本控制视频播放功能</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具备陌生系统IP、系统参数、显示参数、命令参数远程自动登记、配给功能，计算机应用系统故障检测、启动异常计时及信息反馈。</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数据自动接收、更新、备份，数据状态实施更新及损坏信息反馈，客户端本地数据属性只读、加密。</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产业大脑创新空间</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信创一站式服务台</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一站式接待中心，包括政策咨询、参观预约、精益咨询、数字化咨询、生产规划等全面产业大脑信息咨询服务。</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中控系统</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定制，符合信创要求</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定制，符合信创要求</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1、名称：中控软件系统</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r>
      <w:tr>
        <w:tblPrEx>
          <w:tblCellMar>
            <w:top w:w="0" w:type="dxa"/>
            <w:left w:w="108" w:type="dxa"/>
            <w:bottom w:w="0" w:type="dxa"/>
            <w:right w:w="108" w:type="dxa"/>
          </w:tblCellMar>
        </w:tblPrEx>
        <w:trPr>
          <w:trHeight w:val="9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2、技术参数：支持多媒体设备控制，投影机，电脑主机控制，支持多媒体信号控制，视频播放，音量调节，支持TCP/UDP/RS232/RS485控制协议</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9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需求定制工作坊</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用于需求对接、商务洽谈、技术交流、应用定制的多个交流空间。</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显示设备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宇柯世纪/锐丽/海康威视</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YK-LY7500HW</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1、名称：75寸触控一体机，为可触控的中控一体机，简称触控一体机，通过触摸屏幕的方式就可以对终端设备进行控制，人机交互操作简单易行</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r>
      <w:tr>
        <w:tblPrEx>
          <w:tblCellMar>
            <w:top w:w="0" w:type="dxa"/>
            <w:left w:w="108" w:type="dxa"/>
            <w:bottom w:w="0" w:type="dxa"/>
            <w:right w:w="108" w:type="dxa"/>
          </w:tblCellMar>
        </w:tblPrEx>
        <w:trPr>
          <w:trHeight w:val="24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2、技术参数：75寸中控一体机，支持中控播放控制，尺寸：1866.3mm*1150.2*84.5mm；WIN10系统,LED/550cd/m2/1920*1080/铝合金边框（颜色可按需定制）/红外触摸（10点）Intel 酷睿i7  8G  128G固态硬盘/采用专用工业级液晶屏，高亮度、高对比度、高清晰度，提升画面层次感；16.7M 色彩，真实再现画面的每一个细节；</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采用最新 3D 数字滤波和 3D 数字降噪技术，更好消除亮色、杂色干扰；</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5ms 快速响应时间，去除画面拖影，自动消除残影功能；</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178°宽视角,保证图像显示不变形，无失真；</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全金属机壳设计，防静电、防磁场、防干扰、无辐射；</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支持多种接口，支持VGA、HDMI、USB、LAN等接口；</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推广培训教室</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面向企业提供数字化推广的培训教室，容纳人数大于50人，同时面向生态伙伴进行技术培训，推动区域数字化服务水平提高。</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视频系统设备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DHN，丽讯，科视</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DU7100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投影技术：DLP</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显示芯片：0.67”DMD</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分辨率：1920x1200(16:10)</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光源：MCL激光光源</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光源寿命：20000小时</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亮度：7100流明</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投射比：1.22~1.53</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镜头位移：电动V:±50%，H:±15%</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画面尺寸：30”~300”</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几何校正模式：水平垂直梯形矫正，校正点拉伸</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校正点数量：2x2/3x3/5x5/9x9/17x17</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融合功能：支持</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融合区范围：上边缘/下边缘/左边缘/右边缘:0%/10%~50%</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控制协议：Crestron/PJLink/AMX/Extron</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HDBaseT：可以实现10.2Gbps的HDMI1.4传输(包括HDCP)和100Mbps以太网</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HDMI2.0：支持4K输入</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噪音值：正常:30分贝/节能模式:28分贝</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3D：支持主动3D且带3DSYNC同步接口</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3DWarping：支持几何校正后的异形主动3D立体</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2x360°投影：支持</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扬声器：10Wx2</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输入接口：VGAInX1、AudioInJackX1、HDMI1.4x1,HDMI2.0x1、HDBaseTx1、</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3DSYNCIN*1</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输出接口：HDMIOutX1、AudioOutJackX1,3DSYNCOUT*1</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其他接口：LAN*1,WIREDIR*1，RS-232X1,12VOUT*1,5V/1,5aUSB*1</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电源输入电压：AC90-264V~50/60Hz</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整机功率：450W</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机身尺寸：480x139x376mm</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机身重量：12KG</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扩声系统设备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音王，惠威，北极星ARCTIC</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H81W</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1、名称：音箱</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2、技术参数：二分频扬声器：8寸低音、1寸高音；阻抗8欧；高频控制：+/-3dB；灵敏度88dB；频率响应30Hz-20kHz；颜色：黑色箱体；体积（高X宽X深）：435x295x235mm。</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扩声系统设备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音王，惠威，北极星ARCTIC</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DSP800</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1、名称：功放</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2、技术参数：2通道功放：立体声/并口/桥接单声道模式；</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输入灵敏度-0.775V和1.4V；</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336"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电子平衡RCA和XLR输入；</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接线柱和输出的Speak on、高效风冷、电子平衡RCA和XLR输入；</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接线柱和输出的Speak on两电平控制、电源开关、电源指示灯和六个LED、用来指示信号的存在、剪辑和故障为每个通道防止短路、空载、开/关重击和射频干扰；</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灵敏度（全额定功率在8欧姆）0.775V或1.4V；</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信噪比（低于额定功率20Hz到20kHz，A加权）&gt;100分贝；</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48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总谐波失真（THD）（为20Hz-20kHz的)&lt;0.5%；</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互调失真（60Hz和7kHz的、在4：1的最大额定输出为-40分贝）=/&lt;0.35%，频率响应（1W时，为20Hz-20kHz的）0分贝，-1分贝，串音（低于额定功率）。</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b/>
                <w:bCs/>
                <w:color w:val="000000"/>
                <w:sz w:val="21"/>
                <w:szCs w:val="21"/>
              </w:rPr>
            </w:pPr>
            <w:r>
              <w:rPr>
                <w:rFonts w:hint="eastAsia" w:ascii="宋体" w:hAnsi="宋体" w:cs="宋体"/>
                <w:b/>
                <w:bCs/>
                <w:color w:val="000000"/>
                <w:kern w:val="0"/>
                <w:sz w:val="21"/>
                <w:szCs w:val="21"/>
              </w:rPr>
              <w:t>网络服务器</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中科可控，符合信创要求</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W3335HA1 </w:t>
            </w: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1、名称：视频服务器，是一种小型服务器，用于支持视频播放、视频软件的安装</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72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1"/>
                <w:szCs w:val="21"/>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rPr>
            </w:pPr>
          </w:p>
        </w:tc>
        <w:tc>
          <w:tcPr>
            <w:tcW w:w="25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1"/>
                <w:szCs w:val="21"/>
              </w:rPr>
            </w:pPr>
            <w:r>
              <w:rPr>
                <w:rFonts w:hint="eastAsia" w:ascii="宋体" w:hAnsi="宋体" w:cs="宋体"/>
                <w:color w:val="000000"/>
                <w:kern w:val="0"/>
                <w:sz w:val="21"/>
                <w:szCs w:val="21"/>
              </w:rPr>
              <w:t>2、技术参数：CPU 海光3250 内存容量 8G 硬盘容量256G DVDRW 显存容量 2G独显  23.8寸</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p>
        </w:tc>
      </w:tr>
    </w:tbl>
    <w:p>
      <w:pPr>
        <w:spacing w:line="460" w:lineRule="exact"/>
        <w:ind w:firstLine="420"/>
        <w:rPr>
          <w:rStyle w:val="43"/>
          <w:rFonts w:ascii="宋体" w:hAnsi="宋体"/>
          <w:b/>
          <w:bCs/>
          <w:sz w:val="21"/>
          <w:szCs w:val="21"/>
        </w:rPr>
      </w:pPr>
    </w:p>
    <w:p>
      <w:pPr>
        <w:spacing w:line="460" w:lineRule="exact"/>
        <w:ind w:firstLine="420"/>
        <w:rPr>
          <w:rStyle w:val="43"/>
          <w:rFonts w:ascii="宋体" w:hAnsi="宋体"/>
          <w:b/>
          <w:bCs/>
          <w:sz w:val="21"/>
          <w:szCs w:val="21"/>
        </w:rPr>
        <w:sectPr>
          <w:headerReference r:id="rId4" w:type="default"/>
          <w:footerReference r:id="rId5" w:type="default"/>
          <w:endnotePr>
            <w:numFmt w:val="decimal"/>
          </w:endnotePr>
          <w:pgSz w:w="16838" w:h="11905" w:orient="landscape"/>
          <w:pgMar w:top="1083" w:right="1440" w:bottom="1083" w:left="1440" w:header="851" w:footer="992" w:gutter="0"/>
          <w:pgBorders>
            <w:top w:val="none" w:sz="0" w:space="0"/>
            <w:left w:val="none" w:sz="0" w:space="0"/>
            <w:bottom w:val="none" w:sz="0" w:space="0"/>
            <w:right w:val="none" w:sz="0" w:space="0"/>
          </w:pgBorders>
          <w:pgNumType w:fmt="decimal"/>
          <w:cols w:space="0" w:num="1"/>
          <w:docGrid w:type="linesAndChars" w:linePitch="335" w:charSpace="0"/>
        </w:sectPr>
      </w:pPr>
    </w:p>
    <w:bookmarkEnd w:id="62"/>
    <w:bookmarkEnd w:id="63"/>
    <w:bookmarkEnd w:id="64"/>
    <w:bookmarkEnd w:id="65"/>
    <w:bookmarkEnd w:id="66"/>
    <w:bookmarkEnd w:id="67"/>
    <w:p>
      <w:pPr>
        <w:ind w:firstLine="243" w:firstLineChars="100"/>
        <w:rPr>
          <w:rFonts w:ascii="宋体" w:hAnsi="宋体" w:cs="宋体"/>
          <w:b/>
          <w:szCs w:val="24"/>
        </w:rPr>
      </w:pPr>
      <w:bookmarkStart w:id="342" w:name="_Toc521874873"/>
      <w:r>
        <w:rPr>
          <w:rFonts w:hint="eastAsia" w:ascii="宋体" w:hAnsi="宋体" w:cs="宋体"/>
          <w:b/>
          <w:szCs w:val="24"/>
        </w:rPr>
        <w:t>九：商务要求</w:t>
      </w:r>
    </w:p>
    <w:tbl>
      <w:tblPr>
        <w:tblStyle w:val="26"/>
        <w:tblW w:w="0" w:type="auto"/>
        <w:tblInd w:w="253" w:type="dxa"/>
        <w:tblLayout w:type="fixed"/>
        <w:tblCellMar>
          <w:top w:w="0" w:type="dxa"/>
          <w:left w:w="108" w:type="dxa"/>
          <w:bottom w:w="0" w:type="dxa"/>
          <w:right w:w="108" w:type="dxa"/>
        </w:tblCellMar>
      </w:tblPr>
      <w:tblGrid>
        <w:gridCol w:w="1595"/>
        <w:gridCol w:w="7895"/>
      </w:tblGrid>
      <w:tr>
        <w:tblPrEx>
          <w:tblCellMar>
            <w:top w:w="0" w:type="dxa"/>
            <w:left w:w="108" w:type="dxa"/>
            <w:bottom w:w="0" w:type="dxa"/>
            <w:right w:w="108" w:type="dxa"/>
          </w:tblCellMar>
        </w:tblPrEx>
        <w:trPr>
          <w:trHeight w:val="485" w:hRule="atLeast"/>
        </w:trPr>
        <w:tc>
          <w:tcPr>
            <w:tcW w:w="1595" w:type="dxa"/>
            <w:vMerge w:val="restart"/>
            <w:tcBorders>
              <w:top w:val="single" w:color="000000" w:sz="4" w:space="0"/>
              <w:left w:val="single" w:color="000000" w:sz="4" w:space="0"/>
              <w:right w:val="single" w:color="000000" w:sz="4" w:space="0"/>
            </w:tcBorders>
            <w:vAlign w:val="center"/>
          </w:tcPr>
          <w:p>
            <w:pPr>
              <w:spacing w:line="380" w:lineRule="exact"/>
              <w:jc w:val="center"/>
              <w:rPr>
                <w:rFonts w:ascii="宋体" w:hAnsi="宋体" w:cs="宋体"/>
                <w:kern w:val="1"/>
                <w:sz w:val="21"/>
                <w:szCs w:val="21"/>
              </w:rPr>
            </w:pPr>
            <w:r>
              <w:rPr>
                <w:rFonts w:hint="eastAsia" w:ascii="宋体" w:hAnsi="宋体" w:cs="宋体"/>
                <w:sz w:val="21"/>
                <w:szCs w:val="21"/>
              </w:rPr>
              <w:t>售后服务</w:t>
            </w:r>
          </w:p>
        </w:tc>
        <w:tc>
          <w:tcPr>
            <w:tcW w:w="7895"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kern w:val="1"/>
                <w:sz w:val="21"/>
                <w:szCs w:val="21"/>
              </w:rPr>
            </w:pPr>
            <w:r>
              <w:rPr>
                <w:rFonts w:hint="eastAsia" w:ascii="宋体" w:hAnsi="宋体" w:cs="宋体"/>
                <w:kern w:val="1"/>
                <w:sz w:val="21"/>
                <w:szCs w:val="21"/>
              </w:rPr>
              <w:t>质保期：</w:t>
            </w:r>
            <w:r>
              <w:rPr>
                <w:rFonts w:ascii="宋体" w:hAnsi="宋体"/>
                <w:sz w:val="22"/>
                <w:szCs w:val="21"/>
              </w:rPr>
              <w:t>最终验收后12个月。</w:t>
            </w:r>
          </w:p>
        </w:tc>
      </w:tr>
      <w:tr>
        <w:tblPrEx>
          <w:tblCellMar>
            <w:top w:w="0" w:type="dxa"/>
            <w:left w:w="108" w:type="dxa"/>
            <w:bottom w:w="0" w:type="dxa"/>
            <w:right w:w="108" w:type="dxa"/>
          </w:tblCellMar>
        </w:tblPrEx>
        <w:trPr>
          <w:trHeight w:val="745" w:hRule="atLeast"/>
        </w:trPr>
        <w:tc>
          <w:tcPr>
            <w:tcW w:w="1595" w:type="dxa"/>
            <w:vMerge w:val="continue"/>
            <w:tcBorders>
              <w:left w:val="single" w:color="000000" w:sz="4" w:space="0"/>
              <w:right w:val="single" w:color="000000" w:sz="4" w:space="0"/>
            </w:tcBorders>
            <w:vAlign w:val="center"/>
          </w:tcPr>
          <w:p>
            <w:pPr>
              <w:spacing w:line="380" w:lineRule="exact"/>
              <w:jc w:val="center"/>
              <w:rPr>
                <w:rFonts w:ascii="宋体" w:hAnsi="宋体" w:cs="宋体"/>
                <w:kern w:val="1"/>
                <w:sz w:val="21"/>
                <w:szCs w:val="21"/>
              </w:rPr>
            </w:pPr>
          </w:p>
        </w:tc>
        <w:tc>
          <w:tcPr>
            <w:tcW w:w="7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80" w:lineRule="exact"/>
              <w:rPr>
                <w:rFonts w:ascii="宋体" w:hAnsi="宋体"/>
                <w:sz w:val="22"/>
                <w:szCs w:val="28"/>
              </w:rPr>
            </w:pPr>
            <w:r>
              <w:rPr>
                <w:rFonts w:hint="eastAsia" w:ascii="宋体" w:hAnsi="宋体" w:cs="宋体"/>
                <w:kern w:val="1"/>
                <w:sz w:val="21"/>
                <w:szCs w:val="21"/>
              </w:rPr>
              <w:t>维保承诺：1.</w:t>
            </w:r>
            <w:r>
              <w:rPr>
                <w:rFonts w:hint="eastAsia" w:ascii="宋体" w:hAnsi="宋体"/>
                <w:sz w:val="22"/>
                <w:szCs w:val="28"/>
              </w:rPr>
              <w:t>保修期内的技术服务内容包括招标系统的日常问题处理、数据处理、BUG修正、功能优化、系统安装部署和调优等，如果系统发生故障，投标人要调查故障原因并修复直至满足最终验收指标和性能的要求。</w:t>
            </w:r>
          </w:p>
          <w:p>
            <w:pPr>
              <w:adjustRightInd w:val="0"/>
              <w:snapToGrid w:val="0"/>
              <w:spacing w:line="380" w:lineRule="exact"/>
              <w:rPr>
                <w:rFonts w:ascii="宋体" w:hAnsi="宋体" w:cs="宋体"/>
                <w:kern w:val="0"/>
                <w:sz w:val="21"/>
                <w:szCs w:val="21"/>
              </w:rPr>
            </w:pPr>
            <w:r>
              <w:rPr>
                <w:rFonts w:hint="eastAsia" w:ascii="宋体" w:hAnsi="宋体"/>
                <w:sz w:val="22"/>
                <w:szCs w:val="28"/>
              </w:rPr>
              <w:t>2.在嵊州市有常驻服务团队</w:t>
            </w:r>
            <w:r>
              <w:rPr>
                <w:rFonts w:hint="eastAsia" w:ascii="宋体" w:hAnsi="宋体"/>
                <w:sz w:val="22"/>
                <w:szCs w:val="28"/>
                <w:lang w:val="en-US" w:eastAsia="zh-CN"/>
              </w:rPr>
              <w:t>并</w:t>
            </w:r>
            <w:r>
              <w:rPr>
                <w:rFonts w:hint="eastAsia" w:ascii="宋体" w:hAnsi="宋体"/>
                <w:sz w:val="22"/>
                <w:szCs w:val="28"/>
              </w:rPr>
              <w:t>承诺中标后15日内组建。项目实施过程中必须保证项目实施团队人员稳定。</w:t>
            </w:r>
          </w:p>
        </w:tc>
      </w:tr>
      <w:tr>
        <w:tblPrEx>
          <w:tblCellMar>
            <w:top w:w="0" w:type="dxa"/>
            <w:left w:w="108" w:type="dxa"/>
            <w:bottom w:w="0" w:type="dxa"/>
            <w:right w:w="108" w:type="dxa"/>
          </w:tblCellMar>
        </w:tblPrEx>
        <w:trPr>
          <w:trHeight w:val="730" w:hRule="atLeast"/>
        </w:trPr>
        <w:tc>
          <w:tcPr>
            <w:tcW w:w="1595" w:type="dxa"/>
            <w:vMerge w:val="continue"/>
            <w:tcBorders>
              <w:left w:val="single" w:color="000000" w:sz="4" w:space="0"/>
              <w:bottom w:val="single" w:color="auto" w:sz="4" w:space="0"/>
              <w:right w:val="single" w:color="000000" w:sz="4" w:space="0"/>
            </w:tcBorders>
            <w:vAlign w:val="center"/>
          </w:tcPr>
          <w:p>
            <w:pPr>
              <w:spacing w:line="380" w:lineRule="exact"/>
              <w:rPr>
                <w:rFonts w:ascii="宋体" w:hAnsi="宋体" w:cs="宋体"/>
                <w:kern w:val="1"/>
                <w:sz w:val="21"/>
                <w:szCs w:val="21"/>
              </w:rPr>
            </w:pPr>
          </w:p>
        </w:tc>
        <w:tc>
          <w:tcPr>
            <w:tcW w:w="789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s="宋体"/>
                <w:kern w:val="1"/>
                <w:sz w:val="21"/>
                <w:szCs w:val="21"/>
              </w:rPr>
            </w:pPr>
            <w:r>
              <w:rPr>
                <w:rFonts w:hint="eastAsia" w:ascii="宋体" w:hAnsi="宋体" w:cs="宋体"/>
                <w:kern w:val="1"/>
                <w:sz w:val="21"/>
                <w:szCs w:val="21"/>
              </w:rPr>
              <w:t>维修响应时间：</w:t>
            </w:r>
            <w:r>
              <w:rPr>
                <w:rFonts w:hint="eastAsia" w:ascii="宋体" w:hAnsi="宋体"/>
                <w:sz w:val="22"/>
                <w:szCs w:val="28"/>
              </w:rPr>
              <w:t>投标人承诺</w:t>
            </w:r>
            <w:r>
              <w:rPr>
                <w:rFonts w:ascii="宋体" w:hAnsi="宋体"/>
                <w:sz w:val="22"/>
                <w:szCs w:val="28"/>
              </w:rPr>
              <w:t>提供7x24技术支持服务，响应时间小于30分钟，1小时到达现场；影响采购人业务连续性的故障在3小时内协助解决，其它故障在12小时解决。</w:t>
            </w:r>
          </w:p>
        </w:tc>
      </w:tr>
      <w:tr>
        <w:tblPrEx>
          <w:tblCellMar>
            <w:top w:w="0" w:type="dxa"/>
            <w:left w:w="108" w:type="dxa"/>
            <w:bottom w:w="0" w:type="dxa"/>
            <w:right w:w="108" w:type="dxa"/>
          </w:tblCellMar>
        </w:tblPrEx>
        <w:trPr>
          <w:trHeight w:val="848" w:hRule="atLeast"/>
        </w:trPr>
        <w:tc>
          <w:tcPr>
            <w:tcW w:w="159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kern w:val="1"/>
                <w:sz w:val="21"/>
                <w:szCs w:val="21"/>
              </w:rPr>
            </w:pPr>
            <w:r>
              <w:rPr>
                <w:rFonts w:hint="eastAsia" w:ascii="宋体" w:hAnsi="宋体" w:cs="宋体"/>
                <w:sz w:val="21"/>
                <w:szCs w:val="21"/>
              </w:rPr>
              <w:t>技术培训</w:t>
            </w:r>
          </w:p>
        </w:tc>
        <w:tc>
          <w:tcPr>
            <w:tcW w:w="7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80" w:lineRule="exact"/>
              <w:rPr>
                <w:rFonts w:ascii="宋体" w:hAnsi="宋体" w:cs="宋体"/>
                <w:kern w:val="1"/>
                <w:sz w:val="21"/>
                <w:szCs w:val="21"/>
              </w:rPr>
            </w:pPr>
            <w:r>
              <w:rPr>
                <w:rFonts w:hint="eastAsia" w:ascii="宋体" w:hAnsi="宋体" w:cs="宋体"/>
                <w:sz w:val="21"/>
                <w:szCs w:val="21"/>
              </w:rPr>
              <w:t>供应商应对采购人工作人员提供操作及维修培训，直到培训合格。培训的费用由供应商承担。</w:t>
            </w:r>
          </w:p>
        </w:tc>
      </w:tr>
      <w:tr>
        <w:tblPrEx>
          <w:tblCellMar>
            <w:top w:w="0" w:type="dxa"/>
            <w:left w:w="108" w:type="dxa"/>
            <w:bottom w:w="0" w:type="dxa"/>
            <w:right w:w="108" w:type="dxa"/>
          </w:tblCellMar>
        </w:tblPrEx>
        <w:trPr>
          <w:trHeight w:val="538" w:hRule="atLeast"/>
        </w:trPr>
        <w:tc>
          <w:tcPr>
            <w:tcW w:w="159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 w:val="21"/>
                <w:szCs w:val="21"/>
              </w:rPr>
            </w:pPr>
            <w:r>
              <w:rPr>
                <w:rFonts w:hint="eastAsia" w:ascii="宋体" w:hAnsi="宋体" w:cs="宋体"/>
                <w:sz w:val="21"/>
                <w:szCs w:val="21"/>
              </w:rPr>
              <w:t>工期</w:t>
            </w:r>
          </w:p>
        </w:tc>
        <w:tc>
          <w:tcPr>
            <w:tcW w:w="7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80" w:lineRule="exact"/>
              <w:rPr>
                <w:rFonts w:ascii="宋体" w:hAnsi="宋体" w:cs="宋体"/>
                <w:sz w:val="21"/>
                <w:szCs w:val="21"/>
              </w:rPr>
            </w:pPr>
            <w:r>
              <w:rPr>
                <w:rFonts w:hint="eastAsia" w:ascii="宋体" w:hAnsi="宋体" w:cs="宋体"/>
                <w:kern w:val="1"/>
                <w:sz w:val="21"/>
                <w:szCs w:val="21"/>
              </w:rPr>
              <w:t>在202</w:t>
            </w:r>
            <w:r>
              <w:rPr>
                <w:rFonts w:ascii="宋体" w:hAnsi="宋体" w:cs="宋体"/>
                <w:kern w:val="1"/>
                <w:sz w:val="21"/>
                <w:szCs w:val="21"/>
              </w:rPr>
              <w:t>3</w:t>
            </w:r>
            <w:r>
              <w:rPr>
                <w:rFonts w:hint="eastAsia" w:ascii="宋体" w:hAnsi="宋体" w:cs="宋体"/>
                <w:kern w:val="1"/>
                <w:sz w:val="21"/>
                <w:szCs w:val="21"/>
              </w:rPr>
              <w:t>年</w:t>
            </w:r>
            <w:r>
              <w:rPr>
                <w:rFonts w:ascii="宋体" w:hAnsi="宋体" w:cs="宋体"/>
                <w:kern w:val="1"/>
                <w:sz w:val="21"/>
                <w:szCs w:val="21"/>
              </w:rPr>
              <w:t>6</w:t>
            </w:r>
            <w:r>
              <w:rPr>
                <w:rFonts w:hint="eastAsia" w:ascii="宋体" w:hAnsi="宋体" w:cs="宋体"/>
                <w:kern w:val="1"/>
                <w:sz w:val="21"/>
                <w:szCs w:val="21"/>
              </w:rPr>
              <w:t>月</w:t>
            </w:r>
            <w:r>
              <w:rPr>
                <w:rFonts w:ascii="宋体" w:hAnsi="宋体" w:cs="宋体"/>
                <w:kern w:val="1"/>
                <w:sz w:val="21"/>
                <w:szCs w:val="21"/>
              </w:rPr>
              <w:t>30</w:t>
            </w:r>
            <w:r>
              <w:rPr>
                <w:rFonts w:hint="eastAsia" w:ascii="宋体" w:hAnsi="宋体" w:cs="宋体"/>
                <w:kern w:val="1"/>
                <w:sz w:val="21"/>
                <w:szCs w:val="21"/>
              </w:rPr>
              <w:t>日前完成本项目要求的所有系统需求开发、测试及部署上线，包括系统间接口开发和联调、遗留系统存量数据割接方案的评审，具备整体功能上线条件。（如因基础资源不到位等原因，功能可分批上线）</w:t>
            </w:r>
          </w:p>
        </w:tc>
      </w:tr>
      <w:tr>
        <w:tblPrEx>
          <w:tblCellMar>
            <w:top w:w="0" w:type="dxa"/>
            <w:left w:w="108" w:type="dxa"/>
            <w:bottom w:w="0" w:type="dxa"/>
            <w:right w:w="108" w:type="dxa"/>
          </w:tblCellMar>
        </w:tblPrEx>
        <w:trPr>
          <w:trHeight w:val="1467" w:hRule="atLeast"/>
        </w:trPr>
        <w:tc>
          <w:tcPr>
            <w:tcW w:w="1595" w:type="dxa"/>
            <w:tcBorders>
              <w:top w:val="single" w:color="000000" w:sz="4" w:space="0"/>
              <w:left w:val="single" w:color="000000" w:sz="4" w:space="0"/>
              <w:right w:val="single" w:color="000000" w:sz="4" w:space="0"/>
            </w:tcBorders>
            <w:vAlign w:val="center"/>
          </w:tcPr>
          <w:p>
            <w:pPr>
              <w:spacing w:line="380" w:lineRule="exact"/>
              <w:jc w:val="center"/>
              <w:rPr>
                <w:rFonts w:ascii="宋体" w:hAnsi="宋体" w:cs="宋体"/>
                <w:sz w:val="21"/>
                <w:szCs w:val="21"/>
              </w:rPr>
            </w:pPr>
            <w:r>
              <w:rPr>
                <w:rFonts w:hint="eastAsia" w:ascii="宋体" w:hAnsi="宋体" w:cs="宋体"/>
                <w:sz w:val="21"/>
                <w:szCs w:val="21"/>
              </w:rPr>
              <w:t>验收</w:t>
            </w:r>
          </w:p>
        </w:tc>
        <w:tc>
          <w:tcPr>
            <w:tcW w:w="78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1"/>
                <w:szCs w:val="21"/>
              </w:rPr>
            </w:pPr>
            <w:r>
              <w:rPr>
                <w:rFonts w:hint="eastAsia" w:ascii="宋体" w:hAnsi="宋体" w:cs="宋体"/>
                <w:kern w:val="1"/>
                <w:sz w:val="21"/>
                <w:szCs w:val="21"/>
              </w:rPr>
              <w:t>试运行期对各项检查测试合格后，运行3个月，双方将根据技术规范书的要求确认各阶段测试检验结果，对系统的各项性能进行总验收（终验）。对工程进行综合评定，签署最终验收合格证书。</w:t>
            </w:r>
          </w:p>
        </w:tc>
      </w:tr>
      <w:tr>
        <w:tblPrEx>
          <w:tblCellMar>
            <w:top w:w="0" w:type="dxa"/>
            <w:left w:w="108" w:type="dxa"/>
            <w:bottom w:w="0" w:type="dxa"/>
            <w:right w:w="108" w:type="dxa"/>
          </w:tblCellMar>
        </w:tblPrEx>
        <w:trPr>
          <w:trHeight w:val="1467" w:hRule="atLeast"/>
        </w:trPr>
        <w:tc>
          <w:tcPr>
            <w:tcW w:w="1595" w:type="dxa"/>
            <w:tcBorders>
              <w:top w:val="single" w:color="000000" w:sz="4" w:space="0"/>
              <w:left w:val="single" w:color="000000" w:sz="4" w:space="0"/>
              <w:right w:val="single" w:color="000000" w:sz="4" w:space="0"/>
            </w:tcBorders>
            <w:vAlign w:val="center"/>
          </w:tcPr>
          <w:p>
            <w:pPr>
              <w:pStyle w:val="4"/>
              <w:tabs>
                <w:tab w:val="clear" w:pos="358"/>
              </w:tabs>
              <w:spacing w:before="240" w:after="240"/>
              <w:jc w:val="center"/>
              <w:rPr>
                <w:rFonts w:ascii="宋体" w:hAnsi="宋体" w:cs="宋体"/>
                <w:sz w:val="21"/>
                <w:szCs w:val="21"/>
              </w:rPr>
            </w:pPr>
            <w:r>
              <w:rPr>
                <w:rFonts w:hint="eastAsia" w:ascii="宋体" w:hAnsi="宋体" w:cs="宋体"/>
                <w:b w:val="0"/>
                <w:sz w:val="21"/>
                <w:szCs w:val="21"/>
              </w:rPr>
              <w:t>验收标准</w:t>
            </w:r>
          </w:p>
        </w:tc>
        <w:tc>
          <w:tcPr>
            <w:tcW w:w="7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80" w:lineRule="exact"/>
              <w:rPr>
                <w:rFonts w:ascii="宋体" w:hAnsi="宋体" w:cs="宋体"/>
                <w:kern w:val="1"/>
                <w:sz w:val="21"/>
                <w:szCs w:val="21"/>
              </w:rPr>
            </w:pPr>
            <w:r>
              <w:rPr>
                <w:rFonts w:hint="eastAsia" w:ascii="宋体" w:hAnsi="宋体" w:cs="宋体"/>
                <w:kern w:val="1"/>
                <w:sz w:val="21"/>
                <w:szCs w:val="21"/>
              </w:rPr>
              <w:t>1.投标人提供的软件到货应严格遵循合同中规定的到货时间。</w:t>
            </w:r>
          </w:p>
          <w:p>
            <w:pPr>
              <w:adjustRightInd w:val="0"/>
              <w:snapToGrid w:val="0"/>
              <w:spacing w:line="380" w:lineRule="exact"/>
              <w:rPr>
                <w:rFonts w:ascii="宋体" w:hAnsi="宋体" w:cs="宋体"/>
                <w:kern w:val="1"/>
                <w:sz w:val="21"/>
                <w:szCs w:val="21"/>
              </w:rPr>
            </w:pPr>
            <w:r>
              <w:rPr>
                <w:rFonts w:hint="eastAsia" w:ascii="宋体" w:hAnsi="宋体" w:cs="宋体"/>
                <w:kern w:val="1"/>
                <w:sz w:val="21"/>
                <w:szCs w:val="21"/>
              </w:rPr>
              <w:t>2.投标人在合同中必须提供详细的软件功能清单，此软件功能清单作为验收的依据。实际到货必须与合同中软件功能清单一致。</w:t>
            </w:r>
          </w:p>
          <w:p>
            <w:pPr>
              <w:adjustRightInd w:val="0"/>
              <w:snapToGrid w:val="0"/>
              <w:spacing w:line="380" w:lineRule="exact"/>
              <w:rPr>
                <w:rFonts w:ascii="宋体" w:hAnsi="宋体" w:cs="宋体"/>
                <w:kern w:val="1"/>
                <w:sz w:val="21"/>
                <w:szCs w:val="21"/>
              </w:rPr>
            </w:pPr>
            <w:r>
              <w:rPr>
                <w:rFonts w:hint="eastAsia" w:ascii="宋体" w:hAnsi="宋体" w:cs="宋体"/>
                <w:kern w:val="1"/>
                <w:sz w:val="21"/>
                <w:szCs w:val="21"/>
              </w:rPr>
              <w:t>3.到货的软件功能清单必须在到货之前到达采购人，方便采购人根据合同软件功能清单与到货软件功能清单对实际到货验收。</w:t>
            </w:r>
          </w:p>
          <w:p>
            <w:pPr>
              <w:adjustRightInd w:val="0"/>
              <w:snapToGrid w:val="0"/>
              <w:spacing w:line="380" w:lineRule="exact"/>
              <w:rPr>
                <w:rFonts w:ascii="宋体" w:hAnsi="宋体" w:cs="宋体"/>
                <w:kern w:val="1"/>
                <w:sz w:val="21"/>
                <w:szCs w:val="21"/>
              </w:rPr>
            </w:pPr>
            <w:r>
              <w:rPr>
                <w:rFonts w:hint="eastAsia" w:ascii="宋体" w:hAnsi="宋体" w:cs="宋体"/>
                <w:kern w:val="1"/>
                <w:sz w:val="21"/>
                <w:szCs w:val="21"/>
              </w:rPr>
              <w:t>4.验货时发现软件存在缺陷或故障或无法满足采购人提出的功能要求等情况要求投标人两周内更换或修复。</w:t>
            </w:r>
          </w:p>
          <w:p>
            <w:pPr>
              <w:adjustRightInd w:val="0"/>
              <w:snapToGrid w:val="0"/>
              <w:spacing w:line="380" w:lineRule="exact"/>
              <w:rPr>
                <w:rFonts w:ascii="宋体" w:hAnsi="宋体" w:cs="宋体"/>
                <w:kern w:val="1"/>
                <w:sz w:val="21"/>
                <w:szCs w:val="21"/>
              </w:rPr>
            </w:pPr>
            <w:r>
              <w:rPr>
                <w:rFonts w:hint="eastAsia" w:ascii="宋体" w:hAnsi="宋体" w:cs="宋体"/>
                <w:kern w:val="1"/>
                <w:sz w:val="21"/>
                <w:szCs w:val="21"/>
              </w:rPr>
              <w:t>5.投标人应保证所提供软件的质量及完整性，对由于投标人软件所引起的工期延误及经济损失应予以赔偿。</w:t>
            </w:r>
          </w:p>
        </w:tc>
      </w:tr>
      <w:tr>
        <w:tblPrEx>
          <w:tblCellMar>
            <w:top w:w="0" w:type="dxa"/>
            <w:left w:w="108" w:type="dxa"/>
            <w:bottom w:w="0" w:type="dxa"/>
            <w:right w:w="108" w:type="dxa"/>
          </w:tblCellMar>
        </w:tblPrEx>
        <w:trPr>
          <w:trHeight w:val="1096" w:hRule="atLeast"/>
        </w:trPr>
        <w:tc>
          <w:tcPr>
            <w:tcW w:w="159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kern w:val="1"/>
                <w:sz w:val="21"/>
                <w:szCs w:val="21"/>
              </w:rPr>
            </w:pPr>
            <w:r>
              <w:rPr>
                <w:rFonts w:hint="eastAsia" w:ascii="宋体" w:hAnsi="宋体" w:cs="宋体"/>
                <w:kern w:val="1"/>
                <w:sz w:val="21"/>
                <w:szCs w:val="21"/>
              </w:rPr>
              <w:t>付款条件</w:t>
            </w:r>
          </w:p>
        </w:tc>
        <w:tc>
          <w:tcPr>
            <w:tcW w:w="789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43"/>
                <w:rFonts w:ascii="宋体" w:hAnsi="宋体"/>
                <w:b/>
                <w:bCs/>
                <w:color w:val="auto"/>
                <w:sz w:val="21"/>
                <w:szCs w:val="21"/>
              </w:rPr>
            </w:pPr>
            <w:r>
              <w:rPr>
                <w:rStyle w:val="43"/>
                <w:rFonts w:hint="eastAsia" w:ascii="宋体" w:hAnsi="宋体"/>
                <w:b/>
                <w:bCs/>
                <w:color w:val="auto"/>
                <w:sz w:val="21"/>
                <w:szCs w:val="21"/>
              </w:rPr>
              <w:t>合同签订后支付合同价款（不含运营费）的40%，项目初验后10个工作日内付至合同价款（不含运营费）的80%，项目验收合格后10个工作日内付至合同价款（不含运营费）的95%，项目免费运维期满1年后10个工作日内付清余款。</w:t>
            </w:r>
          </w:p>
          <w:p>
            <w:pPr>
              <w:snapToGrid w:val="0"/>
              <w:spacing w:line="380" w:lineRule="exact"/>
              <w:jc w:val="left"/>
              <w:rPr>
                <w:rFonts w:ascii="宋体" w:hAnsi="宋体" w:cs="宋体"/>
                <w:sz w:val="21"/>
                <w:szCs w:val="21"/>
              </w:rPr>
            </w:pPr>
            <w:r>
              <w:rPr>
                <w:rStyle w:val="43"/>
                <w:rFonts w:hint="eastAsia" w:ascii="宋体" w:hAnsi="宋体"/>
                <w:b/>
                <w:bCs/>
                <w:color w:val="auto"/>
                <w:sz w:val="21"/>
                <w:szCs w:val="21"/>
              </w:rPr>
              <w:t>运营费在运营满一年后10个工作日内付清。</w:t>
            </w:r>
          </w:p>
        </w:tc>
      </w:tr>
      <w:tr>
        <w:tblPrEx>
          <w:tblCellMar>
            <w:top w:w="0" w:type="dxa"/>
            <w:left w:w="108" w:type="dxa"/>
            <w:bottom w:w="0" w:type="dxa"/>
            <w:right w:w="108" w:type="dxa"/>
          </w:tblCellMar>
        </w:tblPrEx>
        <w:trPr>
          <w:trHeight w:val="575" w:hRule="atLeast"/>
        </w:trPr>
        <w:tc>
          <w:tcPr>
            <w:tcW w:w="159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kern w:val="1"/>
                <w:sz w:val="21"/>
                <w:szCs w:val="21"/>
              </w:rPr>
            </w:pPr>
            <w:r>
              <w:rPr>
                <w:rFonts w:hint="eastAsia" w:hAnsi="宋体" w:cs="宋体"/>
                <w:sz w:val="21"/>
                <w:szCs w:val="21"/>
                <w:lang w:val="zh-CN"/>
              </w:rPr>
              <w:t>投标报价</w:t>
            </w:r>
          </w:p>
        </w:tc>
        <w:tc>
          <w:tcPr>
            <w:tcW w:w="7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80" w:lineRule="exact"/>
              <w:jc w:val="left"/>
              <w:rPr>
                <w:rFonts w:ascii="Times New Roman" w:hAnsi="宋体" w:cs="宋体"/>
                <w:b/>
                <w:bCs/>
                <w:sz w:val="21"/>
                <w:szCs w:val="21"/>
                <w:lang w:val="zh-CN"/>
              </w:rPr>
            </w:pPr>
            <w:r>
              <w:rPr>
                <w:rFonts w:hint="eastAsia" w:ascii="Times New Roman" w:hAnsi="宋体" w:cs="宋体"/>
                <w:b/>
                <w:bCs/>
                <w:sz w:val="21"/>
                <w:szCs w:val="21"/>
              </w:rPr>
              <w:t>1、</w:t>
            </w:r>
            <w:r>
              <w:rPr>
                <w:rFonts w:hint="eastAsia" w:ascii="Times New Roman" w:hAnsi="宋体" w:cs="宋体"/>
                <w:b/>
                <w:bCs/>
                <w:sz w:val="21"/>
                <w:szCs w:val="21"/>
                <w:lang w:val="zh-CN"/>
              </w:rPr>
              <w:t>本项目为交钥匙工程，费用另不增加；</w:t>
            </w:r>
          </w:p>
          <w:p>
            <w:pPr>
              <w:adjustRightInd w:val="0"/>
              <w:snapToGrid w:val="0"/>
              <w:spacing w:line="380" w:lineRule="exact"/>
              <w:jc w:val="left"/>
            </w:pPr>
            <w:r>
              <w:rPr>
                <w:rFonts w:hint="eastAsia" w:ascii="Times New Roman" w:hAnsi="宋体" w:cs="宋体"/>
                <w:b/>
                <w:bCs/>
                <w:sz w:val="21"/>
                <w:szCs w:val="21"/>
              </w:rPr>
              <w:t>2、投标报价不得高于最高限价13888910元。</w:t>
            </w:r>
          </w:p>
        </w:tc>
      </w:tr>
    </w:tbl>
    <w:p>
      <w:pPr>
        <w:pStyle w:val="32"/>
        <w:spacing w:line="700" w:lineRule="exact"/>
        <w:ind w:left="477"/>
        <w:outlineLvl w:val="0"/>
        <w:rPr>
          <w:rStyle w:val="43"/>
          <w:rFonts w:hAnsi="宋体"/>
          <w:color w:val="auto"/>
          <w:szCs w:val="36"/>
        </w:rPr>
      </w:pPr>
      <w:r>
        <w:rPr>
          <w:rStyle w:val="43"/>
          <w:rFonts w:hAnsi="宋体"/>
          <w:color w:val="auto"/>
          <w:szCs w:val="36"/>
        </w:rPr>
        <w:t>第四部分  评标办法</w:t>
      </w:r>
      <w:bookmarkEnd w:id="342"/>
    </w:p>
    <w:p>
      <w:pPr>
        <w:spacing w:line="400" w:lineRule="exact"/>
        <w:ind w:firstLine="426" w:firstLineChars="200"/>
        <w:rPr>
          <w:rStyle w:val="43"/>
          <w:rFonts w:ascii="宋体" w:hAnsi="宋体"/>
          <w:sz w:val="21"/>
          <w:szCs w:val="21"/>
        </w:rPr>
      </w:pPr>
      <w:r>
        <w:rPr>
          <w:rStyle w:val="43"/>
          <w:rFonts w:ascii="宋体" w:hAnsi="宋体"/>
          <w:sz w:val="21"/>
          <w:szCs w:val="21"/>
        </w:rPr>
        <w:t>根据《中华人民共和国政府采购法》、财政部第87号令的有关规定及此项目的实际情况，遵循公平、公正、科学择优的原则，特制定本办法。</w:t>
      </w:r>
    </w:p>
    <w:p>
      <w:pPr>
        <w:pStyle w:val="35"/>
        <w:spacing w:before="120" w:after="120" w:line="400" w:lineRule="exact"/>
        <w:ind w:firstLine="105"/>
        <w:rPr>
          <w:rStyle w:val="43"/>
          <w:rFonts w:ascii="宋体"/>
          <w:b/>
          <w:sz w:val="21"/>
          <w:szCs w:val="21"/>
        </w:rPr>
      </w:pPr>
      <w:r>
        <w:rPr>
          <w:rStyle w:val="43"/>
          <w:rFonts w:ascii="宋体"/>
          <w:b/>
          <w:sz w:val="21"/>
          <w:szCs w:val="21"/>
        </w:rPr>
        <w:t>一、评标组织</w:t>
      </w:r>
    </w:p>
    <w:p>
      <w:pPr>
        <w:spacing w:line="400" w:lineRule="exact"/>
        <w:ind w:firstLine="426" w:firstLineChars="200"/>
        <w:rPr>
          <w:rStyle w:val="43"/>
          <w:rFonts w:ascii="宋体" w:hAnsi="宋体"/>
          <w:sz w:val="21"/>
          <w:szCs w:val="21"/>
        </w:rPr>
      </w:pPr>
      <w:r>
        <w:rPr>
          <w:rStyle w:val="43"/>
          <w:rFonts w:ascii="宋体" w:hAnsi="宋体"/>
          <w:sz w:val="21"/>
          <w:szCs w:val="21"/>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pPr>
        <w:pStyle w:val="35"/>
        <w:spacing w:before="120" w:after="120" w:line="400" w:lineRule="exact"/>
        <w:ind w:firstLine="105"/>
        <w:rPr>
          <w:rStyle w:val="43"/>
          <w:rFonts w:ascii="宋体"/>
          <w:b/>
          <w:sz w:val="21"/>
          <w:szCs w:val="21"/>
        </w:rPr>
      </w:pPr>
      <w:r>
        <w:rPr>
          <w:rStyle w:val="43"/>
          <w:rFonts w:ascii="宋体"/>
          <w:b/>
          <w:sz w:val="21"/>
          <w:szCs w:val="21"/>
        </w:rPr>
        <w:t>二、评标方法</w:t>
      </w:r>
    </w:p>
    <w:p>
      <w:pPr>
        <w:spacing w:line="400" w:lineRule="exact"/>
        <w:ind w:firstLine="489" w:firstLineChars="218"/>
        <w:rPr>
          <w:rStyle w:val="43"/>
          <w:rFonts w:ascii="宋体" w:hAnsi="宋体"/>
          <w:sz w:val="21"/>
          <w:szCs w:val="21"/>
        </w:rPr>
      </w:pPr>
      <w:r>
        <w:rPr>
          <w:rStyle w:val="43"/>
          <w:rFonts w:ascii="宋体" w:hAnsi="宋体" w:cs="宋体"/>
          <w:b/>
          <w:bCs/>
          <w:spacing w:val="6"/>
          <w:sz w:val="21"/>
          <w:szCs w:val="21"/>
        </w:rPr>
        <w:t>本项目采用综合评分法。</w:t>
      </w:r>
      <w:r>
        <w:rPr>
          <w:rStyle w:val="43"/>
          <w:rFonts w:ascii="宋体" w:hAnsi="宋体"/>
          <w:sz w:val="21"/>
          <w:szCs w:val="21"/>
        </w:rPr>
        <w:t>开标后，评标委员会首先对投标人进行资格性审查和投标文件符合性审查，凡投标人不符合投标资格或投标文件完整性、合法性存在欠缺的，或投标文件实质性内容和关键格式严重不符合有关规定和不响应采购文件要求的，作为无效标予以废除，不进入评议打分范围。</w:t>
      </w:r>
    </w:p>
    <w:p>
      <w:pPr>
        <w:pStyle w:val="79"/>
        <w:spacing w:line="400" w:lineRule="exact"/>
        <w:ind w:firstLine="426" w:firstLineChars="200"/>
        <w:rPr>
          <w:rStyle w:val="43"/>
          <w:rFonts w:hAnsi="宋体"/>
          <w:sz w:val="21"/>
          <w:szCs w:val="21"/>
        </w:rPr>
      </w:pPr>
      <w:r>
        <w:rPr>
          <w:rStyle w:val="43"/>
          <w:rFonts w:hAnsi="宋体"/>
          <w:sz w:val="21"/>
          <w:szCs w:val="21"/>
        </w:rPr>
        <w:t>评标委员会以审标、询标为基础依据，对投标文件及投标人分别进行分析评议，按《评标细则》由评委独立评议计分，取汇总后的算术平均值。</w:t>
      </w:r>
    </w:p>
    <w:p>
      <w:pPr>
        <w:spacing w:line="400" w:lineRule="exact"/>
        <w:ind w:firstLine="426" w:firstLineChars="200"/>
        <w:rPr>
          <w:rStyle w:val="43"/>
          <w:rFonts w:ascii="宋体" w:hAnsi="宋体"/>
          <w:sz w:val="21"/>
          <w:szCs w:val="21"/>
        </w:rPr>
      </w:pPr>
      <w:r>
        <w:rPr>
          <w:rStyle w:val="43"/>
          <w:rFonts w:ascii="宋体" w:hAnsi="宋体"/>
          <w:sz w:val="21"/>
          <w:szCs w:val="21"/>
        </w:rPr>
        <w:t>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投标人为预中标候选人，若预中标候选人放弃中标资格或因质疑、投诉被取消预中标资格或不能履行合同的，则可将该标授予下一个中标候选人或者重新招标。</w:t>
      </w:r>
    </w:p>
    <w:p>
      <w:pPr>
        <w:pStyle w:val="35"/>
        <w:spacing w:before="120" w:after="120" w:line="400" w:lineRule="exact"/>
        <w:ind w:firstLine="105"/>
        <w:rPr>
          <w:rStyle w:val="43"/>
          <w:rFonts w:ascii="宋体"/>
          <w:b/>
          <w:sz w:val="21"/>
          <w:szCs w:val="21"/>
        </w:rPr>
      </w:pPr>
      <w:r>
        <w:rPr>
          <w:rStyle w:val="43"/>
          <w:rFonts w:ascii="宋体"/>
          <w:b/>
          <w:sz w:val="21"/>
          <w:szCs w:val="21"/>
        </w:rPr>
        <w:t>三、定标办法</w:t>
      </w:r>
    </w:p>
    <w:p>
      <w:pPr>
        <w:pStyle w:val="79"/>
        <w:spacing w:line="400" w:lineRule="exact"/>
        <w:ind w:firstLine="426" w:firstLineChars="200"/>
        <w:rPr>
          <w:rStyle w:val="43"/>
          <w:rFonts w:hAnsi="宋体"/>
          <w:sz w:val="21"/>
          <w:szCs w:val="21"/>
        </w:rPr>
      </w:pPr>
      <w:r>
        <w:rPr>
          <w:rStyle w:val="43"/>
          <w:rFonts w:hAnsi="宋体"/>
          <w:sz w:val="21"/>
          <w:szCs w:val="21"/>
        </w:rPr>
        <w:t>评标结束后，采购人根据评标委员会提交的评标报告和推荐意见，对进入候选的投标人进行最终审查。终审后根据推荐的候选中标人情况确定中标人。</w:t>
      </w:r>
      <w:r>
        <w:rPr>
          <w:rStyle w:val="43"/>
          <w:rFonts w:hAnsi="宋体" w:cs="宋体"/>
          <w:b/>
          <w:bCs/>
          <w:spacing w:val="6"/>
          <w:sz w:val="21"/>
          <w:szCs w:val="21"/>
        </w:rPr>
        <w:t>最低报价不是中标的唯一保证。</w:t>
      </w:r>
    </w:p>
    <w:p>
      <w:pPr>
        <w:spacing w:line="400" w:lineRule="exact"/>
        <w:ind w:firstLine="426" w:firstLineChars="200"/>
        <w:rPr>
          <w:rStyle w:val="43"/>
          <w:rFonts w:ascii="宋体" w:hAnsi="宋体"/>
          <w:sz w:val="21"/>
          <w:szCs w:val="21"/>
        </w:rPr>
      </w:pPr>
      <w:r>
        <w:rPr>
          <w:rStyle w:val="43"/>
          <w:rFonts w:ascii="宋体" w:hAnsi="宋体"/>
          <w:sz w:val="21"/>
          <w:szCs w:val="21"/>
        </w:rPr>
        <w:t>整个评标过程应严格保密，评标委员会成员及工作人员应严格遵守纪律，不得泄漏任何评标信息。</w:t>
      </w:r>
    </w:p>
    <w:p>
      <w:pPr>
        <w:pStyle w:val="35"/>
        <w:spacing w:before="120" w:after="120" w:line="400" w:lineRule="exact"/>
        <w:ind w:firstLine="105"/>
        <w:rPr>
          <w:rStyle w:val="43"/>
          <w:rFonts w:ascii="宋体"/>
          <w:b/>
          <w:sz w:val="21"/>
          <w:szCs w:val="21"/>
        </w:rPr>
      </w:pPr>
      <w:r>
        <w:rPr>
          <w:rStyle w:val="43"/>
          <w:rFonts w:ascii="宋体"/>
          <w:b/>
          <w:sz w:val="21"/>
          <w:szCs w:val="21"/>
        </w:rPr>
        <w:t>四、评标细则</w:t>
      </w:r>
    </w:p>
    <w:p>
      <w:pPr>
        <w:spacing w:line="400" w:lineRule="exact"/>
        <w:ind w:firstLine="463" w:firstLineChars="218"/>
        <w:rPr>
          <w:rStyle w:val="43"/>
          <w:rFonts w:ascii="宋体" w:hAnsi="宋体"/>
          <w:sz w:val="21"/>
          <w:szCs w:val="21"/>
        </w:rPr>
      </w:pPr>
      <w:r>
        <w:rPr>
          <w:rStyle w:val="43"/>
          <w:rFonts w:ascii="宋体" w:hAnsi="宋体"/>
          <w:kern w:val="0"/>
          <w:sz w:val="21"/>
          <w:szCs w:val="21"/>
        </w:rPr>
        <w:t>一、</w:t>
      </w:r>
      <w:r>
        <w:rPr>
          <w:rStyle w:val="43"/>
          <w:rFonts w:ascii="宋体" w:hAnsi="宋体"/>
          <w:sz w:val="21"/>
          <w:szCs w:val="21"/>
        </w:rPr>
        <w:t>技术资信部分</w:t>
      </w:r>
      <w:r>
        <w:rPr>
          <w:rStyle w:val="43"/>
          <w:rFonts w:hint="eastAsia" w:ascii="宋体" w:hAnsi="宋体"/>
          <w:sz w:val="21"/>
          <w:szCs w:val="21"/>
        </w:rPr>
        <w:t>80</w:t>
      </w:r>
      <w:r>
        <w:rPr>
          <w:rStyle w:val="43"/>
          <w:rFonts w:ascii="宋体" w:hAnsi="宋体"/>
          <w:sz w:val="21"/>
          <w:szCs w:val="21"/>
        </w:rPr>
        <w:t>分。</w:t>
      </w:r>
    </w:p>
    <w:p>
      <w:pPr>
        <w:spacing w:line="400" w:lineRule="exact"/>
        <w:ind w:firstLine="319" w:firstLineChars="150"/>
        <w:rPr>
          <w:rStyle w:val="43"/>
          <w:rFonts w:ascii="宋体" w:hAnsi="宋体"/>
          <w:sz w:val="21"/>
          <w:szCs w:val="21"/>
        </w:rPr>
      </w:pPr>
      <w:r>
        <w:rPr>
          <w:rStyle w:val="43"/>
          <w:rFonts w:ascii="宋体" w:hAnsi="宋体"/>
          <w:sz w:val="21"/>
          <w:szCs w:val="21"/>
        </w:rPr>
        <w:t>（一）各评委成员按评标细则进行评审，计算精确到小数点后二位（各家单位的分值为所有评标成员给出的值的算术平均值）。</w:t>
      </w:r>
    </w:p>
    <w:p>
      <w:pPr>
        <w:spacing w:line="400" w:lineRule="exact"/>
        <w:ind w:firstLine="463" w:firstLineChars="218"/>
        <w:rPr>
          <w:rStyle w:val="43"/>
          <w:rFonts w:ascii="宋体" w:hAnsi="宋体"/>
          <w:sz w:val="21"/>
          <w:szCs w:val="21"/>
        </w:rPr>
      </w:pPr>
      <w:r>
        <w:rPr>
          <w:rStyle w:val="43"/>
          <w:rFonts w:ascii="宋体" w:hAnsi="宋体"/>
          <w:sz w:val="21"/>
          <w:szCs w:val="21"/>
        </w:rPr>
        <w:t>（二）技术资信分值</w:t>
      </w:r>
    </w:p>
    <w:p>
      <w:pPr>
        <w:pStyle w:val="11"/>
        <w:rPr>
          <w:rStyle w:val="43"/>
          <w:rFonts w:ascii="宋体" w:hAnsi="宋体"/>
          <w:sz w:val="21"/>
          <w:szCs w:val="21"/>
        </w:rPr>
      </w:pPr>
    </w:p>
    <w:p>
      <w:pPr>
        <w:pStyle w:val="12"/>
        <w:ind w:firstLine="243"/>
      </w:pPr>
    </w:p>
    <w:tbl>
      <w:tblPr>
        <w:tblStyle w:val="26"/>
        <w:tblW w:w="5001" w:type="pct"/>
        <w:tblInd w:w="0" w:type="dxa"/>
        <w:tblLayout w:type="autofit"/>
        <w:tblCellMar>
          <w:top w:w="15" w:type="dxa"/>
          <w:left w:w="15" w:type="dxa"/>
          <w:bottom w:w="15" w:type="dxa"/>
          <w:right w:w="15" w:type="dxa"/>
        </w:tblCellMar>
      </w:tblPr>
      <w:tblGrid>
        <w:gridCol w:w="487"/>
        <w:gridCol w:w="1019"/>
        <w:gridCol w:w="7460"/>
        <w:gridCol w:w="805"/>
      </w:tblGrid>
      <w:tr>
        <w:tblPrEx>
          <w:tblCellMar>
            <w:top w:w="15" w:type="dxa"/>
            <w:left w:w="15" w:type="dxa"/>
            <w:bottom w:w="15" w:type="dxa"/>
            <w:right w:w="15" w:type="dxa"/>
          </w:tblCellMar>
        </w:tblPrEx>
        <w:trPr>
          <w:trHeight w:val="285" w:hRule="atLeast"/>
        </w:trPr>
        <w:tc>
          <w:tcPr>
            <w:tcW w:w="24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序号</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评价细项</w:t>
            </w:r>
          </w:p>
        </w:tc>
        <w:tc>
          <w:tcPr>
            <w:tcW w:w="3816"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主要内容</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分值</w:t>
            </w:r>
          </w:p>
        </w:tc>
      </w:tr>
      <w:tr>
        <w:tblPrEx>
          <w:tblCellMar>
            <w:top w:w="15" w:type="dxa"/>
            <w:left w:w="15" w:type="dxa"/>
            <w:bottom w:w="15" w:type="dxa"/>
            <w:right w:w="15" w:type="dxa"/>
          </w:tblCellMar>
        </w:tblPrEx>
        <w:trPr>
          <w:trHeight w:val="285" w:hRule="atLeast"/>
        </w:trPr>
        <w:tc>
          <w:tcPr>
            <w:tcW w:w="249" w:type="pct"/>
            <w:vMerge w:val="restart"/>
            <w:tcBorders>
              <w:left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521" w:type="pct"/>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公司实力</w:t>
            </w:r>
          </w:p>
        </w:tc>
        <w:tc>
          <w:tcPr>
            <w:tcW w:w="3816"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提供有效期内的高新技</w:t>
            </w:r>
            <w:r>
              <w:rPr>
                <w:rFonts w:hint="eastAsia" w:ascii="宋体" w:hAnsi="宋体" w:eastAsia="宋体" w:cs="宋体"/>
                <w:sz w:val="20"/>
                <w:szCs w:val="20"/>
              </w:rPr>
              <w:t>术企业认证、ISO9001质量管理体系认证、环境管理体系认证、职业健康安全管理体系认证证书；</w:t>
            </w:r>
            <w:r>
              <w:rPr>
                <w:rFonts w:hint="eastAsia" w:ascii="宋体" w:hAnsi="宋体" w:eastAsia="宋体" w:cs="宋体"/>
                <w:color w:val="000000"/>
                <w:sz w:val="20"/>
                <w:szCs w:val="20"/>
              </w:rPr>
              <w:t>每提供1个得0.5分，最高得2分。</w:t>
            </w:r>
          </w:p>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须提供在有效期内的证书扫描件加盖公章，原件备查。 </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0-2</w:t>
            </w:r>
          </w:p>
        </w:tc>
      </w:tr>
      <w:tr>
        <w:tblPrEx>
          <w:tblCellMar>
            <w:top w:w="15" w:type="dxa"/>
            <w:left w:w="15" w:type="dxa"/>
            <w:bottom w:w="15" w:type="dxa"/>
            <w:right w:w="15" w:type="dxa"/>
          </w:tblCellMar>
        </w:tblPrEx>
        <w:trPr>
          <w:trHeight w:val="615" w:hRule="atLeast"/>
        </w:trPr>
        <w:tc>
          <w:tcPr>
            <w:tcW w:w="249" w:type="pct"/>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521" w:type="pct"/>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381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提供数字化软件知识产权、著作权等证书：提供工业互联网和智能制造方向的工业PaaS（平台即服务）相关证书得0.5分；提供SCADA（数据采集与监视控制系统）或工业网关（数据采集）相关证书得0.5分；提供工厂业务管理软件（MES（制造执行系统</w:t>
            </w:r>
            <w:r>
              <w:rPr>
                <w:rFonts w:hint="eastAsia" w:ascii="宋体" w:hAnsi="宋体" w:eastAsia="宋体" w:cs="宋体"/>
                <w:color w:val="FF0000"/>
                <w:sz w:val="20"/>
                <w:szCs w:val="20"/>
              </w:rPr>
              <w:t>）</w:t>
            </w:r>
            <w:r>
              <w:rPr>
                <w:rFonts w:hint="eastAsia" w:ascii="宋体" w:hAnsi="宋体" w:eastAsia="宋体" w:cs="宋体"/>
                <w:color w:val="000000"/>
                <w:sz w:val="20"/>
                <w:szCs w:val="20"/>
              </w:rPr>
              <w:t>、EAM（设备管理系统）、EMS（能源管理系统）、WMS（制造业仓储管理系统）等）相关证书，每提供1个得0.5分，最高得1分。</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0-2</w:t>
            </w:r>
          </w:p>
        </w:tc>
      </w:tr>
      <w:tr>
        <w:tblPrEx>
          <w:tblCellMar>
            <w:top w:w="15" w:type="dxa"/>
            <w:left w:w="15" w:type="dxa"/>
            <w:bottom w:w="15" w:type="dxa"/>
            <w:right w:w="15" w:type="dxa"/>
          </w:tblCellMar>
        </w:tblPrEx>
        <w:trPr>
          <w:trHeight w:val="420" w:hRule="atLeast"/>
        </w:trPr>
        <w:tc>
          <w:tcPr>
            <w:tcW w:w="249" w:type="pct"/>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业绩</w:t>
            </w:r>
          </w:p>
        </w:tc>
        <w:tc>
          <w:tcPr>
            <w:tcW w:w="3816"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根据投标人提供的2019年10月1日至开标当日（以合同签订时间为准，框架合同以具体订单时间为准）所实施的区域工业互联网平台相关项目数量进行评审：区域工业互联网项目案例(1分)，每提供1个，得1分，最高得2分。须提供合同扫描件加盖公章。</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0-2</w:t>
            </w:r>
          </w:p>
        </w:tc>
      </w:tr>
      <w:tr>
        <w:tblPrEx>
          <w:tblCellMar>
            <w:top w:w="15" w:type="dxa"/>
            <w:left w:w="15" w:type="dxa"/>
            <w:bottom w:w="15" w:type="dxa"/>
            <w:right w:w="15" w:type="dxa"/>
          </w:tblCellMar>
        </w:tblPrEx>
        <w:trPr>
          <w:trHeight w:val="285" w:hRule="atLeast"/>
        </w:trPr>
        <w:tc>
          <w:tcPr>
            <w:tcW w:w="249" w:type="pct"/>
            <w:vMerge w:val="restart"/>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521" w:type="pct"/>
            <w:vMerge w:val="restart"/>
            <w:tcBorders>
              <w:left w:val="single" w:color="000000" w:sz="4" w:space="0"/>
              <w:right w:val="single" w:color="000000" w:sz="4" w:space="0"/>
            </w:tcBorders>
            <w:shd w:val="clear" w:color="auto" w:fill="auto"/>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技术方案</w:t>
            </w:r>
          </w:p>
        </w:tc>
        <w:tc>
          <w:tcPr>
            <w:tcW w:w="381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eastAsia="宋体" w:cs="宋体"/>
                <w:color w:val="000000"/>
                <w:sz w:val="20"/>
                <w:szCs w:val="20"/>
              </w:rPr>
            </w:pPr>
            <w:r>
              <w:rPr>
                <w:rFonts w:hint="eastAsia" w:ascii="宋体" w:hAnsi="宋体" w:cs="宋体"/>
                <w:color w:val="000000"/>
                <w:sz w:val="20"/>
                <w:szCs w:val="20"/>
                <w:lang w:eastAsia="zh-CN"/>
              </w:rPr>
              <w:t>根据</w:t>
            </w:r>
            <w:r>
              <w:rPr>
                <w:rFonts w:hint="eastAsia" w:ascii="宋体" w:hAnsi="宋体" w:eastAsia="宋体" w:cs="宋体"/>
                <w:color w:val="000000"/>
                <w:sz w:val="20"/>
                <w:szCs w:val="20"/>
              </w:rPr>
              <w:t>产业大脑架构、门户、技术体系、安全保障体系建设方案的合理性、先进性和创新性</w:t>
            </w:r>
            <w:r>
              <w:rPr>
                <w:rFonts w:hint="eastAsia" w:ascii="宋体" w:hAnsi="宋体" w:eastAsia="宋体" w:cs="宋体"/>
                <w:sz w:val="20"/>
                <w:szCs w:val="20"/>
                <w:lang w:eastAsia="zh-CN"/>
              </w:rPr>
              <w:t>进行打分，</w:t>
            </w:r>
            <w:r>
              <w:rPr>
                <w:rFonts w:hint="eastAsia" w:ascii="宋体" w:hAnsi="宋体" w:eastAsia="宋体" w:cs="宋体"/>
                <w:sz w:val="20"/>
                <w:szCs w:val="20"/>
                <w:lang w:val="en-US" w:eastAsia="zh-CN"/>
              </w:rPr>
              <w:t>0-</w:t>
            </w:r>
            <w:r>
              <w:rPr>
                <w:rFonts w:hint="eastAsia" w:ascii="宋体" w:hAnsi="宋体" w:cs="宋体"/>
                <w:sz w:val="20"/>
                <w:szCs w:val="20"/>
                <w:lang w:val="en-US" w:eastAsia="zh-CN"/>
              </w:rPr>
              <w:t>5</w:t>
            </w:r>
            <w:r>
              <w:rPr>
                <w:rFonts w:hint="eastAsia" w:ascii="宋体" w:hAnsi="宋体" w:eastAsia="宋体" w:cs="宋体"/>
                <w:sz w:val="20"/>
                <w:szCs w:val="20"/>
                <w:lang w:val="en-US" w:eastAsia="zh-CN"/>
              </w:rPr>
              <w:t>分</w:t>
            </w:r>
            <w:r>
              <w:rPr>
                <w:rFonts w:hint="eastAsia" w:ascii="宋体" w:hAnsi="宋体" w:cs="宋体"/>
                <w:sz w:val="20"/>
                <w:szCs w:val="20"/>
                <w:lang w:val="en-US" w:eastAsia="zh-CN"/>
              </w:rPr>
              <w:t>。</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rPr>
              <w:t>0-</w:t>
            </w:r>
            <w:r>
              <w:rPr>
                <w:rFonts w:hint="eastAsia" w:ascii="宋体" w:hAnsi="宋体" w:cs="宋体"/>
                <w:color w:val="auto"/>
                <w:sz w:val="20"/>
                <w:szCs w:val="20"/>
                <w:lang w:val="en-US" w:eastAsia="zh-CN"/>
              </w:rPr>
              <w:t>5</w:t>
            </w:r>
          </w:p>
        </w:tc>
      </w:tr>
      <w:tr>
        <w:tblPrEx>
          <w:tblCellMar>
            <w:top w:w="15" w:type="dxa"/>
            <w:left w:w="15" w:type="dxa"/>
            <w:bottom w:w="15" w:type="dxa"/>
            <w:right w:w="15" w:type="dxa"/>
          </w:tblCellMar>
        </w:tblPrEx>
        <w:trPr>
          <w:trHeight w:val="90" w:hRule="atLeast"/>
        </w:trPr>
        <w:tc>
          <w:tcPr>
            <w:tcW w:w="249" w:type="pct"/>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521" w:type="pct"/>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381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eastAsia="宋体" w:cs="宋体"/>
                <w:color w:val="000000"/>
                <w:sz w:val="20"/>
                <w:szCs w:val="20"/>
                <w:lang w:val="en-US" w:eastAsia="zh-CN"/>
              </w:rPr>
            </w:pPr>
            <w:r>
              <w:rPr>
                <w:rFonts w:hint="eastAsia" w:ascii="宋体" w:hAnsi="宋体" w:cs="宋体"/>
                <w:sz w:val="20"/>
                <w:szCs w:val="20"/>
                <w:lang w:eastAsia="zh-CN"/>
              </w:rPr>
              <w:t>根据</w:t>
            </w:r>
            <w:r>
              <w:rPr>
                <w:rFonts w:hint="eastAsia" w:ascii="宋体" w:hAnsi="宋体" w:eastAsia="宋体" w:cs="宋体"/>
                <w:sz w:val="20"/>
                <w:szCs w:val="20"/>
              </w:rPr>
              <w:t>产业大脑应用场景建设厨电行业经验、方案的合理性、先进性和创新性</w:t>
            </w:r>
            <w:r>
              <w:rPr>
                <w:rFonts w:hint="eastAsia" w:ascii="宋体" w:hAnsi="宋体" w:eastAsia="宋体" w:cs="宋体"/>
                <w:sz w:val="20"/>
                <w:szCs w:val="20"/>
                <w:lang w:eastAsia="zh-CN"/>
              </w:rPr>
              <w:t>进行打分，</w:t>
            </w:r>
            <w:r>
              <w:rPr>
                <w:rFonts w:hint="eastAsia" w:ascii="宋体" w:hAnsi="宋体" w:eastAsia="宋体" w:cs="宋体"/>
                <w:sz w:val="20"/>
                <w:szCs w:val="20"/>
                <w:lang w:val="en-US" w:eastAsia="zh-CN"/>
              </w:rPr>
              <w:t>0-</w:t>
            </w:r>
            <w:r>
              <w:rPr>
                <w:rFonts w:hint="eastAsia" w:ascii="宋体" w:hAnsi="宋体" w:cs="宋体"/>
                <w:sz w:val="20"/>
                <w:szCs w:val="20"/>
                <w:lang w:val="en-US" w:eastAsia="zh-CN"/>
              </w:rPr>
              <w:t>5</w:t>
            </w:r>
            <w:r>
              <w:rPr>
                <w:rFonts w:hint="eastAsia" w:ascii="宋体" w:hAnsi="宋体" w:eastAsia="宋体" w:cs="宋体"/>
                <w:sz w:val="20"/>
                <w:szCs w:val="20"/>
                <w:lang w:val="en-US" w:eastAsia="zh-CN"/>
              </w:rPr>
              <w:t>分</w:t>
            </w:r>
            <w:r>
              <w:rPr>
                <w:rFonts w:hint="eastAsia" w:ascii="宋体" w:hAnsi="宋体" w:cs="宋体"/>
                <w:sz w:val="20"/>
                <w:szCs w:val="20"/>
                <w:lang w:val="en-US" w:eastAsia="zh-CN"/>
              </w:rPr>
              <w:t>。</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rPr>
              <w:t>0-</w:t>
            </w:r>
            <w:r>
              <w:rPr>
                <w:rFonts w:hint="eastAsia" w:ascii="宋体" w:hAnsi="宋体" w:cs="宋体"/>
                <w:color w:val="auto"/>
                <w:sz w:val="20"/>
                <w:szCs w:val="20"/>
                <w:lang w:val="en-US" w:eastAsia="zh-CN"/>
              </w:rPr>
              <w:t>5</w:t>
            </w:r>
          </w:p>
        </w:tc>
      </w:tr>
      <w:tr>
        <w:tblPrEx>
          <w:tblCellMar>
            <w:top w:w="15" w:type="dxa"/>
            <w:left w:w="15" w:type="dxa"/>
            <w:bottom w:w="15" w:type="dxa"/>
            <w:right w:w="15" w:type="dxa"/>
          </w:tblCellMar>
        </w:tblPrEx>
        <w:trPr>
          <w:trHeight w:val="285" w:hRule="atLeast"/>
        </w:trPr>
        <w:tc>
          <w:tcPr>
            <w:tcW w:w="249" w:type="pct"/>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521" w:type="pct"/>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381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结合相关项目建设经验，提出合理化建议的可行性、先进性和创新性</w:t>
            </w:r>
            <w:r>
              <w:rPr>
                <w:rFonts w:hint="eastAsia" w:ascii="宋体" w:hAnsi="宋体" w:eastAsia="宋体" w:cs="宋体"/>
                <w:color w:val="000000"/>
                <w:sz w:val="20"/>
                <w:szCs w:val="20"/>
                <w:lang w:eastAsia="zh-CN"/>
              </w:rPr>
              <w:t>进行打分，</w:t>
            </w:r>
            <w:r>
              <w:rPr>
                <w:rFonts w:hint="eastAsia" w:ascii="宋体" w:hAnsi="宋体" w:eastAsia="宋体" w:cs="宋体"/>
                <w:color w:val="000000"/>
                <w:sz w:val="20"/>
                <w:szCs w:val="20"/>
                <w:lang w:val="en-US" w:eastAsia="zh-CN"/>
              </w:rPr>
              <w:t>0-</w:t>
            </w:r>
            <w:r>
              <w:rPr>
                <w:rFonts w:hint="eastAsia" w:ascii="宋体" w:hAnsi="宋体" w:cs="宋体"/>
                <w:color w:val="000000"/>
                <w:sz w:val="20"/>
                <w:szCs w:val="20"/>
                <w:lang w:val="en-US" w:eastAsia="zh-CN"/>
              </w:rPr>
              <w:t>5</w:t>
            </w:r>
            <w:r>
              <w:rPr>
                <w:rFonts w:hint="eastAsia" w:ascii="宋体" w:hAnsi="宋体" w:eastAsia="宋体" w:cs="宋体"/>
                <w:color w:val="000000"/>
                <w:sz w:val="20"/>
                <w:szCs w:val="20"/>
                <w:lang w:val="en-US" w:eastAsia="zh-CN"/>
              </w:rPr>
              <w:t>分</w:t>
            </w:r>
            <w:r>
              <w:rPr>
                <w:rFonts w:hint="eastAsia" w:ascii="宋体" w:hAnsi="宋体" w:cs="宋体"/>
                <w:color w:val="000000"/>
                <w:sz w:val="20"/>
                <w:szCs w:val="20"/>
                <w:lang w:val="en-US" w:eastAsia="zh-CN"/>
              </w:rPr>
              <w:t>。</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rPr>
              <w:t>0-</w:t>
            </w:r>
            <w:r>
              <w:rPr>
                <w:rFonts w:hint="eastAsia" w:ascii="宋体" w:hAnsi="宋体" w:cs="宋体"/>
                <w:color w:val="auto"/>
                <w:sz w:val="20"/>
                <w:szCs w:val="20"/>
                <w:lang w:val="en-US" w:eastAsia="zh-CN"/>
              </w:rPr>
              <w:t>5</w:t>
            </w:r>
          </w:p>
        </w:tc>
      </w:tr>
      <w:tr>
        <w:tblPrEx>
          <w:tblCellMar>
            <w:top w:w="15" w:type="dxa"/>
            <w:left w:w="15" w:type="dxa"/>
            <w:bottom w:w="15" w:type="dxa"/>
            <w:right w:w="15" w:type="dxa"/>
          </w:tblCellMar>
        </w:tblPrEx>
        <w:trPr>
          <w:trHeight w:val="285" w:hRule="atLeast"/>
        </w:trPr>
        <w:tc>
          <w:tcPr>
            <w:tcW w:w="249" w:type="pct"/>
            <w:vMerge w:val="restart"/>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w:t>
            </w:r>
          </w:p>
        </w:tc>
        <w:tc>
          <w:tcPr>
            <w:tcW w:w="521" w:type="pct"/>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系统及云资源安全</w:t>
            </w:r>
          </w:p>
        </w:tc>
        <w:tc>
          <w:tcPr>
            <w:tcW w:w="381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具备信息系统建设和服务能力登记CS2及以上，得1分，否则不得分。需提供证明材料</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ind w:firstLine="203" w:firstLineChars="100"/>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0-1</w:t>
            </w:r>
          </w:p>
        </w:tc>
      </w:tr>
      <w:tr>
        <w:tblPrEx>
          <w:tblCellMar>
            <w:top w:w="15" w:type="dxa"/>
            <w:left w:w="15" w:type="dxa"/>
            <w:bottom w:w="15" w:type="dxa"/>
            <w:right w:w="15" w:type="dxa"/>
          </w:tblCellMar>
        </w:tblPrEx>
        <w:trPr>
          <w:trHeight w:val="285" w:hRule="atLeast"/>
        </w:trPr>
        <w:tc>
          <w:tcPr>
            <w:tcW w:w="249" w:type="pct"/>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521" w:type="pct"/>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381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云资源</w:t>
            </w:r>
            <w:r>
              <w:rPr>
                <w:rFonts w:hint="eastAsia" w:ascii="宋体" w:hAnsi="宋体" w:eastAsia="宋体" w:cs="宋体"/>
                <w:color w:val="000000"/>
                <w:sz w:val="20"/>
                <w:szCs w:val="20"/>
              </w:rPr>
              <w:t>平台具备信息安全管理体系认证、信息技术服务管理体系认证</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云服务企业综合信用水平评估AAA级，</w:t>
            </w:r>
            <w:r>
              <w:rPr>
                <w:rFonts w:hint="eastAsia" w:ascii="宋体" w:hAnsi="宋体" w:eastAsia="宋体" w:cs="宋体"/>
                <w:color w:val="000000"/>
                <w:sz w:val="20"/>
                <w:szCs w:val="20"/>
              </w:rPr>
              <w:t>每提供1个得</w:t>
            </w:r>
            <w:r>
              <w:rPr>
                <w:rFonts w:hint="eastAsia" w:ascii="宋体" w:hAnsi="宋体" w:cs="宋体"/>
                <w:color w:val="000000"/>
                <w:sz w:val="20"/>
                <w:szCs w:val="20"/>
                <w:lang w:val="en-US" w:eastAsia="zh-CN"/>
              </w:rPr>
              <w:t>1</w:t>
            </w:r>
            <w:r>
              <w:rPr>
                <w:rFonts w:hint="eastAsia" w:ascii="宋体" w:hAnsi="宋体" w:eastAsia="宋体" w:cs="宋体"/>
                <w:color w:val="000000"/>
                <w:sz w:val="20"/>
                <w:szCs w:val="20"/>
              </w:rPr>
              <w:t>分，</w:t>
            </w:r>
            <w:r>
              <w:rPr>
                <w:rFonts w:hint="eastAsia" w:ascii="宋体" w:hAnsi="宋体" w:cs="宋体"/>
                <w:color w:val="000000"/>
                <w:sz w:val="20"/>
                <w:szCs w:val="20"/>
                <w:lang w:val="en-US" w:eastAsia="zh-CN"/>
              </w:rPr>
              <w:t>最高得3分</w:t>
            </w:r>
            <w:r>
              <w:rPr>
                <w:rFonts w:hint="eastAsia" w:ascii="宋体" w:hAnsi="宋体" w:eastAsia="宋体" w:cs="宋体"/>
                <w:color w:val="000000"/>
                <w:sz w:val="20"/>
                <w:szCs w:val="20"/>
              </w:rPr>
              <w:t>。需提供证明材料</w:t>
            </w:r>
            <w:r>
              <w:rPr>
                <w:rFonts w:hint="eastAsia" w:ascii="宋体" w:hAnsi="宋体" w:eastAsia="宋体" w:cs="宋体"/>
                <w:color w:val="000000"/>
                <w:sz w:val="20"/>
                <w:szCs w:val="20"/>
                <w:lang w:eastAsia="zh-CN"/>
              </w:rPr>
              <w:t>。</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0-</w:t>
            </w:r>
            <w:r>
              <w:rPr>
                <w:rFonts w:hint="eastAsia" w:ascii="宋体" w:hAnsi="宋体" w:cs="宋体"/>
                <w:color w:val="000000"/>
                <w:sz w:val="20"/>
                <w:szCs w:val="20"/>
                <w:lang w:val="en-US" w:eastAsia="zh-CN"/>
              </w:rPr>
              <w:t>3</w:t>
            </w:r>
          </w:p>
        </w:tc>
      </w:tr>
      <w:tr>
        <w:tblPrEx>
          <w:tblCellMar>
            <w:top w:w="15" w:type="dxa"/>
            <w:left w:w="15" w:type="dxa"/>
            <w:bottom w:w="15" w:type="dxa"/>
            <w:right w:w="15" w:type="dxa"/>
          </w:tblCellMar>
        </w:tblPrEx>
        <w:trPr>
          <w:trHeight w:val="420" w:hRule="atLeast"/>
        </w:trPr>
        <w:tc>
          <w:tcPr>
            <w:tcW w:w="249" w:type="pct"/>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521" w:type="pct"/>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381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云资源</w:t>
            </w:r>
            <w:r>
              <w:rPr>
                <w:rFonts w:hint="eastAsia" w:ascii="宋体" w:hAnsi="宋体" w:eastAsia="宋体" w:cs="宋体"/>
                <w:color w:val="000000"/>
                <w:sz w:val="20"/>
                <w:szCs w:val="20"/>
              </w:rPr>
              <w:t>平台满足GB/T 25070-2019 信息安全技术网络安全等级保护</w:t>
            </w:r>
            <w:r>
              <w:rPr>
                <w:rFonts w:hint="eastAsia" w:ascii="宋体" w:hAnsi="宋体" w:cs="宋体"/>
                <w:color w:val="000000"/>
                <w:sz w:val="20"/>
                <w:szCs w:val="20"/>
                <w:lang w:val="en-US" w:eastAsia="zh-CN"/>
              </w:rPr>
              <w:t>三级</w:t>
            </w:r>
            <w:r>
              <w:rPr>
                <w:rFonts w:hint="eastAsia" w:ascii="宋体" w:hAnsi="宋体" w:eastAsia="宋体" w:cs="宋体"/>
                <w:color w:val="000000"/>
                <w:sz w:val="20"/>
                <w:szCs w:val="20"/>
              </w:rPr>
              <w:t>安全设计要求得1分。选用的云资源</w:t>
            </w:r>
            <w:r>
              <w:rPr>
                <w:rFonts w:hint="eastAsia" w:ascii="宋体" w:hAnsi="宋体" w:cs="宋体"/>
                <w:color w:val="000000"/>
                <w:sz w:val="20"/>
                <w:szCs w:val="20"/>
                <w:lang w:val="en-US" w:eastAsia="zh-CN"/>
              </w:rPr>
              <w:t>平台</w:t>
            </w:r>
            <w:r>
              <w:rPr>
                <w:rFonts w:hint="eastAsia" w:ascii="宋体" w:hAnsi="宋体" w:eastAsia="宋体" w:cs="宋体"/>
                <w:color w:val="000000"/>
                <w:sz w:val="20"/>
                <w:szCs w:val="20"/>
              </w:rPr>
              <w:t>具备</w:t>
            </w:r>
            <w:r>
              <w:rPr>
                <w:rFonts w:hint="eastAsia" w:ascii="宋体" w:hAnsi="宋体" w:cs="宋体"/>
                <w:color w:val="000000"/>
                <w:sz w:val="20"/>
                <w:szCs w:val="20"/>
                <w:lang w:val="en-US" w:eastAsia="zh-CN"/>
              </w:rPr>
              <w:t>云主机服务5星+、</w:t>
            </w:r>
            <w:r>
              <w:rPr>
                <w:rFonts w:hint="eastAsia" w:ascii="宋体" w:hAnsi="宋体" w:eastAsia="宋体" w:cs="宋体"/>
                <w:color w:val="000000"/>
                <w:sz w:val="20"/>
                <w:szCs w:val="20"/>
              </w:rPr>
              <w:t>GPU云主机</w:t>
            </w:r>
            <w:r>
              <w:rPr>
                <w:rFonts w:hint="eastAsia" w:ascii="宋体" w:hAnsi="宋体" w:eastAsia="宋体" w:cs="宋体"/>
                <w:color w:val="000000"/>
                <w:sz w:val="20"/>
                <w:szCs w:val="20"/>
                <w:lang w:val="en-US" w:eastAsia="zh-CN"/>
              </w:rPr>
              <w:t>服务</w:t>
            </w:r>
            <w:r>
              <w:rPr>
                <w:rFonts w:hint="eastAsia" w:ascii="宋体" w:hAnsi="宋体" w:eastAsia="宋体" w:cs="宋体"/>
                <w:color w:val="000000"/>
                <w:sz w:val="20"/>
                <w:szCs w:val="20"/>
              </w:rPr>
              <w:t>、物理</w:t>
            </w:r>
            <w:r>
              <w:rPr>
                <w:rFonts w:hint="eastAsia" w:ascii="宋体" w:hAnsi="宋体" w:eastAsia="宋体" w:cs="宋体"/>
                <w:color w:val="000000"/>
                <w:sz w:val="20"/>
                <w:szCs w:val="20"/>
                <w:lang w:val="en-US" w:eastAsia="zh-CN"/>
              </w:rPr>
              <w:t>云主机服务</w:t>
            </w:r>
            <w:r>
              <w:rPr>
                <w:rFonts w:hint="eastAsia" w:ascii="宋体" w:hAnsi="宋体" w:eastAsia="宋体" w:cs="宋体"/>
                <w:color w:val="000000"/>
                <w:sz w:val="20"/>
                <w:szCs w:val="20"/>
              </w:rPr>
              <w:t>、块存储</w:t>
            </w:r>
            <w:r>
              <w:rPr>
                <w:rFonts w:hint="eastAsia" w:ascii="宋体" w:hAnsi="宋体" w:eastAsia="宋体" w:cs="宋体"/>
                <w:color w:val="000000"/>
                <w:sz w:val="20"/>
                <w:szCs w:val="20"/>
                <w:lang w:val="en-US" w:eastAsia="zh-CN"/>
              </w:rPr>
              <w:t>服务</w:t>
            </w: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本地</w:t>
            </w:r>
            <w:r>
              <w:rPr>
                <w:rFonts w:hint="eastAsia" w:ascii="宋体" w:hAnsi="宋体" w:eastAsia="宋体" w:cs="宋体"/>
                <w:color w:val="000000"/>
                <w:sz w:val="20"/>
                <w:szCs w:val="20"/>
              </w:rPr>
              <w:t>负载均衡</w:t>
            </w:r>
            <w:r>
              <w:rPr>
                <w:rFonts w:hint="eastAsia" w:ascii="宋体" w:hAnsi="宋体" w:eastAsia="宋体" w:cs="宋体"/>
                <w:color w:val="000000"/>
                <w:sz w:val="20"/>
                <w:szCs w:val="20"/>
                <w:lang w:val="en-US" w:eastAsia="zh-CN"/>
              </w:rPr>
              <w:t>服务</w:t>
            </w: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超融合</w:t>
            </w:r>
            <w:r>
              <w:rPr>
                <w:rFonts w:hint="eastAsia" w:ascii="宋体" w:hAnsi="宋体" w:eastAsia="宋体" w:cs="宋体"/>
                <w:color w:val="000000"/>
                <w:sz w:val="20"/>
                <w:szCs w:val="20"/>
              </w:rPr>
              <w:t>边缘一体机能力，</w:t>
            </w:r>
            <w:r>
              <w:rPr>
                <w:rFonts w:hint="eastAsia" w:ascii="宋体" w:hAnsi="宋体" w:eastAsia="宋体" w:cs="宋体"/>
                <w:color w:val="000000"/>
                <w:sz w:val="20"/>
                <w:szCs w:val="20"/>
                <w:highlight w:val="none"/>
              </w:rPr>
              <w:t>每项得1分</w:t>
            </w:r>
            <w:r>
              <w:rPr>
                <w:rFonts w:hint="eastAsia" w:ascii="宋体" w:hAnsi="宋体" w:cs="宋体"/>
                <w:color w:val="000000"/>
                <w:sz w:val="20"/>
                <w:szCs w:val="20"/>
                <w:highlight w:val="none"/>
                <w:lang w:eastAsia="zh-CN"/>
              </w:rPr>
              <w:t>，</w:t>
            </w:r>
            <w:r>
              <w:rPr>
                <w:rFonts w:hint="eastAsia" w:ascii="宋体" w:hAnsi="宋体" w:eastAsia="宋体" w:cs="宋体"/>
                <w:color w:val="000000"/>
                <w:sz w:val="20"/>
                <w:szCs w:val="20"/>
                <w:highlight w:val="none"/>
              </w:rPr>
              <w:t>且</w:t>
            </w:r>
            <w:r>
              <w:rPr>
                <w:rFonts w:hint="eastAsia" w:ascii="宋体" w:hAnsi="宋体" w:cs="宋体"/>
                <w:color w:val="000000"/>
                <w:sz w:val="20"/>
                <w:szCs w:val="20"/>
                <w:highlight w:val="none"/>
                <w:lang w:eastAsia="zh-CN"/>
              </w:rPr>
              <w:t>必须</w:t>
            </w:r>
            <w:r>
              <w:rPr>
                <w:rFonts w:hint="eastAsia" w:ascii="宋体" w:hAnsi="宋体" w:eastAsia="宋体" w:cs="宋体"/>
                <w:color w:val="000000"/>
                <w:sz w:val="20"/>
                <w:szCs w:val="20"/>
                <w:highlight w:val="none"/>
              </w:rPr>
              <w:t>得到可信云认证，</w:t>
            </w:r>
            <w:r>
              <w:rPr>
                <w:rFonts w:hint="eastAsia" w:ascii="宋体" w:hAnsi="宋体" w:cs="宋体"/>
                <w:color w:val="000000"/>
                <w:sz w:val="20"/>
                <w:szCs w:val="20"/>
                <w:highlight w:val="none"/>
                <w:lang w:eastAsia="zh-CN"/>
              </w:rPr>
              <w:t>否则不得分</w:t>
            </w:r>
            <w:r>
              <w:rPr>
                <w:rFonts w:hint="eastAsia" w:ascii="宋体" w:hAnsi="宋体" w:eastAsia="宋体" w:cs="宋体"/>
                <w:color w:val="000000"/>
                <w:sz w:val="20"/>
                <w:szCs w:val="20"/>
                <w:highlight w:val="none"/>
              </w:rPr>
              <w:t>。需提供证明材料</w:t>
            </w:r>
            <w:r>
              <w:rPr>
                <w:rFonts w:hint="eastAsia" w:ascii="宋体" w:hAnsi="宋体" w:eastAsia="宋体" w:cs="宋体"/>
                <w:color w:val="000000"/>
                <w:sz w:val="20"/>
                <w:szCs w:val="20"/>
                <w:highlight w:val="none"/>
                <w:lang w:eastAsia="zh-CN"/>
              </w:rPr>
              <w:t>。</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0-</w:t>
            </w:r>
            <w:r>
              <w:rPr>
                <w:rFonts w:hint="eastAsia" w:ascii="宋体" w:hAnsi="宋体" w:cs="宋体"/>
                <w:color w:val="000000"/>
                <w:sz w:val="20"/>
                <w:szCs w:val="20"/>
                <w:lang w:val="en-US" w:eastAsia="zh-CN"/>
              </w:rPr>
              <w:t>7</w:t>
            </w:r>
          </w:p>
        </w:tc>
      </w:tr>
      <w:tr>
        <w:tblPrEx>
          <w:tblCellMar>
            <w:top w:w="15" w:type="dxa"/>
            <w:left w:w="15" w:type="dxa"/>
            <w:bottom w:w="15" w:type="dxa"/>
            <w:right w:w="15" w:type="dxa"/>
          </w:tblCellMar>
        </w:tblPrEx>
        <w:trPr>
          <w:trHeight w:val="285" w:hRule="atLeast"/>
        </w:trPr>
        <w:tc>
          <w:tcPr>
            <w:tcW w:w="249" w:type="pct"/>
            <w:vMerge w:val="restart"/>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w:t>
            </w:r>
          </w:p>
        </w:tc>
        <w:tc>
          <w:tcPr>
            <w:tcW w:w="521" w:type="pct"/>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技术指标</w:t>
            </w:r>
          </w:p>
        </w:tc>
        <w:tc>
          <w:tcPr>
            <w:tcW w:w="381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rPr>
              <w:t>数据采集和协议支持能力</w:t>
            </w:r>
            <w:r>
              <w:rPr>
                <w:rFonts w:hint="eastAsia" w:ascii="宋体" w:hAnsi="宋体" w:eastAsia="宋体" w:cs="宋体"/>
                <w:color w:val="000000"/>
                <w:sz w:val="20"/>
                <w:szCs w:val="20"/>
                <w:highlight w:val="none"/>
                <w:lang w:eastAsia="zh-CN"/>
              </w:rPr>
              <w:t>，且</w:t>
            </w:r>
            <w:r>
              <w:rPr>
                <w:rFonts w:hint="eastAsia" w:ascii="宋体" w:hAnsi="宋体" w:eastAsia="宋体" w:cs="宋体"/>
                <w:color w:val="000000"/>
                <w:sz w:val="20"/>
                <w:szCs w:val="20"/>
                <w:highlight w:val="none"/>
              </w:rPr>
              <w:t>对数据进行高效压缩，数据压缩比可达10:1以上</w:t>
            </w:r>
            <w:r>
              <w:rPr>
                <w:rFonts w:hint="eastAsia" w:ascii="宋体" w:hAnsi="宋体" w:eastAsia="宋体" w:cs="宋体"/>
                <w:color w:val="000000"/>
                <w:sz w:val="20"/>
                <w:szCs w:val="20"/>
                <w:highlight w:val="none"/>
                <w:lang w:eastAsia="zh-CN"/>
              </w:rPr>
              <w:t>的得</w:t>
            </w:r>
            <w:r>
              <w:rPr>
                <w:rFonts w:hint="eastAsia" w:ascii="宋体" w:hAnsi="宋体" w:cs="宋体"/>
                <w:color w:val="000000"/>
                <w:sz w:val="20"/>
                <w:szCs w:val="20"/>
                <w:highlight w:val="none"/>
                <w:lang w:val="en-US" w:eastAsia="zh-CN"/>
              </w:rPr>
              <w:t>1</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r>
              <w:rPr>
                <w:rFonts w:hint="eastAsia" w:ascii="宋体" w:hAnsi="宋体" w:eastAsia="宋体" w:cs="宋体"/>
                <w:color w:val="000000"/>
                <w:sz w:val="20"/>
                <w:szCs w:val="20"/>
                <w:highlight w:val="none"/>
              </w:rPr>
              <w:t>需提供证明材料</w:t>
            </w:r>
            <w:r>
              <w:rPr>
                <w:rFonts w:hint="eastAsia" w:ascii="宋体" w:hAnsi="宋体" w:eastAsia="宋体" w:cs="宋体"/>
                <w:color w:val="000000"/>
                <w:sz w:val="20"/>
                <w:szCs w:val="20"/>
                <w:highlight w:val="none"/>
                <w:lang w:eastAsia="zh-CN"/>
              </w:rPr>
              <w:t>。</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0-1</w:t>
            </w:r>
          </w:p>
        </w:tc>
      </w:tr>
      <w:tr>
        <w:tblPrEx>
          <w:tblCellMar>
            <w:top w:w="15" w:type="dxa"/>
            <w:left w:w="15" w:type="dxa"/>
            <w:bottom w:w="15" w:type="dxa"/>
            <w:right w:w="15" w:type="dxa"/>
          </w:tblCellMar>
        </w:tblPrEx>
        <w:trPr>
          <w:trHeight w:val="285" w:hRule="atLeast"/>
        </w:trPr>
        <w:tc>
          <w:tcPr>
            <w:tcW w:w="249" w:type="pct"/>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521" w:type="pct"/>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381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rPr>
              <w:t>需要满足1000个实时清洗任务同时进行、100个批量清洗任务同时进行，全部满足得1分，不满足或未提供材料得0分</w:t>
            </w:r>
            <w:r>
              <w:rPr>
                <w:rFonts w:hint="eastAsia" w:ascii="宋体" w:hAnsi="宋体" w:cs="宋体"/>
                <w:color w:val="000000"/>
                <w:sz w:val="20"/>
                <w:szCs w:val="20"/>
                <w:highlight w:val="none"/>
                <w:lang w:eastAsia="zh-CN"/>
              </w:rPr>
              <w:t>，</w:t>
            </w:r>
            <w:r>
              <w:rPr>
                <w:rFonts w:hint="eastAsia" w:ascii="宋体" w:hAnsi="宋体" w:eastAsia="宋体" w:cs="宋体"/>
                <w:color w:val="000000"/>
                <w:sz w:val="20"/>
                <w:szCs w:val="20"/>
                <w:highlight w:val="none"/>
              </w:rPr>
              <w:t>需提供证明材料</w:t>
            </w:r>
            <w:r>
              <w:rPr>
                <w:rFonts w:hint="eastAsia" w:ascii="宋体" w:hAnsi="宋体" w:eastAsia="宋体" w:cs="宋体"/>
                <w:color w:val="000000"/>
                <w:sz w:val="20"/>
                <w:szCs w:val="20"/>
                <w:highlight w:val="none"/>
                <w:lang w:eastAsia="zh-CN"/>
              </w:rPr>
              <w:t>。</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0-1</w:t>
            </w:r>
          </w:p>
        </w:tc>
      </w:tr>
      <w:tr>
        <w:tblPrEx>
          <w:tblCellMar>
            <w:top w:w="15" w:type="dxa"/>
            <w:left w:w="15" w:type="dxa"/>
            <w:bottom w:w="15" w:type="dxa"/>
            <w:right w:w="15" w:type="dxa"/>
          </w:tblCellMar>
        </w:tblPrEx>
        <w:trPr>
          <w:trHeight w:val="285" w:hRule="atLeast"/>
        </w:trPr>
        <w:tc>
          <w:tcPr>
            <w:tcW w:w="249" w:type="pct"/>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521" w:type="pct"/>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000000"/>
                <w:sz w:val="20"/>
                <w:szCs w:val="20"/>
              </w:rPr>
            </w:pPr>
          </w:p>
        </w:tc>
        <w:tc>
          <w:tcPr>
            <w:tcW w:w="381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eastAsia="宋体" w:cs="宋体"/>
                <w:color w:val="000000"/>
                <w:sz w:val="20"/>
                <w:szCs w:val="20"/>
                <w:highlight w:val="yellow"/>
                <w:lang w:eastAsia="zh-CN"/>
              </w:rPr>
            </w:pPr>
            <w:r>
              <w:rPr>
                <w:rFonts w:hint="eastAsia" w:ascii="宋体" w:hAnsi="宋体" w:eastAsia="宋体" w:cs="宋体"/>
                <w:color w:val="000000"/>
                <w:sz w:val="20"/>
                <w:szCs w:val="20"/>
                <w:highlight w:val="none"/>
              </w:rPr>
              <w:t>机理模型库需要提供不少于40个机理模型，需提供详细清单，需覆盖诊断机理、工艺机理、控制机理、设备机理，全部满足得1分；否则得0分</w:t>
            </w:r>
            <w:r>
              <w:rPr>
                <w:rFonts w:hint="eastAsia" w:ascii="宋体" w:hAnsi="宋体" w:cs="宋体"/>
                <w:color w:val="000000"/>
                <w:sz w:val="20"/>
                <w:szCs w:val="20"/>
                <w:highlight w:val="none"/>
                <w:lang w:eastAsia="zh-CN"/>
              </w:rPr>
              <w:t>，</w:t>
            </w:r>
            <w:r>
              <w:rPr>
                <w:rFonts w:hint="eastAsia" w:ascii="宋体" w:hAnsi="宋体" w:eastAsia="宋体" w:cs="宋体"/>
                <w:color w:val="000000"/>
                <w:sz w:val="20"/>
                <w:szCs w:val="20"/>
                <w:highlight w:val="none"/>
              </w:rPr>
              <w:t>需提供证明材料</w:t>
            </w:r>
            <w:r>
              <w:rPr>
                <w:rFonts w:hint="eastAsia" w:ascii="宋体" w:hAnsi="宋体" w:eastAsia="宋体" w:cs="宋体"/>
                <w:color w:val="000000"/>
                <w:sz w:val="20"/>
                <w:szCs w:val="20"/>
                <w:highlight w:val="none"/>
                <w:lang w:eastAsia="zh-CN"/>
              </w:rPr>
              <w:t>。</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0-1</w:t>
            </w:r>
          </w:p>
        </w:tc>
      </w:tr>
      <w:tr>
        <w:tblPrEx>
          <w:tblCellMar>
            <w:top w:w="15" w:type="dxa"/>
            <w:left w:w="15" w:type="dxa"/>
            <w:bottom w:w="15" w:type="dxa"/>
            <w:right w:w="15" w:type="dxa"/>
          </w:tblCellMar>
        </w:tblPrEx>
        <w:trPr>
          <w:trHeight w:val="285" w:hRule="atLeast"/>
        </w:trPr>
        <w:tc>
          <w:tcPr>
            <w:tcW w:w="249" w:type="pct"/>
            <w:vMerge w:val="restart"/>
            <w:tcBorders>
              <w:left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w:t>
            </w:r>
          </w:p>
        </w:tc>
        <w:tc>
          <w:tcPr>
            <w:tcW w:w="521" w:type="pct"/>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项目团队</w:t>
            </w:r>
          </w:p>
        </w:tc>
        <w:tc>
          <w:tcPr>
            <w:tcW w:w="3816"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宋体" w:hAnsi="宋体" w:eastAsia="宋体" w:cs="宋体"/>
                <w:color w:val="000000"/>
                <w:sz w:val="20"/>
                <w:szCs w:val="20"/>
                <w:highlight w:val="none"/>
                <w:lang w:val="en-US"/>
              </w:rPr>
            </w:pPr>
            <w:r>
              <w:rPr>
                <w:rFonts w:hint="eastAsia" w:ascii="宋体" w:hAnsi="宋体" w:eastAsia="宋体" w:cs="宋体"/>
                <w:color w:val="000000"/>
                <w:sz w:val="20"/>
                <w:szCs w:val="20"/>
                <w:highlight w:val="none"/>
                <w:lang w:eastAsia="zh-CN"/>
              </w:rPr>
              <w:t>项目负责人具有高级信息系统项目管理师、阿里ACE云计算专家、软件设计师证书的，每</w:t>
            </w:r>
            <w:r>
              <w:rPr>
                <w:rFonts w:hint="eastAsia" w:ascii="宋体" w:hAnsi="宋体" w:cs="宋体"/>
                <w:color w:val="000000"/>
                <w:sz w:val="20"/>
                <w:szCs w:val="20"/>
                <w:highlight w:val="none"/>
                <w:lang w:eastAsia="zh-CN"/>
              </w:rPr>
              <w:t>提供</w:t>
            </w:r>
            <w:r>
              <w:rPr>
                <w:rFonts w:hint="eastAsia" w:ascii="宋体" w:hAnsi="宋体" w:eastAsia="宋体" w:cs="宋体"/>
                <w:color w:val="000000"/>
                <w:sz w:val="20"/>
                <w:szCs w:val="20"/>
                <w:highlight w:val="none"/>
                <w:lang w:eastAsia="zh-CN"/>
              </w:rPr>
              <w:t>1本证书得</w:t>
            </w:r>
            <w:r>
              <w:rPr>
                <w:rFonts w:hint="eastAsia" w:ascii="宋体" w:hAnsi="宋体" w:eastAsia="宋体" w:cs="宋体"/>
                <w:color w:val="000000"/>
                <w:sz w:val="20"/>
                <w:szCs w:val="20"/>
                <w:highlight w:val="none"/>
                <w:lang w:val="en-US" w:eastAsia="zh-CN"/>
              </w:rPr>
              <w:t>1分</w:t>
            </w:r>
            <w:r>
              <w:rPr>
                <w:rFonts w:hint="eastAsia" w:ascii="宋体" w:hAnsi="宋体" w:cs="宋体"/>
                <w:color w:val="000000"/>
                <w:sz w:val="20"/>
                <w:szCs w:val="20"/>
                <w:highlight w:val="none"/>
                <w:lang w:val="en-US" w:eastAsia="zh-CN"/>
              </w:rPr>
              <w:t>，最高得3分。</w:t>
            </w:r>
          </w:p>
          <w:p>
            <w:pPr>
              <w:textAlignment w:val="center"/>
              <w:rPr>
                <w:rFonts w:hint="eastAsia" w:ascii="宋体" w:hAnsi="宋体" w:eastAsia="宋体" w:cs="宋体"/>
                <w:color w:val="FF0000"/>
                <w:sz w:val="20"/>
                <w:szCs w:val="20"/>
                <w:lang w:eastAsia="zh-CN"/>
              </w:rPr>
            </w:pPr>
            <w:r>
              <w:rPr>
                <w:rFonts w:hint="eastAsia" w:ascii="宋体" w:hAnsi="宋体" w:eastAsia="宋体" w:cs="宋体"/>
                <w:color w:val="000000"/>
                <w:sz w:val="20"/>
                <w:szCs w:val="20"/>
                <w:highlight w:val="none"/>
                <w:lang w:eastAsia="zh-CN"/>
              </w:rPr>
              <w:t>须</w:t>
            </w:r>
            <w:r>
              <w:rPr>
                <w:rFonts w:hint="eastAsia" w:ascii="宋体" w:hAnsi="宋体" w:eastAsia="宋体" w:cs="宋体"/>
                <w:color w:val="000000"/>
                <w:sz w:val="20"/>
                <w:szCs w:val="20"/>
                <w:highlight w:val="none"/>
              </w:rPr>
              <w:t>提供</w:t>
            </w:r>
            <w:r>
              <w:rPr>
                <w:rFonts w:hint="eastAsia" w:ascii="宋体" w:hAnsi="宋体" w:eastAsia="宋体" w:cs="宋体"/>
                <w:color w:val="000000"/>
                <w:sz w:val="20"/>
                <w:szCs w:val="20"/>
                <w:highlight w:val="none"/>
                <w:lang w:eastAsia="zh-CN"/>
              </w:rPr>
              <w:t>项目负责人</w:t>
            </w:r>
            <w:r>
              <w:rPr>
                <w:rFonts w:hint="eastAsia" w:ascii="宋体" w:hAnsi="宋体" w:eastAsia="宋体" w:cs="宋体"/>
                <w:color w:val="000000"/>
                <w:sz w:val="20"/>
                <w:szCs w:val="20"/>
                <w:highlight w:val="none"/>
              </w:rPr>
              <w:t>在</w:t>
            </w:r>
            <w:r>
              <w:rPr>
                <w:rFonts w:hint="eastAsia" w:ascii="宋体" w:hAnsi="宋体" w:eastAsia="宋体" w:cs="宋体"/>
                <w:color w:val="000000"/>
                <w:sz w:val="20"/>
                <w:szCs w:val="20"/>
                <w:highlight w:val="none"/>
                <w:lang w:eastAsia="zh-CN"/>
              </w:rPr>
              <w:t>投标单位缴纳的开标前三个月</w:t>
            </w:r>
            <w:r>
              <w:rPr>
                <w:rFonts w:hint="eastAsia" w:ascii="宋体" w:hAnsi="宋体" w:eastAsia="宋体" w:cs="宋体"/>
                <w:color w:val="000000"/>
                <w:sz w:val="20"/>
                <w:szCs w:val="20"/>
                <w:highlight w:val="none"/>
              </w:rPr>
              <w:t>社保证明</w:t>
            </w:r>
            <w:r>
              <w:rPr>
                <w:rFonts w:hint="eastAsia" w:ascii="宋体" w:hAnsi="宋体" w:eastAsia="宋体" w:cs="宋体"/>
                <w:color w:val="000000"/>
                <w:sz w:val="20"/>
                <w:szCs w:val="20"/>
                <w:highlight w:val="none"/>
                <w:lang w:val="en-US" w:eastAsia="zh-CN"/>
              </w:rPr>
              <w:t>、身份证、有</w:t>
            </w:r>
            <w:r>
              <w:rPr>
                <w:rFonts w:hint="eastAsia" w:ascii="宋体" w:hAnsi="宋体" w:eastAsia="宋体" w:cs="宋体"/>
                <w:color w:val="000000"/>
                <w:sz w:val="20"/>
                <w:szCs w:val="20"/>
                <w:highlight w:val="none"/>
                <w:lang w:eastAsia="zh-CN"/>
              </w:rPr>
              <w:t>效的</w:t>
            </w:r>
            <w:r>
              <w:rPr>
                <w:rFonts w:hint="eastAsia" w:ascii="宋体" w:hAnsi="宋体" w:eastAsia="宋体" w:cs="宋体"/>
                <w:color w:val="000000"/>
                <w:sz w:val="20"/>
                <w:szCs w:val="20"/>
                <w:highlight w:val="none"/>
              </w:rPr>
              <w:t>证书</w:t>
            </w:r>
            <w:r>
              <w:rPr>
                <w:rFonts w:hint="eastAsia" w:ascii="宋体" w:hAnsi="宋体" w:eastAsia="宋体" w:cs="宋体"/>
                <w:color w:val="000000"/>
                <w:sz w:val="20"/>
                <w:szCs w:val="20"/>
                <w:highlight w:val="none"/>
                <w:lang w:eastAsia="zh-CN"/>
              </w:rPr>
              <w:t>等</w:t>
            </w:r>
            <w:r>
              <w:rPr>
                <w:rFonts w:hint="eastAsia" w:ascii="宋体" w:hAnsi="宋体" w:eastAsia="宋体" w:cs="宋体"/>
                <w:color w:val="000000"/>
                <w:sz w:val="20"/>
                <w:szCs w:val="20"/>
                <w:highlight w:val="none"/>
              </w:rPr>
              <w:t>（可以为电子证书复印件）</w:t>
            </w:r>
            <w:r>
              <w:rPr>
                <w:rFonts w:hint="eastAsia" w:ascii="宋体" w:hAnsi="宋体" w:eastAsia="宋体" w:cs="宋体"/>
                <w:color w:val="000000"/>
                <w:sz w:val="20"/>
                <w:szCs w:val="20"/>
                <w:highlight w:val="none"/>
                <w:lang w:eastAsia="zh-CN"/>
              </w:rPr>
              <w:t>扫描件</w:t>
            </w:r>
            <w:r>
              <w:rPr>
                <w:rFonts w:hint="eastAsia" w:ascii="宋体" w:hAnsi="宋体" w:eastAsia="宋体" w:cs="宋体"/>
                <w:color w:val="000000"/>
                <w:sz w:val="20"/>
                <w:szCs w:val="20"/>
                <w:highlight w:val="none"/>
              </w:rPr>
              <w:t>。以上资料复印件加盖公章，不提供不得分。</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0-</w:t>
            </w:r>
            <w:r>
              <w:rPr>
                <w:rFonts w:hint="eastAsia" w:ascii="宋体" w:hAnsi="宋体" w:cs="宋体"/>
                <w:color w:val="000000"/>
                <w:sz w:val="20"/>
                <w:szCs w:val="20"/>
                <w:lang w:val="en-US" w:eastAsia="zh-CN"/>
              </w:rPr>
              <w:t>3</w:t>
            </w:r>
          </w:p>
        </w:tc>
      </w:tr>
      <w:tr>
        <w:tblPrEx>
          <w:tblCellMar>
            <w:top w:w="15" w:type="dxa"/>
            <w:left w:w="15" w:type="dxa"/>
            <w:bottom w:w="15" w:type="dxa"/>
            <w:right w:w="15" w:type="dxa"/>
          </w:tblCellMar>
        </w:tblPrEx>
        <w:trPr>
          <w:trHeight w:val="420" w:hRule="atLeast"/>
        </w:trPr>
        <w:tc>
          <w:tcPr>
            <w:tcW w:w="249" w:type="pct"/>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521" w:type="pct"/>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816"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eastAsia="zh-CN"/>
              </w:rPr>
              <w:t>项目实施团队</w:t>
            </w:r>
            <w:r>
              <w:rPr>
                <w:rFonts w:hint="eastAsia" w:ascii="宋体" w:hAnsi="宋体" w:eastAsia="宋体" w:cs="宋体"/>
                <w:color w:val="000000"/>
                <w:sz w:val="20"/>
                <w:szCs w:val="20"/>
                <w:highlight w:val="none"/>
              </w:rPr>
              <w:t>：</w:t>
            </w:r>
          </w:p>
          <w:p>
            <w:pPr>
              <w:numPr>
                <w:ilvl w:val="0"/>
                <w:numId w:val="6"/>
              </w:numPr>
              <w:textAlignment w:val="center"/>
              <w:rPr>
                <w:rFonts w:hint="eastAsia" w:ascii="宋体" w:hAnsi="宋体" w:cs="宋体"/>
                <w:color w:val="000000"/>
                <w:sz w:val="20"/>
                <w:highlight w:val="none"/>
              </w:rPr>
            </w:pPr>
            <w:r>
              <w:rPr>
                <w:rFonts w:hint="eastAsia" w:ascii="宋体" w:hAnsi="宋体" w:cs="宋体"/>
                <w:color w:val="000000"/>
                <w:sz w:val="20"/>
                <w:highlight w:val="none"/>
              </w:rPr>
              <w:t>项目</w:t>
            </w:r>
            <w:r>
              <w:rPr>
                <w:rFonts w:hint="eastAsia" w:ascii="宋体" w:hAnsi="宋体" w:cs="宋体"/>
                <w:color w:val="000000"/>
                <w:sz w:val="20"/>
                <w:highlight w:val="none"/>
                <w:lang w:val="en-US" w:eastAsia="zh-CN"/>
              </w:rPr>
              <w:t>技术</w:t>
            </w:r>
            <w:r>
              <w:rPr>
                <w:rFonts w:hint="eastAsia" w:ascii="宋体" w:hAnsi="宋体" w:cs="宋体"/>
                <w:color w:val="000000"/>
                <w:sz w:val="20"/>
                <w:highlight w:val="none"/>
              </w:rPr>
              <w:t>负责人具有高级信息系统项目管理师证书的得</w:t>
            </w:r>
            <w:r>
              <w:rPr>
                <w:rFonts w:hint="eastAsia" w:ascii="宋体" w:hAnsi="宋体" w:cs="宋体"/>
                <w:color w:val="000000"/>
                <w:sz w:val="20"/>
                <w:highlight w:val="none"/>
                <w:lang w:val="en-US" w:eastAsia="zh-CN"/>
              </w:rPr>
              <w:t>1</w:t>
            </w:r>
            <w:r>
              <w:rPr>
                <w:rFonts w:hint="eastAsia" w:ascii="宋体" w:hAnsi="宋体" w:cs="宋体"/>
                <w:color w:val="000000"/>
                <w:sz w:val="20"/>
                <w:highlight w:val="none"/>
              </w:rPr>
              <w:t>分；参与工业互联网项目的每个得</w:t>
            </w:r>
            <w:r>
              <w:rPr>
                <w:rFonts w:hint="eastAsia" w:ascii="宋体" w:hAnsi="宋体" w:cs="宋体"/>
                <w:color w:val="000000"/>
                <w:sz w:val="20"/>
                <w:highlight w:val="none"/>
                <w:lang w:val="en-US" w:eastAsia="zh-CN"/>
              </w:rPr>
              <w:t>0.5</w:t>
            </w:r>
            <w:r>
              <w:rPr>
                <w:rFonts w:hint="eastAsia" w:ascii="宋体" w:hAnsi="宋体" w:cs="宋体"/>
                <w:color w:val="000000"/>
                <w:sz w:val="20"/>
                <w:highlight w:val="none"/>
              </w:rPr>
              <w:t>分，最高得</w:t>
            </w:r>
            <w:r>
              <w:rPr>
                <w:rFonts w:hint="eastAsia" w:ascii="宋体" w:hAnsi="宋体" w:cs="宋体"/>
                <w:color w:val="000000"/>
                <w:sz w:val="20"/>
                <w:highlight w:val="none"/>
                <w:lang w:val="en-US" w:eastAsia="zh-CN"/>
              </w:rPr>
              <w:t>1</w:t>
            </w:r>
            <w:r>
              <w:rPr>
                <w:rFonts w:hint="eastAsia" w:ascii="宋体" w:hAnsi="宋体" w:cs="宋体"/>
                <w:color w:val="000000"/>
                <w:sz w:val="20"/>
                <w:highlight w:val="none"/>
              </w:rPr>
              <w:t>分。</w:t>
            </w:r>
          </w:p>
          <w:p>
            <w:pPr>
              <w:numPr>
                <w:ilvl w:val="0"/>
                <w:numId w:val="6"/>
              </w:numP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其他</w:t>
            </w:r>
            <w:r>
              <w:rPr>
                <w:rFonts w:hint="eastAsia" w:ascii="宋体" w:hAnsi="宋体" w:eastAsia="宋体" w:cs="宋体"/>
                <w:color w:val="000000"/>
                <w:sz w:val="20"/>
                <w:szCs w:val="20"/>
                <w:highlight w:val="none"/>
              </w:rPr>
              <w:t>团队成员</w:t>
            </w:r>
            <w:r>
              <w:rPr>
                <w:rFonts w:hint="eastAsia" w:ascii="宋体" w:hAnsi="宋体" w:cs="宋体"/>
                <w:color w:val="000000"/>
                <w:sz w:val="20"/>
                <w:szCs w:val="20"/>
                <w:highlight w:val="none"/>
                <w:lang w:val="en-US" w:eastAsia="zh-CN"/>
              </w:rPr>
              <w:t>(除项目负责人、技术负责人外）</w:t>
            </w:r>
            <w:r>
              <w:rPr>
                <w:rFonts w:hint="eastAsia" w:ascii="宋体" w:hAnsi="宋体" w:eastAsia="宋体" w:cs="宋体"/>
                <w:color w:val="000000"/>
                <w:sz w:val="20"/>
                <w:szCs w:val="20"/>
                <w:highlight w:val="none"/>
                <w:lang w:val="en-US" w:eastAsia="zh-CN"/>
              </w:rPr>
              <w:t>具</w:t>
            </w:r>
            <w:r>
              <w:rPr>
                <w:rFonts w:hint="eastAsia" w:ascii="宋体" w:hAnsi="宋体" w:eastAsia="宋体" w:cs="宋体"/>
                <w:color w:val="000000"/>
                <w:sz w:val="20"/>
                <w:szCs w:val="20"/>
                <w:highlight w:val="none"/>
              </w:rPr>
              <w:t>有</w:t>
            </w:r>
            <w:r>
              <w:rPr>
                <w:rFonts w:hint="eastAsia" w:ascii="宋体" w:hAnsi="宋体" w:eastAsia="宋体" w:cs="宋体"/>
                <w:color w:val="000000"/>
                <w:sz w:val="20"/>
                <w:szCs w:val="20"/>
                <w:highlight w:val="none"/>
                <w:lang w:val="en-US" w:eastAsia="zh-CN"/>
              </w:rPr>
              <w:t>高</w:t>
            </w:r>
            <w:r>
              <w:rPr>
                <w:rFonts w:hint="eastAsia" w:ascii="宋体" w:hAnsi="宋体" w:eastAsia="宋体" w:cs="宋体"/>
                <w:color w:val="000000"/>
                <w:sz w:val="20"/>
                <w:szCs w:val="20"/>
                <w:highlight w:val="none"/>
              </w:rPr>
              <w:t>级信息系统项目管理师、</w:t>
            </w:r>
            <w:r>
              <w:rPr>
                <w:rFonts w:hint="eastAsia" w:ascii="宋体" w:hAnsi="宋体" w:eastAsia="宋体" w:cs="宋体"/>
                <w:color w:val="000000"/>
                <w:sz w:val="20"/>
                <w:szCs w:val="20"/>
                <w:highlight w:val="none"/>
                <w:lang w:val="en-US" w:eastAsia="zh-CN"/>
              </w:rPr>
              <w:t>高级</w:t>
            </w:r>
            <w:r>
              <w:rPr>
                <w:rFonts w:hint="eastAsia" w:ascii="宋体" w:hAnsi="宋体" w:eastAsia="宋体" w:cs="宋体"/>
                <w:color w:val="000000"/>
                <w:sz w:val="20"/>
                <w:szCs w:val="20"/>
                <w:highlight w:val="none"/>
              </w:rPr>
              <w:t>系统架构师、高级工程师、高级系统分析师</w:t>
            </w:r>
            <w:r>
              <w:rPr>
                <w:rFonts w:hint="eastAsia" w:ascii="宋体" w:hAnsi="宋体" w:eastAsia="宋体" w:cs="宋体"/>
                <w:color w:val="000000"/>
                <w:sz w:val="20"/>
                <w:szCs w:val="20"/>
                <w:highlight w:val="none"/>
                <w:lang w:val="en-US" w:eastAsia="zh-CN"/>
              </w:rPr>
              <w:t>证书、软件设计师证书的，</w:t>
            </w:r>
            <w:r>
              <w:rPr>
                <w:rFonts w:hint="eastAsia" w:ascii="宋体" w:hAnsi="宋体" w:cs="宋体"/>
                <w:color w:val="000000"/>
                <w:sz w:val="20"/>
                <w:szCs w:val="20"/>
                <w:highlight w:val="none"/>
                <w:lang w:val="en-US" w:eastAsia="zh-CN"/>
              </w:rPr>
              <w:t>（同成员多证书不累积计分）</w:t>
            </w:r>
            <w:r>
              <w:rPr>
                <w:rFonts w:hint="eastAsia" w:ascii="宋体" w:hAnsi="宋体" w:eastAsia="宋体" w:cs="宋体"/>
                <w:color w:val="000000"/>
                <w:sz w:val="20"/>
                <w:szCs w:val="20"/>
                <w:highlight w:val="none"/>
                <w:lang w:eastAsia="zh-CN"/>
              </w:rPr>
              <w:t>每项证书得</w:t>
            </w:r>
            <w:r>
              <w:rPr>
                <w:rFonts w:hint="eastAsia" w:ascii="宋体" w:hAnsi="宋体" w:eastAsia="宋体" w:cs="宋体"/>
                <w:color w:val="000000"/>
                <w:sz w:val="20"/>
                <w:szCs w:val="20"/>
                <w:highlight w:val="none"/>
                <w:lang w:val="en-US" w:eastAsia="zh-CN"/>
              </w:rPr>
              <w:t>1分，最高得8分</w:t>
            </w:r>
            <w:r>
              <w:rPr>
                <w:rFonts w:hint="eastAsia" w:ascii="宋体" w:hAnsi="宋体" w:eastAsia="宋体" w:cs="宋体"/>
                <w:color w:val="000000"/>
                <w:sz w:val="20"/>
                <w:szCs w:val="20"/>
                <w:highlight w:val="none"/>
                <w:lang w:eastAsia="zh-CN"/>
              </w:rPr>
              <w:t>。</w:t>
            </w:r>
          </w:p>
          <w:p>
            <w:pPr>
              <w:textAlignment w:val="center"/>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lang w:val="en-US" w:eastAsia="zh-CN"/>
              </w:rPr>
              <w:t>须提供团队人员在投标单位缴纳</w:t>
            </w:r>
            <w:r>
              <w:rPr>
                <w:rFonts w:hint="eastAsia" w:ascii="宋体" w:hAnsi="宋体" w:eastAsia="宋体" w:cs="宋体"/>
                <w:b/>
                <w:bCs/>
                <w:color w:val="auto"/>
                <w:sz w:val="20"/>
                <w:szCs w:val="20"/>
                <w:lang w:eastAsia="zh-CN"/>
              </w:rPr>
              <w:t>的开标前三个月</w:t>
            </w:r>
            <w:r>
              <w:rPr>
                <w:rFonts w:hint="eastAsia" w:ascii="宋体" w:hAnsi="宋体" w:eastAsia="宋体" w:cs="宋体"/>
                <w:b/>
                <w:bCs/>
                <w:color w:val="auto"/>
                <w:sz w:val="20"/>
                <w:szCs w:val="20"/>
                <w:highlight w:val="none"/>
                <w:lang w:val="en-US" w:eastAsia="zh-CN"/>
              </w:rPr>
              <w:t>社保证明、身份证、有</w:t>
            </w:r>
            <w:r>
              <w:rPr>
                <w:rFonts w:hint="eastAsia" w:ascii="宋体" w:hAnsi="宋体" w:eastAsia="宋体" w:cs="宋体"/>
                <w:b/>
                <w:bCs/>
                <w:color w:val="auto"/>
                <w:sz w:val="20"/>
                <w:szCs w:val="20"/>
                <w:highlight w:val="none"/>
                <w:lang w:eastAsia="zh-CN"/>
              </w:rPr>
              <w:t>效的</w:t>
            </w:r>
            <w:r>
              <w:rPr>
                <w:rFonts w:hint="eastAsia" w:ascii="宋体" w:hAnsi="宋体" w:eastAsia="宋体" w:cs="宋体"/>
                <w:b/>
                <w:bCs/>
                <w:color w:val="auto"/>
                <w:sz w:val="20"/>
                <w:szCs w:val="20"/>
                <w:highlight w:val="none"/>
              </w:rPr>
              <w:t>证书</w:t>
            </w:r>
            <w:r>
              <w:rPr>
                <w:rFonts w:hint="eastAsia" w:ascii="宋体" w:hAnsi="宋体" w:eastAsia="宋体" w:cs="宋体"/>
                <w:b/>
                <w:bCs/>
                <w:color w:val="auto"/>
                <w:sz w:val="20"/>
                <w:szCs w:val="20"/>
                <w:highlight w:val="none"/>
                <w:lang w:eastAsia="zh-CN"/>
              </w:rPr>
              <w:t>等</w:t>
            </w:r>
            <w:r>
              <w:rPr>
                <w:rFonts w:hint="eastAsia" w:ascii="宋体" w:hAnsi="宋体" w:eastAsia="宋体" w:cs="宋体"/>
                <w:b/>
                <w:bCs/>
                <w:color w:val="auto"/>
                <w:sz w:val="20"/>
                <w:szCs w:val="20"/>
                <w:highlight w:val="none"/>
              </w:rPr>
              <w:t>（可以为电子证书复印件）</w:t>
            </w:r>
            <w:r>
              <w:rPr>
                <w:rFonts w:hint="eastAsia" w:ascii="宋体" w:hAnsi="宋体" w:eastAsia="宋体" w:cs="宋体"/>
                <w:b/>
                <w:bCs/>
                <w:color w:val="auto"/>
                <w:sz w:val="20"/>
                <w:szCs w:val="20"/>
                <w:highlight w:val="none"/>
                <w:lang w:eastAsia="zh-CN"/>
              </w:rPr>
              <w:t>扫描件，</w:t>
            </w:r>
            <w:r>
              <w:rPr>
                <w:rFonts w:hint="eastAsia" w:ascii="宋体" w:hAnsi="宋体" w:eastAsia="宋体" w:cs="宋体"/>
                <w:b/>
                <w:bCs/>
                <w:color w:val="auto"/>
                <w:sz w:val="20"/>
                <w:szCs w:val="20"/>
                <w:highlight w:val="none"/>
              </w:rPr>
              <w:t>如由第三方机构代缴社保的，须提供投标人与第三方代缴机构签订的委托代缴协议。以上资料复印件加盖公章，不提供不得分</w:t>
            </w:r>
            <w:r>
              <w:rPr>
                <w:rFonts w:hint="eastAsia" w:ascii="宋体" w:hAnsi="宋体" w:eastAsia="宋体" w:cs="宋体"/>
                <w:b w:val="0"/>
                <w:bCs w:val="0"/>
                <w:color w:val="auto"/>
                <w:sz w:val="20"/>
                <w:szCs w:val="20"/>
                <w:highlight w:val="none"/>
              </w:rPr>
              <w:t>。</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0-</w:t>
            </w:r>
            <w:r>
              <w:rPr>
                <w:rFonts w:hint="eastAsia" w:ascii="宋体" w:hAnsi="宋体" w:cs="宋体"/>
                <w:color w:val="000000"/>
                <w:sz w:val="20"/>
                <w:szCs w:val="20"/>
                <w:lang w:val="en-US" w:eastAsia="zh-CN"/>
              </w:rPr>
              <w:t>10</w:t>
            </w:r>
          </w:p>
        </w:tc>
      </w:tr>
      <w:tr>
        <w:tblPrEx>
          <w:tblCellMar>
            <w:top w:w="15" w:type="dxa"/>
            <w:left w:w="15" w:type="dxa"/>
            <w:bottom w:w="15" w:type="dxa"/>
            <w:right w:w="15" w:type="dxa"/>
          </w:tblCellMar>
        </w:tblPrEx>
        <w:trPr>
          <w:trHeight w:val="285" w:hRule="atLeast"/>
        </w:trPr>
        <w:tc>
          <w:tcPr>
            <w:tcW w:w="249"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521"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816"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eastAsia="zh-CN"/>
              </w:rPr>
              <w:t>运营运维服务团队：</w:t>
            </w:r>
          </w:p>
          <w:p>
            <w:pP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r>
              <w:rPr>
                <w:rFonts w:hint="default" w:ascii="宋体" w:hAnsi="宋体" w:eastAsia="宋体" w:cs="宋体"/>
                <w:color w:val="auto"/>
                <w:sz w:val="20"/>
                <w:szCs w:val="20"/>
                <w:highlight w:val="none"/>
                <w:lang w:val="en-US" w:eastAsia="zh-CN"/>
              </w:rPr>
              <w:t>售后服务负责人具有信息系统项目管理师高级证书、OCP证书、网络工程师和信息通讯技术高级工程师证书</w:t>
            </w:r>
            <w:r>
              <w:rPr>
                <w:rFonts w:hint="eastAsia" w:ascii="宋体" w:hAnsi="宋体" w:eastAsia="宋体" w:cs="宋体"/>
                <w:color w:val="auto"/>
                <w:sz w:val="20"/>
                <w:szCs w:val="20"/>
                <w:highlight w:val="none"/>
                <w:lang w:val="en-US" w:eastAsia="zh-CN"/>
              </w:rPr>
              <w:t>，每本证书得0.5分，最高得2分。</w:t>
            </w:r>
          </w:p>
          <w:p>
            <w:pPr>
              <w:textAlignment w:val="center"/>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2.其他</w:t>
            </w:r>
            <w:r>
              <w:rPr>
                <w:rFonts w:hint="eastAsia" w:ascii="宋体" w:hAnsi="宋体" w:eastAsia="宋体" w:cs="宋体"/>
                <w:color w:val="auto"/>
                <w:sz w:val="20"/>
                <w:szCs w:val="20"/>
                <w:highlight w:val="none"/>
                <w:lang w:val="zh-CN" w:eastAsia="zh-CN"/>
              </w:rPr>
              <w:t>团队成员</w:t>
            </w:r>
            <w:r>
              <w:rPr>
                <w:rFonts w:hint="eastAsia" w:ascii="宋体" w:hAnsi="宋体" w:eastAsia="宋体" w:cs="宋体"/>
                <w:color w:val="auto"/>
                <w:sz w:val="20"/>
                <w:szCs w:val="20"/>
                <w:highlight w:val="none"/>
                <w:lang w:val="en-US" w:eastAsia="zh-CN"/>
              </w:rPr>
              <w:t>具</w:t>
            </w:r>
            <w:r>
              <w:rPr>
                <w:rFonts w:hint="eastAsia" w:ascii="宋体" w:hAnsi="宋体" w:eastAsia="宋体" w:cs="宋体"/>
                <w:color w:val="auto"/>
                <w:sz w:val="20"/>
                <w:szCs w:val="20"/>
                <w:highlight w:val="none"/>
                <w:lang w:val="zh-CN" w:eastAsia="zh-CN"/>
              </w:rPr>
              <w:t>有</w:t>
            </w:r>
            <w:r>
              <w:rPr>
                <w:rFonts w:hint="eastAsia" w:ascii="宋体" w:hAnsi="宋体" w:eastAsia="宋体" w:cs="宋体"/>
                <w:color w:val="auto"/>
                <w:sz w:val="20"/>
                <w:szCs w:val="20"/>
                <w:highlight w:val="none"/>
                <w:lang w:val="en-US" w:eastAsia="zh-CN"/>
              </w:rPr>
              <w:t>高</w:t>
            </w:r>
            <w:r>
              <w:rPr>
                <w:rFonts w:hint="eastAsia" w:ascii="宋体" w:hAnsi="宋体" w:eastAsia="宋体" w:cs="宋体"/>
                <w:color w:val="auto"/>
                <w:sz w:val="20"/>
                <w:szCs w:val="20"/>
                <w:highlight w:val="none"/>
                <w:lang w:val="zh-CN" w:eastAsia="zh-CN"/>
              </w:rPr>
              <w:t>级信息系统项目管理师、高级工程师、</w:t>
            </w:r>
            <w:r>
              <w:rPr>
                <w:rFonts w:hint="eastAsia" w:ascii="宋体" w:hAnsi="宋体" w:cs="宋体"/>
                <w:color w:val="auto"/>
                <w:sz w:val="20"/>
                <w:szCs w:val="20"/>
                <w:highlight w:val="none"/>
                <w:lang w:val="en-US" w:eastAsia="zh-CN"/>
              </w:rPr>
              <w:t>系统集成项目管理中级工程师</w:t>
            </w:r>
            <w:r>
              <w:rPr>
                <w:rFonts w:hint="eastAsia" w:ascii="宋体" w:hAnsi="宋体" w:eastAsia="宋体" w:cs="宋体"/>
                <w:color w:val="auto"/>
                <w:sz w:val="20"/>
                <w:szCs w:val="20"/>
                <w:highlight w:val="none"/>
                <w:lang w:val="en-US" w:eastAsia="zh-CN"/>
              </w:rPr>
              <w:t>、网络安全能力认证（CCSC）的，</w:t>
            </w:r>
            <w:r>
              <w:rPr>
                <w:rFonts w:hint="eastAsia" w:ascii="宋体" w:hAnsi="宋体" w:eastAsia="宋体" w:cs="宋体"/>
                <w:color w:val="auto"/>
                <w:sz w:val="20"/>
                <w:szCs w:val="20"/>
                <w:highlight w:val="none"/>
                <w:lang w:val="zh-CN" w:eastAsia="zh-CN"/>
              </w:rPr>
              <w:t>每项证书得</w:t>
            </w:r>
            <w:r>
              <w:rPr>
                <w:rFonts w:hint="eastAsia" w:ascii="宋体" w:hAnsi="宋体" w:eastAsia="宋体" w:cs="宋体"/>
                <w:color w:val="auto"/>
                <w:sz w:val="20"/>
                <w:szCs w:val="20"/>
                <w:highlight w:val="none"/>
                <w:lang w:val="en-US" w:eastAsia="zh-CN"/>
              </w:rPr>
              <w:t>1分，最高得4分</w:t>
            </w:r>
            <w:r>
              <w:rPr>
                <w:rFonts w:hint="eastAsia" w:ascii="宋体" w:hAnsi="宋体" w:eastAsia="宋体" w:cs="宋体"/>
                <w:color w:val="auto"/>
                <w:sz w:val="20"/>
                <w:szCs w:val="20"/>
                <w:highlight w:val="none"/>
                <w:lang w:val="zh-CN" w:eastAsia="zh-CN"/>
              </w:rPr>
              <w:t>。</w:t>
            </w:r>
          </w:p>
          <w:p>
            <w:pP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r>
              <w:rPr>
                <w:rFonts w:hint="eastAsia" w:ascii="宋体" w:hAnsi="宋体" w:cs="宋体"/>
                <w:color w:val="auto"/>
                <w:sz w:val="20"/>
                <w:szCs w:val="20"/>
                <w:highlight w:val="none"/>
                <w:lang w:val="en-US" w:eastAsia="zh-CN"/>
              </w:rPr>
              <w:t>根据提供的</w:t>
            </w:r>
            <w:r>
              <w:rPr>
                <w:rFonts w:hint="eastAsia" w:ascii="宋体" w:hAnsi="宋体" w:eastAsia="宋体" w:cs="宋体"/>
                <w:color w:val="auto"/>
                <w:sz w:val="20"/>
                <w:szCs w:val="20"/>
                <w:highlight w:val="none"/>
                <w:lang w:val="en-US" w:eastAsia="zh-CN"/>
              </w:rPr>
              <w:t>常驻团队成员</w:t>
            </w:r>
            <w:r>
              <w:rPr>
                <w:rFonts w:hint="eastAsia" w:ascii="宋体" w:hAnsi="宋体" w:cs="宋体"/>
                <w:color w:val="auto"/>
                <w:sz w:val="20"/>
                <w:szCs w:val="20"/>
                <w:highlight w:val="none"/>
                <w:lang w:val="en-US" w:eastAsia="zh-CN"/>
              </w:rPr>
              <w:t>数量打分，</w:t>
            </w:r>
            <w:r>
              <w:rPr>
                <w:rFonts w:hint="eastAsia" w:ascii="宋体" w:hAnsi="宋体" w:eastAsia="宋体" w:cs="宋体"/>
                <w:color w:val="auto"/>
                <w:sz w:val="20"/>
                <w:szCs w:val="20"/>
                <w:highlight w:val="none"/>
                <w:lang w:val="en-US" w:eastAsia="zh-CN"/>
              </w:rPr>
              <w:t>不少于14人</w:t>
            </w:r>
            <w:r>
              <w:rPr>
                <w:rFonts w:hint="eastAsia" w:ascii="宋体" w:hAnsi="宋体" w:cs="宋体"/>
                <w:color w:val="auto"/>
                <w:sz w:val="20"/>
                <w:szCs w:val="20"/>
                <w:highlight w:val="none"/>
                <w:lang w:val="en-US" w:eastAsia="zh-CN"/>
              </w:rPr>
              <w:t>（含14人）的得3分，少于14人不得分</w:t>
            </w:r>
            <w:r>
              <w:rPr>
                <w:rFonts w:hint="eastAsia" w:ascii="宋体" w:hAnsi="宋体" w:eastAsia="宋体" w:cs="宋体"/>
                <w:color w:val="auto"/>
                <w:sz w:val="20"/>
                <w:szCs w:val="20"/>
                <w:highlight w:val="none"/>
                <w:lang w:val="en-US" w:eastAsia="zh-CN"/>
              </w:rPr>
              <w:t>。</w:t>
            </w:r>
          </w:p>
          <w:p>
            <w:pP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b/>
                <w:bCs/>
                <w:color w:val="auto"/>
                <w:sz w:val="20"/>
                <w:szCs w:val="20"/>
                <w:highlight w:val="none"/>
                <w:lang w:eastAsia="zh-CN"/>
              </w:rPr>
              <w:t>须</w:t>
            </w:r>
            <w:r>
              <w:rPr>
                <w:rFonts w:hint="eastAsia" w:ascii="宋体" w:hAnsi="宋体" w:eastAsia="宋体" w:cs="宋体"/>
                <w:b/>
                <w:bCs/>
                <w:color w:val="auto"/>
                <w:sz w:val="20"/>
                <w:szCs w:val="20"/>
                <w:highlight w:val="none"/>
              </w:rPr>
              <w:t>提供</w:t>
            </w:r>
            <w:r>
              <w:rPr>
                <w:rFonts w:hint="eastAsia" w:ascii="宋体" w:hAnsi="宋体" w:eastAsia="宋体" w:cs="宋体"/>
                <w:b/>
                <w:bCs/>
                <w:color w:val="auto"/>
                <w:sz w:val="20"/>
                <w:szCs w:val="20"/>
                <w:highlight w:val="none"/>
                <w:lang w:eastAsia="zh-CN"/>
              </w:rPr>
              <w:t>团队人员</w:t>
            </w:r>
            <w:r>
              <w:rPr>
                <w:rFonts w:hint="eastAsia" w:ascii="宋体" w:hAnsi="宋体" w:eastAsia="宋体" w:cs="宋体"/>
                <w:b/>
                <w:bCs/>
                <w:color w:val="auto"/>
                <w:sz w:val="20"/>
                <w:szCs w:val="20"/>
                <w:highlight w:val="none"/>
              </w:rPr>
              <w:t>在</w:t>
            </w:r>
            <w:r>
              <w:rPr>
                <w:rFonts w:hint="eastAsia" w:ascii="宋体" w:hAnsi="宋体" w:eastAsia="宋体" w:cs="宋体"/>
                <w:b/>
                <w:bCs/>
                <w:color w:val="auto"/>
                <w:sz w:val="20"/>
                <w:szCs w:val="20"/>
                <w:highlight w:val="none"/>
                <w:lang w:eastAsia="zh-CN"/>
              </w:rPr>
              <w:t>投标单位缴纳的开标前三个月</w:t>
            </w:r>
            <w:r>
              <w:rPr>
                <w:rFonts w:hint="eastAsia" w:ascii="宋体" w:hAnsi="宋体" w:eastAsia="宋体" w:cs="宋体"/>
                <w:b/>
                <w:bCs/>
                <w:color w:val="auto"/>
                <w:sz w:val="20"/>
                <w:szCs w:val="20"/>
                <w:highlight w:val="none"/>
              </w:rPr>
              <w:t>社保证明</w:t>
            </w:r>
            <w:r>
              <w:rPr>
                <w:rFonts w:hint="eastAsia" w:ascii="宋体" w:hAnsi="宋体" w:eastAsia="宋体" w:cs="宋体"/>
                <w:b/>
                <w:bCs/>
                <w:color w:val="auto"/>
                <w:sz w:val="20"/>
                <w:szCs w:val="20"/>
                <w:highlight w:val="none"/>
                <w:lang w:val="en-US" w:eastAsia="zh-CN"/>
              </w:rPr>
              <w:t>、身份证、有</w:t>
            </w:r>
            <w:r>
              <w:rPr>
                <w:rFonts w:hint="eastAsia" w:ascii="宋体" w:hAnsi="宋体" w:eastAsia="宋体" w:cs="宋体"/>
                <w:b/>
                <w:bCs/>
                <w:color w:val="auto"/>
                <w:sz w:val="20"/>
                <w:szCs w:val="20"/>
                <w:highlight w:val="none"/>
                <w:lang w:eastAsia="zh-CN"/>
              </w:rPr>
              <w:t>效的</w:t>
            </w:r>
            <w:r>
              <w:rPr>
                <w:rFonts w:hint="eastAsia" w:ascii="宋体" w:hAnsi="宋体" w:eastAsia="宋体" w:cs="宋体"/>
                <w:b/>
                <w:bCs/>
                <w:color w:val="auto"/>
                <w:sz w:val="20"/>
                <w:szCs w:val="20"/>
                <w:highlight w:val="none"/>
              </w:rPr>
              <w:t>证书</w:t>
            </w:r>
            <w:r>
              <w:rPr>
                <w:rFonts w:hint="eastAsia" w:ascii="宋体" w:hAnsi="宋体" w:eastAsia="宋体" w:cs="宋体"/>
                <w:b/>
                <w:bCs/>
                <w:color w:val="auto"/>
                <w:sz w:val="20"/>
                <w:szCs w:val="20"/>
                <w:highlight w:val="none"/>
                <w:lang w:eastAsia="zh-CN"/>
              </w:rPr>
              <w:t>等</w:t>
            </w:r>
            <w:r>
              <w:rPr>
                <w:rFonts w:hint="eastAsia" w:ascii="宋体" w:hAnsi="宋体" w:eastAsia="宋体" w:cs="宋体"/>
                <w:b/>
                <w:bCs/>
                <w:color w:val="auto"/>
                <w:sz w:val="20"/>
                <w:szCs w:val="20"/>
                <w:highlight w:val="none"/>
              </w:rPr>
              <w:t>（可以为电子证书复印件）</w:t>
            </w:r>
            <w:r>
              <w:rPr>
                <w:rFonts w:hint="eastAsia" w:ascii="宋体" w:hAnsi="宋体" w:eastAsia="宋体" w:cs="宋体"/>
                <w:b/>
                <w:bCs/>
                <w:color w:val="auto"/>
                <w:sz w:val="20"/>
                <w:szCs w:val="20"/>
                <w:highlight w:val="none"/>
                <w:lang w:eastAsia="zh-CN"/>
              </w:rPr>
              <w:t>扫描件，</w:t>
            </w:r>
            <w:r>
              <w:rPr>
                <w:rFonts w:hint="eastAsia" w:ascii="宋体" w:hAnsi="宋体" w:eastAsia="宋体" w:cs="宋体"/>
                <w:b/>
                <w:bCs/>
                <w:color w:val="auto"/>
                <w:sz w:val="20"/>
                <w:szCs w:val="20"/>
                <w:highlight w:val="none"/>
              </w:rPr>
              <w:t>如由第三方机构代缴社保的，须提供投标人与第三方代缴机构签订的委托代缴协议。以上资料复印件加盖公章，不提供不得分。</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rPr>
              <w:t>0-</w:t>
            </w:r>
            <w:r>
              <w:rPr>
                <w:rFonts w:hint="eastAsia" w:ascii="宋体" w:hAnsi="宋体" w:cs="宋体"/>
                <w:color w:val="000000"/>
                <w:sz w:val="20"/>
                <w:szCs w:val="20"/>
                <w:highlight w:val="none"/>
                <w:lang w:val="en-US" w:eastAsia="zh-CN"/>
              </w:rPr>
              <w:t>9</w:t>
            </w:r>
          </w:p>
        </w:tc>
      </w:tr>
      <w:tr>
        <w:tblPrEx>
          <w:tblCellMar>
            <w:top w:w="15" w:type="dxa"/>
            <w:left w:w="15" w:type="dxa"/>
            <w:bottom w:w="15" w:type="dxa"/>
            <w:right w:w="15" w:type="dxa"/>
          </w:tblCellMar>
        </w:tblPrEx>
        <w:trPr>
          <w:trHeight w:val="285" w:hRule="atLeast"/>
        </w:trPr>
        <w:tc>
          <w:tcPr>
            <w:tcW w:w="2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培训计划</w:t>
            </w:r>
          </w:p>
        </w:tc>
        <w:tc>
          <w:tcPr>
            <w:tcW w:w="3816"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根</w:t>
            </w:r>
            <w:r>
              <w:rPr>
                <w:rFonts w:hint="eastAsia" w:ascii="宋体" w:hAnsi="宋体" w:eastAsia="宋体" w:cs="宋体"/>
                <w:color w:val="auto"/>
                <w:sz w:val="20"/>
                <w:szCs w:val="20"/>
                <w:highlight w:val="none"/>
                <w:lang w:eastAsia="zh-CN"/>
              </w:rPr>
              <w:t>据投标人</w:t>
            </w:r>
            <w:r>
              <w:rPr>
                <w:rFonts w:hint="eastAsia" w:ascii="宋体" w:hAnsi="宋体" w:eastAsia="宋体" w:cs="宋体"/>
                <w:color w:val="auto"/>
                <w:sz w:val="20"/>
                <w:szCs w:val="20"/>
                <w:highlight w:val="none"/>
                <w:lang w:val="zh-CN" w:eastAsia="zh-CN"/>
              </w:rPr>
              <w:t>培训内容、培训时间、培训地点、培训人员及培训规范等进行打分</w:t>
            </w:r>
            <w:r>
              <w:rPr>
                <w:rFonts w:hint="eastAsia" w:ascii="宋体" w:hAnsi="宋体" w:cs="宋体"/>
                <w:color w:val="auto"/>
                <w:sz w:val="20"/>
                <w:szCs w:val="20"/>
                <w:highlight w:val="none"/>
                <w:lang w:val="zh-CN" w:eastAsia="zh-CN"/>
              </w:rPr>
              <w:t>，</w:t>
            </w:r>
            <w:r>
              <w:rPr>
                <w:rFonts w:hint="eastAsia" w:ascii="宋体" w:hAnsi="宋体" w:cs="宋体"/>
                <w:color w:val="auto"/>
                <w:sz w:val="20"/>
                <w:szCs w:val="20"/>
                <w:highlight w:val="none"/>
                <w:lang w:val="en-US" w:eastAsia="zh-CN"/>
              </w:rPr>
              <w:t>最高得2分</w:t>
            </w:r>
            <w:r>
              <w:rPr>
                <w:rFonts w:hint="eastAsia" w:ascii="宋体" w:hAnsi="宋体" w:cs="宋体"/>
                <w:color w:val="auto"/>
                <w:sz w:val="20"/>
                <w:szCs w:val="20"/>
                <w:highlight w:val="none"/>
                <w:lang w:val="zh-CN" w:eastAsia="zh-CN"/>
              </w:rPr>
              <w:t>。</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0-</w:t>
            </w:r>
            <w:r>
              <w:rPr>
                <w:rFonts w:hint="eastAsia" w:ascii="宋体" w:hAnsi="宋体" w:cs="宋体"/>
                <w:color w:val="auto"/>
                <w:sz w:val="20"/>
                <w:szCs w:val="20"/>
                <w:lang w:val="en-US" w:eastAsia="zh-CN"/>
              </w:rPr>
              <w:t>2</w:t>
            </w:r>
          </w:p>
        </w:tc>
      </w:tr>
      <w:tr>
        <w:tblPrEx>
          <w:tblCellMar>
            <w:top w:w="15" w:type="dxa"/>
            <w:left w:w="15" w:type="dxa"/>
            <w:bottom w:w="15" w:type="dxa"/>
            <w:right w:w="15" w:type="dxa"/>
          </w:tblCellMar>
        </w:tblPrEx>
        <w:trPr>
          <w:trHeight w:val="285" w:hRule="atLeast"/>
        </w:trPr>
        <w:tc>
          <w:tcPr>
            <w:tcW w:w="2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售后服务</w:t>
            </w:r>
          </w:p>
        </w:tc>
        <w:tc>
          <w:tcPr>
            <w:tcW w:w="3816"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highlight w:val="none"/>
                <w:lang w:val="zh-CN" w:eastAsia="zh-CN"/>
              </w:rPr>
              <w:t>根据售后服务与保障方案，包括故障响应时间、运维期间的应急措施、定期跟踪维护、保修期外的服务措施、</w:t>
            </w:r>
            <w:r>
              <w:rPr>
                <w:rFonts w:hint="eastAsia" w:ascii="宋体" w:hAnsi="宋体" w:eastAsia="宋体" w:cs="宋体"/>
                <w:color w:val="auto"/>
                <w:sz w:val="20"/>
                <w:szCs w:val="20"/>
              </w:rPr>
              <w:t>服务</w:t>
            </w:r>
            <w:r>
              <w:rPr>
                <w:rFonts w:hint="eastAsia" w:ascii="宋体" w:hAnsi="宋体" w:eastAsia="宋体" w:cs="宋体"/>
                <w:color w:val="auto"/>
                <w:sz w:val="20"/>
                <w:szCs w:val="20"/>
                <w:lang w:eastAsia="zh-CN"/>
              </w:rPr>
              <w:t>资质能力及</w:t>
            </w:r>
            <w:r>
              <w:rPr>
                <w:rFonts w:hint="eastAsia" w:ascii="宋体" w:hAnsi="宋体" w:eastAsia="宋体" w:cs="宋体"/>
                <w:color w:val="auto"/>
                <w:sz w:val="20"/>
                <w:szCs w:val="20"/>
              </w:rPr>
              <w:t>态度</w:t>
            </w:r>
            <w:r>
              <w:rPr>
                <w:rFonts w:hint="eastAsia" w:ascii="宋体" w:hAnsi="宋体" w:eastAsia="宋体" w:cs="宋体"/>
                <w:color w:val="auto"/>
                <w:sz w:val="20"/>
                <w:szCs w:val="20"/>
                <w:highlight w:val="none"/>
                <w:lang w:val="zh-CN" w:eastAsia="zh-CN"/>
              </w:rPr>
              <w:t>等进行打分</w:t>
            </w:r>
            <w:r>
              <w:rPr>
                <w:rFonts w:hint="eastAsia" w:ascii="宋体" w:hAnsi="宋体" w:cs="宋体"/>
                <w:color w:val="auto"/>
                <w:sz w:val="20"/>
                <w:szCs w:val="20"/>
                <w:highlight w:val="none"/>
                <w:lang w:val="zh-CN" w:eastAsia="zh-CN"/>
              </w:rPr>
              <w:t>，</w:t>
            </w:r>
            <w:r>
              <w:rPr>
                <w:rFonts w:hint="eastAsia" w:ascii="宋体" w:hAnsi="宋体" w:cs="宋体"/>
                <w:color w:val="auto"/>
                <w:sz w:val="20"/>
                <w:szCs w:val="20"/>
                <w:highlight w:val="none"/>
                <w:lang w:val="en-US" w:eastAsia="zh-CN"/>
              </w:rPr>
              <w:t>最高得3分</w:t>
            </w:r>
            <w:r>
              <w:rPr>
                <w:rFonts w:hint="eastAsia" w:ascii="宋体" w:hAnsi="宋体" w:cs="宋体"/>
                <w:color w:val="auto"/>
                <w:sz w:val="20"/>
                <w:szCs w:val="20"/>
                <w:highlight w:val="none"/>
                <w:lang w:val="zh-CN" w:eastAsia="zh-CN"/>
              </w:rPr>
              <w:t>。</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0-</w:t>
            </w:r>
            <w:r>
              <w:rPr>
                <w:rFonts w:hint="eastAsia" w:ascii="宋体" w:hAnsi="宋体" w:cs="宋体"/>
                <w:color w:val="auto"/>
                <w:sz w:val="20"/>
                <w:szCs w:val="20"/>
                <w:lang w:val="en-US" w:eastAsia="zh-CN"/>
              </w:rPr>
              <w:t>3</w:t>
            </w:r>
          </w:p>
        </w:tc>
      </w:tr>
      <w:tr>
        <w:tblPrEx>
          <w:tblCellMar>
            <w:top w:w="15" w:type="dxa"/>
            <w:left w:w="15" w:type="dxa"/>
            <w:bottom w:w="15" w:type="dxa"/>
            <w:right w:w="15" w:type="dxa"/>
          </w:tblCellMar>
        </w:tblPrEx>
        <w:trPr>
          <w:trHeight w:val="285" w:hRule="atLeast"/>
        </w:trPr>
        <w:tc>
          <w:tcPr>
            <w:tcW w:w="249"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9</w:t>
            </w:r>
          </w:p>
        </w:tc>
        <w:tc>
          <w:tcPr>
            <w:tcW w:w="521" w:type="pct"/>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运营方案</w:t>
            </w:r>
          </w:p>
        </w:tc>
        <w:tc>
          <w:tcPr>
            <w:tcW w:w="3816"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0"/>
                <w:szCs w:val="20"/>
                <w:highlight w:val="none"/>
              </w:rPr>
            </w:pPr>
            <w:r>
              <w:rPr>
                <w:rFonts w:hint="eastAsia" w:ascii="宋体" w:hAnsi="宋体" w:eastAsia="宋体" w:cs="宋体"/>
                <w:color w:val="auto"/>
                <w:sz w:val="20"/>
                <w:szCs w:val="20"/>
                <w:highlight w:val="none"/>
                <w:lang w:val="en-US" w:eastAsia="zh-CN"/>
              </w:rPr>
              <w:t>硬件建设要求：满足</w:t>
            </w:r>
            <w:r>
              <w:rPr>
                <w:rFonts w:hint="eastAsia" w:ascii="宋体" w:hAnsi="宋体" w:eastAsia="宋体" w:cs="宋体"/>
                <w:color w:val="auto"/>
                <w:sz w:val="20"/>
                <w:szCs w:val="20"/>
                <w:highlight w:val="none"/>
                <w:lang w:val="zh-CN" w:eastAsia="zh-CN"/>
              </w:rPr>
              <w:t>嵊州运营中心（能力中心）建设配套设备</w:t>
            </w:r>
            <w:r>
              <w:rPr>
                <w:rFonts w:hint="eastAsia" w:ascii="宋体" w:hAnsi="宋体" w:eastAsia="宋体" w:cs="宋体"/>
                <w:color w:val="auto"/>
                <w:sz w:val="20"/>
                <w:szCs w:val="20"/>
                <w:highlight w:val="none"/>
                <w:lang w:val="en-US" w:eastAsia="zh-CN"/>
              </w:rPr>
              <w:t>需求清单要求，全部满足得3分，不满足不得分。</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rPr>
              <w:t>0-</w:t>
            </w:r>
            <w:r>
              <w:rPr>
                <w:rFonts w:hint="eastAsia" w:ascii="宋体" w:hAnsi="宋体" w:cs="宋体"/>
                <w:color w:val="000000"/>
                <w:sz w:val="20"/>
                <w:szCs w:val="20"/>
                <w:highlight w:val="none"/>
                <w:lang w:val="en-US" w:eastAsia="zh-CN"/>
              </w:rPr>
              <w:t>3</w:t>
            </w:r>
          </w:p>
        </w:tc>
      </w:tr>
      <w:tr>
        <w:tblPrEx>
          <w:tblCellMar>
            <w:top w:w="15" w:type="dxa"/>
            <w:left w:w="15" w:type="dxa"/>
            <w:bottom w:w="15" w:type="dxa"/>
            <w:right w:w="15" w:type="dxa"/>
          </w:tblCellMar>
        </w:tblPrEx>
        <w:trPr>
          <w:trHeight w:val="285" w:hRule="atLeast"/>
        </w:trPr>
        <w:tc>
          <w:tcPr>
            <w:tcW w:w="249" w:type="pct"/>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lang w:val="en-US" w:eastAsia="zh-CN"/>
              </w:rPr>
            </w:pPr>
          </w:p>
        </w:tc>
        <w:tc>
          <w:tcPr>
            <w:tcW w:w="521" w:type="pct"/>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lang w:eastAsia="zh-CN"/>
              </w:rPr>
            </w:pPr>
          </w:p>
        </w:tc>
        <w:tc>
          <w:tcPr>
            <w:tcW w:w="3816"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FF0000"/>
                <w:sz w:val="20"/>
                <w:szCs w:val="20"/>
                <w:lang w:eastAsia="zh-CN"/>
              </w:rPr>
            </w:pPr>
            <w:r>
              <w:rPr>
                <w:rFonts w:hint="eastAsia" w:ascii="宋体" w:hAnsi="宋体" w:cs="宋体"/>
                <w:color w:val="000000"/>
                <w:sz w:val="20"/>
                <w:szCs w:val="20"/>
                <w:lang w:val="en-US" w:eastAsia="zh-CN"/>
              </w:rPr>
              <w:t>根据投标单位提供的运营中心效果</w:t>
            </w:r>
            <w:r>
              <w:rPr>
                <w:rFonts w:hint="eastAsia" w:ascii="宋体" w:hAnsi="宋体" w:eastAsia="宋体" w:cs="宋体"/>
                <w:color w:val="000000"/>
                <w:sz w:val="20"/>
                <w:szCs w:val="20"/>
                <w:lang w:val="en-US" w:eastAsia="zh-CN"/>
              </w:rPr>
              <w:t>图</w:t>
            </w:r>
            <w:r>
              <w:rPr>
                <w:rFonts w:hint="eastAsia" w:ascii="宋体" w:hAnsi="宋体" w:cs="宋体"/>
                <w:color w:val="000000"/>
                <w:sz w:val="20"/>
                <w:szCs w:val="20"/>
                <w:lang w:val="en-US" w:eastAsia="zh-CN"/>
              </w:rPr>
              <w:t>打分。</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0-2</w:t>
            </w:r>
          </w:p>
        </w:tc>
      </w:tr>
      <w:tr>
        <w:tblPrEx>
          <w:tblCellMar>
            <w:top w:w="15" w:type="dxa"/>
            <w:left w:w="15" w:type="dxa"/>
            <w:bottom w:w="15" w:type="dxa"/>
            <w:right w:w="15" w:type="dxa"/>
          </w:tblCellMar>
        </w:tblPrEx>
        <w:trPr>
          <w:trHeight w:val="90"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521" w:type="pct"/>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816"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0"/>
                <w:szCs w:val="20"/>
              </w:rPr>
            </w:pPr>
            <w:r>
              <w:rPr>
                <w:rFonts w:hint="eastAsia" w:ascii="宋体" w:hAnsi="宋体" w:cs="宋体"/>
                <w:color w:val="000000"/>
                <w:sz w:val="20"/>
                <w:szCs w:val="20"/>
                <w:lang w:eastAsia="zh-CN"/>
              </w:rPr>
              <w:t>根据</w:t>
            </w:r>
            <w:r>
              <w:rPr>
                <w:rFonts w:hint="eastAsia" w:ascii="宋体" w:hAnsi="宋体" w:eastAsia="宋体" w:cs="宋体"/>
                <w:color w:val="000000"/>
                <w:sz w:val="20"/>
                <w:szCs w:val="20"/>
              </w:rPr>
              <w:t>运营中心建设方案</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运营模式</w:t>
            </w:r>
            <w:r>
              <w:rPr>
                <w:rFonts w:hint="eastAsia" w:ascii="宋体" w:hAnsi="宋体" w:cs="宋体"/>
                <w:color w:val="000000"/>
                <w:sz w:val="20"/>
                <w:szCs w:val="20"/>
                <w:lang w:eastAsia="zh-CN"/>
              </w:rPr>
              <w:t>等</w:t>
            </w:r>
            <w:r>
              <w:rPr>
                <w:rFonts w:hint="eastAsia" w:ascii="宋体" w:hAnsi="宋体" w:eastAsia="宋体" w:cs="宋体"/>
                <w:color w:val="000000"/>
                <w:sz w:val="20"/>
                <w:szCs w:val="20"/>
              </w:rPr>
              <w:t>的合理性、先进性和创新性</w:t>
            </w:r>
            <w:r>
              <w:rPr>
                <w:rFonts w:hint="eastAsia" w:ascii="宋体" w:hAnsi="宋体" w:cs="宋体"/>
                <w:color w:val="000000"/>
                <w:sz w:val="20"/>
                <w:szCs w:val="20"/>
                <w:lang w:eastAsia="zh-CN"/>
              </w:rPr>
              <w:t>进行打分。</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0-</w:t>
            </w:r>
            <w:r>
              <w:rPr>
                <w:rFonts w:hint="eastAsia" w:ascii="宋体" w:hAnsi="宋体" w:cs="宋体"/>
                <w:color w:val="000000"/>
                <w:sz w:val="20"/>
                <w:szCs w:val="20"/>
                <w:lang w:val="en-US" w:eastAsia="zh-CN"/>
              </w:rPr>
              <w:t>3</w:t>
            </w:r>
          </w:p>
        </w:tc>
      </w:tr>
      <w:tr>
        <w:tblPrEx>
          <w:tblCellMar>
            <w:top w:w="15" w:type="dxa"/>
            <w:left w:w="15" w:type="dxa"/>
            <w:bottom w:w="15" w:type="dxa"/>
            <w:right w:w="15" w:type="dxa"/>
          </w:tblCellMar>
        </w:tblPrEx>
        <w:trPr>
          <w:trHeight w:val="285" w:hRule="atLeast"/>
        </w:trPr>
        <w:tc>
          <w:tcPr>
            <w:tcW w:w="2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eastAsia="zh-CN"/>
              </w:rPr>
              <w:t>现场演示</w:t>
            </w:r>
          </w:p>
        </w:tc>
        <w:tc>
          <w:tcPr>
            <w:tcW w:w="3816"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highlight w:val="none"/>
              </w:rPr>
              <w:t>媒体演示（载体为U盘1份，时间不超过10分钟）</w:t>
            </w:r>
            <w:r>
              <w:rPr>
                <w:rFonts w:hint="eastAsia" w:ascii="宋体" w:hAnsi="宋体" w:eastAsia="宋体" w:cs="宋体"/>
                <w:color w:val="000000"/>
                <w:sz w:val="20"/>
                <w:szCs w:val="20"/>
                <w:highlight w:val="none"/>
                <w:lang w:eastAsia="zh-CN"/>
              </w:rPr>
              <w:t>，演示</w:t>
            </w:r>
            <w:r>
              <w:rPr>
                <w:rFonts w:hint="eastAsia" w:ascii="宋体" w:hAnsi="宋体" w:eastAsia="宋体" w:cs="宋体"/>
                <w:color w:val="000000"/>
                <w:sz w:val="20"/>
                <w:szCs w:val="20"/>
                <w:highlight w:val="none"/>
                <w:lang w:val="en-US" w:eastAsia="zh-CN"/>
              </w:rPr>
              <w:t>企业数字化应用八大共性场景，从</w:t>
            </w:r>
            <w:r>
              <w:rPr>
                <w:rFonts w:hint="eastAsia" w:ascii="宋体" w:hAnsi="宋体" w:eastAsia="宋体" w:cs="宋体"/>
                <w:color w:val="000000"/>
                <w:sz w:val="20"/>
                <w:szCs w:val="20"/>
                <w:highlight w:val="none"/>
                <w:lang w:eastAsia="zh-CN"/>
              </w:rPr>
              <w:t>软件</w:t>
            </w:r>
            <w:r>
              <w:rPr>
                <w:rFonts w:hint="eastAsia" w:ascii="宋体" w:hAnsi="宋体" w:eastAsia="宋体" w:cs="宋体"/>
                <w:color w:val="000000"/>
                <w:sz w:val="20"/>
                <w:szCs w:val="20"/>
                <w:highlight w:val="none"/>
              </w:rPr>
              <w:t>功能</w:t>
            </w:r>
            <w:r>
              <w:rPr>
                <w:rFonts w:hint="eastAsia" w:ascii="宋体" w:hAnsi="宋体" w:eastAsia="宋体" w:cs="宋体"/>
                <w:color w:val="000000"/>
                <w:sz w:val="20"/>
                <w:szCs w:val="20"/>
                <w:highlight w:val="none"/>
                <w:lang w:eastAsia="zh-CN"/>
              </w:rPr>
              <w:t>是否满足</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是否有实际案例、</w:t>
            </w:r>
            <w:r>
              <w:rPr>
                <w:rFonts w:hint="eastAsia" w:ascii="宋体" w:hAnsi="宋体" w:eastAsia="宋体" w:cs="宋体"/>
                <w:color w:val="000000"/>
                <w:sz w:val="20"/>
                <w:szCs w:val="20"/>
                <w:highlight w:val="none"/>
                <w:lang w:eastAsia="zh-CN"/>
              </w:rPr>
              <w:t>讲解是否清晰有条理等进行评审。</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ind w:firstLine="203" w:firstLineChars="100"/>
              <w:textAlignment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0-10</w:t>
            </w:r>
          </w:p>
        </w:tc>
      </w:tr>
    </w:tbl>
    <w:p>
      <w:pPr>
        <w:spacing w:line="420" w:lineRule="exact"/>
        <w:ind w:firstLine="639" w:firstLineChars="300"/>
        <w:jc w:val="left"/>
        <w:rPr>
          <w:rFonts w:hint="eastAsia" w:ascii="宋体" w:hAnsi="宋体" w:cs="宋体"/>
          <w:color w:val="000000"/>
          <w:sz w:val="20"/>
          <w:szCs w:val="20"/>
          <w:highlight w:val="none"/>
          <w:lang w:eastAsia="zh-CN"/>
        </w:rPr>
      </w:pPr>
      <w:r>
        <w:rPr>
          <w:rFonts w:hint="eastAsia" w:ascii="宋体" w:hAnsi="宋体" w:eastAsia="宋体" w:cs="宋体"/>
          <w:b/>
          <w:sz w:val="21"/>
          <w:szCs w:val="21"/>
          <w:lang w:eastAsia="zh-CN"/>
        </w:rPr>
        <w:t>注：媒体演示U盘</w:t>
      </w:r>
      <w:r>
        <w:rPr>
          <w:rFonts w:hint="eastAsia" w:ascii="宋体" w:hAnsi="宋体" w:eastAsia="宋体" w:cs="宋体"/>
          <w:b/>
          <w:sz w:val="21"/>
          <w:szCs w:val="21"/>
          <w:lang w:eastAsia="zh-CN"/>
        </w:rPr>
        <w:t>定于202</w:t>
      </w:r>
      <w:r>
        <w:rPr>
          <w:rFonts w:hint="eastAsia" w:ascii="宋体" w:hAnsi="宋体" w:cs="宋体"/>
          <w:b/>
          <w:sz w:val="21"/>
          <w:szCs w:val="21"/>
          <w:lang w:val="en-US" w:eastAsia="zh-CN"/>
        </w:rPr>
        <w:t>3</w:t>
      </w:r>
      <w:r>
        <w:rPr>
          <w:rFonts w:hint="eastAsia" w:ascii="宋体" w:hAnsi="宋体" w:eastAsia="宋体" w:cs="宋体"/>
          <w:b/>
          <w:sz w:val="21"/>
          <w:szCs w:val="21"/>
          <w:lang w:eastAsia="zh-CN"/>
        </w:rPr>
        <w:t>年</w:t>
      </w:r>
      <w:r>
        <w:rPr>
          <w:rFonts w:hint="eastAsia" w:ascii="宋体" w:hAnsi="宋体" w:eastAsia="宋体" w:cs="宋体"/>
          <w:b/>
          <w:sz w:val="21"/>
          <w:szCs w:val="21"/>
          <w:lang w:val="en-US" w:eastAsia="zh-CN"/>
        </w:rPr>
        <w:t>2</w:t>
      </w:r>
      <w:r>
        <w:rPr>
          <w:rFonts w:hint="eastAsia" w:ascii="宋体" w:hAnsi="宋体" w:eastAsia="宋体" w:cs="宋体"/>
          <w:b/>
          <w:sz w:val="21"/>
          <w:szCs w:val="21"/>
          <w:lang w:eastAsia="zh-CN"/>
        </w:rPr>
        <w:t>月</w:t>
      </w:r>
      <w:r>
        <w:rPr>
          <w:rFonts w:hint="eastAsia" w:ascii="宋体" w:hAnsi="宋体" w:cs="宋体"/>
          <w:b/>
          <w:sz w:val="21"/>
          <w:szCs w:val="21"/>
          <w:lang w:val="en-US" w:eastAsia="zh-CN"/>
        </w:rPr>
        <w:t>8</w:t>
      </w:r>
      <w:r>
        <w:rPr>
          <w:rFonts w:hint="eastAsia" w:ascii="宋体" w:hAnsi="宋体" w:eastAsia="宋体" w:cs="宋体"/>
          <w:b/>
          <w:sz w:val="21"/>
          <w:szCs w:val="21"/>
          <w:lang w:eastAsia="zh-CN"/>
        </w:rPr>
        <w:t>日下</w:t>
      </w:r>
      <w:r>
        <w:rPr>
          <w:rFonts w:hint="eastAsia" w:ascii="宋体" w:hAnsi="宋体" w:eastAsia="宋体" w:cs="宋体"/>
          <w:b/>
          <w:sz w:val="21"/>
          <w:szCs w:val="21"/>
          <w:lang w:eastAsia="zh-CN"/>
        </w:rPr>
        <w:t>午</w:t>
      </w:r>
      <w:r>
        <w:rPr>
          <w:rFonts w:hint="eastAsia" w:ascii="宋体" w:hAnsi="宋体" w:eastAsia="宋体" w:cs="宋体"/>
          <w:b/>
          <w:sz w:val="21"/>
          <w:szCs w:val="21"/>
          <w:lang w:val="en-US" w:eastAsia="zh-CN"/>
        </w:rPr>
        <w:t>16</w:t>
      </w:r>
      <w:r>
        <w:rPr>
          <w:rFonts w:hint="eastAsia" w:ascii="宋体" w:hAnsi="宋体" w:eastAsia="宋体" w:cs="宋体"/>
          <w:b/>
          <w:sz w:val="21"/>
          <w:szCs w:val="21"/>
          <w:lang w:eastAsia="zh-CN"/>
        </w:rPr>
        <w:t>时</w:t>
      </w:r>
      <w:r>
        <w:rPr>
          <w:rFonts w:hint="eastAsia" w:ascii="宋体" w:hAnsi="宋体" w:eastAsia="宋体" w:cs="宋体"/>
          <w:b/>
          <w:sz w:val="21"/>
          <w:szCs w:val="21"/>
          <w:lang w:val="en-US" w:eastAsia="zh-CN"/>
        </w:rPr>
        <w:t>00</w:t>
      </w:r>
      <w:r>
        <w:rPr>
          <w:rFonts w:hint="eastAsia" w:ascii="宋体" w:hAnsi="宋体" w:eastAsia="宋体" w:cs="宋体"/>
          <w:b/>
          <w:sz w:val="21"/>
          <w:szCs w:val="21"/>
          <w:lang w:eastAsia="zh-CN"/>
        </w:rPr>
        <w:t>分前密封送至或邮寄至嵊州市达成路115号中天大楼4楼418室</w:t>
      </w:r>
      <w:r>
        <w:rPr>
          <w:rFonts w:hint="eastAsia" w:ascii="宋体" w:hAnsi="宋体" w:cs="宋体"/>
          <w:b/>
          <w:sz w:val="21"/>
          <w:szCs w:val="21"/>
          <w:lang w:eastAsia="zh-CN"/>
        </w:rPr>
        <w:t>浙江省房地产管理咨询有限公司</w:t>
      </w:r>
      <w:r>
        <w:rPr>
          <w:rFonts w:hint="eastAsia" w:ascii="宋体" w:hAnsi="宋体" w:eastAsia="宋体" w:cs="宋体"/>
          <w:b/>
          <w:sz w:val="21"/>
          <w:szCs w:val="21"/>
          <w:lang w:eastAsia="zh-CN"/>
        </w:rPr>
        <w:t>，钱工收，</w:t>
      </w:r>
      <w:r>
        <w:rPr>
          <w:rFonts w:hint="eastAsia" w:ascii="宋体" w:hAnsi="宋体" w:eastAsia="宋体" w:cs="宋体"/>
          <w:b/>
          <w:bCs/>
          <w:sz w:val="21"/>
          <w:szCs w:val="21"/>
          <w:lang w:val="en-US" w:eastAsia="zh-CN"/>
        </w:rPr>
        <w:t>13858558585</w:t>
      </w:r>
      <w:r>
        <w:rPr>
          <w:rFonts w:hint="eastAsia" w:ascii="宋体" w:hAnsi="宋体" w:eastAsia="宋体" w:cs="宋体"/>
          <w:b/>
          <w:sz w:val="21"/>
          <w:szCs w:val="21"/>
          <w:lang w:val="en-US" w:eastAsia="zh-CN"/>
        </w:rPr>
        <w:t>。</w:t>
      </w:r>
      <w:r>
        <w:rPr>
          <w:rFonts w:hint="eastAsia" w:ascii="宋体" w:hAnsi="宋体" w:eastAsia="宋体" w:cs="宋体"/>
          <w:b/>
          <w:sz w:val="21"/>
          <w:szCs w:val="21"/>
          <w:lang w:eastAsia="zh-CN"/>
        </w:rPr>
        <w:t>签收时间以代理机构工作人员签收为准。逾期送达不予接受。</w:t>
      </w:r>
    </w:p>
    <w:p>
      <w:pPr>
        <w:spacing w:line="380" w:lineRule="exact"/>
        <w:ind w:firstLine="416" w:firstLineChars="196"/>
        <w:rPr>
          <w:rStyle w:val="43"/>
          <w:rFonts w:ascii="宋体" w:hAnsi="宋体"/>
          <w:b/>
          <w:sz w:val="21"/>
          <w:szCs w:val="21"/>
        </w:rPr>
      </w:pPr>
      <w:r>
        <w:rPr>
          <w:rStyle w:val="43"/>
          <w:rFonts w:ascii="宋体" w:hAnsi="宋体"/>
          <w:b/>
          <w:sz w:val="21"/>
          <w:szCs w:val="21"/>
        </w:rPr>
        <w:t>二、价格部分</w:t>
      </w:r>
      <w:r>
        <w:rPr>
          <w:rStyle w:val="43"/>
          <w:rFonts w:hint="eastAsia" w:ascii="宋体" w:hAnsi="宋体"/>
          <w:b/>
          <w:sz w:val="21"/>
          <w:szCs w:val="21"/>
        </w:rPr>
        <w:t>2</w:t>
      </w:r>
      <w:r>
        <w:rPr>
          <w:rStyle w:val="43"/>
          <w:rFonts w:ascii="宋体" w:hAnsi="宋体"/>
          <w:b/>
          <w:sz w:val="21"/>
          <w:szCs w:val="21"/>
        </w:rPr>
        <w:t>0分。</w:t>
      </w:r>
    </w:p>
    <w:p>
      <w:pPr>
        <w:snapToGrid w:val="0"/>
        <w:spacing w:line="380" w:lineRule="exact"/>
        <w:ind w:firstLine="426" w:firstLineChars="200"/>
        <w:jc w:val="left"/>
        <w:rPr>
          <w:rStyle w:val="43"/>
          <w:rFonts w:ascii="宋体" w:hAnsi="宋体"/>
          <w:kern w:val="0"/>
          <w:sz w:val="21"/>
          <w:szCs w:val="21"/>
        </w:rPr>
      </w:pPr>
      <w:r>
        <w:rPr>
          <w:rStyle w:val="43"/>
          <w:rFonts w:ascii="宋体" w:hAnsi="宋体"/>
          <w:kern w:val="0"/>
          <w:sz w:val="21"/>
          <w:szCs w:val="21"/>
        </w:rPr>
        <w:t>评标基准价：</w:t>
      </w:r>
      <w:r>
        <w:rPr>
          <w:rStyle w:val="43"/>
          <w:rFonts w:ascii="宋体" w:hAnsi="宋体"/>
          <w:sz w:val="21"/>
          <w:szCs w:val="21"/>
        </w:rPr>
        <w:t>价格分采用低价优先法计算，</w:t>
      </w:r>
      <w:r>
        <w:rPr>
          <w:rStyle w:val="43"/>
          <w:rFonts w:ascii="宋体" w:hAnsi="宋体"/>
          <w:kern w:val="0"/>
          <w:sz w:val="21"/>
          <w:szCs w:val="21"/>
        </w:rPr>
        <w:t>以有效投标人的最低</w:t>
      </w:r>
      <w:r>
        <w:rPr>
          <w:rStyle w:val="43"/>
          <w:rFonts w:ascii="宋体" w:hAnsi="宋体"/>
          <w:sz w:val="21"/>
          <w:szCs w:val="21"/>
        </w:rPr>
        <w:t>价</w:t>
      </w:r>
      <w:r>
        <w:rPr>
          <w:rStyle w:val="43"/>
          <w:rFonts w:ascii="宋体" w:hAnsi="宋体"/>
          <w:kern w:val="0"/>
          <w:sz w:val="21"/>
          <w:szCs w:val="21"/>
        </w:rPr>
        <w:t>为评标基准价，其价格分为满分。</w:t>
      </w:r>
    </w:p>
    <w:p>
      <w:pPr>
        <w:snapToGrid w:val="0"/>
        <w:spacing w:line="380" w:lineRule="exact"/>
        <w:ind w:firstLine="426" w:firstLineChars="200"/>
        <w:jc w:val="left"/>
        <w:rPr>
          <w:rStyle w:val="43"/>
          <w:rFonts w:ascii="宋体" w:hAnsi="宋体"/>
          <w:kern w:val="0"/>
          <w:sz w:val="21"/>
          <w:szCs w:val="21"/>
        </w:rPr>
      </w:pPr>
      <w:r>
        <w:rPr>
          <w:rStyle w:val="43"/>
          <w:rFonts w:ascii="宋体" w:hAnsi="宋体"/>
          <w:kern w:val="0"/>
          <w:sz w:val="21"/>
          <w:szCs w:val="21"/>
        </w:rPr>
        <w:t>其他投标人的价格分统一按照下列公式计算：</w:t>
      </w:r>
    </w:p>
    <w:p>
      <w:pPr>
        <w:spacing w:line="380" w:lineRule="exact"/>
        <w:ind w:firstLine="426" w:firstLineChars="200"/>
        <w:rPr>
          <w:rStyle w:val="43"/>
          <w:rFonts w:ascii="宋体" w:hAnsi="宋体"/>
          <w:kern w:val="0"/>
          <w:sz w:val="21"/>
          <w:szCs w:val="21"/>
        </w:rPr>
      </w:pPr>
      <w:r>
        <w:rPr>
          <w:rStyle w:val="43"/>
          <w:rFonts w:ascii="宋体" w:hAnsi="宋体"/>
          <w:kern w:val="0"/>
          <w:sz w:val="21"/>
          <w:szCs w:val="21"/>
        </w:rPr>
        <w:t>投标报价得分=(评标基准价／投标报价)×</w:t>
      </w:r>
      <w:r>
        <w:rPr>
          <w:rStyle w:val="43"/>
          <w:rFonts w:hint="eastAsia" w:ascii="宋体" w:hAnsi="宋体"/>
          <w:kern w:val="0"/>
          <w:sz w:val="21"/>
          <w:szCs w:val="21"/>
        </w:rPr>
        <w:t>2</w:t>
      </w:r>
      <w:r>
        <w:rPr>
          <w:rStyle w:val="43"/>
          <w:rFonts w:ascii="宋体" w:hAnsi="宋体"/>
          <w:kern w:val="0"/>
          <w:sz w:val="21"/>
          <w:szCs w:val="21"/>
        </w:rPr>
        <w:t>0%×100</w:t>
      </w:r>
    </w:p>
    <w:p>
      <w:pPr>
        <w:spacing w:line="380" w:lineRule="exact"/>
        <w:ind w:firstLine="426" w:firstLineChars="200"/>
        <w:rPr>
          <w:rStyle w:val="43"/>
          <w:rFonts w:ascii="宋体" w:hAnsi="宋体"/>
          <w:b/>
          <w:bCs/>
          <w:sz w:val="21"/>
          <w:szCs w:val="21"/>
          <w:highlight w:val="none"/>
        </w:rPr>
      </w:pPr>
      <w:r>
        <w:rPr>
          <w:rStyle w:val="43"/>
          <w:rFonts w:hint="eastAsia"/>
          <w:b/>
          <w:bCs/>
          <w:sz w:val="21"/>
          <w:szCs w:val="21"/>
          <w:highlight w:val="none"/>
        </w:rPr>
        <w:t>投标总价</w:t>
      </w:r>
      <w:r>
        <w:rPr>
          <w:rStyle w:val="43"/>
          <w:rFonts w:ascii="宋体" w:hAnsi="宋体"/>
          <w:b/>
          <w:bCs/>
          <w:sz w:val="21"/>
          <w:szCs w:val="21"/>
          <w:highlight w:val="none"/>
        </w:rPr>
        <w:t>超过预算价（</w:t>
      </w:r>
      <w:r>
        <w:rPr>
          <w:rStyle w:val="43"/>
          <w:rFonts w:hint="eastAsia" w:ascii="宋体" w:hAnsi="宋体"/>
          <w:b/>
          <w:bCs/>
          <w:sz w:val="21"/>
          <w:szCs w:val="21"/>
          <w:highlight w:val="none"/>
        </w:rPr>
        <w:t>13888910</w:t>
      </w:r>
      <w:r>
        <w:rPr>
          <w:rStyle w:val="43"/>
          <w:rFonts w:ascii="宋体" w:hAnsi="宋体"/>
          <w:b/>
          <w:bCs/>
          <w:sz w:val="21"/>
          <w:szCs w:val="21"/>
          <w:highlight w:val="none"/>
        </w:rPr>
        <w:t>元）的作无效标处理。</w:t>
      </w:r>
      <w:r>
        <w:rPr>
          <w:rStyle w:val="43"/>
          <w:rFonts w:hint="eastAsia"/>
          <w:b/>
          <w:bCs/>
          <w:sz w:val="21"/>
          <w:szCs w:val="21"/>
          <w:highlight w:val="none"/>
        </w:rPr>
        <w:t>风险控制价为11805574元（即最高限价的85%）。凡低于该风险控制价的中标供应商在中标后5个工作日内提交履约保证金的同时必须额外补交中标总价与风险控制价之差额，中标供应商不提交的视为放弃中标，由第二中标候选人中标。</w:t>
      </w:r>
    </w:p>
    <w:p>
      <w:pPr>
        <w:spacing w:line="360" w:lineRule="exact"/>
        <w:ind w:firstLine="426" w:firstLineChars="200"/>
        <w:rPr>
          <w:rFonts w:ascii="宋体" w:hAnsi="宋体" w:cs="宋体"/>
          <w:b/>
          <w:sz w:val="21"/>
          <w:szCs w:val="21"/>
        </w:rPr>
      </w:pPr>
      <w:r>
        <w:rPr>
          <w:rFonts w:hint="eastAsia" w:ascii="宋体" w:hAnsi="宋体" w:cs="宋体"/>
          <w:b/>
          <w:kern w:val="0"/>
          <w:sz w:val="21"/>
          <w:szCs w:val="21"/>
        </w:rPr>
        <w:t>（三）</w:t>
      </w:r>
      <w:r>
        <w:rPr>
          <w:rFonts w:hint="eastAsia" w:ascii="宋体" w:hAnsi="宋体" w:cs="宋体"/>
          <w:b/>
          <w:sz w:val="21"/>
          <w:szCs w:val="21"/>
        </w:rPr>
        <w:t>投标报价应包括人员的工资、人身意外保险费、服装费、管理费、高温补贴费、发票稅费、劳动合同法规定的各类社会保险费、招标代理中标服务费等所有相关费用。</w:t>
      </w:r>
    </w:p>
    <w:p>
      <w:pPr>
        <w:spacing w:line="360" w:lineRule="exact"/>
        <w:ind w:firstLine="426" w:firstLineChars="200"/>
        <w:rPr>
          <w:rFonts w:ascii="宋体" w:hAnsi="宋体" w:cs="宋体"/>
          <w:b/>
          <w:sz w:val="21"/>
          <w:szCs w:val="21"/>
        </w:rPr>
      </w:pPr>
      <w:r>
        <w:rPr>
          <w:rFonts w:hint="eastAsia" w:ascii="宋体" w:hAnsi="宋体" w:cs="宋体"/>
          <w:b/>
          <w:sz w:val="21"/>
          <w:szCs w:val="21"/>
        </w:rPr>
        <w:t>（四）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p>
      <w:pPr>
        <w:pStyle w:val="32"/>
        <w:spacing w:line="700" w:lineRule="exact"/>
        <w:ind w:left="477"/>
        <w:outlineLvl w:val="0"/>
        <w:rPr>
          <w:rStyle w:val="43"/>
          <w:rFonts w:hint="eastAsia" w:hAnsi="宋体" w:eastAsia="宋体" w:cs="宋体"/>
          <w:bCs/>
          <w:color w:val="auto"/>
          <w:szCs w:val="36"/>
          <w:lang w:val="en-US" w:eastAsia="zh-CN"/>
        </w:rPr>
      </w:pPr>
      <w:bookmarkStart w:id="343" w:name="_Toc827776163"/>
      <w:r>
        <w:rPr>
          <w:rStyle w:val="43"/>
          <w:rFonts w:hAnsi="宋体" w:cs="宋体"/>
          <w:b/>
          <w:bCs/>
          <w:color w:val="auto"/>
        </w:rPr>
        <w:t>第五部分  合同主要条款</w:t>
      </w:r>
      <w:bookmarkEnd w:id="343"/>
      <w:r>
        <w:rPr>
          <w:rStyle w:val="43"/>
          <w:rFonts w:hint="eastAsia" w:hAnsi="宋体" w:cs="宋体"/>
          <w:b/>
          <w:bCs/>
          <w:color w:val="auto"/>
          <w:lang w:val="en-US" w:eastAsia="zh-CN"/>
        </w:rPr>
        <w:t xml:space="preserve"> </w:t>
      </w:r>
    </w:p>
    <w:p>
      <w:pPr>
        <w:pStyle w:val="37"/>
        <w:tabs>
          <w:tab w:val="left" w:pos="180"/>
        </w:tabs>
        <w:spacing w:after="120"/>
        <w:jc w:val="center"/>
        <w:outlineLvl w:val="1"/>
        <w:rPr>
          <w:rStyle w:val="43"/>
          <w:rFonts w:hAnsi="宋体"/>
          <w:b/>
          <w:szCs w:val="21"/>
        </w:rPr>
      </w:pPr>
      <w:r>
        <w:rPr>
          <w:rStyle w:val="43"/>
          <w:rFonts w:hAnsi="宋体"/>
          <w:b/>
          <w:szCs w:val="21"/>
        </w:rPr>
        <w:t>（本合同为合同样稿，最终稿由双方协商后确定）</w:t>
      </w:r>
    </w:p>
    <w:p>
      <w:pPr>
        <w:snapToGrid w:val="0"/>
        <w:spacing w:line="380" w:lineRule="exact"/>
        <w:ind w:firstLine="426" w:firstLineChars="200"/>
        <w:jc w:val="left"/>
        <w:rPr>
          <w:rStyle w:val="43"/>
          <w:rFonts w:ascii="宋体" w:hAnsi="宋体"/>
          <w:kern w:val="0"/>
          <w:sz w:val="21"/>
          <w:szCs w:val="21"/>
        </w:rPr>
      </w:pPr>
      <w:r>
        <w:rPr>
          <w:rStyle w:val="43"/>
          <w:rFonts w:ascii="宋体" w:hAnsi="宋体"/>
          <w:kern w:val="0"/>
          <w:sz w:val="21"/>
          <w:szCs w:val="21"/>
        </w:rPr>
        <w:t>根据《中华人民共和国</w:t>
      </w:r>
      <w:r>
        <w:rPr>
          <w:rStyle w:val="43"/>
          <w:rFonts w:hint="eastAsia" w:ascii="宋体" w:hAnsi="宋体"/>
          <w:kern w:val="0"/>
          <w:sz w:val="21"/>
          <w:szCs w:val="21"/>
        </w:rPr>
        <w:t>民法典</w:t>
      </w:r>
      <w:r>
        <w:rPr>
          <w:rStyle w:val="43"/>
          <w:rFonts w:ascii="宋体" w:hAnsi="宋体"/>
          <w:kern w:val="0"/>
          <w:sz w:val="21"/>
          <w:szCs w:val="21"/>
        </w:rPr>
        <w:t>》以及有关法律、法规的规定，本着诚信合作、真诚服务、公平公正、互利共赢的原则，甲乙双方经友好协商，特签订本合同</w:t>
      </w:r>
      <w:r>
        <w:rPr>
          <w:rStyle w:val="43"/>
          <w:rFonts w:hint="eastAsia" w:ascii="宋体" w:hAnsi="宋体"/>
          <w:kern w:val="0"/>
          <w:sz w:val="21"/>
          <w:szCs w:val="21"/>
        </w:rPr>
        <w:t>，由乙方向甲方承建</w:t>
      </w:r>
      <w:r>
        <w:rPr>
          <w:rStyle w:val="43"/>
          <w:rFonts w:hint="eastAsia" w:ascii="宋体" w:hAnsi="宋体"/>
          <w:kern w:val="0"/>
          <w:sz w:val="21"/>
          <w:szCs w:val="21"/>
          <w:lang w:eastAsia="zh-CN"/>
        </w:rPr>
        <w:t>嵊州智能厨电产业大脑建设项目（一期）</w:t>
      </w:r>
      <w:r>
        <w:rPr>
          <w:rStyle w:val="43"/>
          <w:rFonts w:hint="eastAsia" w:ascii="宋体" w:hAnsi="宋体"/>
          <w:kern w:val="0"/>
          <w:sz w:val="21"/>
          <w:szCs w:val="21"/>
        </w:rPr>
        <w:t>，具体内容如下：</w:t>
      </w:r>
    </w:p>
    <w:p>
      <w:pPr>
        <w:numPr>
          <w:ilvl w:val="0"/>
          <w:numId w:val="7"/>
        </w:numPr>
        <w:spacing w:line="360" w:lineRule="auto"/>
        <w:outlineLvl w:val="1"/>
        <w:rPr>
          <w:b/>
        </w:rPr>
      </w:pPr>
      <w:r>
        <w:rPr>
          <w:rFonts w:hint="eastAsia"/>
          <w:b/>
        </w:rPr>
        <w:t>项目名称：</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项目名称：“</w:t>
      </w:r>
      <w:r>
        <w:rPr>
          <w:rStyle w:val="43"/>
          <w:rFonts w:hint="eastAsia" w:ascii="宋体" w:hAnsi="宋体"/>
          <w:kern w:val="0"/>
          <w:sz w:val="21"/>
          <w:szCs w:val="21"/>
          <w:lang w:eastAsia="zh-CN"/>
        </w:rPr>
        <w:t>嵊州智能厨电产业大脑建设项目（一期）</w:t>
      </w:r>
      <w:r>
        <w:rPr>
          <w:rStyle w:val="43"/>
          <w:rFonts w:hint="eastAsia" w:ascii="宋体" w:hAnsi="宋体"/>
          <w:kern w:val="0"/>
          <w:sz w:val="21"/>
          <w:szCs w:val="21"/>
        </w:rPr>
        <w:t>”，项目应满足甲方需求，达到附件《</w:t>
      </w:r>
      <w:r>
        <w:rPr>
          <w:rStyle w:val="43"/>
          <w:rFonts w:hint="eastAsia" w:ascii="宋体" w:hAnsi="宋体"/>
          <w:kern w:val="0"/>
          <w:sz w:val="21"/>
          <w:szCs w:val="21"/>
          <w:lang w:eastAsia="zh-CN"/>
        </w:rPr>
        <w:t>嵊州智能厨电产业大脑建设项目（一期）</w:t>
      </w:r>
      <w:r>
        <w:rPr>
          <w:rStyle w:val="43"/>
          <w:rFonts w:hint="eastAsia" w:ascii="宋体" w:hAnsi="宋体"/>
          <w:kern w:val="0"/>
          <w:sz w:val="21"/>
          <w:szCs w:val="21"/>
        </w:rPr>
        <w:t>需求及技术规格》所示标准和功能。</w:t>
      </w:r>
    </w:p>
    <w:p>
      <w:pPr>
        <w:numPr>
          <w:ilvl w:val="0"/>
          <w:numId w:val="7"/>
        </w:numPr>
        <w:spacing w:line="360" w:lineRule="auto"/>
        <w:outlineLvl w:val="1"/>
        <w:rPr>
          <w:b/>
        </w:rPr>
      </w:pPr>
      <w:r>
        <w:rPr>
          <w:rFonts w:hint="eastAsia"/>
          <w:b/>
        </w:rPr>
        <w:t>交货方式及日期：</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1、乙方应在</w:t>
      </w:r>
      <w:r>
        <w:rPr>
          <w:rStyle w:val="43"/>
          <w:rFonts w:ascii="宋体" w:hAnsi="宋体"/>
          <w:kern w:val="0"/>
          <w:sz w:val="21"/>
          <w:szCs w:val="21"/>
        </w:rPr>
        <w:t>2023年</w:t>
      </w:r>
      <w:r>
        <w:rPr>
          <w:rStyle w:val="43"/>
          <w:rFonts w:hint="eastAsia" w:ascii="宋体" w:hAnsi="宋体"/>
          <w:kern w:val="0"/>
          <w:sz w:val="21"/>
          <w:szCs w:val="21"/>
          <w:lang w:val="en-US" w:eastAsia="zh-CN"/>
        </w:rPr>
        <w:t xml:space="preserve"> 6 </w:t>
      </w:r>
      <w:r>
        <w:rPr>
          <w:rStyle w:val="43"/>
          <w:rFonts w:ascii="宋体" w:hAnsi="宋体"/>
          <w:kern w:val="0"/>
          <w:sz w:val="21"/>
          <w:szCs w:val="21"/>
        </w:rPr>
        <w:t>月</w:t>
      </w:r>
      <w:r>
        <w:rPr>
          <w:rStyle w:val="43"/>
          <w:rFonts w:hint="eastAsia" w:ascii="宋体" w:hAnsi="宋体"/>
          <w:kern w:val="0"/>
          <w:sz w:val="21"/>
          <w:szCs w:val="21"/>
          <w:lang w:val="en-US" w:eastAsia="zh-CN"/>
        </w:rPr>
        <w:t xml:space="preserve"> 30 </w:t>
      </w:r>
      <w:r>
        <w:rPr>
          <w:rStyle w:val="43"/>
          <w:rFonts w:ascii="宋体" w:hAnsi="宋体"/>
          <w:kern w:val="0"/>
          <w:sz w:val="21"/>
          <w:szCs w:val="21"/>
        </w:rPr>
        <w:t>日</w:t>
      </w:r>
      <w:r>
        <w:rPr>
          <w:rStyle w:val="43"/>
          <w:rFonts w:hint="eastAsia" w:ascii="宋体" w:hAnsi="宋体"/>
          <w:kern w:val="0"/>
          <w:sz w:val="21"/>
          <w:szCs w:val="21"/>
        </w:rPr>
        <w:t>前完成附件《</w:t>
      </w:r>
      <w:r>
        <w:rPr>
          <w:rStyle w:val="43"/>
          <w:rFonts w:hint="eastAsia" w:ascii="宋体" w:hAnsi="宋体"/>
          <w:kern w:val="0"/>
          <w:sz w:val="21"/>
          <w:szCs w:val="21"/>
          <w:lang w:eastAsia="zh-CN"/>
        </w:rPr>
        <w:t>嵊州智能厨电产业大脑建设项目（一期）</w:t>
      </w:r>
      <w:r>
        <w:rPr>
          <w:rStyle w:val="43"/>
          <w:rFonts w:hint="eastAsia" w:ascii="宋体" w:hAnsi="宋体"/>
          <w:kern w:val="0"/>
          <w:sz w:val="21"/>
          <w:szCs w:val="21"/>
        </w:rPr>
        <w:t>需求及技术规格》所示建设内容，并通过甲方验收。</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2、交付地点：嵊州市</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3、交货内容：详见附件。</w:t>
      </w:r>
    </w:p>
    <w:p>
      <w:pPr>
        <w:numPr>
          <w:ilvl w:val="0"/>
          <w:numId w:val="7"/>
        </w:numPr>
        <w:outlineLvl w:val="1"/>
        <w:rPr>
          <w:b/>
        </w:rPr>
      </w:pPr>
      <w:r>
        <w:rPr>
          <w:rFonts w:hint="eastAsia"/>
          <w:b/>
        </w:rPr>
        <w:t>项目总价款及付款方式：</w:t>
      </w:r>
    </w:p>
    <w:tbl>
      <w:tblPr>
        <w:tblStyle w:val="26"/>
        <w:tblpPr w:leftFromText="180" w:rightFromText="180" w:vertAnchor="text" w:horzAnchor="page" w:tblpX="1146" w:tblpY="1285"/>
        <w:tblOverlap w:val="never"/>
        <w:tblW w:w="4982" w:type="pct"/>
        <w:tblInd w:w="0" w:type="dxa"/>
        <w:tblLayout w:type="autofit"/>
        <w:tblCellMar>
          <w:top w:w="15" w:type="dxa"/>
          <w:left w:w="15" w:type="dxa"/>
          <w:bottom w:w="15" w:type="dxa"/>
          <w:right w:w="15" w:type="dxa"/>
        </w:tblCellMar>
      </w:tblPr>
      <w:tblGrid>
        <w:gridCol w:w="566"/>
        <w:gridCol w:w="1090"/>
        <w:gridCol w:w="3142"/>
        <w:gridCol w:w="740"/>
        <w:gridCol w:w="1036"/>
        <w:gridCol w:w="1051"/>
        <w:gridCol w:w="851"/>
        <w:gridCol w:w="1258"/>
      </w:tblGrid>
      <w:tr>
        <w:tblPrEx>
          <w:tblCellMar>
            <w:top w:w="15" w:type="dxa"/>
            <w:left w:w="15" w:type="dxa"/>
            <w:bottom w:w="15" w:type="dxa"/>
            <w:right w:w="15" w:type="dxa"/>
          </w:tblCellMar>
        </w:tblPrEx>
        <w:trPr>
          <w:trHeight w:val="21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 xml:space="preserve">项目报价汇总表  </w:t>
            </w:r>
          </w:p>
        </w:tc>
      </w:tr>
      <w:tr>
        <w:tblPrEx>
          <w:tblCellMar>
            <w:top w:w="15" w:type="dxa"/>
            <w:left w:w="15" w:type="dxa"/>
            <w:bottom w:w="15" w:type="dxa"/>
            <w:right w:w="15" w:type="dxa"/>
          </w:tblCellMar>
        </w:tblPrEx>
        <w:trPr>
          <w:trHeight w:val="225"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序号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分项名称</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描述</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数 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单 价（单位：元，含税）</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总价（单位：元，含税）</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税率</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详细报价内容</w:t>
            </w:r>
          </w:p>
        </w:tc>
      </w:tr>
      <w:tr>
        <w:tblPrEx>
          <w:tblCellMar>
            <w:top w:w="15" w:type="dxa"/>
            <w:left w:w="15" w:type="dxa"/>
            <w:bottom w:w="15" w:type="dxa"/>
            <w:right w:w="15" w:type="dxa"/>
          </w:tblCellMar>
        </w:tblPrEx>
        <w:trPr>
          <w:trHeight w:val="435"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软件类费用</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包括但不限于：本项目集成实施使用到的工业互联网平台、应用软件、操作系统等软件产品授权</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详见附件报价明细</w:t>
            </w:r>
          </w:p>
        </w:tc>
      </w:tr>
      <w:tr>
        <w:tblPrEx>
          <w:tblCellMar>
            <w:top w:w="15" w:type="dxa"/>
            <w:left w:w="15" w:type="dxa"/>
            <w:bottom w:w="15" w:type="dxa"/>
            <w:right w:w="15" w:type="dxa"/>
          </w:tblCellMar>
        </w:tblPrEx>
        <w:trPr>
          <w:trHeight w:val="435"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硬件类费用</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包括但不限于：本项目实施所需的大屏、服务器、办公电脑、移动设备等硬件资源</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详见附件报价明细</w:t>
            </w:r>
          </w:p>
        </w:tc>
      </w:tr>
      <w:tr>
        <w:tblPrEx>
          <w:tblCellMar>
            <w:top w:w="15" w:type="dxa"/>
            <w:left w:w="15" w:type="dxa"/>
            <w:bottom w:w="15" w:type="dxa"/>
            <w:right w:w="15" w:type="dxa"/>
          </w:tblCellMar>
        </w:tblPrEx>
        <w:trPr>
          <w:trHeight w:val="435"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云服务类费用</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包括但不限于：本项目实施所需的云端服务资源、存储、安全、网络等</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详见附件报价明细</w:t>
            </w:r>
          </w:p>
        </w:tc>
      </w:tr>
      <w:tr>
        <w:tblPrEx>
          <w:tblCellMar>
            <w:top w:w="15" w:type="dxa"/>
            <w:left w:w="15" w:type="dxa"/>
            <w:bottom w:w="15" w:type="dxa"/>
            <w:right w:w="15" w:type="dxa"/>
          </w:tblCellMar>
        </w:tblPrEx>
        <w:trPr>
          <w:trHeight w:val="435"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4</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定制开发类费用</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包括但不限于：本项目定制开发类软件平台、软件应用、门户建设费用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详见附件报价明细</w:t>
            </w:r>
          </w:p>
        </w:tc>
      </w:tr>
      <w:tr>
        <w:tblPrEx>
          <w:tblCellMar>
            <w:top w:w="15" w:type="dxa"/>
            <w:left w:w="15" w:type="dxa"/>
            <w:bottom w:w="15" w:type="dxa"/>
            <w:right w:w="15" w:type="dxa"/>
          </w:tblCellMar>
        </w:tblPrEx>
        <w:trPr>
          <w:trHeight w:val="435"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实施、系统集成费</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包括但不限于：本项目软件平台及软件应用、门户建设的实施、系统集成费用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详见附件报价明细</w:t>
            </w:r>
          </w:p>
        </w:tc>
      </w:tr>
      <w:tr>
        <w:tblPrEx>
          <w:tblCellMar>
            <w:top w:w="15" w:type="dxa"/>
            <w:left w:w="15" w:type="dxa"/>
            <w:bottom w:w="15" w:type="dxa"/>
            <w:right w:w="15" w:type="dxa"/>
          </w:tblCellMar>
        </w:tblPrEx>
        <w:trPr>
          <w:trHeight w:val="435"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6</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场地装修费</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包括但不限于：平台运营中心装修，即行业级产业大脑展示中心装修</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详见附件报价明细</w:t>
            </w:r>
          </w:p>
        </w:tc>
      </w:tr>
      <w:tr>
        <w:tblPrEx>
          <w:tblCellMar>
            <w:top w:w="15" w:type="dxa"/>
            <w:left w:w="15" w:type="dxa"/>
            <w:bottom w:w="15" w:type="dxa"/>
            <w:right w:w="15" w:type="dxa"/>
          </w:tblCellMar>
        </w:tblPrEx>
        <w:trPr>
          <w:trHeight w:val="435"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ascii="宋体" w:hAnsi="宋体" w:cs="宋体"/>
                <w:sz w:val="18"/>
                <w:szCs w:val="18"/>
              </w:rPr>
              <w:t>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平台运营费用</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包含但不限于：本项目完成建设后，平台运营中心一年运营费用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18"/>
                <w:szCs w:val="18"/>
              </w:rPr>
            </w:pPr>
            <w:r>
              <w:rPr>
                <w:rFonts w:hint="eastAsia" w:ascii="宋体" w:hAnsi="宋体" w:cs="宋体"/>
                <w:sz w:val="18"/>
                <w:szCs w:val="18"/>
              </w:rPr>
              <w:t>详见附件报价明细</w:t>
            </w:r>
          </w:p>
        </w:tc>
      </w:tr>
      <w:tr>
        <w:tblPrEx>
          <w:tblCellMar>
            <w:top w:w="15" w:type="dxa"/>
            <w:left w:w="15" w:type="dxa"/>
            <w:bottom w:w="15" w:type="dxa"/>
            <w:right w:w="15" w:type="dxa"/>
          </w:tblCellMar>
        </w:tblPrEx>
        <w:trPr>
          <w:trHeight w:val="225" w:hRule="atLeast"/>
        </w:trPr>
        <w:tc>
          <w:tcPr>
            <w:tcW w:w="28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小计：</w:t>
            </w:r>
          </w:p>
        </w:tc>
        <w:tc>
          <w:tcPr>
            <w:tcW w:w="10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18"/>
                <w:szCs w:val="18"/>
              </w:rPr>
            </w:pPr>
            <w:r>
              <w:rPr>
                <w:rFonts w:hint="eastAsia" w:ascii="宋体" w:hAnsi="宋体" w:cs="宋体"/>
                <w:sz w:val="18"/>
                <w:szCs w:val="18"/>
              </w:rPr>
              <w:t>　</w:t>
            </w:r>
          </w:p>
        </w:tc>
      </w:tr>
    </w:tbl>
    <w:p>
      <w:pPr>
        <w:snapToGrid w:val="0"/>
        <w:spacing w:line="380" w:lineRule="exact"/>
        <w:ind w:firstLine="426" w:firstLineChars="200"/>
        <w:jc w:val="left"/>
        <w:rPr>
          <w:rStyle w:val="43"/>
          <w:rFonts w:ascii="宋体" w:hAnsi="宋体"/>
          <w:kern w:val="0"/>
          <w:sz w:val="21"/>
          <w:szCs w:val="21"/>
        </w:rPr>
      </w:pPr>
    </w:p>
    <w:p>
      <w:pPr>
        <w:snapToGrid w:val="0"/>
        <w:spacing w:line="380" w:lineRule="exact"/>
        <w:ind w:firstLine="486" w:firstLineChars="200"/>
        <w:jc w:val="left"/>
        <w:rPr>
          <w:rStyle w:val="43"/>
          <w:rFonts w:ascii="宋体" w:hAnsi="宋体"/>
          <w:b/>
          <w:bCs/>
          <w:color w:val="FF0000"/>
          <w:sz w:val="21"/>
          <w:szCs w:val="21"/>
        </w:rPr>
      </w:pPr>
      <w:r>
        <w:rPr>
          <w:rFonts w:hint="eastAsia"/>
          <w:b/>
        </w:rPr>
        <w:t>付款方式</w:t>
      </w:r>
      <w:r>
        <w:rPr>
          <w:rFonts w:hint="eastAsia"/>
          <w:b/>
          <w:lang w:eastAsia="zh-CN"/>
        </w:rPr>
        <w:t>：</w:t>
      </w:r>
      <w:r>
        <w:rPr>
          <w:rStyle w:val="43"/>
          <w:rFonts w:hint="eastAsia" w:ascii="宋体" w:hAnsi="宋体"/>
          <w:b/>
          <w:bCs/>
          <w:color w:val="FF0000"/>
          <w:sz w:val="21"/>
          <w:szCs w:val="21"/>
        </w:rPr>
        <w:t>合同签订后支付合同价款（不含运营费）的40%，项目初验后10个工作日内付至合同价款（不含运营费）的80%，项目验收合格后10个工作日内付至合同价款（不含运营费）的95%，项目免费运维期满1年后10个工作日内付清余款。</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b/>
          <w:bCs/>
          <w:color w:val="FF0000"/>
          <w:sz w:val="21"/>
          <w:szCs w:val="21"/>
        </w:rPr>
        <w:t>运营费在运营满一年后10个工作日内付清。</w:t>
      </w:r>
    </w:p>
    <w:p>
      <w:pPr>
        <w:numPr>
          <w:ilvl w:val="0"/>
          <w:numId w:val="7"/>
        </w:numPr>
        <w:spacing w:line="360" w:lineRule="auto"/>
        <w:outlineLvl w:val="1"/>
        <w:rPr>
          <w:b/>
        </w:rPr>
      </w:pPr>
      <w:r>
        <w:rPr>
          <w:rFonts w:hint="eastAsia"/>
          <w:b/>
        </w:rPr>
        <w:t>项目验收：</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1、乙方按附件《</w:t>
      </w:r>
      <w:r>
        <w:rPr>
          <w:rStyle w:val="43"/>
          <w:rFonts w:hint="eastAsia" w:ascii="宋体" w:hAnsi="宋体"/>
          <w:kern w:val="0"/>
          <w:sz w:val="21"/>
          <w:szCs w:val="21"/>
          <w:lang w:eastAsia="zh-CN"/>
        </w:rPr>
        <w:t>嵊州智能厨电产业大脑建设项目（一期）</w:t>
      </w:r>
      <w:r>
        <w:rPr>
          <w:rStyle w:val="43"/>
          <w:rFonts w:hint="eastAsia" w:ascii="宋体" w:hAnsi="宋体"/>
          <w:kern w:val="0"/>
          <w:sz w:val="21"/>
          <w:szCs w:val="21"/>
        </w:rPr>
        <w:t>需求及技术规格》要求完成项目建设后，乙方通知甲方验收，如验收合格应出具验收合格证明；如验收不合格，乙方应继续完善直至甲方验收合格。若项目验收过程中甲乙双方存在分歧，乙方可以提请专家委员会给出评审意见，最终以甲方验收确认为准。</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2、双方验收标准为本合同相关条款及附件《</w:t>
      </w:r>
      <w:r>
        <w:rPr>
          <w:rStyle w:val="43"/>
          <w:rFonts w:hint="eastAsia" w:ascii="宋体" w:hAnsi="宋体"/>
          <w:kern w:val="0"/>
          <w:sz w:val="21"/>
          <w:szCs w:val="21"/>
          <w:lang w:eastAsia="zh-CN"/>
        </w:rPr>
        <w:t>嵊州智能厨电产业大脑建设项目（一期）</w:t>
      </w:r>
      <w:r>
        <w:rPr>
          <w:rStyle w:val="43"/>
          <w:rFonts w:hint="eastAsia" w:ascii="宋体" w:hAnsi="宋体"/>
          <w:kern w:val="0"/>
          <w:sz w:val="21"/>
          <w:szCs w:val="21"/>
        </w:rPr>
        <w:t>需求及技术规格》相关内容。</w:t>
      </w:r>
    </w:p>
    <w:p>
      <w:pPr>
        <w:numPr>
          <w:ilvl w:val="0"/>
          <w:numId w:val="7"/>
        </w:numPr>
        <w:spacing w:line="360" w:lineRule="auto"/>
        <w:outlineLvl w:val="1"/>
        <w:rPr>
          <w:b/>
        </w:rPr>
      </w:pPr>
      <w:r>
        <w:rPr>
          <w:rFonts w:hint="eastAsia"/>
          <w:b/>
        </w:rPr>
        <w:t>项目管理约束</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1、双方本合同签订15个工作日内，乙方需提交项目小组人员名单、经历及项目实施计划，经甲方批准后展开相关工作。如有变更，甲乙双方沟通争取达成一致意见。</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2、乙方应组织强有力的项目团队，甲方有权建议乙方更换项目人员；</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3、乙方需按照项目实施计划严格实施，当项目过程中出现重大质量问题时，甲方有权进行书面的通告并要求整改，当乙方出现3次以上通告时，甲方有权终止本合同。</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4、乙方需向甲方提交项目月报及项目阶段总结报告。</w:t>
      </w:r>
    </w:p>
    <w:p>
      <w:pPr>
        <w:numPr>
          <w:ilvl w:val="0"/>
          <w:numId w:val="7"/>
        </w:numPr>
        <w:spacing w:line="360" w:lineRule="auto"/>
        <w:outlineLvl w:val="1"/>
        <w:rPr>
          <w:b/>
        </w:rPr>
      </w:pPr>
      <w:r>
        <w:rPr>
          <w:rFonts w:hint="eastAsia"/>
          <w:b/>
        </w:rPr>
        <w:t>项目验收交付物</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1、乙方需按照项目计划分阶段提交相关交付物；</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2、项目交付物应包含如下清单，但不限：</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（1）项目小组名单及经历；</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（2）项目推进计划；</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（3）附件《</w:t>
      </w:r>
      <w:r>
        <w:rPr>
          <w:rStyle w:val="43"/>
          <w:rFonts w:hint="eastAsia" w:ascii="宋体" w:hAnsi="宋体"/>
          <w:kern w:val="0"/>
          <w:sz w:val="21"/>
          <w:szCs w:val="21"/>
          <w:lang w:eastAsia="zh-CN"/>
        </w:rPr>
        <w:t>嵊州智能厨电产业大脑建设项目（一期）</w:t>
      </w:r>
      <w:r>
        <w:rPr>
          <w:rStyle w:val="43"/>
          <w:rFonts w:hint="eastAsia" w:ascii="宋体" w:hAnsi="宋体"/>
          <w:kern w:val="0"/>
          <w:sz w:val="21"/>
          <w:szCs w:val="21"/>
        </w:rPr>
        <w:t>需求及技术规格》要求交付的所有资料；</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（4）项目验收报告。</w:t>
      </w:r>
    </w:p>
    <w:p>
      <w:pPr>
        <w:numPr>
          <w:ilvl w:val="0"/>
          <w:numId w:val="7"/>
        </w:numPr>
        <w:spacing w:line="360" w:lineRule="auto"/>
        <w:outlineLvl w:val="1"/>
        <w:rPr>
          <w:b/>
        </w:rPr>
      </w:pPr>
      <w:r>
        <w:rPr>
          <w:rFonts w:hint="eastAsia"/>
          <w:b/>
        </w:rPr>
        <w:t>产品质保期与售后服务</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售后免费服务期为</w:t>
      </w:r>
      <w:r>
        <w:rPr>
          <w:rStyle w:val="43"/>
          <w:rFonts w:hint="eastAsia" w:ascii="宋体" w:hAnsi="宋体"/>
          <w:kern w:val="0"/>
          <w:sz w:val="21"/>
          <w:szCs w:val="21"/>
          <w:u w:val="single"/>
        </w:rPr>
        <w:t xml:space="preserve">      </w:t>
      </w:r>
      <w:r>
        <w:rPr>
          <w:rStyle w:val="43"/>
          <w:rFonts w:hint="eastAsia" w:ascii="宋体" w:hAnsi="宋体"/>
          <w:kern w:val="0"/>
          <w:sz w:val="21"/>
          <w:szCs w:val="21"/>
        </w:rPr>
        <w:t>个月，乙方应按附件《</w:t>
      </w:r>
      <w:r>
        <w:rPr>
          <w:rStyle w:val="43"/>
          <w:rFonts w:hint="eastAsia" w:ascii="宋体" w:hAnsi="宋体"/>
          <w:kern w:val="0"/>
          <w:sz w:val="21"/>
          <w:szCs w:val="21"/>
          <w:lang w:eastAsia="zh-CN"/>
        </w:rPr>
        <w:t>嵊州智能厨电产业大脑建设项目（一期）</w:t>
      </w:r>
      <w:r>
        <w:rPr>
          <w:rStyle w:val="43"/>
          <w:rFonts w:hint="eastAsia" w:ascii="宋体" w:hAnsi="宋体"/>
          <w:kern w:val="0"/>
          <w:sz w:val="21"/>
          <w:szCs w:val="21"/>
        </w:rPr>
        <w:t>需求及技术规格》要求，提供相应的修改服务及技术支持。</w:t>
      </w:r>
    </w:p>
    <w:p>
      <w:pPr>
        <w:numPr>
          <w:ilvl w:val="0"/>
          <w:numId w:val="7"/>
        </w:numPr>
        <w:spacing w:line="360" w:lineRule="auto"/>
        <w:outlineLvl w:val="1"/>
        <w:rPr>
          <w:rFonts w:ascii="宋体" w:hAnsi="宋体"/>
          <w:b/>
        </w:rPr>
      </w:pPr>
      <w:r>
        <w:rPr>
          <w:rFonts w:hint="eastAsia"/>
          <w:b/>
        </w:rPr>
        <w:t>权利保证：</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乙方保证对其所提供的软硬件不存在侵犯第三方的知识产权或其他权利。若乙方交付物上存在侵犯第三方知识产权或其他权利的，由此引起的一切后果由乙方承担，甲方概不承担责任；如因此给甲方造成任何损失，由乙方承担全部赔偿责任。</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乙方必须确保项目的持续服务，直至项目最终验收为止，如果乙方在合同期内因其自身原因单方终止项目的服务，需退还已支付费用并承担该项目总金额的10%的违约金。同样，甲方因其自身原因单方终止项目的服务，同样承担该项目总金额的10%的违约金，并支付已发生的服务费用。</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3、乙方已完成技术协议的相关内容，因甲方无故拖延验收，或不进行验收工作达三个月，则视为自动满足验收条款，甲方需无条件支付全部合同金额。</w:t>
      </w:r>
    </w:p>
    <w:p>
      <w:pPr>
        <w:pStyle w:val="20"/>
        <w:rPr>
          <w:color w:val="FF0000"/>
        </w:rPr>
      </w:pPr>
      <w:r>
        <w:rPr>
          <w:rStyle w:val="43"/>
          <w:rFonts w:hint="eastAsia" w:ascii="宋体" w:hAnsi="宋体"/>
          <w:kern w:val="0"/>
          <w:sz w:val="21"/>
          <w:szCs w:val="21"/>
        </w:rPr>
        <w:t xml:space="preserve">   </w:t>
      </w:r>
      <w:r>
        <w:rPr>
          <w:rStyle w:val="43"/>
          <w:rFonts w:hint="eastAsia" w:ascii="宋体" w:hAnsi="宋体"/>
          <w:b w:val="0"/>
          <w:bCs/>
          <w:color w:val="FF0000"/>
          <w:kern w:val="0"/>
          <w:sz w:val="21"/>
          <w:szCs w:val="21"/>
        </w:rPr>
        <w:t xml:space="preserve"> 4、厨电产业大脑项目所有软件及数据所有权归属甲方。</w:t>
      </w:r>
    </w:p>
    <w:p>
      <w:pPr>
        <w:numPr>
          <w:ilvl w:val="0"/>
          <w:numId w:val="7"/>
        </w:numPr>
        <w:spacing w:line="360" w:lineRule="auto"/>
        <w:outlineLvl w:val="1"/>
        <w:rPr>
          <w:b/>
        </w:rPr>
      </w:pPr>
      <w:r>
        <w:rPr>
          <w:b/>
        </w:rPr>
        <w:t>双方</w:t>
      </w:r>
      <w:r>
        <w:rPr>
          <w:rFonts w:hint="eastAsia"/>
          <w:b/>
        </w:rPr>
        <w:t>权利与义务</w:t>
      </w:r>
    </w:p>
    <w:p>
      <w:pPr>
        <w:snapToGrid w:val="0"/>
        <w:spacing w:line="380" w:lineRule="exact"/>
        <w:ind w:firstLine="426" w:firstLineChars="200"/>
        <w:jc w:val="left"/>
        <w:outlineLvl w:val="2"/>
        <w:rPr>
          <w:rStyle w:val="43"/>
          <w:rFonts w:ascii="宋体" w:hAnsi="宋体"/>
          <w:kern w:val="0"/>
          <w:sz w:val="21"/>
          <w:szCs w:val="21"/>
        </w:rPr>
      </w:pPr>
      <w:r>
        <w:rPr>
          <w:rStyle w:val="43"/>
          <w:rFonts w:hint="eastAsia" w:ascii="宋体" w:hAnsi="宋体"/>
          <w:kern w:val="0"/>
          <w:sz w:val="21"/>
          <w:szCs w:val="21"/>
        </w:rPr>
        <w:t>1、乙方权利与义务</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（1）乙方有权按时获得本合同所约定的款项；</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（2）乙方确保交付的产品质量可靠、性能稳定。</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（3）乙方承诺按照本合同约定提供产品质保以及售后服务。</w:t>
      </w:r>
    </w:p>
    <w:p>
      <w:pPr>
        <w:snapToGrid w:val="0"/>
        <w:spacing w:line="380" w:lineRule="exact"/>
        <w:ind w:firstLine="426" w:firstLineChars="200"/>
        <w:jc w:val="left"/>
        <w:outlineLvl w:val="2"/>
        <w:rPr>
          <w:rStyle w:val="43"/>
          <w:rFonts w:ascii="宋体" w:hAnsi="宋体"/>
          <w:kern w:val="0"/>
          <w:sz w:val="21"/>
          <w:szCs w:val="21"/>
        </w:rPr>
      </w:pPr>
      <w:r>
        <w:rPr>
          <w:rStyle w:val="43"/>
          <w:rFonts w:hint="eastAsia" w:ascii="宋体" w:hAnsi="宋体"/>
          <w:kern w:val="0"/>
          <w:sz w:val="21"/>
          <w:szCs w:val="21"/>
        </w:rPr>
        <w:t>2、甲方权利与义务</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（1）甲方未按照本合同约定及时支付相应的合同价款时，乙方有权拒绝交付产品。</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（2）甲方需按照本合同约定及时支付相应的合同价款。</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（3）甲方收到乙方产品后，应及时组织验收工作。</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（4）甲方要积极配合乙方，提供必要的资源，保证系统稳步实施取得良好实施效果。</w:t>
      </w:r>
    </w:p>
    <w:p>
      <w:pPr>
        <w:numPr>
          <w:ilvl w:val="0"/>
          <w:numId w:val="7"/>
        </w:numPr>
        <w:spacing w:line="360" w:lineRule="auto"/>
        <w:outlineLvl w:val="1"/>
        <w:rPr>
          <w:b/>
        </w:rPr>
      </w:pPr>
      <w:r>
        <w:rPr>
          <w:rFonts w:hint="eastAsia"/>
          <w:b/>
        </w:rPr>
        <w:t>违约责任</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甲方未能提供必要的工作配合或环境支持，或不能及时验收或有意拖延验收，致使乙方服务不能按计划如期进行，乙方工作计划按延误时间顺延，并甲方应按本合同总金额的千分之三（3‰）向乙方支付违约金，延误时间在2周内不需要支付违约金；如果延期超过三十（30）日，双方协商不能达成一致的情况下，乙方有权终止本合同，不退还已收款项，并甲方应向乙方支付所有至终止合同时，甲方应付但未付乙方已交付的阶段性成果费用以及与本项目有关的其他费用。</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甲方应就任何本合同项下到期应付而甲方未支付的款项逾期7日后，按照合同总金额千分之三（3‰）向乙方支付延期付款违约金。逾期付款超过三十（30）日，乙方有权终止本合同，甲方除应继续支付相应款项外还应赔偿由此给乙方造成的损失。</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3、由于乙方单方面原因，不能按期完成各阶段的工作，乙方除继续提供服务外，应按合同总金额的千分之三（3‰）向甲方支付违约金，延误时间在2周内不需要支付违约金；如果逾期超过三十（30）日，双方协商不能达成一致的情况下，甲方有权终止本合同，同时要求乙方返还甲方在此前已支付的而乙方未完成工作部分的相应的建设服务费。</w:t>
      </w:r>
    </w:p>
    <w:p>
      <w:pPr>
        <w:numPr>
          <w:ilvl w:val="0"/>
          <w:numId w:val="7"/>
        </w:numPr>
        <w:spacing w:line="360" w:lineRule="auto"/>
        <w:outlineLvl w:val="1"/>
        <w:rPr>
          <w:b/>
        </w:rPr>
      </w:pPr>
      <w:r>
        <w:rPr>
          <w:rFonts w:hint="eastAsia"/>
          <w:b/>
        </w:rPr>
        <w:t xml:space="preserve"> 保密条款</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双方应当对本合同的内容、因履行本合同或在本合同期间获得的或收到的对方的商务、财务、技术、产品的信息、用户资料或其他标明保密的文件或信息的内容(简称“保密资料”)保守秘密，未经信息披露方书面事先同意，不得向本合同以外的任何第三方披露。资料接受方可仅为本合同目的向其确有知悉必要的雇员披露对方提供的保密资料，但同时须指示其雇员遵守本条规定的保密及不披露义务。双方应仅为本合同目的而复制和使用保密资料。</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2、除非得到另一方的书面许可，甲乙双方均不得将本合同中的内容及在本合同执行过程中获得的对方的商业信息向任何第三方泄露。</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3、双方的保密义务应在本合同期满、解除或终止后仍然有效。</w:t>
      </w:r>
    </w:p>
    <w:p>
      <w:pPr>
        <w:numPr>
          <w:ilvl w:val="0"/>
          <w:numId w:val="7"/>
        </w:numPr>
        <w:spacing w:line="360" w:lineRule="auto"/>
        <w:outlineLvl w:val="1"/>
        <w:rPr>
          <w:b/>
        </w:rPr>
      </w:pPr>
      <w:r>
        <w:rPr>
          <w:rFonts w:hint="eastAsia"/>
          <w:b/>
        </w:rPr>
        <w:t xml:space="preserve"> </w:t>
      </w:r>
      <w:r>
        <w:rPr>
          <w:b/>
        </w:rPr>
        <w:t>廉洁条款</w:t>
      </w:r>
    </w:p>
    <w:p>
      <w:pPr>
        <w:snapToGrid w:val="0"/>
        <w:spacing w:line="380" w:lineRule="exact"/>
        <w:ind w:firstLine="426" w:firstLineChars="200"/>
        <w:jc w:val="left"/>
        <w:outlineLvl w:val="2"/>
        <w:rPr>
          <w:rStyle w:val="43"/>
          <w:rFonts w:ascii="宋体" w:hAnsi="宋体"/>
          <w:kern w:val="0"/>
          <w:sz w:val="21"/>
          <w:szCs w:val="21"/>
        </w:rPr>
      </w:pPr>
      <w:r>
        <w:rPr>
          <w:rStyle w:val="43"/>
          <w:rFonts w:hint="eastAsia" w:ascii="宋体" w:hAnsi="宋体"/>
          <w:kern w:val="0"/>
          <w:sz w:val="21"/>
          <w:szCs w:val="21"/>
        </w:rPr>
        <w:t>1、甲方义务：</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（1）甲方工作人员不得以咨询费、劳务费等各种名义向乙方索要合同以外的各种费用，不得在乙方处报销任何费用。</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（2）甲方工作人员不得参与乙方承担费用的旅游、健身、娱乐等高消费活动，不得参加乙方组织或承担费用的宴请等活动。</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（3）不准在验收、付款等正常履约过程中，为了索取合同约定以外的费用而故意推诿扯皮、借故刁难等。</w:t>
      </w:r>
    </w:p>
    <w:p>
      <w:pPr>
        <w:snapToGrid w:val="0"/>
        <w:spacing w:line="380" w:lineRule="exact"/>
        <w:ind w:firstLine="426" w:firstLineChars="200"/>
        <w:jc w:val="left"/>
        <w:outlineLvl w:val="2"/>
        <w:rPr>
          <w:rStyle w:val="43"/>
          <w:rFonts w:ascii="宋体" w:hAnsi="宋体"/>
          <w:kern w:val="0"/>
          <w:sz w:val="21"/>
          <w:szCs w:val="21"/>
        </w:rPr>
      </w:pPr>
      <w:r>
        <w:rPr>
          <w:rStyle w:val="43"/>
          <w:rFonts w:hint="eastAsia" w:ascii="宋体" w:hAnsi="宋体"/>
          <w:kern w:val="0"/>
          <w:sz w:val="21"/>
          <w:szCs w:val="21"/>
        </w:rPr>
        <w:t xml:space="preserve">2、乙方义务  </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（1）不得给予甲方工作人员红包、礼金、有价证券、提货券、消费卡或贵重礼品等各种形式的好处。</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（2）不得向甲方工作人员支付咨询费、劳务费等各种名义的费用，给予报销或垫付应由甲方工作人员个人承担的费用。</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（3）不得为甲方的工作人员提供公款旅游和健身、娱乐等高消费活动，不得宴请甲方工作人员或以变相赌博等方式贿赂甲方工作人员。</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 xml:space="preserve">（4）不得为甲方工作人员及其亲友的营利活动提供便利条件。 </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（5）不得为了在合同签订、验收、付款等履行环节获得便利而向甲方工作人员支付任何合同约定以外的费用。</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（6）乙方工作人员个人从事上述行为也视为乙方行为，由乙方和责任人共同承担连带责任。</w:t>
      </w:r>
    </w:p>
    <w:p>
      <w:pPr>
        <w:numPr>
          <w:ilvl w:val="0"/>
          <w:numId w:val="7"/>
        </w:numPr>
        <w:spacing w:line="360" w:lineRule="auto"/>
        <w:outlineLvl w:val="1"/>
        <w:rPr>
          <w:rFonts w:ascii="宋体" w:hAnsi="宋体"/>
          <w:b/>
        </w:rPr>
      </w:pPr>
      <w:r>
        <w:rPr>
          <w:rFonts w:hint="eastAsia"/>
          <w:b/>
        </w:rPr>
        <w:t xml:space="preserve"> 不可抗力</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由于地震、台风、水灾、战争、法律、政府命令以及其它不能预见并且对其发生和后果不能防止和避免的不可抗力事故，直接导致本合同无法履行或者不能正常履行时，甲乙双方均不承担违约责任。但遇有上述不可抗力事故的一方应立即将事故情况通知另一方，并应在合理期间内尽快提供事故详情及合同不能履行或部分不能履行或需要延期履行的相关理由的有效证明文件；</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2、上述证明文件应由不可抗力事故发生地区的有关政府部门或公证机构出具；</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3、对由于不可抗力造成的损失，任何一方不得提出赔偿要求，法律另有规定的除外；</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4、在不可抗力消失后，除非双方已经达成其它协议，否则受到了不可抗力影响的一方应当立即采取措施，继续履行合同。</w:t>
      </w:r>
    </w:p>
    <w:p>
      <w:pPr>
        <w:numPr>
          <w:ilvl w:val="0"/>
          <w:numId w:val="7"/>
        </w:numPr>
        <w:spacing w:line="360" w:lineRule="auto"/>
        <w:outlineLvl w:val="1"/>
        <w:rPr>
          <w:rFonts w:ascii="宋体" w:hAnsi="宋体"/>
          <w:b/>
        </w:rPr>
      </w:pPr>
      <w:r>
        <w:rPr>
          <w:rFonts w:hint="eastAsia"/>
          <w:b/>
        </w:rPr>
        <w:t xml:space="preserve"> 适用法律及争议解决</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1、本合同的订立、效力、履行、解释和争议的解决均受中国法律的管辖；</w:t>
      </w:r>
    </w:p>
    <w:p>
      <w:pPr>
        <w:snapToGrid w:val="0"/>
        <w:spacing w:line="380" w:lineRule="exact"/>
        <w:ind w:firstLine="426" w:firstLineChars="200"/>
        <w:jc w:val="left"/>
        <w:rPr>
          <w:rFonts w:ascii="宋体" w:hAnsi="宋体"/>
        </w:rPr>
      </w:pPr>
      <w:r>
        <w:rPr>
          <w:rStyle w:val="43"/>
          <w:rFonts w:hint="eastAsia" w:ascii="宋体" w:hAnsi="宋体"/>
          <w:kern w:val="0"/>
          <w:sz w:val="21"/>
          <w:szCs w:val="21"/>
        </w:rPr>
        <w:t>2、本合同履行过程中如发生争议的，各方应协商解决。协商不成的，各方同意提交合同签订地人民法院进行裁决。</w:t>
      </w:r>
    </w:p>
    <w:p>
      <w:pPr>
        <w:numPr>
          <w:ilvl w:val="0"/>
          <w:numId w:val="7"/>
        </w:numPr>
        <w:spacing w:line="360" w:lineRule="auto"/>
        <w:outlineLvl w:val="1"/>
        <w:rPr>
          <w:rFonts w:ascii="宋体" w:hAnsi="宋体"/>
          <w:b/>
        </w:rPr>
      </w:pPr>
      <w:r>
        <w:rPr>
          <w:b/>
        </w:rPr>
        <w:t xml:space="preserve"> </w:t>
      </w:r>
      <w:r>
        <w:rPr>
          <w:rFonts w:hint="eastAsia"/>
          <w:b/>
        </w:rPr>
        <w:t>合同的生效和效力</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1、本合同经甲乙双方授权代表签字并盖章之日起生效，至本合同约定的双方全部义务履行完毕之日终止；</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 xml:space="preserve">2、本合同的签订替代此前双方所有口头或书面承诺； </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3、本合同附件为本合同不可分割的组成部分，与本合同具有同等法律效力；</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4、若本合同的某一条款被裁决为无效，但并不影响本合同其它条款效力的，其它条款仍然有效。</w:t>
      </w:r>
    </w:p>
    <w:p>
      <w:pPr>
        <w:numPr>
          <w:ilvl w:val="0"/>
          <w:numId w:val="7"/>
        </w:numPr>
        <w:spacing w:line="360" w:lineRule="auto"/>
        <w:outlineLvl w:val="1"/>
        <w:rPr>
          <w:rFonts w:ascii="宋体" w:hAnsi="宋体"/>
          <w:b/>
        </w:rPr>
      </w:pPr>
      <w:r>
        <w:rPr>
          <w:rFonts w:hint="eastAsia"/>
          <w:b/>
        </w:rPr>
        <w:t xml:space="preserve"> 合同的变更和终止</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1、本合同生效后，对本合同的任何补充、修改和变更，均应经双方协商一致以书面形式做出，由甲乙双方授权代表签字并盖章方为有效；</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2、</w:t>
      </w:r>
      <w:r>
        <w:rPr>
          <w:rStyle w:val="43"/>
          <w:rFonts w:hint="eastAsia" w:ascii="宋体" w:hAnsi="宋体"/>
          <w:kern w:val="0"/>
          <w:sz w:val="21"/>
          <w:szCs w:val="21"/>
          <w:lang w:val="zh-TW" w:eastAsia="zh-TW"/>
        </w:rPr>
        <w:t>项目实施过程</w:t>
      </w:r>
      <w:r>
        <w:rPr>
          <w:rStyle w:val="43"/>
          <w:rFonts w:hint="eastAsia" w:ascii="宋体" w:hAnsi="宋体"/>
          <w:kern w:val="0"/>
          <w:sz w:val="21"/>
          <w:szCs w:val="21"/>
          <w:lang w:val="zh-TW"/>
        </w:rPr>
        <w:t>的</w:t>
      </w:r>
      <w:r>
        <w:rPr>
          <w:rStyle w:val="43"/>
          <w:rFonts w:hint="eastAsia" w:ascii="宋体" w:hAnsi="宋体"/>
          <w:kern w:val="0"/>
          <w:sz w:val="21"/>
          <w:szCs w:val="21"/>
          <w:lang w:val="zh-TW" w:eastAsia="zh-TW"/>
        </w:rPr>
        <w:t>需求变更及增补，甲方</w:t>
      </w:r>
      <w:r>
        <w:rPr>
          <w:rStyle w:val="43"/>
          <w:rFonts w:hint="eastAsia" w:ascii="宋体" w:hAnsi="宋体"/>
          <w:kern w:val="0"/>
          <w:sz w:val="21"/>
          <w:szCs w:val="21"/>
          <w:lang w:val="zh-TW"/>
        </w:rPr>
        <w:t>应书面提交</w:t>
      </w:r>
      <w:r>
        <w:rPr>
          <w:rStyle w:val="43"/>
          <w:rFonts w:hint="eastAsia" w:ascii="宋体" w:hAnsi="宋体"/>
          <w:kern w:val="0"/>
          <w:sz w:val="21"/>
          <w:szCs w:val="21"/>
          <w:lang w:val="zh-TW" w:eastAsia="zh-TW"/>
        </w:rPr>
        <w:t>乙方，双方进行透彻沟通，</w:t>
      </w:r>
      <w:r>
        <w:rPr>
          <w:rStyle w:val="43"/>
          <w:rFonts w:hint="eastAsia" w:ascii="宋体" w:hAnsi="宋体"/>
          <w:kern w:val="0"/>
          <w:sz w:val="21"/>
          <w:szCs w:val="21"/>
          <w:lang w:val="zh-TW"/>
        </w:rPr>
        <w:t>如涉及较大的人力或其他费用投入</w:t>
      </w:r>
      <w:r>
        <w:rPr>
          <w:rStyle w:val="43"/>
          <w:rFonts w:hint="eastAsia" w:ascii="宋体" w:hAnsi="宋体"/>
          <w:kern w:val="0"/>
          <w:sz w:val="21"/>
          <w:szCs w:val="21"/>
          <w:lang w:val="zh-TW" w:eastAsia="zh-TW"/>
        </w:rPr>
        <w:t>，双方另行商讨费用。</w:t>
      </w:r>
    </w:p>
    <w:p>
      <w:pPr>
        <w:snapToGrid w:val="0"/>
        <w:spacing w:line="380" w:lineRule="exact"/>
        <w:ind w:firstLine="426" w:firstLineChars="200"/>
        <w:jc w:val="left"/>
        <w:rPr>
          <w:rStyle w:val="43"/>
          <w:rFonts w:ascii="宋体" w:hAnsi="宋体"/>
          <w:kern w:val="0"/>
          <w:sz w:val="21"/>
          <w:szCs w:val="21"/>
        </w:rPr>
      </w:pPr>
      <w:r>
        <w:rPr>
          <w:rStyle w:val="43"/>
          <w:rFonts w:hint="eastAsia" w:ascii="宋体" w:hAnsi="宋体"/>
          <w:kern w:val="0"/>
          <w:sz w:val="21"/>
          <w:szCs w:val="21"/>
        </w:rPr>
        <w:t>3、甲乙双方经协商一致，可共同签订书面协议结案并终止本合同。</w:t>
      </w:r>
    </w:p>
    <w:p>
      <w:pPr>
        <w:numPr>
          <w:ilvl w:val="0"/>
          <w:numId w:val="7"/>
        </w:numPr>
        <w:spacing w:line="360" w:lineRule="auto"/>
        <w:outlineLvl w:val="1"/>
        <w:rPr>
          <w:b/>
        </w:rPr>
      </w:pPr>
      <w:r>
        <w:rPr>
          <w:rFonts w:hint="eastAsia"/>
          <w:b/>
        </w:rPr>
        <w:t xml:space="preserve"> 适用条款</w:t>
      </w:r>
    </w:p>
    <w:p>
      <w:pPr>
        <w:spacing w:line="360" w:lineRule="auto"/>
        <w:ind w:firstLine="426" w:firstLineChars="200"/>
        <w:rPr>
          <w:rFonts w:ascii="宋体" w:hAnsi="宋体" w:cs="宋体"/>
        </w:rPr>
      </w:pPr>
      <w:r>
        <w:rPr>
          <w:rStyle w:val="43"/>
          <w:rFonts w:hint="eastAsia" w:ascii="宋体" w:hAnsi="宋体"/>
          <w:kern w:val="0"/>
          <w:sz w:val="21"/>
          <w:szCs w:val="21"/>
        </w:rPr>
        <w:t>如本合同所涉各项文件的条款发生冲突，则本合同中后面条款的适用优先于本合同前面的条款；附件中条款的适用优先于本合同条款。</w:t>
      </w:r>
    </w:p>
    <w:p>
      <w:pPr>
        <w:numPr>
          <w:ilvl w:val="0"/>
          <w:numId w:val="7"/>
        </w:numPr>
        <w:spacing w:line="360" w:lineRule="auto"/>
        <w:outlineLvl w:val="1"/>
        <w:rPr>
          <w:rFonts w:ascii="宋体" w:hAnsi="宋体"/>
          <w:b/>
        </w:rPr>
      </w:pPr>
      <w:r>
        <w:rPr>
          <w:rFonts w:hint="eastAsia"/>
          <w:b/>
        </w:rPr>
        <w:t xml:space="preserve"> 合同附则</w:t>
      </w:r>
    </w:p>
    <w:p>
      <w:pPr>
        <w:spacing w:line="360" w:lineRule="auto"/>
        <w:ind w:firstLine="426" w:firstLineChars="200"/>
        <w:rPr>
          <w:rStyle w:val="43"/>
          <w:rFonts w:ascii="宋体" w:hAnsi="宋体"/>
          <w:kern w:val="0"/>
          <w:sz w:val="21"/>
          <w:szCs w:val="21"/>
        </w:rPr>
      </w:pPr>
      <w:r>
        <w:rPr>
          <w:rStyle w:val="43"/>
          <w:rFonts w:hint="eastAsia" w:ascii="宋体" w:hAnsi="宋体"/>
          <w:kern w:val="0"/>
          <w:sz w:val="21"/>
          <w:szCs w:val="21"/>
        </w:rPr>
        <w:t>1、因本合同而发生的一切税费，由双方按法律规定各自承担；</w:t>
      </w:r>
    </w:p>
    <w:p>
      <w:pPr>
        <w:spacing w:line="360" w:lineRule="auto"/>
        <w:ind w:firstLine="426" w:firstLineChars="200"/>
        <w:rPr>
          <w:rStyle w:val="43"/>
          <w:rFonts w:ascii="宋体" w:hAnsi="宋体"/>
          <w:kern w:val="0"/>
          <w:sz w:val="21"/>
          <w:szCs w:val="21"/>
        </w:rPr>
      </w:pPr>
      <w:r>
        <w:rPr>
          <w:rStyle w:val="43"/>
          <w:rFonts w:hint="eastAsia" w:ascii="宋体" w:hAnsi="宋体"/>
          <w:kern w:val="0"/>
          <w:sz w:val="21"/>
          <w:szCs w:val="21"/>
        </w:rPr>
        <w:t>2、双方按本合同约定向对方发送书面通知，应送往本合同落款处双方所记载的地址，除非在发送书面通知前已收到对方以书面方式提供的新的通讯地址；</w:t>
      </w:r>
    </w:p>
    <w:p>
      <w:pPr>
        <w:spacing w:line="360" w:lineRule="auto"/>
        <w:ind w:firstLine="426" w:firstLineChars="200"/>
        <w:rPr>
          <w:rStyle w:val="43"/>
          <w:rFonts w:ascii="宋体" w:hAnsi="宋体"/>
          <w:kern w:val="0"/>
          <w:sz w:val="21"/>
          <w:szCs w:val="21"/>
        </w:rPr>
      </w:pPr>
      <w:r>
        <w:rPr>
          <w:rStyle w:val="43"/>
          <w:rFonts w:hint="eastAsia" w:ascii="宋体" w:hAnsi="宋体"/>
          <w:kern w:val="0"/>
          <w:sz w:val="21"/>
          <w:szCs w:val="21"/>
        </w:rPr>
        <w:t>3、本合同正本一式伍份，甲方执贰份，乙方执贰份，招标代理机构壹份。</w:t>
      </w:r>
    </w:p>
    <w:p>
      <w:pPr>
        <w:spacing w:line="360" w:lineRule="auto"/>
        <w:ind w:firstLine="426" w:firstLineChars="200"/>
      </w:pPr>
      <w:r>
        <w:rPr>
          <w:rStyle w:val="43"/>
          <w:rFonts w:hint="eastAsia" w:ascii="宋体" w:hAnsi="宋体"/>
          <w:kern w:val="0"/>
          <w:sz w:val="21"/>
          <w:szCs w:val="21"/>
        </w:rPr>
        <w:t>（以下无正文）</w:t>
      </w:r>
    </w:p>
    <w:p/>
    <w:p>
      <w:pPr>
        <w:pStyle w:val="20"/>
      </w:pPr>
    </w:p>
    <w:p/>
    <w:p>
      <w:pPr>
        <w:pStyle w:val="20"/>
      </w:pPr>
    </w:p>
    <w:p/>
    <w:p>
      <w:pPr>
        <w:pStyle w:val="20"/>
      </w:pPr>
    </w:p>
    <w:p/>
    <w:p>
      <w:pPr>
        <w:pStyle w:val="20"/>
      </w:pPr>
    </w:p>
    <w:p/>
    <w:p/>
    <w:p>
      <w:pPr>
        <w:spacing w:afterLines="30"/>
        <w:outlineLvl w:val="1"/>
        <w:rPr>
          <w:rFonts w:ascii="宋体" w:hAnsi="宋体" w:cs="仿宋"/>
        </w:rPr>
      </w:pPr>
      <w:r>
        <w:rPr>
          <w:rFonts w:ascii="宋体" w:hAnsi="宋体" w:cs="仿宋"/>
        </w:rPr>
        <w:t>（本页无正文，</w:t>
      </w:r>
      <w:r>
        <w:rPr>
          <w:rFonts w:hint="eastAsia" w:ascii="宋体" w:hAnsi="宋体" w:cs="仿宋"/>
        </w:rPr>
        <w:t>为合同</w:t>
      </w:r>
      <w:r>
        <w:rPr>
          <w:rFonts w:ascii="宋体" w:hAnsi="宋体" w:cs="仿宋"/>
        </w:rPr>
        <w:t>签字页</w:t>
      </w:r>
      <w:r>
        <w:rPr>
          <w:rFonts w:hint="eastAsia" w:ascii="宋体" w:hAnsi="宋体" w:cs="仿宋"/>
        </w:rPr>
        <w:t>）</w:t>
      </w:r>
    </w:p>
    <w:tbl>
      <w:tblPr>
        <w:tblStyle w:val="26"/>
        <w:tblpPr w:leftFromText="180" w:rightFromText="180" w:vertAnchor="text" w:horzAnchor="page" w:tblpX="1327" w:tblpY="44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68" w:type="dxa"/>
          </w:tcPr>
          <w:p>
            <w:pPr>
              <w:spacing w:line="360" w:lineRule="auto"/>
              <w:rPr>
                <w:szCs w:val="21"/>
              </w:rPr>
            </w:pPr>
          </w:p>
        </w:tc>
        <w:tc>
          <w:tcPr>
            <w:tcW w:w="3827" w:type="dxa"/>
            <w:vAlign w:val="center"/>
          </w:tcPr>
          <w:p>
            <w:pPr>
              <w:spacing w:line="360" w:lineRule="auto"/>
              <w:jc w:val="center"/>
              <w:rPr>
                <w:b/>
                <w:szCs w:val="21"/>
              </w:rPr>
            </w:pPr>
            <w:r>
              <w:rPr>
                <w:rFonts w:hint="eastAsia"/>
                <w:b/>
                <w:szCs w:val="21"/>
              </w:rPr>
              <w:t>甲方</w:t>
            </w:r>
          </w:p>
        </w:tc>
        <w:tc>
          <w:tcPr>
            <w:tcW w:w="3827" w:type="dxa"/>
            <w:vAlign w:val="center"/>
          </w:tcPr>
          <w:p>
            <w:pPr>
              <w:spacing w:line="360" w:lineRule="auto"/>
              <w:jc w:val="center"/>
              <w:rPr>
                <w:b/>
                <w:szCs w:val="21"/>
              </w:rPr>
            </w:pPr>
            <w:r>
              <w:rPr>
                <w:rFonts w:hint="eastAsia"/>
                <w:b/>
                <w:szCs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668" w:type="dxa"/>
            <w:vAlign w:val="center"/>
          </w:tcPr>
          <w:p>
            <w:pPr>
              <w:spacing w:line="360" w:lineRule="auto"/>
              <w:jc w:val="center"/>
              <w:rPr>
                <w:rFonts w:hAnsi="宋体"/>
                <w:szCs w:val="21"/>
              </w:rPr>
            </w:pPr>
            <w:r>
              <w:rPr>
                <w:rFonts w:hint="eastAsia" w:hAnsi="宋体"/>
                <w:szCs w:val="21"/>
              </w:rPr>
              <w:t>单位名称</w:t>
            </w:r>
          </w:p>
        </w:tc>
        <w:tc>
          <w:tcPr>
            <w:tcW w:w="3827" w:type="dxa"/>
            <w:vAlign w:val="center"/>
          </w:tcPr>
          <w:p>
            <w:pPr>
              <w:spacing w:line="360" w:lineRule="auto"/>
              <w:jc w:val="center"/>
              <w:rPr>
                <w:rFonts w:hAnsi="宋体"/>
                <w:szCs w:val="21"/>
              </w:rPr>
            </w:pPr>
            <w:r>
              <w:rPr>
                <w:rFonts w:hAnsi="宋体"/>
                <w:szCs w:val="21"/>
              </w:rPr>
              <w:t>嵊州市经济和信息化局</w:t>
            </w:r>
          </w:p>
          <w:p>
            <w:pPr>
              <w:spacing w:line="360" w:lineRule="auto"/>
              <w:jc w:val="center"/>
              <w:rPr>
                <w:rFonts w:hAnsi="宋体"/>
                <w:szCs w:val="21"/>
              </w:rPr>
            </w:pPr>
            <w:r>
              <w:rPr>
                <w:rFonts w:hint="eastAsia" w:hAnsi="宋体"/>
                <w:szCs w:val="21"/>
              </w:rPr>
              <w:t>（盖章）</w:t>
            </w:r>
          </w:p>
        </w:tc>
        <w:tc>
          <w:tcPr>
            <w:tcW w:w="3827" w:type="dxa"/>
            <w:vAlign w:val="center"/>
          </w:tcPr>
          <w:p>
            <w:pPr>
              <w:spacing w:line="360" w:lineRule="auto"/>
              <w:jc w:val="center"/>
              <w:rPr>
                <w:rFonts w:hAnsi="宋体"/>
                <w:szCs w:val="21"/>
              </w:rPr>
            </w:pPr>
            <w:r>
              <w:rPr>
                <w:rFonts w:hint="eastAsia" w:hAnsi="宋体"/>
                <w:szCs w:val="21"/>
              </w:rPr>
              <w:t>XXXX有限公司</w:t>
            </w:r>
          </w:p>
          <w:p>
            <w:pPr>
              <w:spacing w:line="360" w:lineRule="auto"/>
              <w:jc w:val="center"/>
              <w:rPr>
                <w:rFonts w:hAnsi="宋体"/>
                <w:sz w:val="21"/>
                <w:szCs w:val="21"/>
              </w:rPr>
            </w:pPr>
            <w:r>
              <w:rPr>
                <w:rFonts w:hint="eastAsia" w:hAnsi="宋体"/>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668" w:type="dxa"/>
            <w:vAlign w:val="center"/>
          </w:tcPr>
          <w:p>
            <w:pPr>
              <w:spacing w:line="360" w:lineRule="auto"/>
              <w:jc w:val="center"/>
              <w:rPr>
                <w:rFonts w:ascii="宋体" w:hAnsi="宋体" w:cs="宋体"/>
                <w:lang w:val="zh-TW" w:eastAsia="zh-TW"/>
              </w:rPr>
            </w:pPr>
            <w:r>
              <w:rPr>
                <w:rFonts w:hint="eastAsia" w:ascii="宋体" w:hAnsi="宋体" w:cs="宋体"/>
                <w:lang w:val="zh-TW" w:eastAsia="zh-TW"/>
              </w:rPr>
              <w:t>单位地址</w:t>
            </w:r>
          </w:p>
        </w:tc>
        <w:tc>
          <w:tcPr>
            <w:tcW w:w="3827" w:type="dxa"/>
            <w:vAlign w:val="center"/>
          </w:tcPr>
          <w:p>
            <w:pPr>
              <w:spacing w:line="360" w:lineRule="auto"/>
              <w:jc w:val="center"/>
              <w:rPr>
                <w:rFonts w:ascii="宋体" w:hAnsi="宋体" w:cs="宋体"/>
                <w:lang w:val="zh-TW" w:eastAsia="zh-TW"/>
              </w:rPr>
            </w:pPr>
          </w:p>
        </w:tc>
        <w:tc>
          <w:tcPr>
            <w:tcW w:w="3827" w:type="dxa"/>
            <w:vAlign w:val="center"/>
          </w:tcPr>
          <w:p>
            <w:pPr>
              <w:spacing w:line="360" w:lineRule="auto"/>
              <w:jc w:val="center"/>
              <w:rPr>
                <w:rFonts w:ascii="宋体" w:hAnsi="宋体" w:cs="宋体"/>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68" w:type="dxa"/>
            <w:vAlign w:val="center"/>
          </w:tcPr>
          <w:p>
            <w:pPr>
              <w:spacing w:line="360" w:lineRule="auto"/>
              <w:jc w:val="center"/>
              <w:rPr>
                <w:rFonts w:hAnsi="宋体"/>
                <w:szCs w:val="21"/>
              </w:rPr>
            </w:pPr>
            <w:r>
              <w:rPr>
                <w:rFonts w:hint="eastAsia" w:hAnsi="宋体"/>
                <w:szCs w:val="21"/>
              </w:rPr>
              <w:t>法定代表人</w:t>
            </w:r>
          </w:p>
        </w:tc>
        <w:tc>
          <w:tcPr>
            <w:tcW w:w="3827" w:type="dxa"/>
            <w:vAlign w:val="center"/>
          </w:tcPr>
          <w:p>
            <w:pPr>
              <w:spacing w:line="360" w:lineRule="auto"/>
              <w:jc w:val="center"/>
              <w:rPr>
                <w:rFonts w:hAnsi="宋体"/>
                <w:szCs w:val="21"/>
              </w:rPr>
            </w:pPr>
          </w:p>
        </w:tc>
        <w:tc>
          <w:tcPr>
            <w:tcW w:w="3827" w:type="dxa"/>
            <w:vAlign w:val="center"/>
          </w:tcPr>
          <w:p>
            <w:pPr>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68" w:type="dxa"/>
            <w:vAlign w:val="center"/>
          </w:tcPr>
          <w:p>
            <w:pPr>
              <w:spacing w:line="360" w:lineRule="auto"/>
              <w:jc w:val="center"/>
              <w:rPr>
                <w:rFonts w:hAnsi="宋体"/>
                <w:szCs w:val="21"/>
              </w:rPr>
            </w:pPr>
            <w:r>
              <w:rPr>
                <w:rFonts w:hint="eastAsia" w:hAnsi="宋体"/>
                <w:szCs w:val="21"/>
              </w:rPr>
              <w:t>委托代理人</w:t>
            </w:r>
          </w:p>
        </w:tc>
        <w:tc>
          <w:tcPr>
            <w:tcW w:w="3827" w:type="dxa"/>
            <w:vAlign w:val="center"/>
          </w:tcPr>
          <w:p>
            <w:pPr>
              <w:spacing w:line="360" w:lineRule="auto"/>
              <w:rPr>
                <w:rFonts w:hAnsi="宋体"/>
                <w:szCs w:val="21"/>
              </w:rPr>
            </w:pPr>
          </w:p>
        </w:tc>
        <w:tc>
          <w:tcPr>
            <w:tcW w:w="3827" w:type="dxa"/>
            <w:vAlign w:val="center"/>
          </w:tcPr>
          <w:p>
            <w:pPr>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668" w:type="dxa"/>
            <w:vAlign w:val="center"/>
          </w:tcPr>
          <w:p>
            <w:pPr>
              <w:spacing w:line="480" w:lineRule="auto"/>
              <w:jc w:val="center"/>
              <w:rPr>
                <w:rFonts w:hAnsi="宋体"/>
                <w:szCs w:val="21"/>
              </w:rPr>
            </w:pPr>
            <w:r>
              <w:rPr>
                <w:rFonts w:hint="eastAsia" w:hAnsi="宋体"/>
                <w:szCs w:val="21"/>
              </w:rPr>
              <w:t>日期</w:t>
            </w:r>
          </w:p>
        </w:tc>
        <w:tc>
          <w:tcPr>
            <w:tcW w:w="3827" w:type="dxa"/>
            <w:vAlign w:val="center"/>
          </w:tcPr>
          <w:p>
            <w:pPr>
              <w:spacing w:line="480" w:lineRule="auto"/>
              <w:jc w:val="center"/>
              <w:rPr>
                <w:rFonts w:hAnsi="宋体"/>
                <w:szCs w:val="21"/>
              </w:rPr>
            </w:pPr>
          </w:p>
        </w:tc>
        <w:tc>
          <w:tcPr>
            <w:tcW w:w="3827" w:type="dxa"/>
            <w:vAlign w:val="center"/>
          </w:tcPr>
          <w:p>
            <w:pPr>
              <w:spacing w:line="48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80" w:lineRule="auto"/>
              <w:jc w:val="center"/>
              <w:rPr>
                <w:rFonts w:hAnsi="宋体"/>
                <w:szCs w:val="21"/>
              </w:rPr>
            </w:pPr>
            <w:r>
              <w:rPr>
                <w:rFonts w:hint="eastAsia" w:hAnsi="宋体"/>
                <w:szCs w:val="21"/>
              </w:rPr>
              <w:t>电话</w:t>
            </w:r>
          </w:p>
        </w:tc>
        <w:tc>
          <w:tcPr>
            <w:tcW w:w="3827" w:type="dxa"/>
            <w:vAlign w:val="center"/>
          </w:tcPr>
          <w:p>
            <w:pPr>
              <w:spacing w:line="360" w:lineRule="auto"/>
              <w:rPr>
                <w:rFonts w:asciiTheme="minorEastAsia" w:hAnsiTheme="minorEastAsia" w:eastAsiaTheme="minorEastAsia"/>
                <w:szCs w:val="21"/>
              </w:rPr>
            </w:pPr>
          </w:p>
        </w:tc>
        <w:tc>
          <w:tcPr>
            <w:tcW w:w="3827" w:type="dxa"/>
            <w:vAlign w:val="center"/>
          </w:tcPr>
          <w:p>
            <w:pPr>
              <w:spacing w:line="48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80" w:lineRule="auto"/>
              <w:jc w:val="center"/>
              <w:rPr>
                <w:rFonts w:hAnsi="宋体"/>
                <w:szCs w:val="21"/>
              </w:rPr>
            </w:pPr>
            <w:r>
              <w:rPr>
                <w:rFonts w:hint="eastAsia" w:hAnsi="宋体"/>
                <w:szCs w:val="21"/>
              </w:rPr>
              <w:t>传真</w:t>
            </w:r>
          </w:p>
        </w:tc>
        <w:tc>
          <w:tcPr>
            <w:tcW w:w="3827" w:type="dxa"/>
            <w:vAlign w:val="center"/>
          </w:tcPr>
          <w:p>
            <w:pPr>
              <w:spacing w:line="360" w:lineRule="auto"/>
              <w:jc w:val="center"/>
              <w:rPr>
                <w:rFonts w:asciiTheme="minorEastAsia" w:hAnsiTheme="minorEastAsia" w:eastAsiaTheme="minorEastAsia"/>
                <w:szCs w:val="21"/>
              </w:rPr>
            </w:pPr>
          </w:p>
        </w:tc>
        <w:tc>
          <w:tcPr>
            <w:tcW w:w="3827" w:type="dxa"/>
            <w:vAlign w:val="center"/>
          </w:tcPr>
          <w:p>
            <w:pPr>
              <w:spacing w:line="48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80" w:lineRule="auto"/>
              <w:jc w:val="center"/>
              <w:rPr>
                <w:rFonts w:hAnsi="宋体"/>
                <w:szCs w:val="21"/>
              </w:rPr>
            </w:pPr>
            <w:r>
              <w:rPr>
                <w:rFonts w:hint="eastAsia" w:hAnsi="宋体"/>
                <w:szCs w:val="21"/>
              </w:rPr>
              <w:t>开户银行</w:t>
            </w:r>
          </w:p>
        </w:tc>
        <w:tc>
          <w:tcPr>
            <w:tcW w:w="3827" w:type="dxa"/>
            <w:vAlign w:val="center"/>
          </w:tcPr>
          <w:p>
            <w:pPr>
              <w:spacing w:line="360" w:lineRule="auto"/>
              <w:rPr>
                <w:rFonts w:asciiTheme="minorEastAsia" w:hAnsiTheme="minorEastAsia" w:eastAsiaTheme="minorEastAsia"/>
                <w:szCs w:val="21"/>
              </w:rPr>
            </w:pPr>
          </w:p>
        </w:tc>
        <w:tc>
          <w:tcPr>
            <w:tcW w:w="3827" w:type="dxa"/>
            <w:vAlign w:val="center"/>
          </w:tcPr>
          <w:p>
            <w:pPr>
              <w:spacing w:line="48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80" w:lineRule="auto"/>
              <w:jc w:val="center"/>
              <w:rPr>
                <w:rFonts w:hAnsi="宋体"/>
                <w:szCs w:val="21"/>
              </w:rPr>
            </w:pPr>
            <w:r>
              <w:rPr>
                <w:rFonts w:hint="eastAsia" w:hAnsi="宋体"/>
                <w:szCs w:val="21"/>
              </w:rPr>
              <w:t>账号</w:t>
            </w:r>
          </w:p>
        </w:tc>
        <w:tc>
          <w:tcPr>
            <w:tcW w:w="3827" w:type="dxa"/>
            <w:vAlign w:val="center"/>
          </w:tcPr>
          <w:p>
            <w:pPr>
              <w:spacing w:line="360" w:lineRule="auto"/>
              <w:jc w:val="center"/>
              <w:rPr>
                <w:rFonts w:asciiTheme="minorEastAsia" w:hAnsiTheme="minorEastAsia" w:eastAsiaTheme="minorEastAsia"/>
                <w:szCs w:val="21"/>
              </w:rPr>
            </w:pPr>
          </w:p>
        </w:tc>
        <w:tc>
          <w:tcPr>
            <w:tcW w:w="3827" w:type="dxa"/>
            <w:vAlign w:val="center"/>
          </w:tcPr>
          <w:p>
            <w:pPr>
              <w:spacing w:line="48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480" w:lineRule="auto"/>
              <w:jc w:val="center"/>
              <w:rPr>
                <w:rFonts w:hAnsi="宋体"/>
                <w:szCs w:val="21"/>
              </w:rPr>
            </w:pPr>
            <w:r>
              <w:rPr>
                <w:rFonts w:hint="eastAsia" w:hAnsi="宋体"/>
                <w:szCs w:val="21"/>
              </w:rPr>
              <w:t>税号</w:t>
            </w:r>
          </w:p>
        </w:tc>
        <w:tc>
          <w:tcPr>
            <w:tcW w:w="3827" w:type="dxa"/>
            <w:vAlign w:val="center"/>
          </w:tcPr>
          <w:p>
            <w:pPr>
              <w:spacing w:line="360" w:lineRule="auto"/>
              <w:rPr>
                <w:rFonts w:asciiTheme="minorEastAsia" w:hAnsiTheme="minorEastAsia" w:eastAsiaTheme="minorEastAsia"/>
                <w:szCs w:val="21"/>
              </w:rPr>
            </w:pPr>
          </w:p>
        </w:tc>
        <w:tc>
          <w:tcPr>
            <w:tcW w:w="3827" w:type="dxa"/>
            <w:vAlign w:val="center"/>
          </w:tcPr>
          <w:p>
            <w:pPr>
              <w:spacing w:line="480" w:lineRule="auto"/>
              <w:jc w:val="center"/>
              <w:rPr>
                <w:rFonts w:asciiTheme="minorEastAsia" w:hAnsiTheme="minorEastAsia" w:eastAsiaTheme="minorEastAsia"/>
                <w:szCs w:val="21"/>
              </w:rPr>
            </w:pPr>
          </w:p>
        </w:tc>
      </w:tr>
    </w:tbl>
    <w:p>
      <w:pPr>
        <w:pStyle w:val="37"/>
        <w:snapToGrid w:val="0"/>
        <w:spacing w:after="160" w:line="380" w:lineRule="exact"/>
        <w:ind w:firstLine="1065" w:firstLineChars="500"/>
        <w:rPr>
          <w:rStyle w:val="43"/>
          <w:rFonts w:hAnsi="宋体"/>
          <w:szCs w:val="21"/>
        </w:rPr>
      </w:pPr>
    </w:p>
    <w:p>
      <w:pPr>
        <w:spacing w:line="500" w:lineRule="exact"/>
        <w:rPr>
          <w:rStyle w:val="43"/>
          <w:rFonts w:ascii="宋体" w:hAnsi="宋体"/>
          <w:sz w:val="21"/>
          <w:szCs w:val="21"/>
        </w:rPr>
      </w:pPr>
      <w:r>
        <w:rPr>
          <w:rStyle w:val="43"/>
          <w:rFonts w:ascii="宋体" w:hAnsi="宋体" w:cs="宋体"/>
          <w:b/>
          <w:bCs/>
          <w:sz w:val="21"/>
          <w:szCs w:val="21"/>
        </w:rPr>
        <w:t>注：具体以双方签定的正式合同为准，合同内容不得违背本采购文件实质性要求。</w:t>
      </w:r>
    </w:p>
    <w:p>
      <w:pPr>
        <w:pStyle w:val="32"/>
        <w:spacing w:before="120" w:line="360" w:lineRule="auto"/>
        <w:ind w:left="960"/>
        <w:outlineLvl w:val="0"/>
        <w:rPr>
          <w:rStyle w:val="43"/>
          <w:rFonts w:hAnsi="宋体"/>
          <w:b/>
          <w:color w:val="auto"/>
        </w:rPr>
      </w:pPr>
      <w:bookmarkStart w:id="344" w:name="_Toc1034906275"/>
      <w:r>
        <w:rPr>
          <w:rStyle w:val="43"/>
          <w:rFonts w:hAnsi="宋体"/>
          <w:color w:val="auto"/>
        </w:rPr>
        <w:t>第六部分  投标文件格式</w:t>
      </w:r>
      <w:bookmarkEnd w:id="344"/>
    </w:p>
    <w:p>
      <w:pPr>
        <w:pStyle w:val="33"/>
        <w:tabs>
          <w:tab w:val="left" w:pos="420"/>
        </w:tabs>
        <w:ind w:left="780"/>
        <w:outlineLvl w:val="1"/>
        <w:rPr>
          <w:rStyle w:val="43"/>
          <w:rFonts w:ascii="宋体" w:hAnsi="宋体"/>
          <w:b/>
          <w:sz w:val="21"/>
          <w:szCs w:val="21"/>
        </w:rPr>
      </w:pPr>
      <w:r>
        <w:rPr>
          <w:rStyle w:val="43"/>
          <w:rFonts w:ascii="宋体" w:hAnsi="宋体"/>
          <w:b/>
          <w:sz w:val="21"/>
          <w:szCs w:val="21"/>
        </w:rPr>
        <w:t>评分索引表</w:t>
      </w:r>
    </w:p>
    <w:tbl>
      <w:tblPr>
        <w:tblStyle w:val="26"/>
        <w:tblpPr w:leftFromText="180" w:rightFromText="180" w:vertAnchor="page" w:horzAnchor="page" w:tblpX="1152" w:tblpY="3480"/>
        <w:tblW w:w="9734" w:type="dxa"/>
        <w:tblInd w:w="-108" w:type="dxa"/>
        <w:tblLayout w:type="fixed"/>
        <w:tblCellMar>
          <w:top w:w="0" w:type="dxa"/>
          <w:left w:w="0" w:type="dxa"/>
          <w:bottom w:w="0" w:type="dxa"/>
          <w:right w:w="0" w:type="dxa"/>
        </w:tblCellMar>
      </w:tblPr>
      <w:tblGrid>
        <w:gridCol w:w="708"/>
        <w:gridCol w:w="1560"/>
        <w:gridCol w:w="3986"/>
        <w:gridCol w:w="1380"/>
        <w:gridCol w:w="2100"/>
      </w:tblGrid>
      <w:tr>
        <w:tblPrEx>
          <w:tblCellMar>
            <w:top w:w="0" w:type="dxa"/>
            <w:left w:w="0" w:type="dxa"/>
            <w:bottom w:w="0" w:type="dxa"/>
            <w:right w:w="0" w:type="dxa"/>
          </w:tblCellMar>
        </w:tblPrEx>
        <w:trPr>
          <w:trHeight w:val="804"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after="120"/>
              <w:ind w:left="-854" w:firstLine="854"/>
              <w:jc w:val="center"/>
              <w:rPr>
                <w:rStyle w:val="43"/>
                <w:rFonts w:ascii="宋体" w:hAnsi="宋体"/>
                <w:kern w:val="0"/>
                <w:sz w:val="21"/>
                <w:szCs w:val="21"/>
              </w:rPr>
            </w:pPr>
            <w:r>
              <w:rPr>
                <w:rStyle w:val="43"/>
                <w:rFonts w:ascii="宋体" w:hAnsi="宋体"/>
                <w:kern w:val="0"/>
                <w:sz w:val="21"/>
                <w:szCs w:val="21"/>
              </w:rPr>
              <w:t>序号</w:t>
            </w:r>
          </w:p>
        </w:tc>
        <w:tc>
          <w:tcPr>
            <w:tcW w:w="1560" w:type="dxa"/>
            <w:tcBorders>
              <w:top w:val="single" w:color="000000" w:sz="4" w:space="0"/>
              <w:left w:val="nil"/>
              <w:bottom w:val="single" w:color="000000" w:sz="4" w:space="0"/>
              <w:right w:val="single" w:color="000000" w:sz="4" w:space="0"/>
            </w:tcBorders>
            <w:vAlign w:val="center"/>
          </w:tcPr>
          <w:p>
            <w:pPr>
              <w:spacing w:after="120"/>
              <w:jc w:val="center"/>
              <w:rPr>
                <w:rStyle w:val="43"/>
                <w:rFonts w:ascii="宋体" w:hAnsi="宋体"/>
                <w:kern w:val="0"/>
                <w:sz w:val="21"/>
                <w:szCs w:val="21"/>
              </w:rPr>
            </w:pPr>
            <w:r>
              <w:rPr>
                <w:rStyle w:val="43"/>
                <w:rFonts w:ascii="宋体" w:hAnsi="宋体"/>
                <w:kern w:val="0"/>
                <w:sz w:val="21"/>
                <w:szCs w:val="21"/>
              </w:rPr>
              <w:t>评审内容</w:t>
            </w:r>
          </w:p>
        </w:tc>
        <w:tc>
          <w:tcPr>
            <w:tcW w:w="3986" w:type="dxa"/>
            <w:tcBorders>
              <w:top w:val="single" w:color="000000" w:sz="4" w:space="0"/>
              <w:left w:val="single" w:color="000000" w:sz="4" w:space="0"/>
              <w:bottom w:val="single" w:color="000000" w:sz="4" w:space="0"/>
              <w:right w:val="single" w:color="000000" w:sz="4" w:space="0"/>
            </w:tcBorders>
            <w:vAlign w:val="center"/>
          </w:tcPr>
          <w:p>
            <w:pPr>
              <w:spacing w:after="120"/>
              <w:jc w:val="center"/>
              <w:rPr>
                <w:rStyle w:val="43"/>
                <w:rFonts w:ascii="宋体" w:hAnsi="宋体"/>
                <w:kern w:val="0"/>
                <w:sz w:val="21"/>
                <w:szCs w:val="21"/>
              </w:rPr>
            </w:pPr>
            <w:r>
              <w:rPr>
                <w:rStyle w:val="43"/>
                <w:rFonts w:ascii="宋体" w:hAnsi="宋体"/>
                <w:kern w:val="0"/>
                <w:sz w:val="21"/>
                <w:szCs w:val="21"/>
              </w:rPr>
              <w:t>评审标准</w:t>
            </w:r>
          </w:p>
        </w:tc>
        <w:tc>
          <w:tcPr>
            <w:tcW w:w="1380" w:type="dxa"/>
            <w:tcBorders>
              <w:top w:val="single" w:color="000000" w:sz="4" w:space="0"/>
              <w:left w:val="nil"/>
              <w:bottom w:val="single" w:color="000000" w:sz="4" w:space="0"/>
              <w:right w:val="single" w:color="000000" w:sz="4" w:space="0"/>
            </w:tcBorders>
            <w:vAlign w:val="center"/>
          </w:tcPr>
          <w:p>
            <w:pPr>
              <w:spacing w:after="120"/>
              <w:jc w:val="center"/>
              <w:rPr>
                <w:rStyle w:val="43"/>
                <w:rFonts w:ascii="宋体" w:hAnsi="宋体"/>
                <w:kern w:val="0"/>
                <w:sz w:val="21"/>
                <w:szCs w:val="21"/>
              </w:rPr>
            </w:pPr>
            <w:r>
              <w:rPr>
                <w:rStyle w:val="43"/>
                <w:rFonts w:ascii="宋体" w:hAnsi="宋体"/>
                <w:kern w:val="0"/>
                <w:sz w:val="21"/>
                <w:szCs w:val="21"/>
              </w:rPr>
              <w:t>评审分值</w:t>
            </w:r>
          </w:p>
        </w:tc>
        <w:tc>
          <w:tcPr>
            <w:tcW w:w="2100" w:type="dxa"/>
            <w:tcBorders>
              <w:top w:val="single" w:color="000000" w:sz="4" w:space="0"/>
              <w:left w:val="nil"/>
              <w:bottom w:val="single" w:color="000000" w:sz="4" w:space="0"/>
              <w:right w:val="single" w:color="000000" w:sz="4" w:space="0"/>
            </w:tcBorders>
            <w:vAlign w:val="center"/>
          </w:tcPr>
          <w:p>
            <w:pPr>
              <w:spacing w:after="120"/>
              <w:jc w:val="center"/>
              <w:rPr>
                <w:rStyle w:val="43"/>
                <w:rFonts w:ascii="宋体" w:hAnsi="宋体"/>
                <w:kern w:val="0"/>
                <w:sz w:val="21"/>
                <w:szCs w:val="21"/>
              </w:rPr>
            </w:pPr>
            <w:r>
              <w:rPr>
                <w:rStyle w:val="43"/>
                <w:rFonts w:ascii="宋体" w:hAnsi="宋体"/>
                <w:kern w:val="0"/>
                <w:sz w:val="21"/>
                <w:szCs w:val="21"/>
              </w:rPr>
              <w:t>对应页码范围</w:t>
            </w:r>
          </w:p>
        </w:tc>
      </w:tr>
      <w:tr>
        <w:tblPrEx>
          <w:tblCellMar>
            <w:top w:w="0" w:type="dxa"/>
            <w:left w:w="0" w:type="dxa"/>
            <w:bottom w:w="0" w:type="dxa"/>
            <w:right w:w="0" w:type="dxa"/>
          </w:tblCellMar>
        </w:tblPrEx>
        <w:trPr>
          <w:trHeight w:val="1053" w:hRule="atLeast"/>
        </w:trPr>
        <w:tc>
          <w:tcPr>
            <w:tcW w:w="708" w:type="dxa"/>
            <w:tcBorders>
              <w:top w:val="single" w:color="000000" w:sz="4" w:space="0"/>
              <w:left w:val="single" w:color="000000" w:sz="4" w:space="0"/>
              <w:bottom w:val="single" w:color="000000" w:sz="4" w:space="0"/>
              <w:right w:val="single" w:color="000000" w:sz="4" w:space="0"/>
            </w:tcBorders>
          </w:tcPr>
          <w:p>
            <w:pPr>
              <w:pStyle w:val="507"/>
              <w:spacing w:before="0" w:after="0"/>
              <w:rPr>
                <w:rStyle w:val="43"/>
                <w:sz w:val="21"/>
                <w:szCs w:val="21"/>
              </w:rPr>
            </w:pPr>
          </w:p>
        </w:tc>
        <w:tc>
          <w:tcPr>
            <w:tcW w:w="1560" w:type="dxa"/>
            <w:tcBorders>
              <w:top w:val="single" w:color="000000" w:sz="4" w:space="0"/>
              <w:left w:val="nil"/>
              <w:bottom w:val="single" w:color="000000" w:sz="4" w:space="0"/>
              <w:right w:val="single" w:color="000000" w:sz="4" w:space="0"/>
            </w:tcBorders>
          </w:tcPr>
          <w:p>
            <w:pPr>
              <w:pStyle w:val="507"/>
              <w:spacing w:before="0" w:after="0"/>
              <w:rPr>
                <w:rStyle w:val="43"/>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pPr>
              <w:pStyle w:val="507"/>
              <w:spacing w:before="0" w:after="0"/>
              <w:rPr>
                <w:rStyle w:val="43"/>
                <w:sz w:val="21"/>
                <w:szCs w:val="21"/>
              </w:rPr>
            </w:pPr>
          </w:p>
        </w:tc>
        <w:tc>
          <w:tcPr>
            <w:tcW w:w="1380" w:type="dxa"/>
            <w:tcBorders>
              <w:top w:val="single" w:color="000000" w:sz="4" w:space="0"/>
              <w:left w:val="nil"/>
              <w:bottom w:val="single" w:color="000000" w:sz="4" w:space="0"/>
              <w:right w:val="single" w:color="000000" w:sz="4" w:space="0"/>
            </w:tcBorders>
            <w:vAlign w:val="center"/>
          </w:tcPr>
          <w:p>
            <w:pPr>
              <w:snapToGrid w:val="0"/>
              <w:jc w:val="left"/>
              <w:rPr>
                <w:rStyle w:val="43"/>
                <w:rFonts w:ascii="宋体" w:hAnsi="宋体"/>
                <w:kern w:val="0"/>
                <w:sz w:val="21"/>
                <w:szCs w:val="21"/>
              </w:rPr>
            </w:pPr>
          </w:p>
        </w:tc>
        <w:tc>
          <w:tcPr>
            <w:tcW w:w="2100" w:type="dxa"/>
            <w:tcBorders>
              <w:top w:val="single" w:color="000000" w:sz="4" w:space="0"/>
              <w:left w:val="nil"/>
              <w:bottom w:val="single" w:color="000000" w:sz="4" w:space="0"/>
              <w:right w:val="single" w:color="000000" w:sz="4" w:space="0"/>
            </w:tcBorders>
            <w:vAlign w:val="center"/>
          </w:tcPr>
          <w:p>
            <w:pPr>
              <w:spacing w:after="120"/>
              <w:jc w:val="center"/>
              <w:rPr>
                <w:rStyle w:val="43"/>
                <w:rFonts w:ascii="宋体" w:hAnsi="宋体"/>
                <w:kern w:val="0"/>
                <w:sz w:val="21"/>
                <w:szCs w:val="21"/>
              </w:rPr>
            </w:pPr>
          </w:p>
        </w:tc>
      </w:tr>
      <w:tr>
        <w:tblPrEx>
          <w:tblCellMar>
            <w:top w:w="0" w:type="dxa"/>
            <w:left w:w="0" w:type="dxa"/>
            <w:bottom w:w="0" w:type="dxa"/>
            <w:right w:w="0" w:type="dxa"/>
          </w:tblCellMar>
        </w:tblPrEx>
        <w:trPr>
          <w:trHeight w:val="1233" w:hRule="atLeast"/>
        </w:trPr>
        <w:tc>
          <w:tcPr>
            <w:tcW w:w="708" w:type="dxa"/>
            <w:tcBorders>
              <w:top w:val="single" w:color="000000" w:sz="4" w:space="0"/>
              <w:left w:val="single" w:color="000000" w:sz="4" w:space="0"/>
              <w:bottom w:val="single" w:color="000000" w:sz="4" w:space="0"/>
              <w:right w:val="single" w:color="000000" w:sz="4" w:space="0"/>
            </w:tcBorders>
          </w:tcPr>
          <w:p>
            <w:pPr>
              <w:pStyle w:val="507"/>
              <w:spacing w:before="0" w:after="0"/>
              <w:rPr>
                <w:rStyle w:val="43"/>
                <w:sz w:val="21"/>
                <w:szCs w:val="21"/>
              </w:rPr>
            </w:pPr>
          </w:p>
        </w:tc>
        <w:tc>
          <w:tcPr>
            <w:tcW w:w="1560" w:type="dxa"/>
            <w:tcBorders>
              <w:top w:val="single" w:color="000000" w:sz="4" w:space="0"/>
              <w:left w:val="nil"/>
              <w:bottom w:val="single" w:color="000000" w:sz="4" w:space="0"/>
              <w:right w:val="single" w:color="000000" w:sz="4" w:space="0"/>
            </w:tcBorders>
          </w:tcPr>
          <w:p>
            <w:pPr>
              <w:pStyle w:val="507"/>
              <w:spacing w:before="0" w:after="0"/>
              <w:rPr>
                <w:rStyle w:val="43"/>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pPr>
              <w:pStyle w:val="507"/>
              <w:spacing w:before="0" w:after="0"/>
              <w:rPr>
                <w:rStyle w:val="43"/>
                <w:sz w:val="21"/>
                <w:szCs w:val="21"/>
              </w:rPr>
            </w:pPr>
          </w:p>
        </w:tc>
        <w:tc>
          <w:tcPr>
            <w:tcW w:w="1380" w:type="dxa"/>
            <w:tcBorders>
              <w:top w:val="single" w:color="000000" w:sz="4" w:space="0"/>
              <w:left w:val="nil"/>
              <w:bottom w:val="single" w:color="000000" w:sz="4" w:space="0"/>
              <w:right w:val="single" w:color="000000" w:sz="4" w:space="0"/>
            </w:tcBorders>
            <w:vAlign w:val="center"/>
          </w:tcPr>
          <w:p>
            <w:pPr>
              <w:rPr>
                <w:rStyle w:val="43"/>
                <w:rFonts w:ascii="宋体" w:hAnsi="宋体"/>
                <w:sz w:val="21"/>
                <w:szCs w:val="21"/>
              </w:rPr>
            </w:pPr>
          </w:p>
        </w:tc>
        <w:tc>
          <w:tcPr>
            <w:tcW w:w="2100" w:type="dxa"/>
            <w:tcBorders>
              <w:top w:val="single" w:color="000000" w:sz="4" w:space="0"/>
              <w:left w:val="nil"/>
              <w:bottom w:val="single" w:color="000000" w:sz="4" w:space="0"/>
              <w:right w:val="single" w:color="000000" w:sz="4" w:space="0"/>
            </w:tcBorders>
            <w:vAlign w:val="center"/>
          </w:tcPr>
          <w:p>
            <w:pPr>
              <w:jc w:val="center"/>
              <w:rPr>
                <w:rStyle w:val="43"/>
                <w:rFonts w:ascii="宋体" w:hAnsi="宋体"/>
                <w:kern w:val="0"/>
                <w:sz w:val="21"/>
                <w:szCs w:val="21"/>
              </w:rPr>
            </w:pPr>
          </w:p>
        </w:tc>
      </w:tr>
      <w:tr>
        <w:tblPrEx>
          <w:tblCellMar>
            <w:top w:w="0" w:type="dxa"/>
            <w:left w:w="0" w:type="dxa"/>
            <w:bottom w:w="0" w:type="dxa"/>
            <w:right w:w="0" w:type="dxa"/>
          </w:tblCellMar>
        </w:tblPrEx>
        <w:trPr>
          <w:trHeight w:val="1072" w:hRule="atLeast"/>
        </w:trPr>
        <w:tc>
          <w:tcPr>
            <w:tcW w:w="708" w:type="dxa"/>
            <w:tcBorders>
              <w:top w:val="single" w:color="000000" w:sz="4" w:space="0"/>
              <w:left w:val="single" w:color="000000" w:sz="4" w:space="0"/>
              <w:bottom w:val="single" w:color="000000" w:sz="4" w:space="0"/>
              <w:right w:val="single" w:color="000000" w:sz="4" w:space="0"/>
            </w:tcBorders>
          </w:tcPr>
          <w:p>
            <w:pPr>
              <w:pStyle w:val="507"/>
              <w:spacing w:before="0" w:after="0"/>
              <w:rPr>
                <w:rStyle w:val="43"/>
                <w:sz w:val="21"/>
                <w:szCs w:val="21"/>
              </w:rPr>
            </w:pPr>
          </w:p>
        </w:tc>
        <w:tc>
          <w:tcPr>
            <w:tcW w:w="1560" w:type="dxa"/>
            <w:tcBorders>
              <w:top w:val="single" w:color="000000" w:sz="4" w:space="0"/>
              <w:left w:val="nil"/>
              <w:bottom w:val="single" w:color="000000" w:sz="4" w:space="0"/>
              <w:right w:val="single" w:color="000000" w:sz="4" w:space="0"/>
            </w:tcBorders>
          </w:tcPr>
          <w:p>
            <w:pPr>
              <w:pStyle w:val="507"/>
              <w:spacing w:before="0" w:after="0"/>
              <w:rPr>
                <w:rStyle w:val="43"/>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pPr>
              <w:pStyle w:val="507"/>
              <w:spacing w:before="0" w:after="0"/>
              <w:rPr>
                <w:rStyle w:val="43"/>
                <w:sz w:val="21"/>
                <w:szCs w:val="21"/>
              </w:rPr>
            </w:pPr>
          </w:p>
        </w:tc>
        <w:tc>
          <w:tcPr>
            <w:tcW w:w="1380" w:type="dxa"/>
            <w:tcBorders>
              <w:top w:val="single" w:color="000000" w:sz="4" w:space="0"/>
              <w:left w:val="nil"/>
              <w:bottom w:val="single" w:color="000000" w:sz="4" w:space="0"/>
              <w:right w:val="single" w:color="000000" w:sz="4" w:space="0"/>
            </w:tcBorders>
            <w:vAlign w:val="center"/>
          </w:tcPr>
          <w:p>
            <w:pPr>
              <w:rPr>
                <w:rStyle w:val="43"/>
                <w:rFonts w:ascii="宋体" w:hAnsi="宋体"/>
                <w:sz w:val="21"/>
                <w:szCs w:val="21"/>
              </w:rPr>
            </w:pPr>
          </w:p>
        </w:tc>
        <w:tc>
          <w:tcPr>
            <w:tcW w:w="2100" w:type="dxa"/>
            <w:tcBorders>
              <w:top w:val="single" w:color="000000" w:sz="4" w:space="0"/>
              <w:left w:val="nil"/>
              <w:bottom w:val="single" w:color="000000" w:sz="4" w:space="0"/>
              <w:right w:val="single" w:color="000000" w:sz="4" w:space="0"/>
            </w:tcBorders>
            <w:vAlign w:val="center"/>
          </w:tcPr>
          <w:p>
            <w:pPr>
              <w:jc w:val="center"/>
              <w:rPr>
                <w:rStyle w:val="43"/>
                <w:rFonts w:ascii="宋体" w:hAnsi="宋体"/>
                <w:kern w:val="0"/>
                <w:sz w:val="21"/>
                <w:szCs w:val="21"/>
              </w:rPr>
            </w:pPr>
          </w:p>
        </w:tc>
      </w:tr>
      <w:tr>
        <w:tblPrEx>
          <w:tblCellMar>
            <w:top w:w="0" w:type="dxa"/>
            <w:left w:w="0" w:type="dxa"/>
            <w:bottom w:w="0" w:type="dxa"/>
            <w:right w:w="0" w:type="dxa"/>
          </w:tblCellMar>
        </w:tblPrEx>
        <w:trPr>
          <w:trHeight w:val="1097" w:hRule="atLeast"/>
        </w:trPr>
        <w:tc>
          <w:tcPr>
            <w:tcW w:w="708" w:type="dxa"/>
            <w:tcBorders>
              <w:top w:val="single" w:color="000000" w:sz="4" w:space="0"/>
              <w:left w:val="single" w:color="000000" w:sz="4" w:space="0"/>
              <w:bottom w:val="single" w:color="000000" w:sz="4" w:space="0"/>
              <w:right w:val="single" w:color="000000" w:sz="4" w:space="0"/>
            </w:tcBorders>
          </w:tcPr>
          <w:p>
            <w:pPr>
              <w:pStyle w:val="507"/>
              <w:spacing w:before="0" w:after="0"/>
              <w:rPr>
                <w:rStyle w:val="43"/>
                <w:sz w:val="21"/>
                <w:szCs w:val="21"/>
              </w:rPr>
            </w:pPr>
          </w:p>
        </w:tc>
        <w:tc>
          <w:tcPr>
            <w:tcW w:w="1560" w:type="dxa"/>
            <w:tcBorders>
              <w:top w:val="single" w:color="000000" w:sz="4" w:space="0"/>
              <w:left w:val="nil"/>
              <w:bottom w:val="single" w:color="000000" w:sz="4" w:space="0"/>
              <w:right w:val="single" w:color="000000" w:sz="4" w:space="0"/>
            </w:tcBorders>
          </w:tcPr>
          <w:p>
            <w:pPr>
              <w:pStyle w:val="507"/>
              <w:spacing w:before="0" w:after="0"/>
              <w:rPr>
                <w:rStyle w:val="43"/>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pPr>
              <w:pStyle w:val="507"/>
              <w:spacing w:before="0" w:after="0"/>
              <w:rPr>
                <w:rStyle w:val="43"/>
                <w:sz w:val="21"/>
                <w:szCs w:val="21"/>
              </w:rPr>
            </w:pPr>
          </w:p>
        </w:tc>
        <w:tc>
          <w:tcPr>
            <w:tcW w:w="1380" w:type="dxa"/>
            <w:tcBorders>
              <w:top w:val="single" w:color="000000" w:sz="4" w:space="0"/>
              <w:left w:val="nil"/>
              <w:bottom w:val="single" w:color="000000" w:sz="4" w:space="0"/>
              <w:right w:val="single" w:color="000000" w:sz="4" w:space="0"/>
            </w:tcBorders>
            <w:vAlign w:val="center"/>
          </w:tcPr>
          <w:p>
            <w:pPr>
              <w:rPr>
                <w:rStyle w:val="43"/>
                <w:rFonts w:ascii="宋体" w:hAnsi="宋体"/>
                <w:sz w:val="21"/>
                <w:szCs w:val="21"/>
              </w:rPr>
            </w:pPr>
          </w:p>
        </w:tc>
        <w:tc>
          <w:tcPr>
            <w:tcW w:w="2100" w:type="dxa"/>
            <w:tcBorders>
              <w:top w:val="single" w:color="000000" w:sz="4" w:space="0"/>
              <w:left w:val="nil"/>
              <w:bottom w:val="single" w:color="000000" w:sz="4" w:space="0"/>
              <w:right w:val="single" w:color="000000" w:sz="4" w:space="0"/>
            </w:tcBorders>
            <w:vAlign w:val="center"/>
          </w:tcPr>
          <w:p>
            <w:pPr>
              <w:jc w:val="center"/>
              <w:rPr>
                <w:rStyle w:val="43"/>
                <w:rFonts w:ascii="宋体" w:hAnsi="宋体"/>
                <w:kern w:val="0"/>
                <w:sz w:val="21"/>
                <w:szCs w:val="21"/>
              </w:rPr>
            </w:pPr>
          </w:p>
        </w:tc>
      </w:tr>
      <w:tr>
        <w:tblPrEx>
          <w:tblCellMar>
            <w:top w:w="0" w:type="dxa"/>
            <w:left w:w="0" w:type="dxa"/>
            <w:bottom w:w="0" w:type="dxa"/>
            <w:right w:w="0" w:type="dxa"/>
          </w:tblCellMar>
        </w:tblPrEx>
        <w:trPr>
          <w:trHeight w:val="1068" w:hRule="atLeast"/>
        </w:trPr>
        <w:tc>
          <w:tcPr>
            <w:tcW w:w="708" w:type="dxa"/>
            <w:tcBorders>
              <w:top w:val="single" w:color="000000" w:sz="4" w:space="0"/>
              <w:left w:val="single" w:color="000000" w:sz="4" w:space="0"/>
              <w:bottom w:val="single" w:color="000000" w:sz="4" w:space="0"/>
              <w:right w:val="single" w:color="000000" w:sz="4" w:space="0"/>
            </w:tcBorders>
          </w:tcPr>
          <w:p>
            <w:pPr>
              <w:pStyle w:val="507"/>
              <w:spacing w:before="0" w:after="0"/>
              <w:rPr>
                <w:rStyle w:val="43"/>
                <w:sz w:val="21"/>
                <w:szCs w:val="21"/>
              </w:rPr>
            </w:pPr>
          </w:p>
        </w:tc>
        <w:tc>
          <w:tcPr>
            <w:tcW w:w="1560" w:type="dxa"/>
            <w:tcBorders>
              <w:top w:val="single" w:color="000000" w:sz="4" w:space="0"/>
              <w:left w:val="nil"/>
              <w:bottom w:val="single" w:color="000000" w:sz="4" w:space="0"/>
              <w:right w:val="single" w:color="000000" w:sz="4" w:space="0"/>
            </w:tcBorders>
          </w:tcPr>
          <w:p>
            <w:pPr>
              <w:pStyle w:val="507"/>
              <w:spacing w:before="0" w:after="0"/>
              <w:rPr>
                <w:rStyle w:val="43"/>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pPr>
              <w:pStyle w:val="507"/>
              <w:spacing w:before="0" w:after="0"/>
              <w:rPr>
                <w:rStyle w:val="43"/>
                <w:sz w:val="21"/>
                <w:szCs w:val="21"/>
              </w:rPr>
            </w:pPr>
          </w:p>
        </w:tc>
        <w:tc>
          <w:tcPr>
            <w:tcW w:w="1380" w:type="dxa"/>
            <w:tcBorders>
              <w:top w:val="single" w:color="000000" w:sz="4" w:space="0"/>
              <w:left w:val="nil"/>
              <w:bottom w:val="single" w:color="000000" w:sz="4" w:space="0"/>
              <w:right w:val="single" w:color="000000" w:sz="4" w:space="0"/>
            </w:tcBorders>
            <w:vAlign w:val="center"/>
          </w:tcPr>
          <w:p>
            <w:pPr>
              <w:rPr>
                <w:rStyle w:val="43"/>
                <w:rFonts w:ascii="宋体" w:hAnsi="宋体"/>
                <w:sz w:val="21"/>
                <w:szCs w:val="21"/>
              </w:rPr>
            </w:pPr>
          </w:p>
        </w:tc>
        <w:tc>
          <w:tcPr>
            <w:tcW w:w="2100" w:type="dxa"/>
            <w:tcBorders>
              <w:top w:val="single" w:color="000000" w:sz="4" w:space="0"/>
              <w:left w:val="nil"/>
              <w:bottom w:val="single" w:color="000000" w:sz="4" w:space="0"/>
              <w:right w:val="single" w:color="000000" w:sz="4" w:space="0"/>
            </w:tcBorders>
            <w:vAlign w:val="center"/>
          </w:tcPr>
          <w:p>
            <w:pPr>
              <w:jc w:val="center"/>
              <w:rPr>
                <w:rStyle w:val="43"/>
                <w:rFonts w:ascii="宋体" w:hAnsi="宋体"/>
                <w:kern w:val="0"/>
                <w:sz w:val="21"/>
                <w:szCs w:val="21"/>
              </w:rPr>
            </w:pPr>
          </w:p>
        </w:tc>
      </w:tr>
    </w:tbl>
    <w:p>
      <w:pPr>
        <w:spacing w:line="360" w:lineRule="auto"/>
        <w:ind w:left="420"/>
        <w:rPr>
          <w:rStyle w:val="43"/>
          <w:rFonts w:ascii="宋体" w:hAnsi="宋体" w:cs="宋体"/>
          <w:b/>
          <w:bCs/>
          <w:kern w:val="0"/>
          <w:sz w:val="21"/>
          <w:szCs w:val="21"/>
        </w:rPr>
      </w:pPr>
    </w:p>
    <w:p>
      <w:pPr>
        <w:rPr>
          <w:rStyle w:val="43"/>
          <w:rFonts w:ascii="宋体" w:hAnsi="宋体"/>
          <w:kern w:val="0"/>
          <w:sz w:val="21"/>
          <w:szCs w:val="21"/>
        </w:rPr>
      </w:pPr>
      <w:r>
        <w:rPr>
          <w:rStyle w:val="43"/>
          <w:rFonts w:ascii="宋体" w:hAnsi="宋体"/>
          <w:kern w:val="0"/>
          <w:sz w:val="21"/>
          <w:szCs w:val="21"/>
        </w:rPr>
        <w:t>注：本表可根据实际自行扩展。</w:t>
      </w:r>
    </w:p>
    <w:p>
      <w:pPr>
        <w:rPr>
          <w:rStyle w:val="43"/>
          <w:rFonts w:ascii="宋体" w:hAnsi="宋体"/>
          <w:kern w:val="0"/>
          <w:sz w:val="21"/>
          <w:szCs w:val="21"/>
        </w:rPr>
      </w:pPr>
    </w:p>
    <w:p>
      <w:pPr>
        <w:rPr>
          <w:rStyle w:val="43"/>
          <w:rFonts w:ascii="宋体" w:hAnsi="宋体"/>
          <w:kern w:val="0"/>
          <w:sz w:val="21"/>
          <w:szCs w:val="21"/>
        </w:rPr>
      </w:pPr>
    </w:p>
    <w:p>
      <w:pPr>
        <w:rPr>
          <w:rStyle w:val="43"/>
          <w:rFonts w:ascii="宋体" w:hAnsi="宋体"/>
          <w:kern w:val="0"/>
          <w:sz w:val="21"/>
          <w:szCs w:val="21"/>
        </w:rPr>
      </w:pPr>
    </w:p>
    <w:p>
      <w:pPr>
        <w:rPr>
          <w:rStyle w:val="43"/>
          <w:rFonts w:ascii="宋体" w:hAnsi="宋体"/>
          <w:kern w:val="0"/>
          <w:sz w:val="21"/>
          <w:szCs w:val="21"/>
        </w:rPr>
      </w:pPr>
    </w:p>
    <w:p>
      <w:pPr>
        <w:rPr>
          <w:rStyle w:val="43"/>
          <w:rFonts w:ascii="宋体" w:hAnsi="宋体"/>
          <w:kern w:val="0"/>
          <w:sz w:val="21"/>
          <w:szCs w:val="21"/>
        </w:rPr>
      </w:pPr>
    </w:p>
    <w:p>
      <w:pPr>
        <w:rPr>
          <w:rStyle w:val="43"/>
          <w:rFonts w:ascii="宋体" w:hAnsi="宋体"/>
          <w:kern w:val="0"/>
          <w:sz w:val="21"/>
          <w:szCs w:val="21"/>
        </w:rPr>
      </w:pPr>
    </w:p>
    <w:p>
      <w:pPr>
        <w:rPr>
          <w:rStyle w:val="43"/>
          <w:rFonts w:ascii="宋体" w:hAnsi="宋体"/>
          <w:kern w:val="0"/>
          <w:sz w:val="21"/>
          <w:szCs w:val="21"/>
        </w:rPr>
      </w:pPr>
    </w:p>
    <w:p>
      <w:pPr>
        <w:rPr>
          <w:rStyle w:val="43"/>
          <w:rFonts w:ascii="宋体" w:hAnsi="宋体"/>
          <w:kern w:val="0"/>
          <w:sz w:val="21"/>
          <w:szCs w:val="21"/>
        </w:rPr>
      </w:pPr>
    </w:p>
    <w:p>
      <w:pPr>
        <w:rPr>
          <w:rStyle w:val="43"/>
          <w:rFonts w:ascii="宋体" w:hAnsi="宋体"/>
          <w:kern w:val="0"/>
          <w:sz w:val="21"/>
          <w:szCs w:val="21"/>
        </w:rPr>
      </w:pPr>
    </w:p>
    <w:p>
      <w:pPr>
        <w:rPr>
          <w:rStyle w:val="43"/>
          <w:rFonts w:ascii="宋体" w:hAnsi="宋体"/>
          <w:kern w:val="0"/>
          <w:sz w:val="21"/>
          <w:szCs w:val="21"/>
        </w:rPr>
      </w:pPr>
    </w:p>
    <w:p>
      <w:pPr>
        <w:rPr>
          <w:rStyle w:val="43"/>
          <w:rFonts w:ascii="宋体" w:hAnsi="宋体"/>
          <w:kern w:val="0"/>
          <w:sz w:val="21"/>
          <w:szCs w:val="21"/>
        </w:rPr>
      </w:pPr>
    </w:p>
    <w:p>
      <w:pPr>
        <w:rPr>
          <w:rStyle w:val="43"/>
          <w:rFonts w:ascii="宋体" w:hAnsi="宋体"/>
          <w:sz w:val="21"/>
          <w:szCs w:val="21"/>
        </w:rPr>
      </w:pPr>
    </w:p>
    <w:p/>
    <w:p>
      <w:pPr>
        <w:snapToGrid w:val="0"/>
        <w:spacing w:line="460" w:lineRule="exact"/>
        <w:ind w:right="601" w:firstLine="151" w:firstLineChars="71"/>
        <w:jc w:val="left"/>
        <w:outlineLvl w:val="1"/>
        <w:rPr>
          <w:rStyle w:val="43"/>
          <w:rFonts w:ascii="宋体" w:hAnsi="宋体"/>
          <w:b/>
          <w:sz w:val="21"/>
          <w:szCs w:val="21"/>
        </w:rPr>
      </w:pPr>
      <w:r>
        <w:rPr>
          <w:rStyle w:val="43"/>
          <w:rFonts w:hint="eastAsia" w:ascii="宋体" w:hAnsi="宋体" w:cs="宋体"/>
          <w:b/>
          <w:bCs/>
          <w:sz w:val="21"/>
          <w:szCs w:val="21"/>
        </w:rPr>
        <w:t>附件</w:t>
      </w:r>
      <w:r>
        <w:rPr>
          <w:rStyle w:val="43"/>
          <w:rFonts w:hint="eastAsia" w:ascii="宋体" w:hAnsi="宋体" w:cs="宋体"/>
          <w:b/>
          <w:bCs/>
          <w:sz w:val="21"/>
          <w:szCs w:val="21"/>
          <w:lang w:val="en-US" w:eastAsia="zh-CN"/>
        </w:rPr>
        <w:t>1</w:t>
      </w:r>
      <w:r>
        <w:rPr>
          <w:rStyle w:val="43"/>
          <w:rFonts w:hint="eastAsia" w:ascii="宋体" w:hAnsi="宋体" w:cs="宋体"/>
          <w:b/>
          <w:bCs/>
          <w:sz w:val="21"/>
          <w:szCs w:val="21"/>
        </w:rPr>
        <w:t>：</w:t>
      </w:r>
      <w:r>
        <w:rPr>
          <w:rStyle w:val="43"/>
          <w:rFonts w:ascii="宋体" w:hAnsi="宋体"/>
          <w:b/>
          <w:sz w:val="21"/>
          <w:szCs w:val="21"/>
        </w:rPr>
        <w:t>符合参加政府采购活动应当具备的一般条件的承诺函</w:t>
      </w:r>
    </w:p>
    <w:p>
      <w:pPr>
        <w:snapToGrid w:val="0"/>
        <w:jc w:val="left"/>
        <w:rPr>
          <w:rStyle w:val="43"/>
          <w:rFonts w:ascii="宋体" w:hAnsi="宋体" w:cs="宋体"/>
          <w:b/>
          <w:bCs/>
          <w:sz w:val="21"/>
          <w:szCs w:val="21"/>
        </w:rPr>
      </w:pPr>
    </w:p>
    <w:p>
      <w:pPr>
        <w:snapToGrid w:val="0"/>
        <w:spacing w:line="360" w:lineRule="auto"/>
        <w:ind w:right="601"/>
        <w:jc w:val="center"/>
        <w:rPr>
          <w:rStyle w:val="43"/>
          <w:rFonts w:ascii="宋体" w:hAnsi="宋体" w:cs="宋体"/>
          <w:bCs/>
          <w:sz w:val="21"/>
          <w:szCs w:val="21"/>
        </w:rPr>
      </w:pPr>
    </w:p>
    <w:p>
      <w:pPr>
        <w:snapToGrid w:val="0"/>
        <w:spacing w:line="360" w:lineRule="auto"/>
        <w:ind w:right="601"/>
        <w:jc w:val="center"/>
        <w:rPr>
          <w:rStyle w:val="43"/>
          <w:rFonts w:ascii="宋体" w:hAnsi="宋体"/>
          <w:b/>
          <w:sz w:val="21"/>
          <w:szCs w:val="21"/>
        </w:rPr>
      </w:pPr>
      <w:r>
        <w:rPr>
          <w:rStyle w:val="43"/>
          <w:rFonts w:ascii="宋体" w:hAnsi="宋体" w:cs="宋体"/>
          <w:bCs/>
          <w:sz w:val="21"/>
          <w:szCs w:val="21"/>
        </w:rPr>
        <w:t>符合参加政府采购活动应当具备的一般条件的承诺函</w:t>
      </w:r>
    </w:p>
    <w:p>
      <w:pPr>
        <w:snapToGrid w:val="0"/>
        <w:spacing w:line="360" w:lineRule="auto"/>
        <w:rPr>
          <w:rStyle w:val="43"/>
          <w:rFonts w:ascii="宋体" w:hAnsi="宋体"/>
          <w:b/>
          <w:kern w:val="0"/>
          <w:sz w:val="21"/>
          <w:szCs w:val="21"/>
          <w:u w:val="single" w:color="000000"/>
        </w:rPr>
      </w:pPr>
    </w:p>
    <w:p>
      <w:pPr>
        <w:snapToGrid w:val="0"/>
        <w:spacing w:line="480" w:lineRule="exact"/>
        <w:rPr>
          <w:rStyle w:val="43"/>
          <w:rFonts w:ascii="宋体" w:hAnsi="宋体"/>
          <w:b/>
          <w:kern w:val="0"/>
          <w:sz w:val="21"/>
          <w:szCs w:val="21"/>
          <w:u w:val="single" w:color="000000"/>
        </w:rPr>
      </w:pPr>
      <w:r>
        <w:rPr>
          <w:rStyle w:val="43"/>
          <w:rFonts w:hint="eastAsia" w:ascii="宋体" w:hAnsi="宋体"/>
          <w:b/>
          <w:kern w:val="0"/>
          <w:sz w:val="21"/>
          <w:szCs w:val="21"/>
          <w:u w:val="single" w:color="000000"/>
        </w:rPr>
        <w:t>嵊州市经济和信息化局</w:t>
      </w:r>
      <w:r>
        <w:rPr>
          <w:rStyle w:val="43"/>
          <w:rFonts w:ascii="宋体" w:hAnsi="宋体"/>
          <w:b/>
          <w:kern w:val="0"/>
          <w:sz w:val="21"/>
          <w:szCs w:val="21"/>
          <w:u w:val="single" w:color="000000"/>
        </w:rPr>
        <w:t>、</w:t>
      </w:r>
      <w:r>
        <w:rPr>
          <w:rStyle w:val="43"/>
          <w:rFonts w:hint="eastAsia" w:ascii="宋体" w:hAnsi="宋体"/>
          <w:b/>
          <w:kern w:val="0"/>
          <w:sz w:val="21"/>
          <w:szCs w:val="21"/>
          <w:u w:val="single" w:color="000000"/>
        </w:rPr>
        <w:t>浙江省房地产管理咨询有限公司</w:t>
      </w:r>
      <w:r>
        <w:rPr>
          <w:rStyle w:val="43"/>
          <w:rFonts w:ascii="宋体" w:hAnsi="宋体"/>
          <w:b/>
          <w:kern w:val="0"/>
          <w:sz w:val="21"/>
          <w:szCs w:val="21"/>
          <w:u w:val="single" w:color="000000"/>
        </w:rPr>
        <w:t>：</w:t>
      </w:r>
    </w:p>
    <w:p>
      <w:pPr>
        <w:snapToGrid w:val="0"/>
        <w:spacing w:line="480" w:lineRule="exact"/>
        <w:ind w:firstLine="426" w:firstLineChars="200"/>
        <w:rPr>
          <w:rStyle w:val="43"/>
          <w:rFonts w:ascii="宋体" w:hAnsi="宋体"/>
          <w:b/>
          <w:kern w:val="0"/>
          <w:sz w:val="21"/>
          <w:szCs w:val="21"/>
        </w:rPr>
      </w:pPr>
      <w:r>
        <w:rPr>
          <w:rStyle w:val="43"/>
          <w:rFonts w:ascii="宋体" w:hAnsi="宋体"/>
          <w:kern w:val="0"/>
          <w:sz w:val="21"/>
          <w:szCs w:val="21"/>
        </w:rPr>
        <w:t>我方参与</w:t>
      </w:r>
      <w:r>
        <w:rPr>
          <w:rStyle w:val="43"/>
          <w:rFonts w:hint="eastAsia" w:ascii="宋体" w:hAnsi="宋体"/>
          <w:kern w:val="0"/>
          <w:sz w:val="21"/>
          <w:szCs w:val="21"/>
          <w:u w:val="single" w:color="000000"/>
          <w:lang w:eastAsia="zh-CN"/>
        </w:rPr>
        <w:t>嵊州智能厨电产业大脑建设项目（一期）</w:t>
      </w:r>
      <w:r>
        <w:rPr>
          <w:rStyle w:val="43"/>
          <w:rFonts w:ascii="宋体" w:hAnsi="宋体"/>
          <w:sz w:val="21"/>
          <w:szCs w:val="21"/>
          <w:u w:val="single" w:color="000000"/>
        </w:rPr>
        <w:t>(项目编号：</w:t>
      </w:r>
      <w:r>
        <w:rPr>
          <w:rStyle w:val="43"/>
          <w:rFonts w:hint="eastAsia" w:ascii="宋体" w:hAnsi="宋体"/>
          <w:sz w:val="21"/>
          <w:szCs w:val="21"/>
          <w:u w:val="single" w:color="000000"/>
          <w:lang w:eastAsia="zh-CN"/>
        </w:rPr>
        <w:t>ZJSFDC-SZ2023N01</w:t>
      </w:r>
      <w:r>
        <w:rPr>
          <w:rStyle w:val="43"/>
          <w:rFonts w:ascii="宋体" w:hAnsi="宋体"/>
          <w:sz w:val="21"/>
          <w:szCs w:val="21"/>
          <w:u w:val="single" w:color="000000"/>
          <w:lang w:val="zh-CN"/>
        </w:rPr>
        <w:t>)</w:t>
      </w:r>
      <w:r>
        <w:rPr>
          <w:rStyle w:val="43"/>
          <w:rFonts w:ascii="宋体" w:hAnsi="宋体"/>
          <w:kern w:val="0"/>
          <w:sz w:val="21"/>
          <w:szCs w:val="21"/>
        </w:rPr>
        <w:t>的政府采购活动，郑重承诺：</w:t>
      </w:r>
      <w:r>
        <w:rPr>
          <w:rStyle w:val="43"/>
          <w:rFonts w:ascii="宋体" w:hAnsi="宋体"/>
          <w:sz w:val="21"/>
          <w:szCs w:val="21"/>
        </w:rPr>
        <w:t xml:space="preserve">     </w:t>
      </w:r>
    </w:p>
    <w:p>
      <w:pPr>
        <w:snapToGrid w:val="0"/>
        <w:spacing w:line="480" w:lineRule="exact"/>
        <w:ind w:firstLine="376" w:firstLineChars="177"/>
        <w:rPr>
          <w:rStyle w:val="43"/>
          <w:rFonts w:ascii="宋体" w:hAnsi="宋体"/>
          <w:b/>
          <w:kern w:val="0"/>
          <w:sz w:val="21"/>
          <w:szCs w:val="21"/>
        </w:rPr>
      </w:pPr>
      <w:r>
        <w:rPr>
          <w:rStyle w:val="43"/>
          <w:rFonts w:ascii="宋体" w:hAnsi="宋体"/>
          <w:b/>
          <w:sz w:val="21"/>
          <w:szCs w:val="21"/>
        </w:rPr>
        <w:t>一、具备《中华人民共和国政府采购法》第二十二条第一款规定的条件：</w:t>
      </w:r>
    </w:p>
    <w:p>
      <w:pPr>
        <w:snapToGrid w:val="0"/>
        <w:spacing w:line="480" w:lineRule="exact"/>
        <w:ind w:firstLine="376" w:firstLineChars="177"/>
        <w:rPr>
          <w:rStyle w:val="43"/>
          <w:rFonts w:ascii="宋体" w:hAnsi="宋体"/>
          <w:kern w:val="0"/>
          <w:sz w:val="21"/>
          <w:szCs w:val="21"/>
        </w:rPr>
      </w:pPr>
      <w:r>
        <w:rPr>
          <w:rStyle w:val="43"/>
          <w:rFonts w:ascii="宋体" w:hAnsi="宋体"/>
          <w:kern w:val="0"/>
          <w:sz w:val="21"/>
          <w:szCs w:val="21"/>
        </w:rPr>
        <w:t>1.具有独立承担民事责任的能力；</w:t>
      </w:r>
    </w:p>
    <w:p>
      <w:pPr>
        <w:snapToGrid w:val="0"/>
        <w:spacing w:line="480" w:lineRule="exact"/>
        <w:ind w:firstLine="376" w:firstLineChars="177"/>
        <w:rPr>
          <w:rStyle w:val="43"/>
          <w:rFonts w:ascii="宋体" w:hAnsi="宋体"/>
          <w:kern w:val="0"/>
          <w:sz w:val="21"/>
          <w:szCs w:val="21"/>
        </w:rPr>
      </w:pPr>
      <w:r>
        <w:rPr>
          <w:rStyle w:val="43"/>
          <w:rFonts w:ascii="宋体" w:hAnsi="宋体"/>
          <w:kern w:val="0"/>
          <w:sz w:val="21"/>
          <w:szCs w:val="21"/>
        </w:rPr>
        <w:t>2.具有良好的商业信誉和健全的财务会计制度；</w:t>
      </w:r>
    </w:p>
    <w:p>
      <w:pPr>
        <w:snapToGrid w:val="0"/>
        <w:spacing w:line="480" w:lineRule="exact"/>
        <w:ind w:firstLine="376" w:firstLineChars="177"/>
        <w:rPr>
          <w:rStyle w:val="43"/>
          <w:rFonts w:ascii="宋体" w:hAnsi="宋体"/>
          <w:kern w:val="0"/>
          <w:sz w:val="21"/>
          <w:szCs w:val="21"/>
        </w:rPr>
      </w:pPr>
      <w:r>
        <w:rPr>
          <w:rStyle w:val="43"/>
          <w:rFonts w:ascii="宋体" w:hAnsi="宋体"/>
          <w:kern w:val="0"/>
          <w:sz w:val="21"/>
          <w:szCs w:val="21"/>
        </w:rPr>
        <w:t>3.具有履行本项目合同所必需的设备和专业技术能力；</w:t>
      </w:r>
    </w:p>
    <w:p>
      <w:pPr>
        <w:snapToGrid w:val="0"/>
        <w:spacing w:line="480" w:lineRule="exact"/>
        <w:ind w:firstLine="376" w:firstLineChars="177"/>
        <w:rPr>
          <w:rStyle w:val="43"/>
          <w:rFonts w:ascii="宋体" w:hAnsi="宋体"/>
          <w:kern w:val="0"/>
          <w:sz w:val="21"/>
          <w:szCs w:val="21"/>
        </w:rPr>
      </w:pPr>
      <w:r>
        <w:rPr>
          <w:rStyle w:val="43"/>
          <w:rFonts w:ascii="宋体" w:hAnsi="宋体"/>
          <w:kern w:val="0"/>
          <w:sz w:val="21"/>
          <w:szCs w:val="21"/>
        </w:rPr>
        <w:t>4.有依法缴纳税收和社会保障资金的良好记录；</w:t>
      </w:r>
    </w:p>
    <w:p>
      <w:pPr>
        <w:snapToGrid w:val="0"/>
        <w:spacing w:line="480" w:lineRule="exact"/>
        <w:ind w:firstLine="376" w:firstLineChars="177"/>
        <w:rPr>
          <w:rStyle w:val="43"/>
          <w:rFonts w:ascii="宋体" w:hAnsi="宋体"/>
          <w:sz w:val="21"/>
          <w:szCs w:val="21"/>
        </w:rPr>
      </w:pPr>
      <w:r>
        <w:rPr>
          <w:rStyle w:val="43"/>
          <w:rFonts w:ascii="宋体" w:hAnsi="宋体"/>
          <w:kern w:val="0"/>
          <w:sz w:val="21"/>
          <w:szCs w:val="21"/>
        </w:rPr>
        <w:t>5.在参加本次政府采购活动前三年内，经营活动中没有重大违法记录</w:t>
      </w:r>
      <w:r>
        <w:rPr>
          <w:rStyle w:val="43"/>
          <w:rFonts w:ascii="宋体" w:hAnsi="宋体"/>
          <w:sz w:val="21"/>
          <w:szCs w:val="21"/>
        </w:rPr>
        <w:t>；</w:t>
      </w:r>
    </w:p>
    <w:p>
      <w:pPr>
        <w:snapToGrid w:val="0"/>
        <w:spacing w:line="480" w:lineRule="exact"/>
        <w:ind w:firstLine="376" w:firstLineChars="177"/>
        <w:rPr>
          <w:rStyle w:val="43"/>
          <w:rFonts w:ascii="宋体" w:hAnsi="宋体"/>
          <w:sz w:val="21"/>
          <w:szCs w:val="21"/>
        </w:rPr>
      </w:pPr>
      <w:r>
        <w:rPr>
          <w:rStyle w:val="43"/>
          <w:rFonts w:ascii="宋体" w:hAnsi="宋体"/>
          <w:sz w:val="21"/>
          <w:szCs w:val="21"/>
        </w:rPr>
        <w:t>6.具有法律、行政法规规定的其他条件。</w:t>
      </w:r>
    </w:p>
    <w:p>
      <w:pPr>
        <w:snapToGrid w:val="0"/>
        <w:spacing w:line="480" w:lineRule="exact"/>
        <w:ind w:firstLine="376" w:firstLineChars="177"/>
        <w:rPr>
          <w:rStyle w:val="43"/>
          <w:rFonts w:ascii="宋体" w:hAnsi="宋体"/>
          <w:b/>
          <w:kern w:val="0"/>
          <w:sz w:val="21"/>
          <w:szCs w:val="21"/>
        </w:rPr>
      </w:pPr>
      <w:r>
        <w:rPr>
          <w:rStyle w:val="43"/>
          <w:rFonts w:ascii="宋体" w:hAnsi="宋体"/>
          <w:b/>
          <w:sz w:val="21"/>
          <w:szCs w:val="21"/>
        </w:rPr>
        <w:t>二、</w:t>
      </w:r>
      <w:r>
        <w:rPr>
          <w:rStyle w:val="43"/>
          <w:rFonts w:ascii="宋体" w:hAnsi="宋体"/>
          <w:b/>
          <w:kern w:val="0"/>
          <w:sz w:val="21"/>
          <w:szCs w:val="21"/>
        </w:rPr>
        <w:t>未被“信用中国”（www.creditchina.gov.cn）、“中国政府采购网”（www.ccgp.gov.cn）列入失信被执行人名单、重大税收违法案件当事人名单、政府采购严重违法失信行为记录名单。</w:t>
      </w:r>
    </w:p>
    <w:p>
      <w:pPr>
        <w:snapToGrid w:val="0"/>
        <w:spacing w:line="480" w:lineRule="exact"/>
        <w:ind w:firstLine="376" w:firstLineChars="177"/>
        <w:rPr>
          <w:rStyle w:val="43"/>
          <w:rFonts w:ascii="宋体" w:hAnsi="宋体"/>
          <w:b/>
          <w:kern w:val="0"/>
          <w:sz w:val="21"/>
          <w:szCs w:val="21"/>
        </w:rPr>
      </w:pPr>
      <w:r>
        <w:rPr>
          <w:rStyle w:val="43"/>
          <w:rFonts w:ascii="宋体" w:hAnsi="宋体"/>
          <w:b/>
          <w:kern w:val="0"/>
          <w:sz w:val="21"/>
          <w:szCs w:val="21"/>
        </w:rPr>
        <w:t>三、不存在以下情况：</w:t>
      </w:r>
    </w:p>
    <w:p>
      <w:pPr>
        <w:snapToGrid w:val="0"/>
        <w:spacing w:line="480" w:lineRule="exact"/>
        <w:ind w:firstLine="376" w:firstLineChars="177"/>
        <w:rPr>
          <w:rStyle w:val="43"/>
          <w:rFonts w:ascii="宋体" w:hAnsi="宋体"/>
          <w:sz w:val="21"/>
          <w:szCs w:val="21"/>
        </w:rPr>
      </w:pPr>
      <w:r>
        <w:rPr>
          <w:rStyle w:val="43"/>
          <w:rFonts w:ascii="宋体" w:hAnsi="宋体"/>
          <w:sz w:val="21"/>
          <w:szCs w:val="21"/>
        </w:rPr>
        <w:t>1.单位负责人为同一人或者存在直接控股、管理关系的不同供应商参加同一合同项下的政府采购活动的；</w:t>
      </w:r>
    </w:p>
    <w:p>
      <w:pPr>
        <w:snapToGrid w:val="0"/>
        <w:spacing w:line="480" w:lineRule="exact"/>
        <w:ind w:firstLine="376" w:firstLineChars="177"/>
        <w:rPr>
          <w:rStyle w:val="43"/>
          <w:rFonts w:ascii="宋体" w:hAnsi="宋体"/>
          <w:sz w:val="21"/>
          <w:szCs w:val="21"/>
        </w:rPr>
      </w:pPr>
      <w:r>
        <w:rPr>
          <w:rStyle w:val="43"/>
          <w:rFonts w:ascii="宋体" w:hAnsi="宋体"/>
          <w:sz w:val="21"/>
          <w:szCs w:val="21"/>
        </w:rPr>
        <w:t>2.为采购项目提供整体设计、规范编制或者项目管理、监理、检测等服务后再参加该采购项目的其他采购活动的。</w:t>
      </w:r>
    </w:p>
    <w:p>
      <w:pPr>
        <w:snapToGrid w:val="0"/>
        <w:spacing w:line="480" w:lineRule="exact"/>
        <w:ind w:firstLine="376" w:firstLineChars="177"/>
        <w:rPr>
          <w:rStyle w:val="43"/>
          <w:rFonts w:ascii="宋体" w:hAnsi="宋体"/>
          <w:b/>
          <w:bCs/>
          <w:sz w:val="21"/>
          <w:szCs w:val="21"/>
        </w:rPr>
      </w:pPr>
      <w:r>
        <w:rPr>
          <w:rStyle w:val="43"/>
          <w:rFonts w:hint="eastAsia" w:ascii="宋体" w:hAnsi="宋体"/>
          <w:b/>
          <w:bCs/>
          <w:sz w:val="21"/>
          <w:szCs w:val="21"/>
        </w:rPr>
        <w:t>以上承诺如有虚假或隐瞒，采购人可取消我方任何资格（投标/中标/签订合同），我方对此无任何异议，并愿意承担一切后果和责任。</w:t>
      </w:r>
    </w:p>
    <w:p>
      <w:pPr>
        <w:snapToGrid w:val="0"/>
        <w:spacing w:line="480" w:lineRule="auto"/>
        <w:ind w:firstLine="376" w:firstLineChars="177"/>
        <w:rPr>
          <w:rStyle w:val="43"/>
          <w:rFonts w:ascii="宋体" w:hAnsi="宋体"/>
          <w:kern w:val="0"/>
          <w:sz w:val="21"/>
          <w:szCs w:val="21"/>
        </w:rPr>
      </w:pPr>
    </w:p>
    <w:p>
      <w:pPr>
        <w:snapToGrid w:val="0"/>
        <w:ind w:right="-24"/>
        <w:rPr>
          <w:rStyle w:val="43"/>
          <w:rFonts w:ascii="宋体" w:hAnsi="宋体"/>
          <w:sz w:val="21"/>
          <w:szCs w:val="21"/>
        </w:rPr>
      </w:pPr>
    </w:p>
    <w:p>
      <w:pPr>
        <w:snapToGrid w:val="0"/>
        <w:spacing w:line="480" w:lineRule="auto"/>
        <w:ind w:right="-24" w:firstLine="4899" w:firstLineChars="2300"/>
        <w:rPr>
          <w:rStyle w:val="43"/>
          <w:rFonts w:ascii="宋体" w:hAnsi="宋体"/>
          <w:sz w:val="21"/>
          <w:szCs w:val="21"/>
        </w:rPr>
      </w:pPr>
      <w:r>
        <w:rPr>
          <w:rStyle w:val="43"/>
          <w:rFonts w:ascii="宋体" w:hAnsi="宋体"/>
          <w:sz w:val="21"/>
          <w:szCs w:val="21"/>
        </w:rPr>
        <w:t>投标人（盖章）：</w:t>
      </w:r>
    </w:p>
    <w:p>
      <w:pPr>
        <w:snapToGrid w:val="0"/>
        <w:spacing w:line="480" w:lineRule="auto"/>
        <w:ind w:right="-24" w:firstLine="480"/>
        <w:jc w:val="center"/>
        <w:rPr>
          <w:rStyle w:val="43"/>
          <w:rFonts w:ascii="宋体" w:hAnsi="宋体"/>
          <w:sz w:val="21"/>
          <w:szCs w:val="21"/>
        </w:rPr>
      </w:pPr>
      <w:r>
        <w:rPr>
          <w:rStyle w:val="43"/>
          <w:rFonts w:ascii="宋体" w:hAnsi="宋体"/>
          <w:sz w:val="21"/>
          <w:szCs w:val="21"/>
        </w:rPr>
        <w:t xml:space="preserve">                     法定代表人或委托代理人（签字</w:t>
      </w:r>
      <w:r>
        <w:rPr>
          <w:rStyle w:val="43"/>
          <w:rFonts w:hint="eastAsia" w:ascii="宋体" w:hAnsi="宋体"/>
          <w:sz w:val="21"/>
          <w:szCs w:val="21"/>
        </w:rPr>
        <w:t>或签章</w:t>
      </w:r>
      <w:r>
        <w:rPr>
          <w:rStyle w:val="43"/>
          <w:rFonts w:ascii="宋体" w:hAnsi="宋体"/>
          <w:sz w:val="21"/>
          <w:szCs w:val="21"/>
        </w:rPr>
        <w:t>）：</w:t>
      </w:r>
    </w:p>
    <w:p>
      <w:pPr>
        <w:pStyle w:val="34"/>
        <w:snapToGrid w:val="0"/>
        <w:spacing w:line="480" w:lineRule="auto"/>
        <w:ind w:firstLine="4686" w:firstLineChars="2200"/>
        <w:rPr>
          <w:rStyle w:val="43"/>
          <w:rFonts w:ascii="宋体" w:hAnsi="宋体"/>
        </w:rPr>
      </w:pPr>
      <w:r>
        <w:rPr>
          <w:rStyle w:val="43"/>
          <w:rFonts w:ascii="宋体" w:hAnsi="宋体"/>
          <w:sz w:val="21"/>
          <w:szCs w:val="21"/>
        </w:rPr>
        <w:t>日期：</w:t>
      </w:r>
      <w:r>
        <w:rPr>
          <w:rStyle w:val="43"/>
          <w:rFonts w:hint="eastAsia" w:ascii="宋体" w:hAnsi="宋体"/>
          <w:sz w:val="21"/>
          <w:szCs w:val="21"/>
          <w:lang w:eastAsia="zh-CN"/>
        </w:rPr>
        <w:t>2023</w:t>
      </w:r>
      <w:r>
        <w:rPr>
          <w:rStyle w:val="43"/>
          <w:rFonts w:ascii="宋体" w:hAnsi="宋体"/>
          <w:sz w:val="21"/>
          <w:szCs w:val="21"/>
        </w:rPr>
        <w:t>年  月  日</w:t>
      </w:r>
    </w:p>
    <w:p>
      <w:pPr>
        <w:pStyle w:val="34"/>
        <w:ind w:firstLine="0"/>
        <w:outlineLvl w:val="1"/>
        <w:rPr>
          <w:rStyle w:val="43"/>
          <w:rFonts w:ascii="宋体" w:hAnsi="宋体"/>
          <w:b/>
          <w:kern w:val="0"/>
          <w:sz w:val="21"/>
          <w:szCs w:val="21"/>
        </w:rPr>
      </w:pPr>
    </w:p>
    <w:p>
      <w:pPr>
        <w:pStyle w:val="34"/>
        <w:ind w:firstLine="0"/>
        <w:outlineLvl w:val="1"/>
        <w:rPr>
          <w:rStyle w:val="43"/>
          <w:rFonts w:hint="eastAsia" w:ascii="宋体" w:hAnsi="宋体" w:cs="Times New Roman"/>
          <w:b/>
          <w:kern w:val="0"/>
          <w:sz w:val="21"/>
          <w:szCs w:val="21"/>
          <w:lang w:val="zh-CN"/>
        </w:rPr>
      </w:pPr>
      <w:r>
        <w:rPr>
          <w:rStyle w:val="43"/>
          <w:rFonts w:ascii="宋体" w:hAnsi="宋体" w:cs="Times New Roman"/>
          <w:b/>
          <w:kern w:val="0"/>
          <w:sz w:val="21"/>
          <w:szCs w:val="21"/>
          <w:lang w:val="zh-CN"/>
        </w:rPr>
        <w:t>附件2：</w:t>
      </w:r>
      <w:r>
        <w:rPr>
          <w:rStyle w:val="43"/>
          <w:rFonts w:hint="eastAsia" w:ascii="宋体" w:hAnsi="宋体" w:cs="Times New Roman"/>
          <w:b/>
          <w:kern w:val="0"/>
          <w:sz w:val="21"/>
          <w:szCs w:val="21"/>
          <w:lang w:val="zh-CN"/>
        </w:rPr>
        <w:t>具有履行合同所必需的设备和专业技术能力的承诺函</w:t>
      </w:r>
    </w:p>
    <w:p>
      <w:pPr>
        <w:snapToGrid w:val="0"/>
        <w:spacing w:before="50" w:after="50"/>
        <w:jc w:val="center"/>
        <w:rPr>
          <w:rFonts w:hint="eastAsia" w:ascii="宋体" w:hAnsi="宋体" w:cs="宋体"/>
          <w:bCs/>
          <w:color w:val="auto"/>
          <w:sz w:val="21"/>
          <w:szCs w:val="21"/>
        </w:rPr>
      </w:pPr>
    </w:p>
    <w:p>
      <w:pPr>
        <w:snapToGrid w:val="0"/>
        <w:spacing w:before="50" w:after="50"/>
        <w:jc w:val="center"/>
        <w:rPr>
          <w:rFonts w:hint="eastAsia" w:ascii="宋体" w:hAnsi="宋体" w:cs="宋体"/>
          <w:bCs/>
          <w:color w:val="auto"/>
          <w:sz w:val="21"/>
          <w:szCs w:val="21"/>
        </w:rPr>
      </w:pPr>
      <w:r>
        <w:rPr>
          <w:rFonts w:hint="eastAsia" w:ascii="宋体" w:hAnsi="宋体" w:cs="宋体"/>
          <w:bCs/>
          <w:color w:val="auto"/>
          <w:sz w:val="21"/>
          <w:szCs w:val="21"/>
        </w:rPr>
        <w:t>具有履行合同所必需的设备和专业技术能力的承诺函</w:t>
      </w:r>
    </w:p>
    <w:p>
      <w:pPr>
        <w:snapToGrid w:val="0"/>
        <w:spacing w:before="156" w:beforeLines="50" w:after="50" w:line="480" w:lineRule="auto"/>
        <w:rPr>
          <w:rFonts w:hint="eastAsia" w:ascii="宋体" w:hAnsi="宋体" w:cs="宋体"/>
          <w:color w:val="auto"/>
          <w:sz w:val="21"/>
          <w:szCs w:val="21"/>
          <w:u w:val="single"/>
        </w:rPr>
      </w:pPr>
    </w:p>
    <w:p>
      <w:pPr>
        <w:spacing w:line="480" w:lineRule="auto"/>
        <w:rPr>
          <w:rFonts w:hint="eastAsia" w:ascii="宋体" w:hAnsi="宋体" w:cs="宋体"/>
          <w:bCs/>
          <w:color w:val="auto"/>
          <w:kern w:val="0"/>
          <w:sz w:val="21"/>
          <w:szCs w:val="21"/>
          <w:u w:val="single"/>
        </w:rPr>
      </w:pPr>
      <w:r>
        <w:rPr>
          <w:rFonts w:hint="eastAsia" w:ascii="宋体" w:hAnsi="宋体" w:cs="宋体"/>
          <w:bCs/>
          <w:color w:val="auto"/>
          <w:kern w:val="0"/>
          <w:sz w:val="21"/>
          <w:szCs w:val="21"/>
          <w:u w:val="single"/>
          <w:lang w:eastAsia="zh-CN"/>
        </w:rPr>
        <w:t>嵊州市经济和信息化局</w:t>
      </w:r>
      <w:r>
        <w:rPr>
          <w:rFonts w:hint="eastAsia" w:ascii="宋体" w:hAnsi="宋体" w:eastAsia="宋体" w:cs="宋体"/>
          <w:bCs/>
          <w:color w:val="auto"/>
          <w:kern w:val="0"/>
          <w:sz w:val="21"/>
          <w:szCs w:val="21"/>
          <w:u w:val="single"/>
          <w:lang w:eastAsia="zh-CN"/>
        </w:rPr>
        <w:t>、</w:t>
      </w:r>
      <w:r>
        <w:rPr>
          <w:rFonts w:hint="eastAsia" w:ascii="宋体" w:hAnsi="宋体" w:cs="宋体"/>
          <w:bCs/>
          <w:color w:val="auto"/>
          <w:kern w:val="0"/>
          <w:sz w:val="21"/>
          <w:szCs w:val="21"/>
          <w:u w:val="single"/>
          <w:lang w:eastAsia="zh-CN"/>
        </w:rPr>
        <w:t>浙江省房地产管理咨询有限公司</w:t>
      </w:r>
      <w:r>
        <w:rPr>
          <w:rFonts w:hint="eastAsia" w:ascii="宋体" w:hAnsi="宋体" w:eastAsia="宋体" w:cs="宋体"/>
          <w:bCs/>
          <w:color w:val="auto"/>
          <w:kern w:val="0"/>
          <w:sz w:val="21"/>
          <w:szCs w:val="21"/>
          <w:u w:val="single"/>
          <w:lang w:eastAsia="zh-CN"/>
        </w:rPr>
        <w:t>：</w:t>
      </w:r>
    </w:p>
    <w:p>
      <w:pPr>
        <w:spacing w:line="480" w:lineRule="auto"/>
        <w:ind w:firstLine="426" w:firstLineChars="200"/>
        <w:rPr>
          <w:rFonts w:hint="eastAsia" w:ascii="宋体" w:hAnsi="宋体" w:cs="宋体"/>
          <w:color w:val="auto"/>
          <w:kern w:val="0"/>
          <w:sz w:val="21"/>
          <w:szCs w:val="21"/>
        </w:rPr>
      </w:pPr>
      <w:r>
        <w:rPr>
          <w:rFonts w:hint="eastAsia" w:ascii="宋体" w:hAnsi="宋体" w:cs="宋体"/>
          <w:color w:val="auto"/>
          <w:kern w:val="0"/>
          <w:sz w:val="21"/>
          <w:szCs w:val="21"/>
        </w:rPr>
        <w:t>我方郑重声明，我方具有履行</w:t>
      </w:r>
      <w:r>
        <w:rPr>
          <w:rFonts w:hint="eastAsia" w:ascii="宋体" w:hAnsi="宋体" w:cs="宋体"/>
          <w:color w:val="auto"/>
          <w:kern w:val="0"/>
          <w:sz w:val="21"/>
          <w:szCs w:val="21"/>
          <w:u w:val="single"/>
        </w:rPr>
        <w:t xml:space="preserve">          （项目编号：        ）</w:t>
      </w:r>
      <w:r>
        <w:rPr>
          <w:rFonts w:hint="eastAsia" w:ascii="宋体" w:hAnsi="宋体" w:cs="宋体"/>
          <w:color w:val="auto"/>
          <w:kern w:val="0"/>
          <w:sz w:val="21"/>
          <w:szCs w:val="21"/>
        </w:rPr>
        <w:t>合同所必需的设备和专业技术能力，如中标，我方将按我方投标文件承诺，保证合同顺利履行。如有虚假或隐瞒，愿意承担一切后果。</w:t>
      </w:r>
    </w:p>
    <w:p>
      <w:pPr>
        <w:spacing w:line="480" w:lineRule="auto"/>
        <w:ind w:firstLine="426" w:firstLineChars="200"/>
        <w:rPr>
          <w:rFonts w:hint="eastAsia" w:ascii="宋体" w:hAnsi="宋体" w:cs="宋体"/>
          <w:color w:val="auto"/>
          <w:kern w:val="0"/>
          <w:sz w:val="21"/>
          <w:szCs w:val="21"/>
        </w:rPr>
      </w:pPr>
    </w:p>
    <w:p>
      <w:pPr>
        <w:spacing w:line="480" w:lineRule="auto"/>
        <w:ind w:firstLine="426" w:firstLineChars="200"/>
        <w:rPr>
          <w:rFonts w:hint="eastAsia" w:ascii="宋体" w:hAnsi="宋体" w:cs="宋体"/>
          <w:color w:val="auto"/>
          <w:kern w:val="0"/>
          <w:sz w:val="21"/>
          <w:szCs w:val="21"/>
        </w:rPr>
      </w:pPr>
      <w:r>
        <w:rPr>
          <w:rFonts w:hint="eastAsia" w:ascii="宋体" w:hAnsi="宋体" w:cs="宋体"/>
          <w:color w:val="auto"/>
          <w:kern w:val="0"/>
          <w:sz w:val="21"/>
          <w:szCs w:val="21"/>
        </w:rPr>
        <w:t>特此承诺！</w:t>
      </w:r>
    </w:p>
    <w:p>
      <w:pPr>
        <w:spacing w:line="480" w:lineRule="auto"/>
        <w:rPr>
          <w:rFonts w:hint="eastAsia" w:ascii="宋体" w:hAnsi="宋体" w:cs="宋体"/>
          <w:color w:val="auto"/>
          <w:kern w:val="0"/>
          <w:sz w:val="21"/>
          <w:szCs w:val="21"/>
        </w:rPr>
      </w:pPr>
    </w:p>
    <w:p>
      <w:pPr>
        <w:spacing w:line="480" w:lineRule="auto"/>
        <w:ind w:firstLine="3195" w:firstLineChars="1500"/>
        <w:rPr>
          <w:rFonts w:hint="eastAsia" w:ascii="宋体" w:hAnsi="宋体" w:cs="宋体"/>
          <w:color w:val="auto"/>
          <w:sz w:val="21"/>
          <w:szCs w:val="21"/>
        </w:rPr>
      </w:pPr>
      <w:r>
        <w:rPr>
          <w:rFonts w:hint="eastAsia" w:ascii="宋体" w:hAnsi="宋体" w:cs="宋体"/>
          <w:color w:val="auto"/>
          <w:sz w:val="21"/>
          <w:szCs w:val="21"/>
        </w:rPr>
        <w:t xml:space="preserve">投标人:（盖章）          </w:t>
      </w:r>
    </w:p>
    <w:p>
      <w:pPr>
        <w:spacing w:line="480" w:lineRule="auto"/>
        <w:jc w:val="center"/>
        <w:rPr>
          <w:rFonts w:hint="eastAsia" w:ascii="宋体" w:hAnsi="宋体" w:cs="宋体"/>
          <w:color w:val="auto"/>
          <w:sz w:val="21"/>
          <w:szCs w:val="21"/>
        </w:rPr>
      </w:pPr>
      <w:r>
        <w:rPr>
          <w:rFonts w:hint="eastAsia" w:ascii="宋体" w:hAnsi="宋体" w:cs="宋体"/>
          <w:color w:val="auto"/>
          <w:sz w:val="21"/>
          <w:szCs w:val="21"/>
        </w:rPr>
        <w:t>法定代表人或委托代理人：（签字）</w:t>
      </w:r>
    </w:p>
    <w:p>
      <w:pPr>
        <w:pStyle w:val="34"/>
        <w:ind w:firstLine="0"/>
        <w:outlineLvl w:val="1"/>
        <w:rPr>
          <w:rStyle w:val="43"/>
          <w:rFonts w:ascii="宋体" w:hAnsi="宋体"/>
          <w:b/>
          <w:kern w:val="0"/>
          <w:sz w:val="21"/>
          <w:szCs w:val="21"/>
        </w:rPr>
      </w:pPr>
      <w:r>
        <w:rPr>
          <w:rFonts w:hint="eastAsia" w:ascii="宋体" w:hAnsi="宋体" w:cs="宋体"/>
          <w:color w:val="auto"/>
          <w:sz w:val="21"/>
          <w:szCs w:val="21"/>
        </w:rPr>
        <w:t xml:space="preserve">                              日期：202</w:t>
      </w:r>
      <w:r>
        <w:rPr>
          <w:rFonts w:hint="eastAsia" w:ascii="宋体" w:hAnsi="宋体" w:cs="宋体"/>
          <w:color w:val="auto"/>
          <w:sz w:val="21"/>
          <w:szCs w:val="21"/>
          <w:lang w:val="en-US" w:eastAsia="zh-CN"/>
        </w:rPr>
        <w:t>3</w:t>
      </w:r>
      <w:r>
        <w:rPr>
          <w:rFonts w:hint="eastAsia" w:ascii="宋体" w:hAnsi="宋体" w:cs="宋体"/>
          <w:color w:val="auto"/>
          <w:sz w:val="21"/>
          <w:szCs w:val="21"/>
        </w:rPr>
        <w:t>年  月</w:t>
      </w:r>
      <w:r>
        <w:rPr>
          <w:rFonts w:hint="eastAsia" w:ascii="宋体" w:hAnsi="宋体" w:cs="宋体"/>
          <w:color w:val="auto"/>
          <w:sz w:val="21"/>
          <w:szCs w:val="21"/>
          <w:lang w:val="en-US" w:eastAsia="zh-CN"/>
        </w:rPr>
        <w:t xml:space="preserve">    日</w:t>
      </w:r>
      <w:r>
        <w:rPr>
          <w:rFonts w:hint="eastAsia" w:ascii="宋体" w:hAnsi="宋体" w:cs="宋体"/>
          <w:color w:val="auto"/>
          <w:sz w:val="21"/>
          <w:szCs w:val="21"/>
        </w:rPr>
        <w:t xml:space="preserve">  </w:t>
      </w:r>
    </w:p>
    <w:p>
      <w:pPr>
        <w:snapToGrid w:val="0"/>
        <w:spacing w:before="50" w:after="50"/>
        <w:jc w:val="center"/>
        <w:rPr>
          <w:rFonts w:hint="eastAsia" w:ascii="宋体" w:hAnsi="宋体" w:cs="宋体"/>
          <w:bCs/>
          <w:color w:val="auto"/>
          <w:sz w:val="21"/>
          <w:szCs w:val="21"/>
        </w:rPr>
      </w:pPr>
    </w:p>
    <w:p>
      <w:pPr>
        <w:rPr>
          <w:rStyle w:val="43"/>
          <w:rFonts w:hint="eastAsia" w:ascii="宋体" w:hAnsi="宋体"/>
          <w:b/>
          <w:kern w:val="0"/>
          <w:sz w:val="21"/>
          <w:szCs w:val="21"/>
          <w:lang w:val="zh-CN"/>
        </w:rPr>
      </w:pPr>
      <w:r>
        <w:rPr>
          <w:rStyle w:val="43"/>
          <w:rFonts w:hint="eastAsia" w:ascii="宋体" w:hAnsi="宋体"/>
          <w:b/>
          <w:kern w:val="0"/>
          <w:sz w:val="21"/>
          <w:szCs w:val="21"/>
          <w:lang w:val="zh-CN"/>
        </w:rPr>
        <w:br w:type="page"/>
      </w:r>
    </w:p>
    <w:p>
      <w:pPr>
        <w:pStyle w:val="34"/>
        <w:ind w:firstLine="0"/>
        <w:outlineLvl w:val="1"/>
        <w:rPr>
          <w:rStyle w:val="43"/>
          <w:rFonts w:ascii="宋体" w:hAnsi="宋体" w:cs="宋体"/>
          <w:bCs/>
          <w:kern w:val="0"/>
          <w:sz w:val="21"/>
          <w:szCs w:val="21"/>
        </w:rPr>
      </w:pPr>
      <w:r>
        <w:rPr>
          <w:rStyle w:val="43"/>
          <w:rFonts w:hint="eastAsia" w:ascii="宋体" w:hAnsi="宋体"/>
          <w:b/>
          <w:kern w:val="0"/>
          <w:sz w:val="21"/>
          <w:szCs w:val="21"/>
          <w:lang w:val="zh-CN"/>
        </w:rPr>
        <w:t>附件</w:t>
      </w:r>
      <w:r>
        <w:rPr>
          <w:rStyle w:val="43"/>
          <w:rFonts w:hint="eastAsia" w:ascii="宋体" w:hAnsi="宋体"/>
          <w:b/>
          <w:kern w:val="0"/>
          <w:sz w:val="21"/>
          <w:szCs w:val="21"/>
          <w:lang w:val="en-US" w:eastAsia="zh-CN"/>
        </w:rPr>
        <w:t>3：</w:t>
      </w:r>
      <w:r>
        <w:rPr>
          <w:rStyle w:val="43"/>
          <w:rFonts w:ascii="宋体" w:hAnsi="宋体"/>
          <w:b/>
          <w:kern w:val="0"/>
          <w:sz w:val="21"/>
          <w:szCs w:val="21"/>
          <w:lang w:val="zh-CN"/>
        </w:rPr>
        <w:t>投标函</w:t>
      </w:r>
    </w:p>
    <w:p>
      <w:pPr>
        <w:snapToGrid w:val="0"/>
        <w:spacing w:before="120" w:after="50" w:line="360" w:lineRule="auto"/>
        <w:jc w:val="center"/>
        <w:rPr>
          <w:rStyle w:val="43"/>
          <w:rFonts w:ascii="宋体" w:hAnsi="宋体" w:cs="宋体"/>
          <w:bCs/>
          <w:sz w:val="21"/>
          <w:szCs w:val="21"/>
        </w:rPr>
      </w:pPr>
      <w:r>
        <w:rPr>
          <w:rStyle w:val="43"/>
          <w:rFonts w:ascii="宋体" w:hAnsi="宋体" w:cs="宋体"/>
          <w:bCs/>
          <w:sz w:val="21"/>
          <w:szCs w:val="21"/>
          <w:lang w:val="zh-CN"/>
        </w:rPr>
        <w:t>投标函</w:t>
      </w:r>
    </w:p>
    <w:p>
      <w:pPr>
        <w:jc w:val="center"/>
        <w:rPr>
          <w:rStyle w:val="43"/>
          <w:rFonts w:ascii="宋体" w:hAnsi="宋体"/>
          <w:sz w:val="21"/>
          <w:szCs w:val="21"/>
        </w:rPr>
      </w:pPr>
    </w:p>
    <w:p>
      <w:pPr>
        <w:snapToGrid w:val="0"/>
        <w:spacing w:line="540" w:lineRule="exact"/>
        <w:rPr>
          <w:rStyle w:val="43"/>
          <w:rFonts w:ascii="宋体" w:hAnsi="宋体"/>
          <w:sz w:val="21"/>
          <w:szCs w:val="21"/>
        </w:rPr>
      </w:pPr>
      <w:r>
        <w:rPr>
          <w:rStyle w:val="43"/>
          <w:rFonts w:ascii="宋体" w:hAnsi="宋体"/>
          <w:sz w:val="21"/>
          <w:szCs w:val="21"/>
        </w:rPr>
        <w:t>致：</w:t>
      </w:r>
      <w:r>
        <w:rPr>
          <w:rStyle w:val="43"/>
          <w:rFonts w:ascii="宋体" w:hAnsi="宋体"/>
          <w:sz w:val="21"/>
          <w:szCs w:val="21"/>
          <w:u w:val="single" w:color="000000"/>
        </w:rPr>
        <w:t xml:space="preserve">                </w:t>
      </w:r>
      <w:r>
        <w:rPr>
          <w:rStyle w:val="43"/>
          <w:rFonts w:ascii="宋体" w:hAnsi="宋体"/>
          <w:sz w:val="21"/>
          <w:szCs w:val="21"/>
        </w:rPr>
        <w:t>（招标采购单位名称）：</w:t>
      </w:r>
    </w:p>
    <w:p>
      <w:pPr>
        <w:snapToGrid w:val="0"/>
        <w:spacing w:line="540" w:lineRule="exact"/>
        <w:ind w:firstLine="480"/>
        <w:rPr>
          <w:rStyle w:val="43"/>
          <w:rFonts w:ascii="宋体" w:hAnsi="宋体"/>
          <w:sz w:val="21"/>
          <w:szCs w:val="21"/>
        </w:rPr>
      </w:pPr>
      <w:r>
        <w:rPr>
          <w:rStyle w:val="43"/>
          <w:rFonts w:ascii="宋体" w:hAnsi="宋体"/>
          <w:sz w:val="21"/>
          <w:szCs w:val="21"/>
        </w:rPr>
        <w:t>根据贵方为</w:t>
      </w:r>
      <w:r>
        <w:rPr>
          <w:rStyle w:val="43"/>
          <w:rFonts w:ascii="宋体" w:hAnsi="宋体"/>
          <w:sz w:val="21"/>
          <w:szCs w:val="21"/>
          <w:u w:val="single" w:color="000000"/>
        </w:rPr>
        <w:t xml:space="preserve">                             </w:t>
      </w:r>
      <w:r>
        <w:rPr>
          <w:rStyle w:val="43"/>
          <w:rFonts w:ascii="宋体" w:hAnsi="宋体"/>
          <w:sz w:val="21"/>
          <w:szCs w:val="21"/>
        </w:rPr>
        <w:t>项目的采购公告</w:t>
      </w:r>
    </w:p>
    <w:p>
      <w:pPr>
        <w:snapToGrid w:val="0"/>
        <w:spacing w:line="540" w:lineRule="exact"/>
        <w:rPr>
          <w:rStyle w:val="43"/>
          <w:rFonts w:ascii="宋体" w:hAnsi="宋体"/>
          <w:sz w:val="21"/>
          <w:szCs w:val="21"/>
        </w:rPr>
      </w:pPr>
      <w:r>
        <w:rPr>
          <w:rStyle w:val="43"/>
          <w:rFonts w:ascii="宋体" w:hAnsi="宋体"/>
          <w:sz w:val="21"/>
          <w:szCs w:val="21"/>
        </w:rPr>
        <w:t>（项目编号：</w:t>
      </w:r>
      <w:r>
        <w:rPr>
          <w:rStyle w:val="43"/>
          <w:rFonts w:ascii="宋体" w:hAnsi="宋体"/>
          <w:sz w:val="21"/>
          <w:szCs w:val="21"/>
          <w:u w:val="single" w:color="000000"/>
        </w:rPr>
        <w:t xml:space="preserve">           </w:t>
      </w:r>
      <w:r>
        <w:rPr>
          <w:rStyle w:val="43"/>
          <w:rFonts w:ascii="宋体" w:hAnsi="宋体"/>
          <w:sz w:val="21"/>
          <w:szCs w:val="21"/>
        </w:rPr>
        <w:t>），签字代表</w:t>
      </w:r>
      <w:r>
        <w:rPr>
          <w:rStyle w:val="43"/>
          <w:rFonts w:ascii="宋体" w:hAnsi="宋体"/>
          <w:sz w:val="21"/>
          <w:szCs w:val="21"/>
          <w:u w:val="single" w:color="000000"/>
        </w:rPr>
        <w:t xml:space="preserve">             </w:t>
      </w:r>
      <w:r>
        <w:rPr>
          <w:rStyle w:val="43"/>
          <w:rFonts w:ascii="宋体" w:hAnsi="宋体"/>
          <w:sz w:val="21"/>
          <w:szCs w:val="21"/>
        </w:rPr>
        <w:t>（全名）经正式授权并代表投标人</w:t>
      </w:r>
      <w:r>
        <w:rPr>
          <w:rStyle w:val="43"/>
          <w:rFonts w:ascii="宋体" w:hAnsi="宋体"/>
          <w:sz w:val="21"/>
          <w:szCs w:val="21"/>
          <w:u w:val="single" w:color="000000"/>
        </w:rPr>
        <w:t xml:space="preserve">                       </w:t>
      </w:r>
      <w:r>
        <w:rPr>
          <w:rStyle w:val="43"/>
          <w:rFonts w:ascii="宋体" w:hAnsi="宋体"/>
          <w:sz w:val="21"/>
          <w:szCs w:val="21"/>
        </w:rPr>
        <w:t>（投标人名称）提交投标文件。</w:t>
      </w:r>
    </w:p>
    <w:p>
      <w:pPr>
        <w:snapToGrid w:val="0"/>
        <w:spacing w:line="540" w:lineRule="exact"/>
        <w:ind w:firstLine="426" w:firstLineChars="200"/>
        <w:rPr>
          <w:rStyle w:val="43"/>
          <w:rFonts w:ascii="宋体" w:hAnsi="宋体"/>
          <w:sz w:val="21"/>
          <w:szCs w:val="21"/>
        </w:rPr>
      </w:pPr>
      <w:r>
        <w:rPr>
          <w:rStyle w:val="43"/>
          <w:rFonts w:ascii="宋体" w:hAnsi="宋体"/>
          <w:sz w:val="21"/>
          <w:szCs w:val="21"/>
        </w:rPr>
        <w:t>据此函，签字代表宣布同意如下：</w:t>
      </w:r>
    </w:p>
    <w:p>
      <w:pPr>
        <w:snapToGrid w:val="0"/>
        <w:spacing w:line="540" w:lineRule="exact"/>
        <w:ind w:firstLine="426" w:firstLineChars="200"/>
        <w:rPr>
          <w:rStyle w:val="43"/>
          <w:rFonts w:ascii="宋体" w:hAnsi="宋体"/>
          <w:sz w:val="21"/>
          <w:szCs w:val="21"/>
        </w:rPr>
      </w:pPr>
      <w:r>
        <w:rPr>
          <w:rStyle w:val="43"/>
          <w:rFonts w:ascii="宋体" w:hAnsi="宋体"/>
          <w:sz w:val="21"/>
          <w:szCs w:val="21"/>
        </w:rPr>
        <w:t>1.投标人已详细审查全部“采购文件”，包括修改文件（如有的话）以及全部参考资料和有关附件，已经了解我方对于采购文件、采购过程、采购结果有依法进行询问、质疑、投诉的权利及相关渠道和要求。</w:t>
      </w:r>
    </w:p>
    <w:p>
      <w:pPr>
        <w:snapToGrid w:val="0"/>
        <w:spacing w:line="540" w:lineRule="exact"/>
        <w:ind w:firstLine="426" w:firstLineChars="200"/>
        <w:rPr>
          <w:rStyle w:val="43"/>
          <w:rFonts w:ascii="宋体" w:hAnsi="宋体"/>
          <w:sz w:val="21"/>
          <w:szCs w:val="21"/>
        </w:rPr>
      </w:pPr>
      <w:r>
        <w:rPr>
          <w:rStyle w:val="43"/>
          <w:rFonts w:ascii="宋体" w:hAnsi="宋体"/>
          <w:sz w:val="21"/>
          <w:szCs w:val="21"/>
        </w:rPr>
        <w:t>2.投标人在投标之前已经与贵方进行了充分的沟通，完全理解并接受采购文件的各项规定和要求，对采购文件的合理性、合法性不再有异议。</w:t>
      </w:r>
    </w:p>
    <w:p>
      <w:pPr>
        <w:snapToGrid w:val="0"/>
        <w:spacing w:line="540" w:lineRule="exact"/>
        <w:ind w:firstLine="426" w:firstLineChars="200"/>
        <w:rPr>
          <w:rStyle w:val="43"/>
          <w:rFonts w:ascii="宋体" w:hAnsi="宋体"/>
          <w:sz w:val="21"/>
          <w:szCs w:val="21"/>
        </w:rPr>
      </w:pPr>
      <w:r>
        <w:rPr>
          <w:rStyle w:val="43"/>
          <w:rFonts w:ascii="宋体" w:hAnsi="宋体"/>
          <w:sz w:val="21"/>
          <w:szCs w:val="21"/>
        </w:rPr>
        <w:t>3.本投标有效期自开标之日起 ______个日。</w:t>
      </w:r>
    </w:p>
    <w:p>
      <w:pPr>
        <w:snapToGrid w:val="0"/>
        <w:spacing w:line="540" w:lineRule="exact"/>
        <w:ind w:firstLine="426" w:firstLineChars="200"/>
        <w:rPr>
          <w:rStyle w:val="43"/>
          <w:rFonts w:ascii="宋体" w:hAnsi="宋体"/>
          <w:sz w:val="21"/>
          <w:szCs w:val="21"/>
        </w:rPr>
      </w:pPr>
      <w:r>
        <w:rPr>
          <w:rStyle w:val="43"/>
          <w:rFonts w:ascii="宋体" w:hAnsi="宋体"/>
          <w:sz w:val="21"/>
          <w:szCs w:val="21"/>
        </w:rPr>
        <w:t>4.如中标，本投标文件至本项目合同履行完毕止均保持有效，本投标人将按“采购文件”及政府采购法律、法规的规定履行合同责任和义务。</w:t>
      </w:r>
    </w:p>
    <w:p>
      <w:pPr>
        <w:snapToGrid w:val="0"/>
        <w:spacing w:line="540" w:lineRule="exact"/>
        <w:ind w:firstLine="426" w:firstLineChars="200"/>
        <w:rPr>
          <w:rStyle w:val="43"/>
          <w:rFonts w:ascii="宋体" w:hAnsi="宋体"/>
          <w:sz w:val="21"/>
          <w:szCs w:val="21"/>
        </w:rPr>
      </w:pPr>
      <w:r>
        <w:rPr>
          <w:rStyle w:val="43"/>
          <w:rFonts w:ascii="宋体" w:hAnsi="宋体"/>
          <w:sz w:val="21"/>
          <w:szCs w:val="21"/>
        </w:rPr>
        <w:t>5.投标人同意按照贵方要求提供与投标有关的一切数据或资料。</w:t>
      </w:r>
    </w:p>
    <w:p>
      <w:pPr>
        <w:snapToGrid w:val="0"/>
        <w:spacing w:line="540" w:lineRule="exact"/>
        <w:ind w:firstLine="426" w:firstLineChars="200"/>
        <w:rPr>
          <w:rStyle w:val="43"/>
          <w:rFonts w:ascii="宋体" w:hAnsi="宋体"/>
          <w:sz w:val="21"/>
          <w:szCs w:val="21"/>
        </w:rPr>
      </w:pPr>
      <w:r>
        <w:rPr>
          <w:rStyle w:val="43"/>
          <w:rFonts w:ascii="宋体" w:hAnsi="宋体"/>
          <w:sz w:val="21"/>
          <w:szCs w:val="21"/>
        </w:rPr>
        <w:t>6.与本投标有关的一切正式往来信函请寄：</w:t>
      </w:r>
    </w:p>
    <w:p>
      <w:pPr>
        <w:snapToGrid w:val="0"/>
        <w:spacing w:line="540" w:lineRule="exact"/>
        <w:rPr>
          <w:rStyle w:val="43"/>
          <w:rFonts w:ascii="宋体" w:hAnsi="宋体"/>
          <w:sz w:val="21"/>
          <w:szCs w:val="21"/>
        </w:rPr>
      </w:pPr>
      <w:r>
        <w:rPr>
          <w:rStyle w:val="43"/>
          <w:rFonts w:ascii="宋体" w:hAnsi="宋体"/>
          <w:sz w:val="21"/>
          <w:szCs w:val="21"/>
        </w:rPr>
        <w:t>地址：</w:t>
      </w:r>
      <w:r>
        <w:rPr>
          <w:rStyle w:val="43"/>
          <w:rFonts w:ascii="宋体" w:hAnsi="宋体"/>
          <w:sz w:val="21"/>
          <w:szCs w:val="21"/>
          <w:u w:val="single" w:color="000000"/>
        </w:rPr>
        <w:t xml:space="preserve">                   </w:t>
      </w:r>
      <w:r>
        <w:rPr>
          <w:rStyle w:val="43"/>
          <w:rFonts w:ascii="宋体" w:hAnsi="宋体"/>
          <w:sz w:val="21"/>
          <w:szCs w:val="21"/>
        </w:rPr>
        <w:t>邮编：__________   电话：______________</w:t>
      </w:r>
    </w:p>
    <w:p>
      <w:pPr>
        <w:snapToGrid w:val="0"/>
        <w:spacing w:line="540" w:lineRule="exact"/>
        <w:rPr>
          <w:rStyle w:val="43"/>
          <w:rFonts w:ascii="宋体" w:hAnsi="宋体"/>
          <w:sz w:val="21"/>
          <w:szCs w:val="21"/>
        </w:rPr>
      </w:pPr>
      <w:r>
        <w:rPr>
          <w:rStyle w:val="43"/>
          <w:rFonts w:ascii="宋体" w:hAnsi="宋体"/>
          <w:sz w:val="21"/>
          <w:szCs w:val="21"/>
        </w:rPr>
        <w:t>传真：______________投标人代表姓名：___________  职务：_____________</w:t>
      </w:r>
    </w:p>
    <w:p>
      <w:pPr>
        <w:snapToGrid w:val="0"/>
        <w:spacing w:line="540" w:lineRule="exact"/>
        <w:rPr>
          <w:rStyle w:val="43"/>
          <w:rFonts w:ascii="宋体" w:hAnsi="宋体"/>
          <w:sz w:val="21"/>
          <w:szCs w:val="21"/>
        </w:rPr>
      </w:pPr>
      <w:r>
        <w:rPr>
          <w:rStyle w:val="43"/>
          <w:rFonts w:ascii="宋体" w:hAnsi="宋体"/>
          <w:sz w:val="21"/>
          <w:szCs w:val="21"/>
        </w:rPr>
        <w:t>投标人名称(公章):___________________</w:t>
      </w:r>
    </w:p>
    <w:p>
      <w:pPr>
        <w:snapToGrid w:val="0"/>
        <w:spacing w:line="540" w:lineRule="exact"/>
        <w:rPr>
          <w:rStyle w:val="43"/>
          <w:rFonts w:ascii="宋体" w:hAnsi="宋体"/>
          <w:sz w:val="21"/>
          <w:szCs w:val="21"/>
        </w:rPr>
      </w:pPr>
      <w:r>
        <w:rPr>
          <w:rStyle w:val="43"/>
          <w:rFonts w:ascii="宋体" w:hAnsi="宋体"/>
          <w:sz w:val="21"/>
          <w:szCs w:val="21"/>
        </w:rPr>
        <w:t>开户银行：</w:t>
      </w:r>
      <w:r>
        <w:rPr>
          <w:rStyle w:val="43"/>
          <w:rFonts w:ascii="宋体" w:hAnsi="宋体"/>
          <w:sz w:val="21"/>
          <w:szCs w:val="21"/>
          <w:u w:val="single" w:color="000000"/>
        </w:rPr>
        <w:t xml:space="preserve">                      </w:t>
      </w:r>
      <w:r>
        <w:rPr>
          <w:rStyle w:val="43"/>
          <w:rFonts w:ascii="宋体" w:hAnsi="宋体"/>
          <w:sz w:val="21"/>
          <w:szCs w:val="21"/>
        </w:rPr>
        <w:t xml:space="preserve">   银行帐号：</w:t>
      </w:r>
      <w:r>
        <w:rPr>
          <w:rStyle w:val="43"/>
          <w:rFonts w:ascii="宋体" w:hAnsi="宋体"/>
          <w:sz w:val="21"/>
          <w:szCs w:val="21"/>
          <w:u w:val="single" w:color="000000"/>
        </w:rPr>
        <w:t xml:space="preserve">                    </w:t>
      </w:r>
      <w:r>
        <w:rPr>
          <w:rStyle w:val="43"/>
          <w:rFonts w:ascii="宋体" w:hAnsi="宋体"/>
          <w:sz w:val="21"/>
          <w:szCs w:val="21"/>
        </w:rPr>
        <w:t xml:space="preserve"> </w:t>
      </w:r>
    </w:p>
    <w:p>
      <w:pPr>
        <w:snapToGrid w:val="0"/>
        <w:spacing w:line="540" w:lineRule="exact"/>
        <w:rPr>
          <w:rStyle w:val="43"/>
          <w:rFonts w:ascii="宋体" w:hAnsi="宋体"/>
          <w:sz w:val="21"/>
          <w:szCs w:val="21"/>
        </w:rPr>
      </w:pPr>
      <w:r>
        <w:rPr>
          <w:rStyle w:val="43"/>
          <w:rFonts w:ascii="宋体" w:hAnsi="宋体"/>
          <w:sz w:val="21"/>
          <w:szCs w:val="21"/>
        </w:rPr>
        <w:t>授权代表签字:___________                      日期:_____年___月___日</w:t>
      </w:r>
    </w:p>
    <w:p>
      <w:pPr>
        <w:snapToGrid w:val="0"/>
        <w:spacing w:line="540" w:lineRule="exact"/>
        <w:rPr>
          <w:rStyle w:val="43"/>
          <w:rFonts w:ascii="宋体" w:hAnsi="宋体"/>
          <w:sz w:val="21"/>
          <w:szCs w:val="21"/>
        </w:rPr>
      </w:pPr>
    </w:p>
    <w:p>
      <w:pPr>
        <w:snapToGrid w:val="0"/>
        <w:spacing w:line="540" w:lineRule="exact"/>
        <w:rPr>
          <w:rStyle w:val="43"/>
          <w:rFonts w:ascii="宋体" w:hAnsi="宋体"/>
          <w:sz w:val="21"/>
          <w:szCs w:val="21"/>
        </w:rPr>
      </w:pPr>
    </w:p>
    <w:p>
      <w:pPr>
        <w:snapToGrid w:val="0"/>
        <w:spacing w:line="540" w:lineRule="exact"/>
        <w:rPr>
          <w:rStyle w:val="43"/>
          <w:rFonts w:ascii="宋体" w:hAnsi="宋体"/>
          <w:sz w:val="21"/>
          <w:szCs w:val="21"/>
        </w:rPr>
      </w:pPr>
    </w:p>
    <w:p>
      <w:pPr>
        <w:snapToGrid w:val="0"/>
        <w:spacing w:line="540" w:lineRule="exact"/>
        <w:outlineLvl w:val="1"/>
        <w:rPr>
          <w:rStyle w:val="43"/>
          <w:rFonts w:hAnsi="宋体"/>
          <w:b/>
          <w:sz w:val="21"/>
          <w:szCs w:val="21"/>
        </w:rPr>
      </w:pPr>
      <w:r>
        <w:rPr>
          <w:rStyle w:val="43"/>
          <w:rFonts w:hAnsi="宋体"/>
          <w:b/>
          <w:sz w:val="21"/>
          <w:szCs w:val="21"/>
        </w:rPr>
        <w:t>附件</w:t>
      </w:r>
      <w:r>
        <w:rPr>
          <w:rStyle w:val="43"/>
          <w:rFonts w:hint="eastAsia" w:hAnsi="宋体"/>
          <w:b/>
          <w:sz w:val="21"/>
          <w:szCs w:val="21"/>
          <w:lang w:val="en-US" w:eastAsia="zh-CN"/>
        </w:rPr>
        <w:t>4</w:t>
      </w:r>
      <w:r>
        <w:rPr>
          <w:rStyle w:val="43"/>
          <w:rFonts w:hAnsi="宋体"/>
          <w:b/>
          <w:sz w:val="21"/>
          <w:szCs w:val="21"/>
        </w:rPr>
        <w:t>：法定代表人授权委托书</w:t>
      </w:r>
    </w:p>
    <w:p>
      <w:pPr>
        <w:pStyle w:val="34"/>
        <w:ind w:firstLine="240"/>
        <w:rPr>
          <w:rStyle w:val="43"/>
          <w:rFonts w:ascii="宋体" w:hAnsi="宋体"/>
          <w:sz w:val="21"/>
          <w:szCs w:val="21"/>
        </w:rPr>
      </w:pPr>
    </w:p>
    <w:p>
      <w:pPr>
        <w:tabs>
          <w:tab w:val="left" w:pos="358"/>
          <w:tab w:val="left" w:pos="420"/>
        </w:tabs>
        <w:spacing w:line="600" w:lineRule="exact"/>
        <w:jc w:val="center"/>
        <w:rPr>
          <w:rStyle w:val="43"/>
          <w:rFonts w:ascii="宋体" w:hAnsi="宋体" w:cs="宋体"/>
          <w:bCs/>
          <w:sz w:val="24"/>
          <w:szCs w:val="24"/>
        </w:rPr>
      </w:pPr>
      <w:r>
        <w:rPr>
          <w:rStyle w:val="43"/>
          <w:rFonts w:ascii="宋体" w:hAnsi="宋体" w:cs="宋体"/>
          <w:bCs/>
          <w:sz w:val="24"/>
          <w:szCs w:val="24"/>
        </w:rPr>
        <w:t>法定代表人授权委托书</w:t>
      </w:r>
    </w:p>
    <w:p>
      <w:pPr>
        <w:jc w:val="center"/>
        <w:rPr>
          <w:rStyle w:val="43"/>
          <w:rFonts w:ascii="宋体" w:hAnsi="宋体"/>
          <w:sz w:val="21"/>
          <w:szCs w:val="21"/>
        </w:rPr>
      </w:pPr>
    </w:p>
    <w:p>
      <w:pPr>
        <w:rPr>
          <w:rStyle w:val="43"/>
          <w:rFonts w:ascii="宋体" w:hAnsi="宋体"/>
          <w:sz w:val="21"/>
          <w:szCs w:val="21"/>
        </w:rPr>
      </w:pPr>
    </w:p>
    <w:p>
      <w:pPr>
        <w:spacing w:line="500" w:lineRule="exact"/>
        <w:rPr>
          <w:rStyle w:val="43"/>
          <w:rFonts w:ascii="宋体" w:hAnsi="宋体"/>
          <w:sz w:val="21"/>
          <w:szCs w:val="21"/>
        </w:rPr>
      </w:pPr>
      <w:r>
        <w:rPr>
          <w:rStyle w:val="43"/>
          <w:rFonts w:ascii="宋体" w:hAnsi="宋体"/>
          <w:sz w:val="21"/>
          <w:szCs w:val="21"/>
        </w:rPr>
        <w:t>致：__________(招标采购单位名称)</w:t>
      </w:r>
    </w:p>
    <w:p>
      <w:pPr>
        <w:pStyle w:val="79"/>
        <w:spacing w:before="0" w:after="0" w:line="500" w:lineRule="exact"/>
        <w:ind w:firstLine="426" w:firstLineChars="200"/>
        <w:rPr>
          <w:rStyle w:val="43"/>
          <w:rFonts w:hAnsi="宋体"/>
          <w:sz w:val="21"/>
          <w:szCs w:val="21"/>
        </w:rPr>
      </w:pPr>
      <w:r>
        <w:rPr>
          <w:rStyle w:val="43"/>
          <w:rFonts w:hAnsi="宋体"/>
          <w:sz w:val="21"/>
          <w:szCs w:val="21"/>
        </w:rPr>
        <w:t>我</w:t>
      </w:r>
      <w:r>
        <w:rPr>
          <w:rStyle w:val="43"/>
          <w:rFonts w:hAnsi="宋体"/>
          <w:sz w:val="21"/>
          <w:szCs w:val="21"/>
          <w:u w:val="single" w:color="000000"/>
        </w:rPr>
        <w:t xml:space="preserve">     </w:t>
      </w:r>
      <w:r>
        <w:rPr>
          <w:rStyle w:val="43"/>
          <w:rFonts w:hAnsi="宋体"/>
          <w:sz w:val="21"/>
          <w:szCs w:val="21"/>
        </w:rPr>
        <w:t>（姓名）系</w:t>
      </w:r>
      <w:r>
        <w:rPr>
          <w:rStyle w:val="43"/>
          <w:rFonts w:hAnsi="宋体"/>
          <w:sz w:val="21"/>
          <w:szCs w:val="21"/>
          <w:u w:val="single" w:color="000000"/>
        </w:rPr>
        <w:t xml:space="preserve">                 </w:t>
      </w:r>
      <w:r>
        <w:rPr>
          <w:rStyle w:val="43"/>
          <w:rFonts w:hAnsi="宋体"/>
          <w:sz w:val="21"/>
          <w:szCs w:val="21"/>
        </w:rPr>
        <w:t>（投标人名称）的法定代表人，现授权委托本单位在职职工</w:t>
      </w:r>
      <w:r>
        <w:rPr>
          <w:rStyle w:val="43"/>
          <w:rFonts w:hAnsi="宋体"/>
          <w:sz w:val="21"/>
          <w:szCs w:val="21"/>
          <w:u w:val="single" w:color="000000"/>
        </w:rPr>
        <w:t xml:space="preserve">      </w:t>
      </w:r>
      <w:r>
        <w:rPr>
          <w:rStyle w:val="43"/>
          <w:rFonts w:hAnsi="宋体"/>
          <w:sz w:val="21"/>
          <w:szCs w:val="21"/>
        </w:rPr>
        <w:t>（姓名）以我方的名义参加</w:t>
      </w:r>
      <w:r>
        <w:rPr>
          <w:rStyle w:val="43"/>
          <w:rFonts w:hAnsi="宋体"/>
          <w:sz w:val="21"/>
          <w:szCs w:val="21"/>
          <w:u w:val="single" w:color="000000"/>
        </w:rPr>
        <w:t xml:space="preserve">          （</w:t>
      </w:r>
      <w:r>
        <w:rPr>
          <w:rStyle w:val="43"/>
          <w:rFonts w:hAnsi="宋体"/>
          <w:sz w:val="21"/>
          <w:szCs w:val="21"/>
        </w:rPr>
        <w:t>采购人名称）___________(编号及项目名称)的投标活动，并代表我方全权办理针对上述项目的投标、开标、评标、签约等具体事务和签署相关文件。</w:t>
      </w:r>
    </w:p>
    <w:p>
      <w:pPr>
        <w:pStyle w:val="79"/>
        <w:spacing w:before="0" w:after="0" w:line="500" w:lineRule="exact"/>
        <w:rPr>
          <w:rStyle w:val="43"/>
          <w:rFonts w:hAnsi="宋体"/>
          <w:sz w:val="21"/>
          <w:szCs w:val="21"/>
        </w:rPr>
      </w:pPr>
      <w:r>
        <w:rPr>
          <w:rStyle w:val="43"/>
          <w:rFonts w:hAnsi="宋体"/>
          <w:sz w:val="21"/>
          <w:szCs w:val="21"/>
        </w:rPr>
        <w:t>我方对被授权人的签名事项负全部责任。</w:t>
      </w:r>
    </w:p>
    <w:p>
      <w:pPr>
        <w:pStyle w:val="79"/>
        <w:spacing w:before="0" w:after="0" w:line="500" w:lineRule="exact"/>
        <w:ind w:firstLine="426" w:firstLineChars="200"/>
        <w:rPr>
          <w:rStyle w:val="43"/>
          <w:rFonts w:hAnsi="宋体"/>
          <w:sz w:val="21"/>
          <w:szCs w:val="21"/>
        </w:rPr>
      </w:pPr>
      <w:r>
        <w:rPr>
          <w:rStyle w:val="43"/>
          <w:rFonts w:hAnsi="宋体"/>
          <w:sz w:val="21"/>
          <w:szCs w:val="21"/>
        </w:rPr>
        <w:t>在撤销授权的书面通知以前，本授权书一直有效。被授权人在授权书有效期内签署的所有文件不因授权的撤销而失效。</w:t>
      </w:r>
    </w:p>
    <w:p>
      <w:pPr>
        <w:pStyle w:val="79"/>
        <w:spacing w:before="0" w:after="0" w:line="500" w:lineRule="exact"/>
        <w:rPr>
          <w:rStyle w:val="43"/>
          <w:rFonts w:hAnsi="宋体"/>
          <w:sz w:val="21"/>
          <w:szCs w:val="21"/>
        </w:rPr>
      </w:pPr>
      <w:r>
        <w:rPr>
          <w:rStyle w:val="43"/>
          <w:rFonts w:hAnsi="宋体"/>
          <w:sz w:val="21"/>
          <w:szCs w:val="21"/>
        </w:rPr>
        <w:t>被授权人无转委托权。特此委托。</w:t>
      </w:r>
    </w:p>
    <w:p>
      <w:pPr>
        <w:pStyle w:val="79"/>
        <w:spacing w:before="0" w:after="0" w:line="500" w:lineRule="exact"/>
        <w:rPr>
          <w:rStyle w:val="43"/>
          <w:rFonts w:hAnsi="宋体"/>
          <w:sz w:val="21"/>
          <w:szCs w:val="21"/>
        </w:rPr>
      </w:pPr>
    </w:p>
    <w:p>
      <w:pPr>
        <w:pStyle w:val="79"/>
        <w:spacing w:before="0" w:after="0" w:line="500" w:lineRule="exact"/>
        <w:ind w:firstLine="426" w:firstLineChars="200"/>
        <w:rPr>
          <w:rStyle w:val="43"/>
          <w:rFonts w:hAnsi="宋体"/>
          <w:sz w:val="21"/>
          <w:szCs w:val="21"/>
        </w:rPr>
      </w:pPr>
      <w:r>
        <w:rPr>
          <w:rStyle w:val="43"/>
          <w:rFonts w:hAnsi="宋体"/>
          <w:sz w:val="21"/>
          <w:szCs w:val="21"/>
        </w:rPr>
        <w:t xml:space="preserve">被授权人签名：___________        </w:t>
      </w:r>
    </w:p>
    <w:p>
      <w:pPr>
        <w:pStyle w:val="79"/>
        <w:spacing w:before="0" w:after="0" w:line="500" w:lineRule="exact"/>
        <w:ind w:firstLine="463" w:firstLineChars="218"/>
        <w:rPr>
          <w:rStyle w:val="43"/>
          <w:rFonts w:hAnsi="宋体"/>
          <w:sz w:val="21"/>
          <w:szCs w:val="21"/>
        </w:rPr>
      </w:pPr>
      <w:r>
        <w:rPr>
          <w:rStyle w:val="43"/>
          <w:rFonts w:hAnsi="宋体"/>
          <w:sz w:val="21"/>
          <w:szCs w:val="21"/>
        </w:rPr>
        <w:t xml:space="preserve">职务：___________     联系号码：             </w:t>
      </w:r>
    </w:p>
    <w:p>
      <w:pPr>
        <w:pStyle w:val="79"/>
        <w:spacing w:before="0" w:after="0" w:line="500" w:lineRule="exact"/>
        <w:ind w:firstLine="463" w:firstLineChars="218"/>
        <w:rPr>
          <w:rStyle w:val="43"/>
          <w:rFonts w:hAnsi="宋体"/>
          <w:sz w:val="21"/>
          <w:szCs w:val="21"/>
        </w:rPr>
      </w:pPr>
      <w:r>
        <w:rPr>
          <w:rStyle w:val="43"/>
          <w:rFonts w:hAnsi="宋体"/>
          <w:sz w:val="21"/>
          <w:szCs w:val="21"/>
        </w:rPr>
        <w:t>被授权人身份证号码：___________________</w:t>
      </w:r>
    </w:p>
    <w:p>
      <w:pPr>
        <w:pStyle w:val="79"/>
        <w:spacing w:before="0" w:after="0" w:line="500" w:lineRule="exact"/>
        <w:ind w:firstLine="463" w:firstLineChars="218"/>
        <w:rPr>
          <w:rStyle w:val="43"/>
          <w:rFonts w:hAnsi="宋体"/>
          <w:sz w:val="21"/>
          <w:szCs w:val="21"/>
        </w:rPr>
      </w:pPr>
      <w:r>
        <w:rPr>
          <w:rStyle w:val="43"/>
          <w:rFonts w:hAnsi="宋体"/>
          <w:sz w:val="21"/>
          <w:szCs w:val="21"/>
        </w:rPr>
        <w:t>法定代表人签名：____________</w:t>
      </w:r>
    </w:p>
    <w:p>
      <w:pPr>
        <w:pStyle w:val="79"/>
        <w:spacing w:before="0" w:after="0" w:line="500" w:lineRule="exact"/>
        <w:ind w:firstLine="463" w:firstLineChars="218"/>
        <w:rPr>
          <w:rStyle w:val="43"/>
          <w:rFonts w:hAnsi="宋体"/>
          <w:sz w:val="21"/>
          <w:szCs w:val="21"/>
        </w:rPr>
      </w:pPr>
      <w:r>
        <w:rPr>
          <w:rStyle w:val="43"/>
          <w:rFonts w:hAnsi="宋体"/>
          <w:sz w:val="21"/>
          <w:szCs w:val="21"/>
        </w:rPr>
        <w:t>身份证号码：___________________</w:t>
      </w:r>
    </w:p>
    <w:p>
      <w:pPr>
        <w:pStyle w:val="79"/>
        <w:spacing w:before="0" w:after="0" w:line="500" w:lineRule="exact"/>
        <w:ind w:firstLine="463" w:firstLineChars="218"/>
        <w:rPr>
          <w:rStyle w:val="43"/>
          <w:rFonts w:hAnsi="宋体"/>
          <w:sz w:val="21"/>
          <w:szCs w:val="21"/>
        </w:rPr>
      </w:pPr>
      <w:r>
        <w:rPr>
          <w:rStyle w:val="43"/>
          <w:rFonts w:hAnsi="宋体"/>
          <w:sz w:val="21"/>
          <w:szCs w:val="21"/>
        </w:rPr>
        <w:t>职务：____________     联系号码：</w:t>
      </w:r>
    </w:p>
    <w:p>
      <w:pPr>
        <w:pStyle w:val="79"/>
        <w:spacing w:before="0" w:after="0" w:line="500" w:lineRule="exact"/>
        <w:ind w:firstLine="426" w:firstLineChars="200"/>
        <w:rPr>
          <w:rStyle w:val="43"/>
          <w:rFonts w:hAnsi="宋体"/>
          <w:sz w:val="21"/>
          <w:szCs w:val="21"/>
        </w:rPr>
      </w:pPr>
    </w:p>
    <w:p>
      <w:pPr>
        <w:pStyle w:val="79"/>
        <w:spacing w:before="0" w:after="0" w:line="500" w:lineRule="exact"/>
        <w:ind w:firstLine="426" w:firstLineChars="200"/>
        <w:rPr>
          <w:rStyle w:val="43"/>
          <w:rFonts w:hAnsi="宋体"/>
          <w:sz w:val="21"/>
          <w:szCs w:val="21"/>
        </w:rPr>
      </w:pPr>
    </w:p>
    <w:p>
      <w:pPr>
        <w:pStyle w:val="79"/>
        <w:spacing w:before="0" w:after="0" w:line="500" w:lineRule="exact"/>
        <w:ind w:firstLine="4055" w:firstLineChars="1904"/>
        <w:rPr>
          <w:rStyle w:val="43"/>
          <w:rFonts w:hAnsi="宋体"/>
          <w:sz w:val="21"/>
          <w:szCs w:val="21"/>
        </w:rPr>
      </w:pPr>
      <w:r>
        <w:rPr>
          <w:rStyle w:val="43"/>
          <w:rFonts w:hAnsi="宋体"/>
          <w:sz w:val="21"/>
          <w:szCs w:val="21"/>
        </w:rPr>
        <w:t>投标人公章：</w:t>
      </w:r>
    </w:p>
    <w:p>
      <w:pPr>
        <w:pStyle w:val="79"/>
        <w:spacing w:before="0" w:after="0" w:line="500" w:lineRule="exact"/>
        <w:ind w:firstLine="426" w:firstLineChars="200"/>
        <w:rPr>
          <w:rStyle w:val="43"/>
          <w:rFonts w:hAnsi="宋体"/>
          <w:sz w:val="21"/>
          <w:szCs w:val="21"/>
        </w:rPr>
      </w:pPr>
      <w:r>
        <w:rPr>
          <w:rStyle w:val="43"/>
          <w:rFonts w:hAnsi="宋体"/>
          <w:sz w:val="21"/>
          <w:szCs w:val="21"/>
        </w:rPr>
        <w:t xml:space="preserve">                                  日期：     年    月   日</w:t>
      </w:r>
    </w:p>
    <w:p>
      <w:pPr>
        <w:spacing w:line="440" w:lineRule="atLeast"/>
        <w:ind w:firstLine="300"/>
        <w:rPr>
          <w:rStyle w:val="43"/>
          <w:rFonts w:ascii="宋体" w:hAnsi="宋体" w:cs="宋体"/>
          <w:b/>
          <w:bCs/>
          <w:kern w:val="0"/>
          <w:sz w:val="21"/>
          <w:szCs w:val="21"/>
        </w:rPr>
      </w:pPr>
    </w:p>
    <w:p>
      <w:pPr>
        <w:spacing w:line="440" w:lineRule="atLeast"/>
        <w:ind w:firstLine="300"/>
        <w:rPr>
          <w:rStyle w:val="43"/>
          <w:rFonts w:ascii="宋体" w:hAnsi="宋体" w:cs="宋体"/>
          <w:b/>
          <w:bCs/>
          <w:kern w:val="0"/>
          <w:sz w:val="21"/>
          <w:szCs w:val="21"/>
        </w:rPr>
      </w:pPr>
    </w:p>
    <w:p>
      <w:pPr>
        <w:spacing w:line="440" w:lineRule="atLeast"/>
        <w:ind w:firstLine="300"/>
        <w:rPr>
          <w:rStyle w:val="43"/>
          <w:rFonts w:ascii="宋体" w:hAnsi="宋体" w:cs="宋体"/>
          <w:b/>
          <w:bCs/>
          <w:kern w:val="0"/>
          <w:sz w:val="21"/>
          <w:szCs w:val="21"/>
        </w:rPr>
      </w:pPr>
    </w:p>
    <w:p>
      <w:pPr>
        <w:snapToGrid w:val="0"/>
        <w:spacing w:before="50" w:after="156"/>
        <w:ind w:right="960"/>
        <w:jc w:val="left"/>
        <w:rPr>
          <w:rStyle w:val="43"/>
          <w:rFonts w:ascii="宋体" w:hAnsi="宋体"/>
          <w:b/>
          <w:sz w:val="21"/>
          <w:szCs w:val="21"/>
        </w:rPr>
      </w:pPr>
    </w:p>
    <w:p>
      <w:pPr>
        <w:spacing w:line="360" w:lineRule="auto"/>
        <w:rPr>
          <w:rStyle w:val="43"/>
          <w:rFonts w:ascii="宋体" w:hAnsi="宋体" w:cs="宋体"/>
          <w:b/>
          <w:bCs/>
          <w:sz w:val="21"/>
          <w:szCs w:val="21"/>
        </w:rPr>
      </w:pPr>
    </w:p>
    <w:p>
      <w:pPr>
        <w:spacing w:line="360" w:lineRule="auto"/>
        <w:jc w:val="both"/>
        <w:rPr>
          <w:rStyle w:val="43"/>
          <w:rFonts w:hint="eastAsia" w:ascii="宋体" w:hAnsi="宋体" w:cs="宋体"/>
          <w:b/>
          <w:bCs/>
          <w:sz w:val="21"/>
          <w:szCs w:val="21"/>
        </w:rPr>
      </w:pPr>
      <w:r>
        <w:rPr>
          <w:rStyle w:val="43"/>
          <w:rFonts w:hint="eastAsia" w:ascii="宋体" w:hAnsi="宋体" w:cs="宋体"/>
          <w:b/>
          <w:bCs/>
          <w:sz w:val="21"/>
          <w:szCs w:val="21"/>
        </w:rPr>
        <w:t>附件</w:t>
      </w:r>
      <w:r>
        <w:rPr>
          <w:rStyle w:val="43"/>
          <w:rFonts w:hint="eastAsia" w:ascii="宋体" w:hAnsi="宋体" w:cs="宋体"/>
          <w:b/>
          <w:bCs/>
          <w:sz w:val="21"/>
          <w:szCs w:val="21"/>
          <w:lang w:val="en-US" w:eastAsia="zh-CN"/>
        </w:rPr>
        <w:t>5</w:t>
      </w:r>
      <w:r>
        <w:rPr>
          <w:rStyle w:val="43"/>
          <w:rFonts w:hint="eastAsia" w:ascii="宋体" w:hAnsi="宋体" w:cs="宋体"/>
          <w:b/>
          <w:bCs/>
          <w:sz w:val="21"/>
          <w:szCs w:val="21"/>
        </w:rPr>
        <w:t>：法定代表人身份证明书</w:t>
      </w:r>
    </w:p>
    <w:p>
      <w:pPr>
        <w:spacing w:line="360" w:lineRule="auto"/>
        <w:jc w:val="center"/>
        <w:rPr>
          <w:rFonts w:hint="eastAsia" w:ascii="宋体" w:hAnsi="宋体"/>
          <w:b w:val="0"/>
          <w:bCs w:val="0"/>
          <w:color w:val="000000"/>
          <w:sz w:val="24"/>
          <w:szCs w:val="24"/>
          <w:highlight w:val="none"/>
        </w:rPr>
      </w:pPr>
      <w:r>
        <w:rPr>
          <w:rFonts w:hint="eastAsia" w:ascii="宋体" w:hAnsi="宋体"/>
          <w:b w:val="0"/>
          <w:bCs w:val="0"/>
          <w:color w:val="000000"/>
          <w:sz w:val="24"/>
          <w:szCs w:val="24"/>
          <w:highlight w:val="none"/>
        </w:rPr>
        <w:t>法定代表人身份证明书</w:t>
      </w:r>
    </w:p>
    <w:p>
      <w:pPr>
        <w:pStyle w:val="4"/>
        <w:rPr>
          <w:rFonts w:hint="eastAsia"/>
          <w:sz w:val="21"/>
          <w:szCs w:val="21"/>
        </w:rPr>
      </w:pPr>
    </w:p>
    <w:p>
      <w:pPr>
        <w:spacing w:line="360" w:lineRule="auto"/>
        <w:ind w:left="707" w:leftChars="291" w:firstLine="319" w:firstLineChars="15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单位名称：</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 xml:space="preserve"> </w:t>
      </w:r>
    </w:p>
    <w:p>
      <w:pPr>
        <w:spacing w:line="360" w:lineRule="auto"/>
        <w:ind w:left="704" w:leftChars="290" w:firstLine="319" w:firstLineChars="15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单位性质：</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 xml:space="preserve"> </w:t>
      </w:r>
    </w:p>
    <w:p>
      <w:pPr>
        <w:spacing w:line="360" w:lineRule="auto"/>
        <w:ind w:left="704" w:leftChars="290" w:firstLine="319" w:firstLineChars="15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地</w:t>
      </w:r>
      <w:r>
        <w:rPr>
          <w:rFonts w:ascii="宋体" w:hAnsi="宋体"/>
          <w:b w:val="0"/>
          <w:bCs w:val="0"/>
          <w:color w:val="000000"/>
          <w:sz w:val="21"/>
          <w:szCs w:val="21"/>
          <w:highlight w:val="none"/>
        </w:rPr>
        <w:t xml:space="preserve">    址：</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 xml:space="preserve"> </w:t>
      </w:r>
      <w:r>
        <w:rPr>
          <w:rFonts w:hint="eastAsia" w:ascii="宋体" w:hAnsi="宋体"/>
          <w:b w:val="0"/>
          <w:bCs w:val="0"/>
          <w:color w:val="000000"/>
          <w:sz w:val="21"/>
          <w:szCs w:val="21"/>
          <w:highlight w:val="none"/>
        </w:rPr>
        <w:tab/>
      </w:r>
      <w:r>
        <w:rPr>
          <w:rFonts w:hint="eastAsia" w:ascii="宋体" w:hAnsi="宋体"/>
          <w:b w:val="0"/>
          <w:bCs w:val="0"/>
          <w:color w:val="000000"/>
          <w:sz w:val="21"/>
          <w:szCs w:val="21"/>
          <w:highlight w:val="none"/>
        </w:rPr>
        <w:t xml:space="preserve"> </w:t>
      </w:r>
    </w:p>
    <w:p>
      <w:pPr>
        <w:spacing w:line="360" w:lineRule="auto"/>
        <w:ind w:left="704" w:leftChars="290" w:firstLine="319" w:firstLineChars="150"/>
        <w:rPr>
          <w:rFonts w:ascii="宋体" w:hAnsi="宋体"/>
          <w:b w:val="0"/>
          <w:bCs w:val="0"/>
          <w:color w:val="000000"/>
          <w:sz w:val="21"/>
          <w:szCs w:val="21"/>
          <w:highlight w:val="none"/>
          <w:u w:val="single"/>
        </w:rPr>
      </w:pPr>
      <w:r>
        <w:rPr>
          <w:rFonts w:hint="eastAsia" w:ascii="宋体" w:hAnsi="宋体"/>
          <w:b w:val="0"/>
          <w:bCs w:val="0"/>
          <w:color w:val="000000"/>
          <w:sz w:val="21"/>
          <w:szCs w:val="21"/>
          <w:highlight w:val="none"/>
        </w:rPr>
        <w:t>成立时间：</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年</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月</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日</w:t>
      </w:r>
    </w:p>
    <w:p>
      <w:pPr>
        <w:spacing w:line="360" w:lineRule="auto"/>
        <w:ind w:left="704" w:leftChars="290" w:firstLine="319" w:firstLineChars="15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经营期限：</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ab/>
      </w:r>
    </w:p>
    <w:p>
      <w:pPr>
        <w:spacing w:line="360" w:lineRule="auto"/>
        <w:ind w:left="704" w:leftChars="290" w:firstLine="319" w:firstLineChars="150"/>
        <w:rPr>
          <w:rFonts w:hint="eastAsia" w:ascii="宋体" w:hAnsi="宋体"/>
          <w:b w:val="0"/>
          <w:bCs w:val="0"/>
          <w:color w:val="000000"/>
          <w:sz w:val="21"/>
          <w:szCs w:val="21"/>
          <w:highlight w:val="none"/>
          <w:u w:val="single"/>
        </w:rPr>
      </w:pPr>
      <w:r>
        <w:rPr>
          <w:rFonts w:hint="eastAsia" w:ascii="宋体" w:hAnsi="宋体"/>
          <w:b w:val="0"/>
          <w:bCs w:val="0"/>
          <w:color w:val="000000"/>
          <w:sz w:val="21"/>
          <w:szCs w:val="21"/>
          <w:highlight w:val="none"/>
        </w:rPr>
        <w:t>姓</w:t>
      </w:r>
      <w:r>
        <w:rPr>
          <w:rFonts w:ascii="宋体" w:hAnsi="宋体"/>
          <w:b w:val="0"/>
          <w:bCs w:val="0"/>
          <w:color w:val="000000"/>
          <w:sz w:val="21"/>
          <w:szCs w:val="21"/>
          <w:highlight w:val="none"/>
        </w:rPr>
        <w:t xml:space="preserve">    名：</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（签字）</w:t>
      </w:r>
      <w:r>
        <w:rPr>
          <w:rFonts w:ascii="宋体" w:hAnsi="宋体"/>
          <w:b w:val="0"/>
          <w:bCs w:val="0"/>
          <w:color w:val="000000"/>
          <w:sz w:val="21"/>
          <w:szCs w:val="21"/>
          <w:highlight w:val="none"/>
          <w:u w:val="single"/>
        </w:rPr>
        <w:t xml:space="preserve">     </w:t>
      </w:r>
      <w:r>
        <w:rPr>
          <w:rFonts w:ascii="宋体" w:hAnsi="宋体"/>
          <w:b w:val="0"/>
          <w:bCs w:val="0"/>
          <w:color w:val="000000"/>
          <w:sz w:val="21"/>
          <w:szCs w:val="21"/>
          <w:highlight w:val="none"/>
        </w:rPr>
        <w:t xml:space="preserve"> 性别</w:t>
      </w:r>
      <w:r>
        <w:rPr>
          <w:rFonts w:ascii="宋体" w:hAnsi="宋体"/>
          <w:b w:val="0"/>
          <w:bCs w:val="0"/>
          <w:color w:val="000000"/>
          <w:sz w:val="21"/>
          <w:szCs w:val="21"/>
          <w:highlight w:val="none"/>
          <w:u w:val="single"/>
        </w:rPr>
        <w:t xml:space="preserve">：       </w:t>
      </w:r>
      <w:r>
        <w:rPr>
          <w:rFonts w:ascii="宋体" w:hAnsi="宋体"/>
          <w:b w:val="0"/>
          <w:bCs w:val="0"/>
          <w:color w:val="000000"/>
          <w:sz w:val="21"/>
          <w:szCs w:val="21"/>
          <w:highlight w:val="none"/>
        </w:rPr>
        <w:t>年龄：</w:t>
      </w:r>
      <w:r>
        <w:rPr>
          <w:rFonts w:ascii="宋体" w:hAnsi="宋体"/>
          <w:b w:val="0"/>
          <w:bCs w:val="0"/>
          <w:color w:val="000000"/>
          <w:sz w:val="21"/>
          <w:szCs w:val="21"/>
          <w:highlight w:val="none"/>
          <w:u w:val="single"/>
        </w:rPr>
        <w:t xml:space="preserve">    </w:t>
      </w:r>
      <w:r>
        <w:rPr>
          <w:rFonts w:ascii="宋体" w:hAnsi="宋体"/>
          <w:b w:val="0"/>
          <w:bCs w:val="0"/>
          <w:color w:val="000000"/>
          <w:sz w:val="21"/>
          <w:szCs w:val="21"/>
          <w:highlight w:val="none"/>
        </w:rPr>
        <w:t>职务：</w:t>
      </w:r>
      <w:r>
        <w:rPr>
          <w:rFonts w:hint="eastAsia" w:ascii="宋体" w:hAnsi="宋体"/>
          <w:b w:val="0"/>
          <w:bCs w:val="0"/>
          <w:color w:val="000000"/>
          <w:sz w:val="21"/>
          <w:szCs w:val="21"/>
          <w:highlight w:val="none"/>
          <w:u w:val="single"/>
        </w:rPr>
        <w:tab/>
      </w:r>
    </w:p>
    <w:p>
      <w:pPr>
        <w:spacing w:line="360" w:lineRule="auto"/>
        <w:ind w:left="704" w:leftChars="290" w:firstLine="319" w:firstLineChars="150"/>
        <w:rPr>
          <w:rFonts w:ascii="宋体" w:hAnsi="宋体"/>
          <w:b w:val="0"/>
          <w:bCs w:val="0"/>
          <w:color w:val="000000"/>
          <w:sz w:val="21"/>
          <w:szCs w:val="21"/>
          <w:highlight w:val="none"/>
        </w:rPr>
      </w:pPr>
      <w:r>
        <w:rPr>
          <w:rFonts w:hint="eastAsia" w:ascii="宋体" w:hAnsi="宋体"/>
          <w:b w:val="0"/>
          <w:bCs w:val="0"/>
          <w:color w:val="000000"/>
          <w:sz w:val="21"/>
          <w:szCs w:val="21"/>
          <w:highlight w:val="none"/>
        </w:rPr>
        <w:t>系</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供应商</w:t>
      </w:r>
      <w:r>
        <w:rPr>
          <w:rFonts w:ascii="宋体" w:hAnsi="宋体"/>
          <w:b w:val="0"/>
          <w:bCs w:val="0"/>
          <w:color w:val="000000"/>
          <w:sz w:val="21"/>
          <w:szCs w:val="21"/>
          <w:highlight w:val="none"/>
          <w:u w:val="single"/>
        </w:rPr>
        <w:t xml:space="preserve">名称）        </w:t>
      </w:r>
      <w:r>
        <w:rPr>
          <w:rFonts w:hint="eastAsia" w:ascii="宋体" w:hAnsi="宋体"/>
          <w:b w:val="0"/>
          <w:bCs w:val="0"/>
          <w:color w:val="000000"/>
          <w:sz w:val="21"/>
          <w:szCs w:val="21"/>
          <w:highlight w:val="none"/>
          <w:u w:val="single"/>
        </w:rPr>
        <w:t xml:space="preserve">        </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的法定代表人。</w:t>
      </w:r>
    </w:p>
    <w:p>
      <w:pPr>
        <w:spacing w:line="360" w:lineRule="auto"/>
        <w:ind w:left="610"/>
        <w:rPr>
          <w:rFonts w:ascii="宋体" w:hAnsi="宋体"/>
          <w:b w:val="0"/>
          <w:bCs w:val="0"/>
          <w:color w:val="000000"/>
          <w:sz w:val="21"/>
          <w:szCs w:val="21"/>
          <w:highlight w:val="none"/>
        </w:rPr>
      </w:pPr>
    </w:p>
    <w:p>
      <w:pPr>
        <w:tabs>
          <w:tab w:val="left" w:pos="720"/>
          <w:tab w:val="left" w:pos="900"/>
        </w:tabs>
        <w:spacing w:line="360" w:lineRule="auto"/>
        <w:ind w:firstLine="1065" w:firstLineChars="50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特此证明。</w:t>
      </w:r>
    </w:p>
    <w:p>
      <w:pPr>
        <w:tabs>
          <w:tab w:val="left" w:pos="720"/>
          <w:tab w:val="left" w:pos="900"/>
        </w:tabs>
        <w:spacing w:line="360" w:lineRule="auto"/>
        <w:ind w:firstLine="3408" w:firstLineChars="1600"/>
        <w:rPr>
          <w:rFonts w:hint="eastAsia" w:ascii="宋体" w:hAnsi="宋体"/>
          <w:b w:val="0"/>
          <w:bCs w:val="0"/>
          <w:color w:val="000000"/>
          <w:sz w:val="21"/>
          <w:szCs w:val="21"/>
          <w:highlight w:val="none"/>
        </w:rPr>
      </w:pPr>
    </w:p>
    <w:p>
      <w:pPr>
        <w:tabs>
          <w:tab w:val="left" w:pos="720"/>
          <w:tab w:val="left" w:pos="900"/>
        </w:tabs>
        <w:spacing w:line="360" w:lineRule="auto"/>
        <w:ind w:firstLine="3408" w:firstLineChars="1600"/>
        <w:rPr>
          <w:rFonts w:hint="eastAsia" w:ascii="宋体" w:hAnsi="宋体"/>
          <w:b w:val="0"/>
          <w:bCs w:val="0"/>
          <w:color w:val="000000"/>
          <w:sz w:val="21"/>
          <w:szCs w:val="21"/>
          <w:highlight w:val="none"/>
        </w:rPr>
      </w:pPr>
    </w:p>
    <w:p>
      <w:pPr>
        <w:tabs>
          <w:tab w:val="left" w:pos="720"/>
          <w:tab w:val="left" w:pos="900"/>
        </w:tabs>
        <w:spacing w:line="360" w:lineRule="auto"/>
        <w:ind w:firstLine="3408" w:firstLineChars="1600"/>
        <w:rPr>
          <w:rFonts w:hint="eastAsia" w:ascii="宋体" w:hAnsi="宋体"/>
          <w:b w:val="0"/>
          <w:bCs w:val="0"/>
          <w:color w:val="000000"/>
          <w:sz w:val="21"/>
          <w:szCs w:val="21"/>
          <w:highlight w:val="none"/>
        </w:rPr>
      </w:pPr>
    </w:p>
    <w:p>
      <w:pPr>
        <w:tabs>
          <w:tab w:val="left" w:pos="720"/>
          <w:tab w:val="left" w:pos="900"/>
        </w:tabs>
        <w:spacing w:line="360" w:lineRule="auto"/>
        <w:ind w:firstLine="3408" w:firstLineChars="1600"/>
        <w:rPr>
          <w:rFonts w:ascii="宋体" w:hAnsi="宋体"/>
          <w:b w:val="0"/>
          <w:bCs w:val="0"/>
          <w:color w:val="000000"/>
          <w:sz w:val="21"/>
          <w:szCs w:val="21"/>
          <w:highlight w:val="none"/>
          <w:u w:val="single"/>
        </w:rPr>
      </w:pPr>
      <w:r>
        <w:rPr>
          <w:rFonts w:hint="eastAsia" w:ascii="宋体" w:hAnsi="宋体"/>
          <w:b w:val="0"/>
          <w:bCs w:val="0"/>
          <w:color w:val="000000"/>
          <w:sz w:val="21"/>
          <w:szCs w:val="21"/>
          <w:highlight w:val="none"/>
        </w:rPr>
        <w:t>供应商：</w:t>
      </w:r>
      <w:r>
        <w:rPr>
          <w:rFonts w:ascii="宋体" w:hAnsi="宋体"/>
          <w:b w:val="0"/>
          <w:bCs w:val="0"/>
          <w:color w:val="000000"/>
          <w:sz w:val="21"/>
          <w:szCs w:val="21"/>
          <w:highlight w:val="none"/>
          <w:u w:val="single"/>
        </w:rPr>
        <w:t xml:space="preserve">    （盖章）</w:t>
      </w:r>
    </w:p>
    <w:p>
      <w:pPr>
        <w:tabs>
          <w:tab w:val="left" w:pos="720"/>
          <w:tab w:val="left" w:pos="900"/>
        </w:tabs>
        <w:spacing w:line="360" w:lineRule="auto"/>
        <w:ind w:firstLine="3408" w:firstLineChars="1600"/>
        <w:rPr>
          <w:rFonts w:ascii="宋体" w:hAnsi="宋体"/>
          <w:b w:val="0"/>
          <w:bCs w:val="0"/>
          <w:color w:val="000000"/>
          <w:sz w:val="21"/>
          <w:szCs w:val="21"/>
          <w:highlight w:val="none"/>
        </w:rPr>
      </w:pPr>
      <w:r>
        <w:rPr>
          <w:rFonts w:hint="eastAsia" w:ascii="宋体" w:hAnsi="宋体"/>
          <w:b w:val="0"/>
          <w:bCs w:val="0"/>
          <w:color w:val="000000"/>
          <w:sz w:val="21"/>
          <w:szCs w:val="21"/>
          <w:highlight w:val="none"/>
        </w:rPr>
        <w:t>日</w:t>
      </w:r>
      <w:r>
        <w:rPr>
          <w:rFonts w:ascii="宋体" w:hAnsi="宋体"/>
          <w:b w:val="0"/>
          <w:bCs w:val="0"/>
          <w:color w:val="000000"/>
          <w:sz w:val="21"/>
          <w:szCs w:val="21"/>
          <w:highlight w:val="none"/>
        </w:rPr>
        <w:t xml:space="preserve">  期：      年     月     日</w:t>
      </w:r>
    </w:p>
    <w:p>
      <w:pPr>
        <w:spacing w:line="360" w:lineRule="auto"/>
        <w:ind w:left="704" w:leftChars="290" w:firstLine="486" w:firstLineChars="200"/>
        <w:rPr>
          <w:rFonts w:ascii="宋体" w:hAnsi="宋体"/>
          <w:b w:val="0"/>
          <w:bCs w:val="0"/>
          <w:color w:val="000000"/>
          <w:sz w:val="24"/>
          <w:szCs w:val="21"/>
          <w:highlight w:val="none"/>
        </w:rPr>
      </w:pPr>
    </w:p>
    <w:p>
      <w:pPr>
        <w:rPr>
          <w:rStyle w:val="43"/>
          <w:rFonts w:hint="eastAsia" w:ascii="宋体" w:hAnsi="宋体" w:cs="宋体"/>
          <w:b/>
          <w:bCs/>
          <w:sz w:val="21"/>
          <w:szCs w:val="21"/>
          <w:lang w:eastAsia="zh-CN"/>
        </w:rPr>
      </w:pPr>
      <w:r>
        <w:rPr>
          <w:rStyle w:val="43"/>
          <w:rFonts w:hint="eastAsia" w:ascii="宋体" w:hAnsi="宋体" w:cs="宋体"/>
          <w:b/>
          <w:bCs/>
          <w:sz w:val="21"/>
          <w:szCs w:val="21"/>
          <w:lang w:eastAsia="zh-CN"/>
        </w:rPr>
        <w:br w:type="page"/>
      </w:r>
    </w:p>
    <w:p>
      <w:pPr>
        <w:spacing w:line="360" w:lineRule="auto"/>
        <w:outlineLvl w:val="1"/>
        <w:rPr>
          <w:rStyle w:val="43"/>
          <w:rFonts w:ascii="宋体" w:hAnsi="宋体"/>
          <w:sz w:val="21"/>
          <w:szCs w:val="21"/>
        </w:rPr>
      </w:pPr>
      <w:r>
        <w:rPr>
          <w:rStyle w:val="43"/>
          <w:rFonts w:hint="eastAsia" w:ascii="宋体" w:hAnsi="宋体" w:cs="宋体"/>
          <w:b/>
          <w:bCs/>
          <w:sz w:val="21"/>
          <w:szCs w:val="21"/>
          <w:lang w:eastAsia="zh-CN"/>
        </w:rPr>
        <w:t>附件</w:t>
      </w:r>
      <w:r>
        <w:rPr>
          <w:rStyle w:val="43"/>
          <w:rFonts w:hint="eastAsia" w:ascii="宋体" w:hAnsi="宋体" w:cs="宋体"/>
          <w:b/>
          <w:bCs/>
          <w:sz w:val="21"/>
          <w:szCs w:val="21"/>
          <w:lang w:val="en-US" w:eastAsia="zh-CN"/>
        </w:rPr>
        <w:t>6：</w:t>
      </w:r>
      <w:r>
        <w:rPr>
          <w:rStyle w:val="43"/>
          <w:rFonts w:ascii="宋体" w:hAnsi="宋体" w:cs="宋体"/>
          <w:b/>
          <w:bCs/>
          <w:sz w:val="21"/>
          <w:szCs w:val="21"/>
        </w:rPr>
        <w:t>联合协议</w:t>
      </w:r>
    </w:p>
    <w:p>
      <w:pPr>
        <w:spacing w:line="360" w:lineRule="auto"/>
        <w:jc w:val="center"/>
        <w:rPr>
          <w:rStyle w:val="43"/>
          <w:rFonts w:ascii="宋体" w:hAnsi="宋体"/>
          <w:b/>
          <w:sz w:val="21"/>
          <w:szCs w:val="21"/>
        </w:rPr>
      </w:pPr>
      <w:r>
        <w:rPr>
          <w:rStyle w:val="43"/>
          <w:rFonts w:ascii="宋体" w:hAnsi="宋体"/>
          <w:b/>
          <w:sz w:val="21"/>
          <w:szCs w:val="21"/>
        </w:rPr>
        <w:t>联合协议</w:t>
      </w:r>
      <w:r>
        <w:rPr>
          <w:rStyle w:val="43"/>
          <w:rFonts w:hint="eastAsia" w:ascii="宋体" w:hAnsi="宋体"/>
          <w:b/>
          <w:sz w:val="21"/>
          <w:szCs w:val="21"/>
        </w:rPr>
        <w:t>（如有）</w:t>
      </w:r>
    </w:p>
    <w:p>
      <w:pPr>
        <w:spacing w:line="360" w:lineRule="auto"/>
        <w:jc w:val="left"/>
        <w:rPr>
          <w:rStyle w:val="43"/>
          <w:rFonts w:ascii="宋体" w:hAnsi="宋体"/>
          <w:b/>
          <w:sz w:val="21"/>
          <w:szCs w:val="21"/>
        </w:rPr>
      </w:pPr>
      <w:r>
        <w:rPr>
          <w:rStyle w:val="43"/>
          <w:rFonts w:ascii="宋体" w:hAnsi="宋体"/>
          <w:b/>
          <w:sz w:val="21"/>
          <w:szCs w:val="21"/>
        </w:rPr>
        <w:t>（以联合体形式投标的，提供联合协议；本项目不接受联合体投标或者投标人不以联合体形式投标的，则不需要提供）</w:t>
      </w:r>
    </w:p>
    <w:p>
      <w:pPr>
        <w:spacing w:line="360" w:lineRule="auto"/>
        <w:ind w:firstLine="426" w:firstLineChars="200"/>
        <w:jc w:val="left"/>
        <w:rPr>
          <w:rStyle w:val="43"/>
          <w:rFonts w:ascii="宋体" w:hAnsi="宋体"/>
          <w:sz w:val="21"/>
          <w:szCs w:val="21"/>
        </w:rPr>
      </w:pPr>
      <w:r>
        <w:rPr>
          <w:rStyle w:val="43"/>
          <w:rFonts w:ascii="宋体" w:hAnsi="宋体"/>
          <w:sz w:val="21"/>
          <w:szCs w:val="21"/>
          <w:u w:val="single" w:color="000000"/>
        </w:rPr>
        <w:t>（联合体所有成员名称）</w:t>
      </w:r>
      <w:r>
        <w:rPr>
          <w:rStyle w:val="43"/>
          <w:rFonts w:ascii="宋体" w:hAnsi="宋体"/>
          <w:sz w:val="21"/>
          <w:szCs w:val="21"/>
        </w:rPr>
        <w:t>自愿组成一个联合体，以一个投标人的身份参加（项目名称）【招标编号：（采购编号）】投标。</w:t>
      </w:r>
    </w:p>
    <w:p>
      <w:pPr>
        <w:spacing w:line="360" w:lineRule="auto"/>
        <w:ind w:firstLine="426" w:firstLineChars="200"/>
        <w:jc w:val="left"/>
        <w:rPr>
          <w:rStyle w:val="43"/>
          <w:rFonts w:ascii="宋体" w:hAnsi="宋体"/>
          <w:sz w:val="21"/>
          <w:szCs w:val="21"/>
        </w:rPr>
      </w:pPr>
      <w:r>
        <w:rPr>
          <w:rStyle w:val="43"/>
          <w:rFonts w:ascii="宋体" w:hAnsi="宋体"/>
          <w:sz w:val="21"/>
          <w:szCs w:val="21"/>
        </w:rPr>
        <w:t>一、各方一致决定，</w:t>
      </w:r>
      <w:r>
        <w:rPr>
          <w:rStyle w:val="43"/>
          <w:rFonts w:ascii="宋体" w:hAnsi="宋体"/>
          <w:sz w:val="21"/>
          <w:szCs w:val="21"/>
          <w:u w:val="single" w:color="000000"/>
        </w:rPr>
        <w:t>（某联合体成员名称）</w:t>
      </w:r>
      <w:r>
        <w:rPr>
          <w:rStyle w:val="43"/>
          <w:rFonts w:ascii="宋体" w:hAnsi="宋体"/>
          <w:sz w:val="21"/>
          <w:szCs w:val="21"/>
        </w:rPr>
        <w:t>为联合体牵头人，代表所有联合体成员负责投标和合同实施阶段的主办、协调工作。</w:t>
      </w:r>
    </w:p>
    <w:p>
      <w:pPr>
        <w:spacing w:line="360" w:lineRule="auto"/>
        <w:ind w:firstLine="426" w:firstLineChars="200"/>
        <w:jc w:val="left"/>
        <w:rPr>
          <w:rStyle w:val="43"/>
          <w:rFonts w:ascii="宋体" w:hAnsi="宋体"/>
          <w:sz w:val="21"/>
          <w:szCs w:val="21"/>
        </w:rPr>
      </w:pPr>
      <w:r>
        <w:rPr>
          <w:rStyle w:val="43"/>
          <w:rFonts w:ascii="宋体" w:hAnsi="宋体"/>
          <w:sz w:val="21"/>
          <w:szCs w:val="21"/>
        </w:rPr>
        <w:t>二、所有联合体成员各方签署授权书，授权书载明的授权代表根据招标文件规定及投标内容而对采购人、采购代理机构所作的任何合法承诺，包括书面澄清及相应等均对联合投标各方产生约束力。</w:t>
      </w:r>
    </w:p>
    <w:p>
      <w:pPr>
        <w:spacing w:line="360" w:lineRule="auto"/>
        <w:ind w:firstLine="426" w:firstLineChars="200"/>
        <w:jc w:val="left"/>
        <w:rPr>
          <w:rStyle w:val="43"/>
          <w:rFonts w:ascii="宋体" w:hAnsi="宋体"/>
          <w:sz w:val="21"/>
          <w:szCs w:val="21"/>
        </w:rPr>
      </w:pPr>
      <w:r>
        <w:rPr>
          <w:rStyle w:val="43"/>
          <w:rFonts w:ascii="宋体" w:hAnsi="宋体"/>
          <w:sz w:val="21"/>
          <w:szCs w:val="21"/>
        </w:rPr>
        <w:t>三、本次联合投标中，分工如下：</w:t>
      </w:r>
      <w:r>
        <w:rPr>
          <w:rStyle w:val="43"/>
          <w:rFonts w:ascii="宋体" w:hAnsi="宋体"/>
          <w:sz w:val="21"/>
          <w:szCs w:val="21"/>
          <w:u w:val="single" w:color="000000"/>
        </w:rPr>
        <w:t>（联合体其中一方成员名称）</w:t>
      </w:r>
      <w:r>
        <w:rPr>
          <w:rStyle w:val="43"/>
          <w:rFonts w:ascii="宋体" w:hAnsi="宋体"/>
          <w:sz w:val="21"/>
          <w:szCs w:val="21"/>
        </w:rPr>
        <w:t>承担的工作和义务为：；……。</w:t>
      </w:r>
    </w:p>
    <w:p>
      <w:pPr>
        <w:spacing w:line="360" w:lineRule="auto"/>
        <w:ind w:firstLine="426" w:firstLineChars="200"/>
        <w:jc w:val="left"/>
        <w:rPr>
          <w:rStyle w:val="43"/>
          <w:rFonts w:ascii="宋体" w:hAnsi="宋体"/>
          <w:sz w:val="21"/>
          <w:szCs w:val="21"/>
        </w:rPr>
      </w:pPr>
      <w:r>
        <w:rPr>
          <w:rStyle w:val="43"/>
          <w:rFonts w:ascii="宋体" w:hAnsi="宋体"/>
          <w:sz w:val="21"/>
          <w:szCs w:val="21"/>
        </w:rPr>
        <w:t>四、</w:t>
      </w:r>
      <w:r>
        <w:rPr>
          <w:rStyle w:val="43"/>
          <w:rFonts w:ascii="宋体" w:hAnsi="宋体"/>
          <w:sz w:val="21"/>
          <w:szCs w:val="21"/>
          <w:u w:val="single" w:color="000000"/>
        </w:rPr>
        <w:t>（联合体其中一方成员名称）</w:t>
      </w:r>
      <w:r>
        <w:rPr>
          <w:rStyle w:val="43"/>
          <w:rFonts w:ascii="宋体" w:hAnsi="宋体"/>
          <w:sz w:val="21"/>
          <w:szCs w:val="21"/>
        </w:rPr>
        <w:t>提供的全部货物/服务由小微企业制造/承接，其合同份额占到合同总金额</w:t>
      </w:r>
      <w:r>
        <w:rPr>
          <w:rStyle w:val="43"/>
          <w:rFonts w:ascii="宋体" w:hAnsi="宋体"/>
          <w:sz w:val="21"/>
          <w:szCs w:val="21"/>
          <w:u w:val="single" w:color="000000"/>
        </w:rPr>
        <w:t xml:space="preserve">    </w:t>
      </w:r>
      <w:r>
        <w:rPr>
          <w:rStyle w:val="43"/>
          <w:rFonts w:ascii="宋体" w:hAnsi="宋体"/>
          <w:sz w:val="21"/>
          <w:szCs w:val="21"/>
        </w:rPr>
        <w:t>%以上；……。（未预留份额专门面向中小企业采购的的采购项目，以及预留份额中的非预留部分采购包，接受联合体投标的，联合体其中一方提供的货物/服务全部由小微企业制造/承接，且其合同份额占到合同总金额 30%以上，对联合体报价给予6%的扣除）</w:t>
      </w:r>
    </w:p>
    <w:p>
      <w:pPr>
        <w:spacing w:line="360" w:lineRule="auto"/>
        <w:ind w:firstLine="426" w:firstLineChars="200"/>
        <w:jc w:val="left"/>
        <w:rPr>
          <w:rStyle w:val="43"/>
          <w:rFonts w:ascii="宋体" w:hAnsi="宋体"/>
          <w:sz w:val="21"/>
          <w:szCs w:val="21"/>
        </w:rPr>
      </w:pPr>
      <w:r>
        <w:rPr>
          <w:rStyle w:val="43"/>
          <w:rFonts w:ascii="宋体" w:hAnsi="宋体"/>
          <w:sz w:val="21"/>
          <w:szCs w:val="21"/>
        </w:rPr>
        <w:t>五、如果中标，联合体各成员方共同与采购人签订合同，并就采购合同约定的事项对采购人承担连带责任。</w:t>
      </w:r>
    </w:p>
    <w:p>
      <w:pPr>
        <w:spacing w:line="360" w:lineRule="auto"/>
        <w:ind w:firstLine="426" w:firstLineChars="200"/>
        <w:jc w:val="left"/>
        <w:rPr>
          <w:rStyle w:val="43"/>
          <w:rFonts w:ascii="宋体" w:hAnsi="宋体"/>
          <w:sz w:val="21"/>
          <w:szCs w:val="21"/>
        </w:rPr>
      </w:pPr>
      <w:r>
        <w:rPr>
          <w:rStyle w:val="43"/>
          <w:rFonts w:ascii="宋体" w:hAnsi="宋体"/>
          <w:sz w:val="21"/>
          <w:szCs w:val="21"/>
        </w:rPr>
        <w:t>六、有关本次联合投标的其他事宜：</w:t>
      </w:r>
    </w:p>
    <w:p>
      <w:pPr>
        <w:spacing w:line="360" w:lineRule="auto"/>
        <w:ind w:firstLine="426" w:firstLineChars="200"/>
        <w:jc w:val="left"/>
        <w:rPr>
          <w:rStyle w:val="43"/>
          <w:rFonts w:ascii="宋体" w:hAnsi="宋体"/>
          <w:sz w:val="21"/>
          <w:szCs w:val="21"/>
        </w:rPr>
      </w:pPr>
      <w:r>
        <w:rPr>
          <w:rStyle w:val="43"/>
          <w:rFonts w:ascii="宋体" w:hAnsi="宋体"/>
          <w:sz w:val="21"/>
          <w:szCs w:val="21"/>
        </w:rPr>
        <w:t>1、联合体各方不再单独参加或者与其他供应商另外组成联合体参加同一合同项下的政府采购活动。</w:t>
      </w:r>
    </w:p>
    <w:p>
      <w:pPr>
        <w:spacing w:line="360" w:lineRule="auto"/>
        <w:ind w:firstLine="426" w:firstLineChars="200"/>
        <w:jc w:val="left"/>
        <w:rPr>
          <w:rStyle w:val="43"/>
          <w:rFonts w:ascii="宋体" w:hAnsi="宋体"/>
          <w:sz w:val="21"/>
          <w:szCs w:val="21"/>
        </w:rPr>
      </w:pPr>
      <w:r>
        <w:rPr>
          <w:rStyle w:val="43"/>
          <w:rFonts w:ascii="宋体" w:hAnsi="宋体"/>
          <w:sz w:val="21"/>
          <w:szCs w:val="21"/>
        </w:rPr>
        <w:t>2、联合体中有同类资质的各方按照联合体分工承担相同工作的，按照资质等级较低的供应商确定资质等级。</w:t>
      </w:r>
    </w:p>
    <w:p>
      <w:pPr>
        <w:spacing w:line="360" w:lineRule="auto"/>
        <w:ind w:firstLine="426" w:firstLineChars="200"/>
        <w:jc w:val="left"/>
        <w:rPr>
          <w:rStyle w:val="43"/>
          <w:rFonts w:ascii="宋体" w:hAnsi="宋体"/>
          <w:sz w:val="21"/>
          <w:szCs w:val="21"/>
        </w:rPr>
      </w:pPr>
      <w:r>
        <w:rPr>
          <w:rStyle w:val="43"/>
          <w:rFonts w:ascii="宋体" w:hAnsi="宋体"/>
          <w:sz w:val="21"/>
          <w:szCs w:val="21"/>
        </w:rPr>
        <w:t>3、本协议提交采购人、采购代理机构后，联合体各方不得以任何形式对上述内容进行修改或撤销。</w:t>
      </w:r>
    </w:p>
    <w:p>
      <w:pPr>
        <w:spacing w:line="360" w:lineRule="auto"/>
        <w:jc w:val="left"/>
        <w:rPr>
          <w:rStyle w:val="43"/>
          <w:rFonts w:ascii="宋体" w:hAnsi="宋体"/>
          <w:sz w:val="21"/>
          <w:szCs w:val="21"/>
        </w:rPr>
      </w:pP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联合体成员名称(电子签名/公章)：</w:t>
      </w:r>
    </w:p>
    <w:p>
      <w:pPr>
        <w:spacing w:line="360" w:lineRule="auto"/>
        <w:jc w:val="left"/>
        <w:rPr>
          <w:rStyle w:val="43"/>
          <w:rFonts w:ascii="宋体" w:hAnsi="宋体"/>
          <w:sz w:val="21"/>
          <w:szCs w:val="21"/>
        </w:rPr>
      </w:pP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w:t>
      </w:r>
    </w:p>
    <w:p>
      <w:pPr>
        <w:snapToGrid w:val="0"/>
        <w:spacing w:before="50" w:after="156"/>
        <w:ind w:right="960"/>
        <w:jc w:val="left"/>
        <w:rPr>
          <w:rStyle w:val="43"/>
          <w:rFonts w:ascii="宋体" w:hAnsi="宋体"/>
          <w:sz w:val="21"/>
          <w:szCs w:val="21"/>
        </w:rPr>
      </w:pP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ab/>
      </w:r>
      <w:r>
        <w:rPr>
          <w:rStyle w:val="43"/>
          <w:rFonts w:ascii="宋体" w:hAnsi="宋体"/>
          <w:sz w:val="21"/>
          <w:szCs w:val="21"/>
        </w:rPr>
        <w:t xml:space="preserve">            日期：  年  月   </w:t>
      </w:r>
      <w:r>
        <w:rPr>
          <w:rStyle w:val="43"/>
          <w:rFonts w:hint="eastAsia" w:ascii="宋体" w:hAnsi="宋体"/>
          <w:sz w:val="21"/>
          <w:szCs w:val="21"/>
        </w:rPr>
        <w:t>日</w:t>
      </w:r>
    </w:p>
    <w:p>
      <w:pPr>
        <w:snapToGrid w:val="0"/>
        <w:spacing w:before="50" w:after="156"/>
        <w:ind w:right="960"/>
        <w:jc w:val="left"/>
        <w:rPr>
          <w:rStyle w:val="43"/>
          <w:rFonts w:ascii="宋体" w:hAnsi="宋体"/>
          <w:sz w:val="21"/>
          <w:szCs w:val="21"/>
        </w:rPr>
      </w:pPr>
    </w:p>
    <w:p>
      <w:pPr>
        <w:snapToGrid w:val="0"/>
        <w:spacing w:before="50" w:after="156"/>
        <w:ind w:right="960"/>
        <w:jc w:val="left"/>
        <w:rPr>
          <w:rStyle w:val="43"/>
          <w:rFonts w:ascii="宋体" w:hAnsi="宋体"/>
          <w:sz w:val="21"/>
          <w:szCs w:val="21"/>
        </w:rPr>
      </w:pPr>
    </w:p>
    <w:p>
      <w:pPr>
        <w:snapToGrid w:val="0"/>
        <w:spacing w:before="50" w:after="156"/>
        <w:ind w:right="960"/>
        <w:jc w:val="left"/>
        <w:rPr>
          <w:rStyle w:val="43"/>
          <w:rFonts w:ascii="宋体" w:hAnsi="宋体"/>
          <w:b/>
          <w:sz w:val="21"/>
          <w:szCs w:val="21"/>
        </w:rPr>
      </w:pPr>
    </w:p>
    <w:p>
      <w:pPr>
        <w:pStyle w:val="4"/>
        <w:tabs>
          <w:tab w:val="left" w:pos="420"/>
        </w:tabs>
        <w:ind w:left="0" w:firstLine="0"/>
        <w:rPr>
          <w:rFonts w:ascii="宋体" w:hAnsi="宋体" w:cs="宋体"/>
          <w:sz w:val="21"/>
          <w:szCs w:val="21"/>
        </w:rPr>
      </w:pPr>
      <w:bookmarkStart w:id="345" w:name="_Toc13201"/>
      <w:bookmarkStart w:id="346" w:name="_Toc2534"/>
      <w:bookmarkStart w:id="347" w:name="_Toc4001"/>
      <w:bookmarkStart w:id="348" w:name="_Toc26553"/>
      <w:bookmarkStart w:id="349" w:name="_Toc25371"/>
      <w:r>
        <w:rPr>
          <w:rFonts w:hint="eastAsia" w:ascii="宋体" w:hAnsi="宋体" w:cs="宋体"/>
          <w:sz w:val="21"/>
          <w:szCs w:val="21"/>
        </w:rPr>
        <w:t>附件</w:t>
      </w:r>
      <w:r>
        <w:rPr>
          <w:rFonts w:hint="eastAsia" w:ascii="宋体" w:hAnsi="宋体" w:cs="宋体"/>
          <w:sz w:val="21"/>
          <w:szCs w:val="21"/>
          <w:lang w:val="en-US" w:eastAsia="zh-CN"/>
        </w:rPr>
        <w:t>7</w:t>
      </w:r>
      <w:r>
        <w:rPr>
          <w:rFonts w:hint="eastAsia" w:ascii="宋体" w:hAnsi="宋体" w:cs="宋体"/>
          <w:sz w:val="21"/>
          <w:szCs w:val="21"/>
        </w:rPr>
        <w:t>：投标人情况介绍</w:t>
      </w:r>
      <w:bookmarkEnd w:id="345"/>
      <w:bookmarkEnd w:id="346"/>
      <w:bookmarkEnd w:id="347"/>
      <w:bookmarkEnd w:id="348"/>
      <w:bookmarkEnd w:id="349"/>
    </w:p>
    <w:p>
      <w:pPr>
        <w:snapToGrid w:val="0"/>
        <w:spacing w:beforeLines="50" w:after="50" w:line="360" w:lineRule="auto"/>
        <w:jc w:val="center"/>
        <w:rPr>
          <w:rFonts w:ascii="宋体" w:hAnsi="宋体" w:cs="宋体"/>
          <w:bCs/>
          <w:sz w:val="21"/>
          <w:szCs w:val="21"/>
        </w:rPr>
      </w:pPr>
      <w:r>
        <w:rPr>
          <w:rFonts w:hint="eastAsia" w:ascii="宋体" w:hAnsi="宋体" w:cs="宋体"/>
          <w:bCs/>
          <w:sz w:val="21"/>
          <w:szCs w:val="21"/>
        </w:rPr>
        <w:t>投标人情况介绍</w:t>
      </w:r>
    </w:p>
    <w:tbl>
      <w:tblPr>
        <w:tblStyle w:val="26"/>
        <w:tblW w:w="9495" w:type="dxa"/>
        <w:tblInd w:w="16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0"/>
        <w:gridCol w:w="3874"/>
        <w:gridCol w:w="49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9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1</w:t>
            </w:r>
          </w:p>
        </w:tc>
        <w:tc>
          <w:tcPr>
            <w:tcW w:w="8805"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1"/>
                <w:szCs w:val="21"/>
              </w:rPr>
            </w:pPr>
            <w:r>
              <w:rPr>
                <w:rFonts w:hint="eastAsia" w:ascii="宋体" w:hAnsi="宋体" w:cs="宋体"/>
                <w:sz w:val="21"/>
                <w:szCs w:val="21"/>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9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2</w:t>
            </w:r>
          </w:p>
        </w:tc>
        <w:tc>
          <w:tcPr>
            <w:tcW w:w="8805"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1"/>
                <w:szCs w:val="21"/>
              </w:rPr>
            </w:pPr>
            <w:r>
              <w:rPr>
                <w:rFonts w:hint="eastAsia" w:ascii="宋体" w:hAnsi="宋体" w:cs="宋体"/>
                <w:sz w:val="21"/>
                <w:szCs w:val="21"/>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9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8805"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1"/>
                <w:szCs w:val="21"/>
              </w:rPr>
            </w:pPr>
            <w:r>
              <w:rPr>
                <w:rFonts w:hint="eastAsia" w:ascii="宋体" w:hAnsi="宋体" w:cs="宋体"/>
                <w:sz w:val="21"/>
                <w:szCs w:val="21"/>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9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4</w:t>
            </w:r>
          </w:p>
        </w:tc>
        <w:tc>
          <w:tcPr>
            <w:tcW w:w="3874"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1"/>
                <w:szCs w:val="21"/>
              </w:rPr>
            </w:pPr>
            <w:r>
              <w:rPr>
                <w:rFonts w:hint="eastAsia" w:ascii="宋体" w:hAnsi="宋体" w:cs="宋体"/>
                <w:sz w:val="21"/>
                <w:szCs w:val="21"/>
              </w:rPr>
              <w:t>电话：</w:t>
            </w:r>
          </w:p>
        </w:tc>
        <w:tc>
          <w:tcPr>
            <w:tcW w:w="493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1"/>
                <w:szCs w:val="21"/>
              </w:rPr>
            </w:pPr>
            <w:r>
              <w:rPr>
                <w:rFonts w:hint="eastAsia" w:ascii="宋体" w:hAnsi="宋体" w:cs="宋体"/>
                <w:sz w:val="21"/>
                <w:szCs w:val="21"/>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9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5</w:t>
            </w:r>
          </w:p>
        </w:tc>
        <w:tc>
          <w:tcPr>
            <w:tcW w:w="3874"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1"/>
                <w:szCs w:val="21"/>
              </w:rPr>
            </w:pPr>
            <w:r>
              <w:rPr>
                <w:rFonts w:hint="eastAsia" w:ascii="宋体" w:hAnsi="宋体" w:cs="宋体"/>
                <w:sz w:val="21"/>
                <w:szCs w:val="21"/>
              </w:rPr>
              <w:t>传真：</w:t>
            </w:r>
          </w:p>
        </w:tc>
        <w:tc>
          <w:tcPr>
            <w:tcW w:w="493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1"/>
                <w:szCs w:val="21"/>
              </w:rPr>
            </w:pPr>
            <w:r>
              <w:rPr>
                <w:rFonts w:hint="eastAsia" w:ascii="宋体" w:hAnsi="宋体" w:cs="宋体"/>
                <w:sz w:val="21"/>
                <w:szCs w:val="21"/>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9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6</w:t>
            </w:r>
          </w:p>
        </w:tc>
        <w:tc>
          <w:tcPr>
            <w:tcW w:w="8805"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1"/>
                <w:szCs w:val="21"/>
              </w:rPr>
            </w:pPr>
            <w:r>
              <w:rPr>
                <w:rFonts w:hint="eastAsia" w:ascii="宋体" w:hAnsi="宋体" w:cs="宋体"/>
                <w:sz w:val="21"/>
                <w:szCs w:val="21"/>
              </w:rPr>
              <w:t>营业执照注册号：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3" w:hRule="atLeast"/>
        </w:trPr>
        <w:tc>
          <w:tcPr>
            <w:tcW w:w="69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7</w:t>
            </w:r>
          </w:p>
        </w:tc>
        <w:tc>
          <w:tcPr>
            <w:tcW w:w="8805"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z w:val="21"/>
                <w:szCs w:val="21"/>
              </w:rPr>
            </w:pPr>
            <w:r>
              <w:rPr>
                <w:rFonts w:hint="eastAsia" w:ascii="宋体" w:hAnsi="宋体" w:cs="宋体"/>
                <w:sz w:val="21"/>
                <w:szCs w:val="21"/>
              </w:rPr>
              <w:t>主营范围：</w:t>
            </w:r>
          </w:p>
          <w:p>
            <w:pPr>
              <w:spacing w:line="360" w:lineRule="auto"/>
              <w:rPr>
                <w:rFonts w:ascii="宋体" w:hAnsi="宋体" w:cs="宋体"/>
                <w:sz w:val="21"/>
                <w:szCs w:val="21"/>
                <w:u w:val="single"/>
              </w:rPr>
            </w:pPr>
            <w:r>
              <w:rPr>
                <w:rFonts w:hint="eastAsia" w:ascii="宋体" w:hAnsi="宋体" w:cs="宋体"/>
                <w:sz w:val="21"/>
                <w:szCs w:val="21"/>
              </w:rPr>
              <w:t>1.______________________________________________________________</w:t>
            </w:r>
          </w:p>
          <w:p>
            <w:pPr>
              <w:spacing w:line="360" w:lineRule="auto"/>
              <w:rPr>
                <w:rFonts w:ascii="宋体" w:hAnsi="宋体" w:cs="宋体"/>
                <w:sz w:val="21"/>
                <w:szCs w:val="21"/>
                <w:u w:val="single"/>
              </w:rPr>
            </w:pPr>
            <w:r>
              <w:rPr>
                <w:rFonts w:hint="eastAsia" w:ascii="宋体" w:hAnsi="宋体" w:cs="宋体"/>
                <w:sz w:val="21"/>
                <w:szCs w:val="21"/>
              </w:rPr>
              <w:t>2.______________________________________________________________</w:t>
            </w:r>
          </w:p>
          <w:p>
            <w:pPr>
              <w:spacing w:line="360" w:lineRule="auto"/>
              <w:rPr>
                <w:rFonts w:ascii="宋体" w:hAnsi="宋体" w:cs="宋体"/>
                <w:sz w:val="21"/>
                <w:szCs w:val="21"/>
                <w:u w:val="single"/>
              </w:rPr>
            </w:pPr>
            <w:r>
              <w:rPr>
                <w:rFonts w:hint="eastAsia" w:ascii="宋体" w:hAnsi="宋体" w:cs="宋体"/>
                <w:sz w:val="21"/>
                <w:szCs w:val="21"/>
              </w:rPr>
              <w:t>3.______________________________________________________________</w:t>
            </w:r>
          </w:p>
          <w:p>
            <w:pPr>
              <w:spacing w:line="360" w:lineRule="auto"/>
              <w:rPr>
                <w:rFonts w:ascii="宋体" w:hAnsi="宋体" w:cs="宋体"/>
                <w:sz w:val="21"/>
                <w:szCs w:val="21"/>
              </w:rPr>
            </w:pPr>
            <w:r>
              <w:rPr>
                <w:rFonts w:hint="eastAsia" w:ascii="宋体" w:hAnsi="宋体" w:cs="宋体"/>
                <w:sz w:val="21"/>
                <w:szCs w:val="21"/>
              </w:rPr>
              <w:t>4.______________________________________________________________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9" w:hRule="atLeast"/>
        </w:trPr>
        <w:tc>
          <w:tcPr>
            <w:tcW w:w="69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8</w:t>
            </w:r>
          </w:p>
        </w:tc>
        <w:tc>
          <w:tcPr>
            <w:tcW w:w="8805"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z w:val="21"/>
                <w:szCs w:val="21"/>
              </w:rPr>
            </w:pPr>
            <w:r>
              <w:rPr>
                <w:rFonts w:hint="eastAsia" w:ascii="宋体" w:hAnsi="宋体" w:cs="宋体"/>
                <w:sz w:val="21"/>
                <w:szCs w:val="21"/>
              </w:rPr>
              <w:t>其他需要说明的情况：</w:t>
            </w:r>
          </w:p>
        </w:tc>
      </w:tr>
    </w:tbl>
    <w:p>
      <w:pPr>
        <w:spacing w:line="360" w:lineRule="auto"/>
        <w:ind w:left="-2"/>
        <w:rPr>
          <w:sz w:val="21"/>
          <w:szCs w:val="21"/>
        </w:rPr>
      </w:pPr>
      <w:r>
        <w:rPr>
          <w:rFonts w:hint="eastAsia" w:cs="宋体"/>
          <w:b/>
          <w:sz w:val="21"/>
          <w:szCs w:val="21"/>
        </w:rPr>
        <w:t>注</w:t>
      </w:r>
      <w:r>
        <w:rPr>
          <w:rFonts w:hint="eastAsia" w:cs="宋体"/>
          <w:sz w:val="21"/>
          <w:szCs w:val="21"/>
        </w:rPr>
        <w:t>：须附营业执照副本、企业资质证书、认证证书、荣誉证书、法人代表身份复印件等。</w:t>
      </w:r>
    </w:p>
    <w:p>
      <w:pPr>
        <w:spacing w:line="360" w:lineRule="auto"/>
        <w:ind w:left="1141" w:leftChars="-1" w:hanging="1143" w:hangingChars="537"/>
        <w:rPr>
          <w:rFonts w:ascii="宋体" w:hAnsi="宋体" w:cs="宋体"/>
          <w:sz w:val="21"/>
          <w:szCs w:val="21"/>
        </w:rPr>
      </w:pPr>
    </w:p>
    <w:p>
      <w:pPr>
        <w:spacing w:line="360" w:lineRule="auto"/>
        <w:ind w:left="1266" w:leftChars="521" w:firstLine="1624" w:firstLineChars="763"/>
        <w:rPr>
          <w:sz w:val="21"/>
          <w:szCs w:val="21"/>
        </w:rPr>
      </w:pPr>
      <w:r>
        <w:rPr>
          <w:rFonts w:hint="eastAsia" w:ascii="宋体" w:hAnsi="宋体" w:cs="宋体"/>
          <w:sz w:val="21"/>
          <w:szCs w:val="21"/>
        </w:rPr>
        <w:t>法定代表人或授权委托人</w:t>
      </w:r>
      <w:r>
        <w:rPr>
          <w:rFonts w:hint="eastAsia" w:ascii="宋体" w:hAnsi="宋体" w:cs="宋体"/>
          <w:spacing w:val="20"/>
          <w:sz w:val="21"/>
          <w:szCs w:val="21"/>
        </w:rPr>
        <w:t>签名</w:t>
      </w:r>
      <w:r>
        <w:rPr>
          <w:rFonts w:hint="eastAsia" w:cs="宋体"/>
          <w:sz w:val="21"/>
          <w:szCs w:val="21"/>
        </w:rPr>
        <w:t>：</w:t>
      </w:r>
      <w:r>
        <w:rPr>
          <w:sz w:val="21"/>
          <w:szCs w:val="21"/>
          <w:u w:val="single"/>
        </w:rPr>
        <w:t xml:space="preserve">                 </w:t>
      </w:r>
    </w:p>
    <w:p>
      <w:pPr>
        <w:spacing w:line="480" w:lineRule="exact"/>
        <w:ind w:firstLine="2982" w:firstLineChars="1400"/>
        <w:rPr>
          <w:sz w:val="21"/>
          <w:szCs w:val="21"/>
        </w:rPr>
      </w:pPr>
      <w:r>
        <w:rPr>
          <w:rFonts w:hint="eastAsia" w:cs="宋体"/>
          <w:sz w:val="21"/>
          <w:szCs w:val="21"/>
        </w:rPr>
        <w:t>投标人名称（加盖公章）：</w:t>
      </w:r>
      <w:r>
        <w:rPr>
          <w:sz w:val="21"/>
          <w:szCs w:val="21"/>
          <w:u w:val="single"/>
        </w:rPr>
        <w:t xml:space="preserve">                 </w:t>
      </w:r>
    </w:p>
    <w:p>
      <w:pPr>
        <w:spacing w:line="480" w:lineRule="exact"/>
        <w:ind w:firstLine="2982" w:firstLineChars="1400"/>
        <w:rPr>
          <w:sz w:val="21"/>
          <w:szCs w:val="21"/>
        </w:rPr>
      </w:pPr>
      <w:r>
        <w:rPr>
          <w:rFonts w:hint="eastAsia" w:cs="宋体"/>
          <w:sz w:val="21"/>
          <w:szCs w:val="21"/>
        </w:rPr>
        <w:t>日</w:t>
      </w:r>
      <w:r>
        <w:rPr>
          <w:sz w:val="21"/>
          <w:szCs w:val="21"/>
        </w:rPr>
        <w:t xml:space="preserve">                 </w:t>
      </w:r>
      <w:r>
        <w:rPr>
          <w:rFonts w:hint="eastAsia" w:cs="宋体"/>
          <w:sz w:val="21"/>
          <w:szCs w:val="21"/>
        </w:rPr>
        <w:t>期：</w:t>
      </w:r>
      <w:r>
        <w:rPr>
          <w:sz w:val="21"/>
          <w:szCs w:val="21"/>
          <w:u w:val="single"/>
        </w:rPr>
        <w:t xml:space="preserve">                 </w:t>
      </w:r>
    </w:p>
    <w:p>
      <w:pPr>
        <w:pStyle w:val="6"/>
        <w:spacing w:before="167" w:after="167"/>
        <w:ind w:firstLine="0" w:firstLineChars="0"/>
        <w:rPr>
          <w:rFonts w:ascii="宋体" w:cs="宋体"/>
          <w:sz w:val="21"/>
          <w:szCs w:val="21"/>
        </w:rPr>
      </w:pPr>
      <w:bookmarkStart w:id="350" w:name="_Toc2939"/>
    </w:p>
    <w:p>
      <w:pPr>
        <w:pStyle w:val="12"/>
        <w:ind w:firstLine="0" w:firstLineChars="0"/>
      </w:pPr>
    </w:p>
    <w:p>
      <w:pPr>
        <w:pStyle w:val="4"/>
        <w:tabs>
          <w:tab w:val="left" w:pos="420"/>
        </w:tabs>
        <w:ind w:left="0" w:firstLine="0"/>
        <w:rPr>
          <w:rFonts w:ascii="宋体" w:hAnsi="宋体" w:cs="宋体"/>
          <w:sz w:val="21"/>
          <w:szCs w:val="21"/>
        </w:rPr>
      </w:pPr>
      <w:r>
        <w:rPr>
          <w:rFonts w:hint="eastAsia" w:ascii="宋体" w:hAnsi="宋体" w:cs="宋体"/>
          <w:sz w:val="21"/>
          <w:szCs w:val="21"/>
        </w:rPr>
        <w:t>附件</w:t>
      </w:r>
      <w:r>
        <w:rPr>
          <w:rFonts w:hint="eastAsia" w:ascii="宋体" w:hAnsi="宋体" w:cs="宋体"/>
          <w:sz w:val="21"/>
          <w:szCs w:val="21"/>
          <w:lang w:val="en-US" w:eastAsia="zh-CN"/>
        </w:rPr>
        <w:t>8</w:t>
      </w:r>
      <w:r>
        <w:rPr>
          <w:rFonts w:hint="eastAsia" w:ascii="宋体" w:hAnsi="宋体" w:cs="宋体"/>
          <w:sz w:val="21"/>
          <w:szCs w:val="21"/>
        </w:rPr>
        <w:t>：投标人同类项目实施情况一览表</w:t>
      </w:r>
      <w:bookmarkEnd w:id="350"/>
    </w:p>
    <w:p>
      <w:pPr>
        <w:snapToGrid w:val="0"/>
        <w:spacing w:beforeLines="50" w:after="50" w:line="360" w:lineRule="auto"/>
        <w:jc w:val="center"/>
        <w:rPr>
          <w:rFonts w:ascii="宋体" w:hAnsi="宋体" w:cs="宋体"/>
          <w:bCs/>
          <w:sz w:val="21"/>
          <w:szCs w:val="21"/>
        </w:rPr>
      </w:pPr>
      <w:r>
        <w:rPr>
          <w:rFonts w:hint="eastAsia" w:ascii="宋体" w:hAnsi="宋体" w:cs="宋体"/>
          <w:bCs/>
          <w:sz w:val="21"/>
          <w:szCs w:val="21"/>
        </w:rPr>
        <w:t>投标人同类项目实施情况一览表</w:t>
      </w:r>
    </w:p>
    <w:p>
      <w:pPr>
        <w:pStyle w:val="22"/>
        <w:snapToGrid w:val="0"/>
        <w:spacing w:line="360" w:lineRule="auto"/>
        <w:ind w:left="355" w:leftChars="-85" w:hanging="561" w:hangingChars="264"/>
        <w:rPr>
          <w:rFonts w:ascii="宋体" w:hAnsi="宋体" w:cs="宋体"/>
          <w:szCs w:val="21"/>
        </w:rPr>
      </w:pPr>
    </w:p>
    <w:p>
      <w:pPr>
        <w:pStyle w:val="22"/>
        <w:snapToGrid w:val="0"/>
        <w:spacing w:line="360" w:lineRule="auto"/>
        <w:ind w:left="355" w:leftChars="-85" w:hanging="561" w:hangingChars="264"/>
        <w:rPr>
          <w:rFonts w:ascii="宋体" w:hAnsi="宋体" w:cs="宋体"/>
          <w:b/>
          <w:szCs w:val="21"/>
        </w:rPr>
      </w:pPr>
      <w:r>
        <w:rPr>
          <w:rFonts w:hint="eastAsia" w:ascii="宋体" w:hAnsi="宋体" w:cs="宋体"/>
          <w:szCs w:val="21"/>
        </w:rPr>
        <w:t xml:space="preserve">  单位全称（公章）：</w:t>
      </w:r>
    </w:p>
    <w:tbl>
      <w:tblPr>
        <w:tblStyle w:val="26"/>
        <w:tblW w:w="9855" w:type="dxa"/>
        <w:tblInd w:w="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1140"/>
        <w:gridCol w:w="2220"/>
        <w:gridCol w:w="1770"/>
        <w:gridCol w:w="1830"/>
        <w:gridCol w:w="2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1"/>
                <w:szCs w:val="21"/>
              </w:rPr>
            </w:pPr>
            <w:r>
              <w:rPr>
                <w:rFonts w:hint="eastAsia" w:ascii="宋体" w:hAnsi="宋体" w:cs="宋体"/>
                <w:sz w:val="21"/>
                <w:szCs w:val="21"/>
              </w:rPr>
              <w:t>序号</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1"/>
                <w:szCs w:val="21"/>
              </w:rPr>
            </w:pPr>
            <w:r>
              <w:rPr>
                <w:rFonts w:hint="eastAsia" w:ascii="宋体" w:hAnsi="宋体" w:cs="宋体"/>
                <w:sz w:val="21"/>
                <w:szCs w:val="21"/>
              </w:rPr>
              <w:t>采购单位</w:t>
            </w:r>
          </w:p>
          <w:p>
            <w:pPr>
              <w:snapToGrid w:val="0"/>
              <w:spacing w:line="360" w:lineRule="auto"/>
              <w:jc w:val="center"/>
              <w:rPr>
                <w:rFonts w:ascii="宋体" w:hAnsi="宋体" w:cs="宋体"/>
                <w:sz w:val="21"/>
                <w:szCs w:val="21"/>
              </w:rPr>
            </w:pPr>
            <w:r>
              <w:rPr>
                <w:rFonts w:hint="eastAsia" w:ascii="宋体" w:hAnsi="宋体" w:cs="宋体"/>
                <w:sz w:val="21"/>
                <w:szCs w:val="21"/>
              </w:rPr>
              <w:t>名称</w:t>
            </w:r>
          </w:p>
        </w:tc>
        <w:tc>
          <w:tcPr>
            <w:tcW w:w="22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1"/>
                <w:szCs w:val="21"/>
              </w:rPr>
            </w:pPr>
            <w:r>
              <w:rPr>
                <w:rFonts w:hint="eastAsia" w:ascii="宋体" w:hAnsi="宋体" w:cs="宋体"/>
                <w:sz w:val="21"/>
                <w:szCs w:val="21"/>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1"/>
                <w:szCs w:val="21"/>
              </w:rPr>
            </w:pPr>
            <w:r>
              <w:rPr>
                <w:rFonts w:hint="eastAsia" w:ascii="宋体" w:hAnsi="宋体"/>
                <w:szCs w:val="21"/>
              </w:rPr>
              <w:t>合同签订时间</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1"/>
                <w:szCs w:val="21"/>
              </w:rPr>
            </w:pPr>
            <w:r>
              <w:rPr>
                <w:rFonts w:hint="eastAsia" w:ascii="宋体" w:hAnsi="宋体" w:cs="宋体"/>
                <w:sz w:val="21"/>
                <w:szCs w:val="21"/>
              </w:rPr>
              <w:t>合同金额</w:t>
            </w:r>
          </w:p>
          <w:p>
            <w:pPr>
              <w:snapToGrid w:val="0"/>
              <w:spacing w:line="360" w:lineRule="auto"/>
              <w:jc w:val="center"/>
              <w:rPr>
                <w:rFonts w:ascii="宋体" w:hAnsi="宋体" w:cs="宋体"/>
                <w:sz w:val="21"/>
                <w:szCs w:val="21"/>
              </w:rPr>
            </w:pPr>
            <w:r>
              <w:rPr>
                <w:rFonts w:hint="eastAsia" w:ascii="宋体" w:hAnsi="宋体" w:cs="宋体"/>
                <w:sz w:val="21"/>
                <w:szCs w:val="21"/>
              </w:rPr>
              <w:t>（万元）</w:t>
            </w:r>
          </w:p>
        </w:tc>
        <w:tc>
          <w:tcPr>
            <w:tcW w:w="219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1"/>
                <w:szCs w:val="21"/>
              </w:rPr>
            </w:pPr>
            <w:r>
              <w:rPr>
                <w:rFonts w:hint="eastAsia" w:ascii="宋体" w:hAnsi="宋体" w:cs="宋体"/>
                <w:sz w:val="21"/>
                <w:szCs w:val="21"/>
              </w:rPr>
              <w:t>采购单位联系人</w:t>
            </w:r>
          </w:p>
          <w:p>
            <w:pPr>
              <w:snapToGrid w:val="0"/>
              <w:spacing w:line="360" w:lineRule="auto"/>
              <w:jc w:val="center"/>
              <w:rPr>
                <w:rFonts w:ascii="宋体" w:hAnsi="宋体" w:cs="宋体"/>
                <w:sz w:val="21"/>
                <w:szCs w:val="21"/>
              </w:rPr>
            </w:pPr>
            <w:r>
              <w:rPr>
                <w:rFonts w:hint="eastAsia" w:ascii="宋体" w:hAnsi="宋体" w:cs="宋体"/>
                <w:sz w:val="21"/>
                <w:szCs w:val="21"/>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2190"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22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22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22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22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22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22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22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jc w:val="center"/>
              <w:rPr>
                <w:rFonts w:ascii="宋体"/>
                <w:sz w:val="21"/>
                <w:szCs w:val="21"/>
              </w:rPr>
            </w:pPr>
            <w:r>
              <w:rPr>
                <w:rFonts w:hint="eastAsia" w:ascii="宋体"/>
                <w:sz w:val="21"/>
                <w:szCs w:val="21"/>
              </w:rPr>
              <w:t>备注</w:t>
            </w:r>
          </w:p>
        </w:tc>
        <w:tc>
          <w:tcPr>
            <w:tcW w:w="915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ascii="宋体"/>
                <w:sz w:val="21"/>
                <w:szCs w:val="21"/>
              </w:rPr>
            </w:pPr>
            <w:r>
              <w:rPr>
                <w:rFonts w:hint="eastAsia" w:ascii="宋体"/>
                <w:sz w:val="21"/>
                <w:szCs w:val="21"/>
              </w:rPr>
              <w:t>须按招标文件要求提供相关证明材料并加盖CA签章。</w:t>
            </w:r>
          </w:p>
        </w:tc>
      </w:tr>
    </w:tbl>
    <w:p>
      <w:pPr>
        <w:pStyle w:val="8"/>
        <w:snapToGrid w:val="0"/>
        <w:rPr>
          <w:rFonts w:ascii="宋体" w:eastAsia="宋体"/>
          <w:sz w:val="21"/>
          <w:szCs w:val="21"/>
        </w:rPr>
      </w:pPr>
    </w:p>
    <w:p>
      <w:pPr>
        <w:snapToGrid w:val="0"/>
        <w:spacing w:before="50" w:after="50" w:line="600" w:lineRule="exact"/>
        <w:rPr>
          <w:rFonts w:ascii="宋体" w:hAnsi="宋体" w:cs="宋体"/>
          <w:spacing w:val="20"/>
          <w:sz w:val="21"/>
          <w:szCs w:val="21"/>
          <w:u w:val="single"/>
        </w:rPr>
      </w:pPr>
      <w:r>
        <w:rPr>
          <w:rFonts w:hint="eastAsia" w:ascii="宋体" w:hAnsi="宋体" w:cs="宋体"/>
          <w:sz w:val="21"/>
          <w:szCs w:val="21"/>
        </w:rPr>
        <w:t xml:space="preserve"> 法定代表人或授权委托人</w:t>
      </w:r>
      <w:r>
        <w:rPr>
          <w:rFonts w:hint="eastAsia" w:ascii="宋体" w:hAnsi="宋体" w:cs="宋体"/>
          <w:spacing w:val="20"/>
          <w:sz w:val="21"/>
          <w:szCs w:val="21"/>
        </w:rPr>
        <w:t>签名：</w:t>
      </w:r>
      <w:r>
        <w:rPr>
          <w:rFonts w:hint="eastAsia" w:ascii="宋体" w:hAnsi="宋体" w:cs="宋体"/>
          <w:spacing w:val="20"/>
          <w:sz w:val="21"/>
          <w:szCs w:val="21"/>
          <w:u w:val="single"/>
        </w:rPr>
        <w:t xml:space="preserve">         </w:t>
      </w:r>
    </w:p>
    <w:p>
      <w:pPr>
        <w:snapToGrid w:val="0"/>
        <w:spacing w:before="50" w:after="50" w:line="600" w:lineRule="exact"/>
        <w:rPr>
          <w:rFonts w:ascii="宋体" w:hAnsi="宋体" w:cs="宋体"/>
          <w:spacing w:val="20"/>
          <w:sz w:val="21"/>
          <w:szCs w:val="21"/>
        </w:rPr>
      </w:pPr>
      <w:r>
        <w:rPr>
          <w:rFonts w:hint="eastAsia" w:ascii="宋体" w:hAnsi="宋体" w:cs="宋体"/>
          <w:spacing w:val="20"/>
          <w:sz w:val="21"/>
          <w:szCs w:val="21"/>
        </w:rPr>
        <w:t xml:space="preserve"> 投标人名称（盖章）：</w:t>
      </w:r>
      <w:r>
        <w:rPr>
          <w:rFonts w:hint="eastAsia" w:ascii="宋体" w:hAnsi="宋体" w:cs="宋体"/>
          <w:spacing w:val="20"/>
          <w:sz w:val="21"/>
          <w:szCs w:val="21"/>
          <w:u w:val="single"/>
        </w:rPr>
        <w:t xml:space="preserve">              </w:t>
      </w:r>
      <w:r>
        <w:rPr>
          <w:rFonts w:hint="eastAsia" w:ascii="宋体" w:hAnsi="宋体" w:cs="宋体"/>
          <w:spacing w:val="20"/>
          <w:sz w:val="21"/>
          <w:szCs w:val="21"/>
        </w:rPr>
        <w:t xml:space="preserve">             </w:t>
      </w:r>
    </w:p>
    <w:p>
      <w:pPr>
        <w:snapToGrid w:val="0"/>
        <w:spacing w:before="50" w:after="50" w:line="600" w:lineRule="exact"/>
        <w:rPr>
          <w:rFonts w:ascii="宋体" w:hAnsi="宋体" w:cs="宋体"/>
          <w:sz w:val="21"/>
          <w:szCs w:val="21"/>
        </w:rPr>
      </w:pPr>
      <w:r>
        <w:rPr>
          <w:rFonts w:hint="eastAsia" w:ascii="宋体" w:hAnsi="宋体" w:cs="宋体"/>
          <w:spacing w:val="20"/>
          <w:sz w:val="21"/>
          <w:szCs w:val="21"/>
        </w:rPr>
        <w:t xml:space="preserve"> 日           期：</w:t>
      </w:r>
      <w:r>
        <w:rPr>
          <w:rFonts w:hint="eastAsia" w:ascii="宋体" w:hAnsi="宋体" w:cs="宋体"/>
          <w:spacing w:val="20"/>
          <w:sz w:val="21"/>
          <w:szCs w:val="21"/>
          <w:u w:val="single"/>
        </w:rPr>
        <w:t xml:space="preserve">               </w:t>
      </w:r>
    </w:p>
    <w:p>
      <w:pPr>
        <w:spacing w:line="360" w:lineRule="auto"/>
        <w:rPr>
          <w:rFonts w:ascii="宋体" w:hAnsi="宋体" w:cs="Arial"/>
          <w:b/>
          <w:bCs/>
          <w:sz w:val="21"/>
          <w:szCs w:val="21"/>
        </w:rPr>
      </w:pPr>
      <w:r>
        <w:rPr>
          <w:rFonts w:hint="eastAsia" w:ascii="宋体" w:hAnsi="宋体" w:cs="Arial"/>
          <w:b/>
          <w:bCs/>
          <w:sz w:val="21"/>
          <w:szCs w:val="21"/>
        </w:rPr>
        <w:t>注：</w:t>
      </w:r>
      <w:r>
        <w:rPr>
          <w:rFonts w:ascii="宋体" w:hAnsi="宋体" w:cs="Arial"/>
          <w:b/>
          <w:bCs/>
          <w:sz w:val="21"/>
          <w:szCs w:val="21"/>
        </w:rPr>
        <w:t>此表仅提供了表格形式，投标人可按此表格格式进行扩展。</w:t>
      </w:r>
    </w:p>
    <w:p>
      <w:pPr>
        <w:snapToGrid w:val="0"/>
        <w:spacing w:before="50" w:line="360" w:lineRule="auto"/>
        <w:jc w:val="left"/>
        <w:rPr>
          <w:rFonts w:ascii="宋体"/>
          <w:sz w:val="21"/>
          <w:szCs w:val="21"/>
        </w:rPr>
      </w:pPr>
    </w:p>
    <w:p>
      <w:pPr>
        <w:pStyle w:val="6"/>
        <w:spacing w:before="167" w:after="167"/>
        <w:ind w:firstLine="105"/>
        <w:rPr>
          <w:rFonts w:ascii="黑体" w:hAnsi="黑体" w:eastAsia="黑体" w:cs="黑体"/>
          <w:b w:val="0"/>
          <w:bCs/>
          <w:sz w:val="21"/>
          <w:szCs w:val="21"/>
        </w:rPr>
      </w:pPr>
      <w:r>
        <w:rPr>
          <w:rFonts w:hint="eastAsia"/>
          <w:sz w:val="21"/>
          <w:szCs w:val="21"/>
        </w:rPr>
        <w:br w:type="page"/>
      </w:r>
      <w:bookmarkStart w:id="351" w:name="_Toc17558"/>
      <w:r>
        <w:rPr>
          <w:rFonts w:hint="eastAsia" w:ascii="宋体" w:cs="宋体"/>
          <w:sz w:val="21"/>
          <w:szCs w:val="21"/>
        </w:rPr>
        <w:t>附件</w:t>
      </w:r>
      <w:r>
        <w:rPr>
          <w:rFonts w:hint="eastAsia" w:ascii="宋体" w:cs="宋体"/>
          <w:sz w:val="21"/>
          <w:szCs w:val="21"/>
          <w:lang w:val="en-US" w:eastAsia="zh-CN"/>
        </w:rPr>
        <w:t>9</w:t>
      </w:r>
      <w:r>
        <w:rPr>
          <w:rFonts w:hint="eastAsia" w:ascii="宋体" w:cs="宋体"/>
          <w:sz w:val="21"/>
          <w:szCs w:val="21"/>
        </w:rPr>
        <w:t>：拟投入本项目管理人员配备表</w:t>
      </w:r>
      <w:bookmarkEnd w:id="351"/>
    </w:p>
    <w:p>
      <w:pPr>
        <w:snapToGrid w:val="0"/>
        <w:spacing w:beforeLines="50" w:after="50" w:line="360" w:lineRule="auto"/>
        <w:jc w:val="center"/>
        <w:rPr>
          <w:rFonts w:ascii="宋体" w:hAnsi="宋体" w:cs="宋体"/>
          <w:bCs/>
          <w:sz w:val="21"/>
          <w:szCs w:val="21"/>
          <w:lang w:val="zh-CN"/>
        </w:rPr>
      </w:pPr>
      <w:r>
        <w:rPr>
          <w:rFonts w:hint="eastAsia" w:ascii="宋体" w:hAnsi="宋体" w:cs="宋体"/>
          <w:bCs/>
          <w:sz w:val="21"/>
          <w:szCs w:val="21"/>
          <w:lang w:val="zh-CN"/>
        </w:rPr>
        <w:t>拟投入本项目的管理人员配备表</w:t>
      </w:r>
    </w:p>
    <w:tbl>
      <w:tblPr>
        <w:tblStyle w:val="26"/>
        <w:tblW w:w="8685" w:type="dxa"/>
        <w:jc w:val="center"/>
        <w:tblLayout w:type="fixed"/>
        <w:tblCellMar>
          <w:top w:w="0" w:type="dxa"/>
          <w:left w:w="0" w:type="dxa"/>
          <w:bottom w:w="0" w:type="dxa"/>
          <w:right w:w="0" w:type="dxa"/>
        </w:tblCellMar>
      </w:tblPr>
      <w:tblGrid>
        <w:gridCol w:w="866"/>
        <w:gridCol w:w="1420"/>
        <w:gridCol w:w="1000"/>
        <w:gridCol w:w="1002"/>
        <w:gridCol w:w="1369"/>
        <w:gridCol w:w="1516"/>
        <w:gridCol w:w="1512"/>
      </w:tblGrid>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序号</w:t>
            </w:r>
          </w:p>
        </w:tc>
        <w:tc>
          <w:tcPr>
            <w:tcW w:w="142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职位名称</w:t>
            </w:r>
          </w:p>
        </w:tc>
        <w:tc>
          <w:tcPr>
            <w:tcW w:w="10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姓  名</w:t>
            </w:r>
          </w:p>
        </w:tc>
        <w:tc>
          <w:tcPr>
            <w:tcW w:w="100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学历</w:t>
            </w:r>
          </w:p>
        </w:tc>
        <w:tc>
          <w:tcPr>
            <w:tcW w:w="1369"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专业类别</w:t>
            </w:r>
          </w:p>
        </w:tc>
        <w:tc>
          <w:tcPr>
            <w:tcW w:w="151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证书编号</w:t>
            </w:r>
          </w:p>
        </w:tc>
        <w:tc>
          <w:tcPr>
            <w:tcW w:w="151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类似职位工</w:t>
            </w:r>
          </w:p>
          <w:p>
            <w:pPr>
              <w:autoSpaceDE w:val="0"/>
              <w:autoSpaceDN w:val="0"/>
              <w:jc w:val="center"/>
              <w:rPr>
                <w:rFonts w:ascii="宋体" w:hAnsi="宋体" w:cs="宋体"/>
                <w:kern w:val="0"/>
                <w:sz w:val="21"/>
                <w:szCs w:val="21"/>
              </w:rPr>
            </w:pPr>
            <w:r>
              <w:rPr>
                <w:rFonts w:hint="eastAsia" w:ascii="宋体" w:hAnsi="宋体" w:cs="宋体"/>
                <w:kern w:val="0"/>
                <w:sz w:val="21"/>
                <w:szCs w:val="21"/>
              </w:rPr>
              <w:t>作经历年限</w:t>
            </w: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1</w:t>
            </w:r>
          </w:p>
        </w:tc>
        <w:tc>
          <w:tcPr>
            <w:tcW w:w="142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项目经理</w:t>
            </w:r>
          </w:p>
        </w:tc>
        <w:tc>
          <w:tcPr>
            <w:tcW w:w="10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369"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2</w:t>
            </w:r>
          </w:p>
        </w:tc>
        <w:tc>
          <w:tcPr>
            <w:tcW w:w="142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r>
              <w:rPr>
                <w:rFonts w:hint="eastAsia" w:ascii="宋体" w:hAnsi="宋体" w:cs="宋体"/>
                <w:kern w:val="0"/>
                <w:sz w:val="21"/>
                <w:szCs w:val="21"/>
              </w:rPr>
              <w:t>项目管理师</w:t>
            </w:r>
          </w:p>
        </w:tc>
        <w:tc>
          <w:tcPr>
            <w:tcW w:w="10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369"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r>
      <w:tr>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42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369"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r>
      <w:tr>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42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369"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r>
      <w:tr>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42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369"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r>
      <w:tr>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42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369"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r>
      <w:tr>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42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369"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r>
      <w:tr>
        <w:trPr>
          <w:trHeight w:val="591" w:hRule="atLeast"/>
          <w:jc w:val="center"/>
        </w:trPr>
        <w:tc>
          <w:tcPr>
            <w:tcW w:w="8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42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00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369"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c>
          <w:tcPr>
            <w:tcW w:w="1512"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宋体" w:hAnsi="宋体" w:cs="宋体"/>
                <w:kern w:val="0"/>
                <w:sz w:val="21"/>
                <w:szCs w:val="21"/>
              </w:rPr>
            </w:pPr>
          </w:p>
        </w:tc>
      </w:tr>
    </w:tbl>
    <w:p>
      <w:pPr>
        <w:rPr>
          <w:rFonts w:ascii="宋体" w:hAnsi="宋体" w:cs="宋体"/>
          <w:b/>
          <w:bCs/>
          <w:sz w:val="21"/>
          <w:szCs w:val="21"/>
        </w:rPr>
      </w:pPr>
      <w:r>
        <w:rPr>
          <w:rFonts w:hint="eastAsia" w:ascii="宋体" w:hAnsi="宋体" w:cs="宋体"/>
          <w:b/>
          <w:bCs/>
          <w:sz w:val="21"/>
          <w:szCs w:val="21"/>
        </w:rPr>
        <w:t>备注：须按招标文件要求提供相关证明资料并加盖CA签章。</w:t>
      </w:r>
    </w:p>
    <w:p>
      <w:pPr>
        <w:snapToGrid w:val="0"/>
        <w:spacing w:before="50" w:after="50" w:line="600" w:lineRule="exact"/>
        <w:ind w:firstLine="2556" w:firstLineChars="1200"/>
        <w:rPr>
          <w:rFonts w:ascii="宋体" w:hAnsi="宋体" w:cs="宋体"/>
          <w:spacing w:val="20"/>
          <w:sz w:val="21"/>
          <w:szCs w:val="21"/>
          <w:u w:val="single"/>
        </w:rPr>
      </w:pPr>
      <w:r>
        <w:rPr>
          <w:rFonts w:hint="eastAsia" w:ascii="宋体" w:hAnsi="宋体" w:cs="宋体"/>
          <w:sz w:val="21"/>
          <w:szCs w:val="21"/>
        </w:rPr>
        <w:t xml:space="preserve"> 法定代表人或授权委托人</w:t>
      </w:r>
      <w:r>
        <w:rPr>
          <w:rFonts w:hint="eastAsia" w:ascii="宋体" w:hAnsi="宋体" w:cs="宋体"/>
          <w:spacing w:val="20"/>
          <w:sz w:val="21"/>
          <w:szCs w:val="21"/>
        </w:rPr>
        <w:t>签名：</w:t>
      </w:r>
      <w:r>
        <w:rPr>
          <w:rFonts w:hint="eastAsia" w:ascii="宋体" w:hAnsi="宋体" w:cs="宋体"/>
          <w:spacing w:val="20"/>
          <w:sz w:val="21"/>
          <w:szCs w:val="21"/>
          <w:u w:val="single"/>
        </w:rPr>
        <w:t xml:space="preserve">         </w:t>
      </w:r>
    </w:p>
    <w:p>
      <w:pPr>
        <w:snapToGrid w:val="0"/>
        <w:spacing w:before="50" w:after="50" w:line="600" w:lineRule="exact"/>
        <w:ind w:firstLine="2530" w:firstLineChars="1000"/>
        <w:rPr>
          <w:rFonts w:ascii="宋体" w:hAnsi="宋体" w:cs="宋体"/>
          <w:spacing w:val="20"/>
          <w:sz w:val="21"/>
          <w:szCs w:val="21"/>
        </w:rPr>
      </w:pPr>
      <w:r>
        <w:rPr>
          <w:rFonts w:hint="eastAsia" w:ascii="宋体" w:hAnsi="宋体" w:cs="宋体"/>
          <w:spacing w:val="20"/>
          <w:sz w:val="21"/>
          <w:szCs w:val="21"/>
        </w:rPr>
        <w:t xml:space="preserve"> 投标人名称（盖章）：</w:t>
      </w:r>
      <w:r>
        <w:rPr>
          <w:rFonts w:hint="eastAsia" w:ascii="宋体" w:hAnsi="宋体" w:cs="宋体"/>
          <w:spacing w:val="20"/>
          <w:sz w:val="21"/>
          <w:szCs w:val="21"/>
          <w:u w:val="single"/>
        </w:rPr>
        <w:t xml:space="preserve">              </w:t>
      </w:r>
      <w:r>
        <w:rPr>
          <w:rFonts w:hint="eastAsia" w:ascii="宋体" w:hAnsi="宋体" w:cs="宋体"/>
          <w:spacing w:val="20"/>
          <w:sz w:val="21"/>
          <w:szCs w:val="21"/>
        </w:rPr>
        <w:t xml:space="preserve">             </w:t>
      </w:r>
    </w:p>
    <w:p>
      <w:pPr>
        <w:snapToGrid w:val="0"/>
        <w:spacing w:before="50" w:after="50" w:line="600" w:lineRule="exact"/>
        <w:rPr>
          <w:rFonts w:ascii="宋体" w:hAnsi="宋体" w:cs="宋体"/>
          <w:sz w:val="21"/>
          <w:szCs w:val="21"/>
        </w:rPr>
      </w:pPr>
      <w:r>
        <w:rPr>
          <w:rFonts w:hint="eastAsia" w:ascii="宋体" w:hAnsi="宋体" w:cs="宋体"/>
          <w:spacing w:val="20"/>
          <w:sz w:val="21"/>
          <w:szCs w:val="21"/>
        </w:rPr>
        <w:t xml:space="preserve"> </w:t>
      </w:r>
      <w:r>
        <w:rPr>
          <w:rFonts w:hint="eastAsia" w:ascii="宋体" w:hAnsi="宋体" w:cs="宋体"/>
          <w:spacing w:val="20"/>
          <w:sz w:val="21"/>
          <w:szCs w:val="21"/>
          <w:lang w:val="en-US" w:eastAsia="zh-CN"/>
        </w:rPr>
        <w:t xml:space="preserve">                  </w:t>
      </w:r>
      <w:r>
        <w:rPr>
          <w:rFonts w:hint="eastAsia" w:ascii="宋体" w:hAnsi="宋体" w:cs="宋体"/>
          <w:spacing w:val="20"/>
          <w:sz w:val="21"/>
          <w:szCs w:val="21"/>
        </w:rPr>
        <w:t>日           期：</w:t>
      </w:r>
      <w:r>
        <w:rPr>
          <w:rFonts w:hint="eastAsia" w:ascii="宋体" w:hAnsi="宋体" w:cs="宋体"/>
          <w:spacing w:val="20"/>
          <w:sz w:val="21"/>
          <w:szCs w:val="21"/>
          <w:u w:val="single"/>
        </w:rPr>
        <w:t xml:space="preserve">               </w:t>
      </w:r>
    </w:p>
    <w:p>
      <w:pPr>
        <w:rPr>
          <w:rFonts w:ascii="宋体" w:hAnsi="宋体" w:cs="Arial"/>
          <w:b/>
          <w:bCs/>
          <w:sz w:val="21"/>
          <w:szCs w:val="21"/>
        </w:rPr>
      </w:pPr>
      <w:r>
        <w:rPr>
          <w:rFonts w:hint="eastAsia" w:ascii="宋体" w:hAnsi="宋体" w:cs="Arial"/>
          <w:b/>
          <w:bCs/>
          <w:sz w:val="21"/>
          <w:szCs w:val="21"/>
        </w:rPr>
        <w:t>注：</w:t>
      </w:r>
      <w:r>
        <w:rPr>
          <w:rFonts w:ascii="宋体" w:hAnsi="宋体" w:cs="Arial"/>
          <w:b/>
          <w:bCs/>
          <w:sz w:val="21"/>
          <w:szCs w:val="21"/>
        </w:rPr>
        <w:t>此表仅提供了表格形式，投标人可按此表格格式进行扩展。</w:t>
      </w:r>
    </w:p>
    <w:p>
      <w:pPr>
        <w:rPr>
          <w:rFonts w:ascii="宋体" w:hAnsi="宋体" w:cs="Arial"/>
          <w:b/>
          <w:bCs/>
          <w:sz w:val="21"/>
          <w:szCs w:val="21"/>
        </w:rPr>
      </w:pPr>
    </w:p>
    <w:p>
      <w:pPr>
        <w:rPr>
          <w:rFonts w:ascii="宋体" w:hAnsi="宋体" w:cs="Arial"/>
          <w:b/>
          <w:bCs/>
          <w:sz w:val="21"/>
          <w:szCs w:val="21"/>
        </w:rPr>
      </w:pPr>
    </w:p>
    <w:p>
      <w:pPr>
        <w:rPr>
          <w:rFonts w:ascii="宋体" w:hAnsi="宋体" w:cs="Arial"/>
          <w:b/>
          <w:bCs/>
          <w:sz w:val="21"/>
          <w:szCs w:val="21"/>
        </w:rPr>
      </w:pPr>
    </w:p>
    <w:p>
      <w:pPr>
        <w:rPr>
          <w:rFonts w:ascii="宋体" w:hAnsi="宋体" w:cs="Arial"/>
          <w:b/>
          <w:bCs/>
          <w:sz w:val="21"/>
          <w:szCs w:val="21"/>
        </w:rPr>
      </w:pPr>
    </w:p>
    <w:p>
      <w:pPr>
        <w:rPr>
          <w:rFonts w:ascii="宋体" w:hAnsi="宋体" w:cs="Arial"/>
          <w:b/>
          <w:bCs/>
          <w:sz w:val="21"/>
          <w:szCs w:val="21"/>
        </w:rPr>
      </w:pPr>
    </w:p>
    <w:p>
      <w:pPr>
        <w:rPr>
          <w:rFonts w:ascii="宋体" w:hAnsi="宋体" w:cs="Arial"/>
          <w:b/>
          <w:bCs/>
          <w:sz w:val="21"/>
          <w:szCs w:val="21"/>
        </w:rPr>
      </w:pPr>
    </w:p>
    <w:p>
      <w:pPr>
        <w:rPr>
          <w:rFonts w:ascii="宋体" w:hAnsi="宋体" w:cs="Arial"/>
          <w:b/>
          <w:bCs/>
          <w:sz w:val="21"/>
          <w:szCs w:val="21"/>
        </w:rPr>
      </w:pPr>
    </w:p>
    <w:p>
      <w:pPr>
        <w:rPr>
          <w:rFonts w:ascii="宋体" w:hAnsi="宋体" w:cs="Arial"/>
          <w:b/>
          <w:bCs/>
          <w:sz w:val="21"/>
          <w:szCs w:val="21"/>
        </w:rPr>
      </w:pPr>
    </w:p>
    <w:p>
      <w:pPr>
        <w:rPr>
          <w:rFonts w:ascii="宋体" w:hAnsi="宋体" w:cs="Arial"/>
          <w:b/>
          <w:bCs/>
          <w:sz w:val="21"/>
          <w:szCs w:val="21"/>
        </w:rPr>
      </w:pPr>
    </w:p>
    <w:p>
      <w:pPr>
        <w:rPr>
          <w:rFonts w:ascii="宋体" w:hAnsi="宋体" w:cs="Arial"/>
          <w:b/>
          <w:bCs/>
          <w:sz w:val="21"/>
          <w:szCs w:val="21"/>
        </w:rPr>
      </w:pPr>
    </w:p>
    <w:p>
      <w:pPr>
        <w:rPr>
          <w:rFonts w:hint="eastAsia" w:ascii="宋体" w:hAnsi="宋体" w:cs="宋体"/>
          <w:sz w:val="21"/>
          <w:szCs w:val="21"/>
        </w:rPr>
      </w:pPr>
      <w:bookmarkStart w:id="352" w:name="_Toc21313"/>
      <w:bookmarkStart w:id="353" w:name="_Toc489481904"/>
      <w:bookmarkStart w:id="354" w:name="_Toc27514"/>
      <w:bookmarkStart w:id="355" w:name="_Toc6894"/>
      <w:bookmarkStart w:id="356" w:name="_Toc19044"/>
      <w:bookmarkStart w:id="357" w:name="_Toc22895"/>
      <w:bookmarkStart w:id="358" w:name="_Toc12829"/>
      <w:bookmarkStart w:id="359" w:name="_Toc24283"/>
      <w:bookmarkStart w:id="360" w:name="_Toc513456155"/>
      <w:r>
        <w:rPr>
          <w:rFonts w:hint="eastAsia" w:ascii="宋体" w:hAnsi="宋体" w:cs="宋体"/>
          <w:sz w:val="21"/>
          <w:szCs w:val="21"/>
        </w:rPr>
        <w:br w:type="page"/>
      </w:r>
    </w:p>
    <w:p>
      <w:pPr>
        <w:pStyle w:val="4"/>
        <w:ind w:left="0" w:firstLine="0"/>
        <w:rPr>
          <w:rFonts w:ascii="黑体" w:hAnsi="黑体" w:eastAsia="黑体" w:cs="黑体"/>
          <w:b w:val="0"/>
          <w:bCs/>
          <w:sz w:val="21"/>
          <w:szCs w:val="21"/>
        </w:rPr>
      </w:pPr>
      <w:r>
        <w:rPr>
          <w:rFonts w:hint="eastAsia" w:ascii="宋体" w:hAnsi="宋体" w:cs="宋体"/>
          <w:sz w:val="21"/>
          <w:szCs w:val="21"/>
        </w:rPr>
        <w:t>附件</w:t>
      </w:r>
      <w:r>
        <w:rPr>
          <w:rFonts w:hint="eastAsia" w:ascii="宋体" w:hAnsi="宋体" w:cs="宋体"/>
          <w:sz w:val="21"/>
          <w:szCs w:val="21"/>
          <w:lang w:val="en-US" w:eastAsia="zh-CN"/>
        </w:rPr>
        <w:t>10</w:t>
      </w:r>
      <w:r>
        <w:rPr>
          <w:rFonts w:hint="eastAsia" w:ascii="宋体" w:hAnsi="宋体" w:cs="宋体"/>
          <w:sz w:val="21"/>
          <w:szCs w:val="21"/>
        </w:rPr>
        <w:t>：项目负责人简历表</w:t>
      </w:r>
      <w:bookmarkEnd w:id="352"/>
      <w:bookmarkEnd w:id="353"/>
      <w:bookmarkEnd w:id="354"/>
      <w:bookmarkEnd w:id="355"/>
      <w:bookmarkEnd w:id="356"/>
      <w:bookmarkEnd w:id="357"/>
      <w:bookmarkEnd w:id="358"/>
      <w:bookmarkEnd w:id="359"/>
      <w:bookmarkEnd w:id="360"/>
    </w:p>
    <w:p>
      <w:pPr>
        <w:pStyle w:val="12"/>
        <w:ind w:firstLine="213"/>
        <w:rPr>
          <w:sz w:val="21"/>
          <w:szCs w:val="21"/>
        </w:rPr>
      </w:pPr>
    </w:p>
    <w:p>
      <w:pPr>
        <w:snapToGrid w:val="0"/>
        <w:spacing w:beforeLines="50" w:after="50" w:line="360" w:lineRule="auto"/>
        <w:jc w:val="center"/>
        <w:rPr>
          <w:rFonts w:ascii="宋体" w:hAnsi="宋体" w:cs="宋体"/>
          <w:bCs/>
          <w:sz w:val="21"/>
          <w:szCs w:val="21"/>
          <w:lang w:val="zh-CN"/>
        </w:rPr>
      </w:pPr>
      <w:r>
        <w:rPr>
          <w:rFonts w:hint="eastAsia" w:ascii="宋体" w:hAnsi="宋体" w:cs="宋体"/>
          <w:bCs/>
          <w:sz w:val="21"/>
          <w:szCs w:val="21"/>
          <w:lang w:val="zh-CN"/>
        </w:rPr>
        <w:t>项目负责人简历表</w:t>
      </w:r>
    </w:p>
    <w:p>
      <w:pPr>
        <w:pStyle w:val="12"/>
        <w:ind w:firstLine="213"/>
        <w:rPr>
          <w:rFonts w:ascii="黑体" w:hAnsi="黑体" w:eastAsia="黑体" w:cs="黑体"/>
          <w:bCs/>
          <w:sz w:val="21"/>
          <w:szCs w:val="21"/>
        </w:rPr>
      </w:pPr>
    </w:p>
    <w:tbl>
      <w:tblPr>
        <w:tblStyle w:val="26"/>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396"/>
        <w:gridCol w:w="1225"/>
        <w:gridCol w:w="1484"/>
        <w:gridCol w:w="1892"/>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pPr>
              <w:jc w:val="center"/>
              <w:rPr>
                <w:rFonts w:ascii="宋体" w:hAnsi="宋体" w:cs="宋体"/>
                <w:sz w:val="21"/>
                <w:szCs w:val="21"/>
              </w:rPr>
            </w:pPr>
            <w:r>
              <w:rPr>
                <w:rFonts w:hint="eastAsia" w:ascii="宋体" w:hAnsi="宋体" w:cs="宋体"/>
                <w:sz w:val="21"/>
                <w:szCs w:val="21"/>
              </w:rPr>
              <w:t>姓名</w:t>
            </w:r>
          </w:p>
        </w:tc>
        <w:tc>
          <w:tcPr>
            <w:tcW w:w="1396" w:type="dxa"/>
            <w:vAlign w:val="center"/>
          </w:tcPr>
          <w:p>
            <w:pPr>
              <w:jc w:val="center"/>
              <w:rPr>
                <w:rFonts w:ascii="宋体" w:hAnsi="宋体" w:cs="宋体"/>
                <w:sz w:val="21"/>
                <w:szCs w:val="21"/>
              </w:rPr>
            </w:pPr>
          </w:p>
        </w:tc>
        <w:tc>
          <w:tcPr>
            <w:tcW w:w="1225" w:type="dxa"/>
            <w:vAlign w:val="center"/>
          </w:tcPr>
          <w:p>
            <w:pPr>
              <w:jc w:val="center"/>
              <w:rPr>
                <w:rFonts w:ascii="宋体" w:hAnsi="宋体" w:cs="宋体"/>
                <w:sz w:val="21"/>
                <w:szCs w:val="21"/>
              </w:rPr>
            </w:pPr>
            <w:r>
              <w:rPr>
                <w:rFonts w:hint="eastAsia" w:ascii="宋体" w:hAnsi="宋体" w:cs="宋体"/>
                <w:sz w:val="21"/>
                <w:szCs w:val="21"/>
              </w:rPr>
              <w:t>性别</w:t>
            </w:r>
          </w:p>
        </w:tc>
        <w:tc>
          <w:tcPr>
            <w:tcW w:w="1484" w:type="dxa"/>
            <w:vAlign w:val="center"/>
          </w:tcPr>
          <w:p>
            <w:pPr>
              <w:jc w:val="center"/>
              <w:rPr>
                <w:rFonts w:ascii="宋体" w:hAnsi="宋体" w:cs="宋体"/>
                <w:sz w:val="21"/>
                <w:szCs w:val="21"/>
              </w:rPr>
            </w:pPr>
          </w:p>
        </w:tc>
        <w:tc>
          <w:tcPr>
            <w:tcW w:w="1892" w:type="dxa"/>
            <w:vAlign w:val="center"/>
          </w:tcPr>
          <w:p>
            <w:pPr>
              <w:jc w:val="center"/>
              <w:rPr>
                <w:rFonts w:ascii="宋体" w:hAnsi="宋体" w:cs="宋体"/>
                <w:sz w:val="21"/>
                <w:szCs w:val="21"/>
              </w:rPr>
            </w:pPr>
            <w:r>
              <w:rPr>
                <w:rFonts w:hint="eastAsia" w:ascii="宋体" w:hAnsi="宋体" w:cs="宋体"/>
                <w:sz w:val="21"/>
                <w:szCs w:val="21"/>
              </w:rPr>
              <w:t>年龄</w:t>
            </w:r>
          </w:p>
        </w:tc>
        <w:tc>
          <w:tcPr>
            <w:tcW w:w="1880"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pPr>
              <w:jc w:val="center"/>
              <w:rPr>
                <w:rFonts w:ascii="宋体" w:hAnsi="宋体" w:cs="宋体"/>
                <w:sz w:val="21"/>
                <w:szCs w:val="21"/>
              </w:rPr>
            </w:pPr>
            <w:r>
              <w:rPr>
                <w:rFonts w:hint="eastAsia" w:ascii="宋体" w:hAnsi="宋体" w:cs="宋体"/>
                <w:sz w:val="21"/>
                <w:szCs w:val="21"/>
              </w:rPr>
              <w:t>职务</w:t>
            </w:r>
          </w:p>
        </w:tc>
        <w:tc>
          <w:tcPr>
            <w:tcW w:w="1396" w:type="dxa"/>
            <w:vAlign w:val="center"/>
          </w:tcPr>
          <w:p>
            <w:pPr>
              <w:jc w:val="center"/>
              <w:rPr>
                <w:rFonts w:ascii="宋体" w:hAnsi="宋体" w:cs="宋体"/>
                <w:sz w:val="21"/>
                <w:szCs w:val="21"/>
              </w:rPr>
            </w:pPr>
          </w:p>
        </w:tc>
        <w:tc>
          <w:tcPr>
            <w:tcW w:w="1225" w:type="dxa"/>
            <w:vAlign w:val="center"/>
          </w:tcPr>
          <w:p>
            <w:pPr>
              <w:jc w:val="center"/>
              <w:rPr>
                <w:rFonts w:ascii="宋体" w:hAnsi="宋体" w:cs="宋体"/>
                <w:sz w:val="21"/>
                <w:szCs w:val="21"/>
              </w:rPr>
            </w:pPr>
            <w:r>
              <w:rPr>
                <w:rFonts w:hint="eastAsia" w:ascii="宋体" w:hAnsi="宋体" w:cs="宋体"/>
                <w:sz w:val="21"/>
                <w:szCs w:val="21"/>
              </w:rPr>
              <w:t>职称</w:t>
            </w:r>
          </w:p>
        </w:tc>
        <w:tc>
          <w:tcPr>
            <w:tcW w:w="1484" w:type="dxa"/>
            <w:vAlign w:val="center"/>
          </w:tcPr>
          <w:p>
            <w:pPr>
              <w:jc w:val="center"/>
              <w:rPr>
                <w:rFonts w:ascii="宋体" w:hAnsi="宋体" w:cs="宋体"/>
                <w:sz w:val="21"/>
                <w:szCs w:val="21"/>
              </w:rPr>
            </w:pPr>
          </w:p>
        </w:tc>
        <w:tc>
          <w:tcPr>
            <w:tcW w:w="1892" w:type="dxa"/>
            <w:vAlign w:val="center"/>
          </w:tcPr>
          <w:p>
            <w:pPr>
              <w:jc w:val="center"/>
              <w:rPr>
                <w:rFonts w:ascii="宋体" w:hAnsi="宋体" w:cs="宋体"/>
                <w:sz w:val="21"/>
                <w:szCs w:val="21"/>
              </w:rPr>
            </w:pPr>
            <w:r>
              <w:rPr>
                <w:rFonts w:hint="eastAsia" w:ascii="宋体" w:hAnsi="宋体" w:cs="宋体"/>
                <w:sz w:val="21"/>
                <w:szCs w:val="21"/>
              </w:rPr>
              <w:t>学历</w:t>
            </w:r>
          </w:p>
        </w:tc>
        <w:tc>
          <w:tcPr>
            <w:tcW w:w="1880"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pPr>
              <w:jc w:val="center"/>
              <w:rPr>
                <w:rFonts w:ascii="宋体" w:hAnsi="宋体" w:cs="宋体"/>
                <w:sz w:val="21"/>
                <w:szCs w:val="21"/>
              </w:rPr>
            </w:pPr>
            <w:r>
              <w:rPr>
                <w:rFonts w:hint="eastAsia" w:ascii="宋体" w:hAnsi="宋体" w:cs="宋体"/>
                <w:sz w:val="21"/>
                <w:szCs w:val="21"/>
              </w:rPr>
              <w:t>参加工作时间</w:t>
            </w:r>
          </w:p>
        </w:tc>
        <w:tc>
          <w:tcPr>
            <w:tcW w:w="2621" w:type="dxa"/>
            <w:gridSpan w:val="2"/>
            <w:vAlign w:val="center"/>
          </w:tcPr>
          <w:p>
            <w:pPr>
              <w:jc w:val="center"/>
              <w:rPr>
                <w:rFonts w:ascii="宋体" w:hAnsi="宋体" w:cs="宋体"/>
                <w:sz w:val="21"/>
                <w:szCs w:val="21"/>
              </w:rPr>
            </w:pPr>
          </w:p>
        </w:tc>
        <w:tc>
          <w:tcPr>
            <w:tcW w:w="3376" w:type="dxa"/>
            <w:gridSpan w:val="2"/>
            <w:vAlign w:val="center"/>
          </w:tcPr>
          <w:p>
            <w:pPr>
              <w:jc w:val="center"/>
              <w:rPr>
                <w:rFonts w:ascii="宋体" w:hAnsi="宋体" w:cs="宋体"/>
                <w:sz w:val="21"/>
                <w:szCs w:val="21"/>
              </w:rPr>
            </w:pPr>
            <w:r>
              <w:rPr>
                <w:rFonts w:hint="eastAsia" w:ascii="宋体" w:hAnsi="宋体" w:cs="宋体"/>
                <w:sz w:val="21"/>
                <w:szCs w:val="21"/>
              </w:rPr>
              <w:t>从事年限</w:t>
            </w:r>
          </w:p>
        </w:tc>
        <w:tc>
          <w:tcPr>
            <w:tcW w:w="1880"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722" w:type="dxa"/>
            <w:gridSpan w:val="6"/>
            <w:vAlign w:val="center"/>
          </w:tcPr>
          <w:p>
            <w:pPr>
              <w:rPr>
                <w:rFonts w:ascii="宋体" w:hAnsi="宋体" w:cs="宋体"/>
                <w:sz w:val="21"/>
                <w:szCs w:val="21"/>
              </w:rPr>
            </w:pPr>
            <w:r>
              <w:rPr>
                <w:rFonts w:hint="eastAsia" w:ascii="宋体" w:hAnsi="宋体" w:cs="宋体"/>
                <w:sz w:val="21"/>
                <w:szCs w:val="21"/>
              </w:rPr>
              <w:t>已完成项目服务情况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pPr>
              <w:jc w:val="center"/>
              <w:rPr>
                <w:rFonts w:ascii="宋体" w:hAnsi="宋体" w:cs="宋体"/>
                <w:sz w:val="21"/>
                <w:szCs w:val="21"/>
              </w:rPr>
            </w:pPr>
            <w:r>
              <w:rPr>
                <w:rFonts w:hint="eastAsia" w:ascii="宋体" w:hAnsi="宋体" w:cs="宋体"/>
                <w:sz w:val="21"/>
                <w:szCs w:val="21"/>
              </w:rPr>
              <w:t>服务单位</w:t>
            </w:r>
          </w:p>
        </w:tc>
        <w:tc>
          <w:tcPr>
            <w:tcW w:w="1396" w:type="dxa"/>
            <w:vAlign w:val="center"/>
          </w:tcPr>
          <w:p>
            <w:pPr>
              <w:jc w:val="center"/>
              <w:rPr>
                <w:rFonts w:ascii="宋体" w:hAnsi="宋体" w:cs="宋体"/>
                <w:sz w:val="21"/>
                <w:szCs w:val="21"/>
              </w:rPr>
            </w:pPr>
            <w:r>
              <w:rPr>
                <w:rFonts w:hint="eastAsia" w:ascii="宋体" w:hAnsi="宋体" w:cs="宋体"/>
                <w:sz w:val="21"/>
                <w:szCs w:val="21"/>
              </w:rPr>
              <w:t>项目名称</w:t>
            </w:r>
          </w:p>
        </w:tc>
        <w:tc>
          <w:tcPr>
            <w:tcW w:w="1225" w:type="dxa"/>
            <w:vAlign w:val="center"/>
          </w:tcPr>
          <w:p>
            <w:pPr>
              <w:jc w:val="center"/>
              <w:rPr>
                <w:rFonts w:ascii="宋体" w:hAnsi="宋体" w:cs="宋体"/>
                <w:sz w:val="21"/>
                <w:szCs w:val="21"/>
              </w:rPr>
            </w:pPr>
            <w:r>
              <w:rPr>
                <w:rFonts w:hint="eastAsia" w:ascii="宋体" w:hAnsi="宋体" w:cs="宋体"/>
                <w:sz w:val="21"/>
                <w:szCs w:val="21"/>
              </w:rPr>
              <w:t>服务规模</w:t>
            </w:r>
          </w:p>
        </w:tc>
        <w:tc>
          <w:tcPr>
            <w:tcW w:w="1484" w:type="dxa"/>
            <w:vAlign w:val="center"/>
          </w:tcPr>
          <w:p>
            <w:pPr>
              <w:jc w:val="center"/>
              <w:rPr>
                <w:rFonts w:ascii="宋体" w:hAnsi="宋体" w:cs="宋体"/>
                <w:sz w:val="21"/>
                <w:szCs w:val="21"/>
              </w:rPr>
            </w:pPr>
            <w:r>
              <w:rPr>
                <w:rFonts w:hint="eastAsia" w:ascii="宋体" w:hAnsi="宋体" w:cs="宋体"/>
                <w:sz w:val="21"/>
                <w:szCs w:val="21"/>
              </w:rPr>
              <w:t>起始日期</w:t>
            </w:r>
          </w:p>
        </w:tc>
        <w:tc>
          <w:tcPr>
            <w:tcW w:w="1892" w:type="dxa"/>
            <w:vAlign w:val="center"/>
          </w:tcPr>
          <w:p>
            <w:pPr>
              <w:jc w:val="center"/>
              <w:rPr>
                <w:rFonts w:ascii="宋体" w:hAnsi="宋体" w:cs="宋体"/>
                <w:sz w:val="21"/>
                <w:szCs w:val="21"/>
              </w:rPr>
            </w:pPr>
            <w:r>
              <w:rPr>
                <w:rFonts w:hint="eastAsia" w:ascii="宋体" w:hAnsi="宋体" w:cs="宋体"/>
                <w:sz w:val="21"/>
                <w:szCs w:val="21"/>
              </w:rPr>
              <w:t>在服务</w:t>
            </w:r>
          </w:p>
          <w:p>
            <w:pPr>
              <w:jc w:val="center"/>
              <w:rPr>
                <w:rFonts w:ascii="宋体" w:hAnsi="宋体" w:cs="宋体"/>
                <w:sz w:val="21"/>
                <w:szCs w:val="21"/>
              </w:rPr>
            </w:pPr>
            <w:r>
              <w:rPr>
                <w:rFonts w:hint="eastAsia" w:ascii="宋体" w:hAnsi="宋体" w:cs="宋体"/>
                <w:sz w:val="21"/>
                <w:szCs w:val="21"/>
              </w:rPr>
              <w:t>或已完成</w:t>
            </w:r>
          </w:p>
        </w:tc>
        <w:tc>
          <w:tcPr>
            <w:tcW w:w="1880" w:type="dxa"/>
            <w:vAlign w:val="center"/>
          </w:tcPr>
          <w:p>
            <w:pPr>
              <w:ind w:firstLine="106" w:firstLineChars="50"/>
              <w:jc w:val="center"/>
              <w:rPr>
                <w:rFonts w:ascii="宋体" w:hAnsi="宋体" w:cs="宋体"/>
                <w:sz w:val="21"/>
                <w:szCs w:val="21"/>
              </w:rPr>
            </w:pPr>
            <w:r>
              <w:rPr>
                <w:rFonts w:hint="eastAsia" w:ascii="宋体" w:hAnsi="宋体" w:cs="宋体"/>
                <w:sz w:val="21"/>
                <w:szCs w:val="21"/>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pPr>
              <w:rPr>
                <w:rFonts w:ascii="宋体" w:hAnsi="宋体" w:cs="宋体"/>
                <w:sz w:val="21"/>
                <w:szCs w:val="21"/>
              </w:rPr>
            </w:pPr>
          </w:p>
        </w:tc>
        <w:tc>
          <w:tcPr>
            <w:tcW w:w="1396" w:type="dxa"/>
            <w:vAlign w:val="center"/>
          </w:tcPr>
          <w:p>
            <w:pPr>
              <w:rPr>
                <w:rFonts w:ascii="宋体" w:hAnsi="宋体" w:cs="宋体"/>
                <w:sz w:val="21"/>
                <w:szCs w:val="21"/>
              </w:rPr>
            </w:pPr>
          </w:p>
        </w:tc>
        <w:tc>
          <w:tcPr>
            <w:tcW w:w="1225" w:type="dxa"/>
            <w:vAlign w:val="center"/>
          </w:tcPr>
          <w:p>
            <w:pPr>
              <w:rPr>
                <w:rFonts w:ascii="宋体" w:hAnsi="宋体" w:cs="宋体"/>
                <w:sz w:val="21"/>
                <w:szCs w:val="21"/>
              </w:rPr>
            </w:pPr>
          </w:p>
        </w:tc>
        <w:tc>
          <w:tcPr>
            <w:tcW w:w="1484" w:type="dxa"/>
            <w:vAlign w:val="center"/>
          </w:tcPr>
          <w:p>
            <w:pPr>
              <w:rPr>
                <w:rFonts w:ascii="宋体" w:hAnsi="宋体" w:cs="宋体"/>
                <w:sz w:val="21"/>
                <w:szCs w:val="21"/>
              </w:rPr>
            </w:pPr>
          </w:p>
        </w:tc>
        <w:tc>
          <w:tcPr>
            <w:tcW w:w="1892" w:type="dxa"/>
            <w:vAlign w:val="center"/>
          </w:tcPr>
          <w:p>
            <w:pPr>
              <w:rPr>
                <w:rFonts w:ascii="宋体" w:hAnsi="宋体" w:cs="宋体"/>
                <w:sz w:val="21"/>
                <w:szCs w:val="21"/>
              </w:rPr>
            </w:pPr>
          </w:p>
        </w:tc>
        <w:tc>
          <w:tcPr>
            <w:tcW w:w="1880"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pPr>
              <w:rPr>
                <w:rFonts w:ascii="宋体" w:hAnsi="宋体" w:cs="宋体"/>
                <w:sz w:val="21"/>
                <w:szCs w:val="21"/>
              </w:rPr>
            </w:pPr>
          </w:p>
        </w:tc>
        <w:tc>
          <w:tcPr>
            <w:tcW w:w="1396" w:type="dxa"/>
            <w:vAlign w:val="center"/>
          </w:tcPr>
          <w:p>
            <w:pPr>
              <w:rPr>
                <w:rFonts w:ascii="宋体" w:hAnsi="宋体" w:cs="宋体"/>
                <w:sz w:val="21"/>
                <w:szCs w:val="21"/>
              </w:rPr>
            </w:pPr>
          </w:p>
        </w:tc>
        <w:tc>
          <w:tcPr>
            <w:tcW w:w="1225" w:type="dxa"/>
            <w:vAlign w:val="center"/>
          </w:tcPr>
          <w:p>
            <w:pPr>
              <w:rPr>
                <w:rFonts w:ascii="宋体" w:hAnsi="宋体" w:cs="宋体"/>
                <w:sz w:val="21"/>
                <w:szCs w:val="21"/>
              </w:rPr>
            </w:pPr>
          </w:p>
        </w:tc>
        <w:tc>
          <w:tcPr>
            <w:tcW w:w="1484" w:type="dxa"/>
            <w:vAlign w:val="center"/>
          </w:tcPr>
          <w:p>
            <w:pPr>
              <w:rPr>
                <w:rFonts w:ascii="宋体" w:hAnsi="宋体" w:cs="宋体"/>
                <w:sz w:val="21"/>
                <w:szCs w:val="21"/>
              </w:rPr>
            </w:pPr>
          </w:p>
        </w:tc>
        <w:tc>
          <w:tcPr>
            <w:tcW w:w="1892" w:type="dxa"/>
            <w:vAlign w:val="center"/>
          </w:tcPr>
          <w:p>
            <w:pPr>
              <w:rPr>
                <w:rFonts w:ascii="宋体" w:hAnsi="宋体" w:cs="宋体"/>
                <w:sz w:val="21"/>
                <w:szCs w:val="21"/>
              </w:rPr>
            </w:pPr>
          </w:p>
        </w:tc>
        <w:tc>
          <w:tcPr>
            <w:tcW w:w="1880"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pPr>
              <w:rPr>
                <w:rFonts w:ascii="宋体" w:hAnsi="宋体" w:cs="宋体"/>
                <w:sz w:val="21"/>
                <w:szCs w:val="21"/>
              </w:rPr>
            </w:pPr>
          </w:p>
        </w:tc>
        <w:tc>
          <w:tcPr>
            <w:tcW w:w="1396" w:type="dxa"/>
            <w:vAlign w:val="center"/>
          </w:tcPr>
          <w:p>
            <w:pPr>
              <w:rPr>
                <w:rFonts w:ascii="宋体" w:hAnsi="宋体" w:cs="宋体"/>
                <w:sz w:val="21"/>
                <w:szCs w:val="21"/>
              </w:rPr>
            </w:pPr>
          </w:p>
        </w:tc>
        <w:tc>
          <w:tcPr>
            <w:tcW w:w="1225" w:type="dxa"/>
            <w:vAlign w:val="center"/>
          </w:tcPr>
          <w:p>
            <w:pPr>
              <w:rPr>
                <w:rFonts w:ascii="宋体" w:hAnsi="宋体" w:cs="宋体"/>
                <w:sz w:val="21"/>
                <w:szCs w:val="21"/>
              </w:rPr>
            </w:pPr>
          </w:p>
        </w:tc>
        <w:tc>
          <w:tcPr>
            <w:tcW w:w="1484" w:type="dxa"/>
            <w:vAlign w:val="center"/>
          </w:tcPr>
          <w:p>
            <w:pPr>
              <w:rPr>
                <w:rFonts w:ascii="宋体" w:hAnsi="宋体" w:cs="宋体"/>
                <w:sz w:val="21"/>
                <w:szCs w:val="21"/>
              </w:rPr>
            </w:pPr>
          </w:p>
        </w:tc>
        <w:tc>
          <w:tcPr>
            <w:tcW w:w="1892" w:type="dxa"/>
            <w:vAlign w:val="center"/>
          </w:tcPr>
          <w:p>
            <w:pPr>
              <w:rPr>
                <w:rFonts w:ascii="宋体" w:hAnsi="宋体" w:cs="宋体"/>
                <w:sz w:val="21"/>
                <w:szCs w:val="21"/>
              </w:rPr>
            </w:pPr>
          </w:p>
        </w:tc>
        <w:tc>
          <w:tcPr>
            <w:tcW w:w="1880" w:type="dxa"/>
            <w:vAlign w:val="center"/>
          </w:tcPr>
          <w:p>
            <w:pPr>
              <w:rPr>
                <w:rFonts w:ascii="宋体" w:hAnsi="宋体" w:cs="宋体"/>
                <w:sz w:val="21"/>
                <w:szCs w:val="21"/>
              </w:rPr>
            </w:pPr>
          </w:p>
        </w:tc>
      </w:tr>
    </w:tbl>
    <w:p>
      <w:pPr>
        <w:ind w:left="-624" w:leftChars="-257" w:firstLine="639" w:firstLineChars="300"/>
        <w:jc w:val="left"/>
        <w:rPr>
          <w:rFonts w:ascii="宋体" w:hAnsi="宋体" w:cs="宋体"/>
          <w:b/>
          <w:bCs/>
          <w:sz w:val="21"/>
          <w:szCs w:val="21"/>
        </w:rPr>
      </w:pPr>
      <w:r>
        <w:rPr>
          <w:rFonts w:hint="eastAsia" w:ascii="宋体" w:hAnsi="宋体" w:cs="宋体"/>
          <w:b/>
          <w:bCs/>
          <w:sz w:val="21"/>
          <w:szCs w:val="21"/>
        </w:rPr>
        <w:t>注：按招标文件要求提供相关证明材料并加盖CA 签章。</w:t>
      </w:r>
    </w:p>
    <w:p>
      <w:pPr>
        <w:jc w:val="left"/>
        <w:rPr>
          <w:rFonts w:ascii="宋体" w:hAnsi="宋体" w:cs="宋体"/>
          <w:sz w:val="21"/>
          <w:szCs w:val="21"/>
        </w:rPr>
      </w:pPr>
    </w:p>
    <w:p>
      <w:pPr>
        <w:jc w:val="left"/>
        <w:rPr>
          <w:rFonts w:ascii="宋体" w:hAnsi="宋体" w:cs="宋体"/>
          <w:sz w:val="21"/>
          <w:szCs w:val="21"/>
        </w:rPr>
      </w:pPr>
    </w:p>
    <w:p>
      <w:pPr>
        <w:jc w:val="left"/>
        <w:rPr>
          <w:rFonts w:ascii="宋体" w:hAnsi="宋体" w:cs="宋体"/>
          <w:sz w:val="21"/>
          <w:szCs w:val="21"/>
        </w:rPr>
      </w:pPr>
    </w:p>
    <w:p>
      <w:pPr>
        <w:snapToGrid w:val="0"/>
        <w:spacing w:before="50" w:after="50" w:line="600" w:lineRule="exact"/>
        <w:rPr>
          <w:rFonts w:ascii="宋体" w:hAnsi="宋体" w:cs="宋体"/>
          <w:spacing w:val="20"/>
          <w:sz w:val="21"/>
          <w:szCs w:val="21"/>
          <w:u w:val="single"/>
        </w:rPr>
      </w:pPr>
      <w:r>
        <w:rPr>
          <w:rFonts w:hint="eastAsia" w:ascii="宋体" w:hAnsi="宋体" w:cs="宋体"/>
          <w:sz w:val="21"/>
          <w:szCs w:val="21"/>
        </w:rPr>
        <w:t xml:space="preserve"> 法定代表人或授权委托人</w:t>
      </w:r>
      <w:r>
        <w:rPr>
          <w:rFonts w:hint="eastAsia" w:ascii="宋体" w:hAnsi="宋体" w:cs="宋体"/>
          <w:spacing w:val="20"/>
          <w:sz w:val="21"/>
          <w:szCs w:val="21"/>
        </w:rPr>
        <w:t>签名：</w:t>
      </w:r>
      <w:r>
        <w:rPr>
          <w:rFonts w:hint="eastAsia" w:ascii="宋体" w:hAnsi="宋体" w:cs="宋体"/>
          <w:spacing w:val="20"/>
          <w:sz w:val="21"/>
          <w:szCs w:val="21"/>
          <w:u w:val="single"/>
        </w:rPr>
        <w:t xml:space="preserve">         </w:t>
      </w:r>
    </w:p>
    <w:p>
      <w:pPr>
        <w:snapToGrid w:val="0"/>
        <w:spacing w:before="50" w:after="50" w:line="600" w:lineRule="exact"/>
        <w:rPr>
          <w:rFonts w:ascii="宋体" w:hAnsi="宋体" w:cs="宋体"/>
          <w:spacing w:val="20"/>
          <w:sz w:val="21"/>
          <w:szCs w:val="21"/>
        </w:rPr>
      </w:pPr>
      <w:r>
        <w:rPr>
          <w:rFonts w:hint="eastAsia" w:ascii="宋体" w:hAnsi="宋体" w:cs="宋体"/>
          <w:spacing w:val="20"/>
          <w:sz w:val="21"/>
          <w:szCs w:val="21"/>
        </w:rPr>
        <w:t xml:space="preserve"> 投标人名称（盖章）：</w:t>
      </w:r>
      <w:r>
        <w:rPr>
          <w:rFonts w:hint="eastAsia" w:ascii="宋体" w:hAnsi="宋体" w:cs="宋体"/>
          <w:spacing w:val="20"/>
          <w:sz w:val="21"/>
          <w:szCs w:val="21"/>
          <w:u w:val="single"/>
        </w:rPr>
        <w:t xml:space="preserve">              </w:t>
      </w:r>
      <w:r>
        <w:rPr>
          <w:rFonts w:hint="eastAsia" w:ascii="宋体" w:hAnsi="宋体" w:cs="宋体"/>
          <w:spacing w:val="20"/>
          <w:sz w:val="21"/>
          <w:szCs w:val="21"/>
        </w:rPr>
        <w:t xml:space="preserve">             </w:t>
      </w:r>
    </w:p>
    <w:p>
      <w:pPr>
        <w:snapToGrid w:val="0"/>
        <w:spacing w:before="50" w:after="50" w:line="600" w:lineRule="exact"/>
        <w:rPr>
          <w:rFonts w:ascii="宋体" w:hAnsi="宋体" w:cs="宋体"/>
          <w:sz w:val="21"/>
          <w:szCs w:val="21"/>
        </w:rPr>
      </w:pPr>
      <w:r>
        <w:rPr>
          <w:rFonts w:hint="eastAsia" w:ascii="宋体" w:hAnsi="宋体" w:cs="宋体"/>
          <w:spacing w:val="20"/>
          <w:sz w:val="21"/>
          <w:szCs w:val="21"/>
        </w:rPr>
        <w:t xml:space="preserve"> 日           期：</w:t>
      </w:r>
      <w:r>
        <w:rPr>
          <w:rFonts w:hint="eastAsia" w:ascii="宋体" w:hAnsi="宋体" w:cs="宋体"/>
          <w:spacing w:val="20"/>
          <w:sz w:val="21"/>
          <w:szCs w:val="21"/>
          <w:u w:val="single"/>
        </w:rPr>
        <w:t xml:space="preserve">               </w:t>
      </w:r>
    </w:p>
    <w:p>
      <w:pPr>
        <w:rPr>
          <w:rFonts w:ascii="宋体" w:hAnsi="宋体" w:cs="Arial"/>
          <w:b/>
          <w:bCs/>
          <w:sz w:val="21"/>
          <w:szCs w:val="21"/>
        </w:rPr>
      </w:pPr>
      <w:r>
        <w:rPr>
          <w:rFonts w:hint="eastAsia" w:ascii="宋体" w:hAnsi="宋体" w:cs="Arial"/>
          <w:b/>
          <w:bCs/>
          <w:sz w:val="21"/>
          <w:szCs w:val="21"/>
        </w:rPr>
        <w:t>注：</w:t>
      </w:r>
      <w:r>
        <w:rPr>
          <w:rFonts w:ascii="宋体" w:hAnsi="宋体" w:cs="Arial"/>
          <w:b/>
          <w:bCs/>
          <w:sz w:val="21"/>
          <w:szCs w:val="21"/>
        </w:rPr>
        <w:t>此表仅提供了表格形式，投标人可按此表格格式进行扩展。</w:t>
      </w:r>
    </w:p>
    <w:p>
      <w:pPr>
        <w:pStyle w:val="6"/>
        <w:spacing w:before="167" w:after="167"/>
        <w:ind w:firstLine="105"/>
        <w:rPr>
          <w:sz w:val="21"/>
          <w:szCs w:val="21"/>
        </w:rPr>
      </w:pPr>
    </w:p>
    <w:p>
      <w:pPr>
        <w:snapToGrid w:val="0"/>
        <w:rPr>
          <w:rStyle w:val="43"/>
          <w:rFonts w:ascii="宋体" w:hAnsi="宋体" w:cs="宋体"/>
          <w:b/>
          <w:bCs/>
          <w:sz w:val="21"/>
          <w:szCs w:val="21"/>
        </w:rPr>
      </w:pPr>
      <w:r>
        <w:rPr>
          <w:rFonts w:hint="eastAsia"/>
          <w:sz w:val="21"/>
          <w:szCs w:val="21"/>
        </w:rPr>
        <w:br w:type="page"/>
      </w:r>
    </w:p>
    <w:p>
      <w:pPr>
        <w:snapToGrid w:val="0"/>
        <w:outlineLvl w:val="1"/>
        <w:rPr>
          <w:rStyle w:val="43"/>
          <w:rFonts w:ascii="黑体" w:hAnsi="黑体" w:eastAsia="黑体" w:cs="黑体"/>
          <w:bCs/>
          <w:sz w:val="21"/>
          <w:szCs w:val="21"/>
        </w:rPr>
      </w:pPr>
      <w:r>
        <w:rPr>
          <w:rStyle w:val="43"/>
          <w:rFonts w:ascii="宋体" w:hAnsi="宋体" w:cs="宋体"/>
          <w:b/>
          <w:bCs/>
          <w:sz w:val="21"/>
          <w:szCs w:val="21"/>
        </w:rPr>
        <w:t>附件1</w:t>
      </w:r>
      <w:r>
        <w:rPr>
          <w:rStyle w:val="43"/>
          <w:rFonts w:hint="eastAsia" w:ascii="宋体" w:hAnsi="宋体" w:cs="宋体"/>
          <w:b/>
          <w:bCs/>
          <w:sz w:val="21"/>
          <w:szCs w:val="21"/>
          <w:lang w:val="en-US" w:eastAsia="zh-CN"/>
        </w:rPr>
        <w:t>1</w:t>
      </w:r>
      <w:r>
        <w:rPr>
          <w:rStyle w:val="43"/>
          <w:rFonts w:ascii="宋体" w:hAnsi="宋体" w:cs="宋体"/>
          <w:b/>
          <w:bCs/>
          <w:sz w:val="21"/>
          <w:szCs w:val="21"/>
        </w:rPr>
        <w:t>：商务资信响应表</w:t>
      </w:r>
    </w:p>
    <w:p>
      <w:pPr>
        <w:snapToGrid w:val="0"/>
        <w:spacing w:line="360" w:lineRule="auto"/>
        <w:rPr>
          <w:rStyle w:val="43"/>
          <w:rFonts w:ascii="Arial" w:hAnsi="Arial"/>
          <w:b/>
          <w:sz w:val="21"/>
          <w:szCs w:val="21"/>
        </w:rPr>
      </w:pPr>
    </w:p>
    <w:p>
      <w:pPr>
        <w:snapToGrid w:val="0"/>
        <w:jc w:val="center"/>
        <w:rPr>
          <w:rStyle w:val="43"/>
          <w:rFonts w:ascii="宋体" w:cs="Calibri"/>
          <w:b/>
          <w:bCs/>
          <w:sz w:val="21"/>
          <w:szCs w:val="21"/>
        </w:rPr>
      </w:pPr>
    </w:p>
    <w:p>
      <w:pPr>
        <w:snapToGrid w:val="0"/>
        <w:jc w:val="center"/>
        <w:rPr>
          <w:rStyle w:val="43"/>
          <w:rFonts w:ascii="宋体" w:hAnsi="宋体" w:cs="宋体"/>
          <w:b/>
          <w:bCs/>
          <w:sz w:val="21"/>
          <w:szCs w:val="21"/>
          <w:lang w:val="zh-CN"/>
        </w:rPr>
      </w:pPr>
      <w:r>
        <w:rPr>
          <w:rStyle w:val="43"/>
          <w:rFonts w:ascii="宋体" w:hAnsi="宋体" w:cs="宋体"/>
          <w:b/>
          <w:bCs/>
          <w:sz w:val="21"/>
          <w:szCs w:val="21"/>
          <w:lang w:val="zh-CN"/>
        </w:rPr>
        <w:t>商务资信响应表</w:t>
      </w:r>
    </w:p>
    <w:p>
      <w:pPr>
        <w:pStyle w:val="64"/>
        <w:snapToGrid w:val="0"/>
        <w:spacing w:line="360" w:lineRule="auto"/>
        <w:ind w:firstLine="0"/>
        <w:rPr>
          <w:rStyle w:val="43"/>
          <w:rFonts w:ascii="宋体" w:hAnsi="宋体" w:cs="Calibri"/>
          <w:bCs/>
          <w:szCs w:val="21"/>
        </w:rPr>
      </w:pPr>
    </w:p>
    <w:p>
      <w:pPr>
        <w:snapToGrid w:val="0"/>
        <w:spacing w:line="360" w:lineRule="auto"/>
        <w:ind w:firstLine="480"/>
        <w:rPr>
          <w:rStyle w:val="43"/>
          <w:rFonts w:ascii="宋体" w:hAnsi="宋体"/>
          <w:sz w:val="21"/>
          <w:szCs w:val="21"/>
        </w:rPr>
      </w:pPr>
      <w:r>
        <w:rPr>
          <w:rStyle w:val="43"/>
          <w:rFonts w:ascii="宋体" w:hAnsi="宋体"/>
          <w:sz w:val="21"/>
          <w:szCs w:val="21"/>
        </w:rPr>
        <w:t>项目名称：</w:t>
      </w:r>
    </w:p>
    <w:p>
      <w:pPr>
        <w:snapToGrid w:val="0"/>
        <w:spacing w:line="360" w:lineRule="auto"/>
        <w:ind w:firstLine="480"/>
        <w:rPr>
          <w:rStyle w:val="43"/>
          <w:rFonts w:ascii="宋体" w:hAnsi="宋体"/>
          <w:sz w:val="21"/>
          <w:szCs w:val="21"/>
        </w:rPr>
      </w:pPr>
      <w:r>
        <w:rPr>
          <w:rStyle w:val="43"/>
          <w:rFonts w:ascii="宋体" w:hAnsi="宋体"/>
          <w:sz w:val="21"/>
          <w:szCs w:val="21"/>
        </w:rPr>
        <w:t>标项：</w:t>
      </w:r>
    </w:p>
    <w:p>
      <w:pPr>
        <w:snapToGrid w:val="0"/>
        <w:spacing w:line="360" w:lineRule="auto"/>
        <w:ind w:firstLine="480"/>
        <w:rPr>
          <w:rStyle w:val="43"/>
          <w:rFonts w:ascii="宋体" w:hAnsi="宋体"/>
          <w:sz w:val="21"/>
          <w:szCs w:val="21"/>
        </w:rPr>
      </w:pPr>
      <w:r>
        <w:rPr>
          <w:rStyle w:val="43"/>
          <w:rFonts w:ascii="宋体" w:hAnsi="宋体"/>
          <w:sz w:val="21"/>
          <w:szCs w:val="21"/>
        </w:rPr>
        <w:t xml:space="preserve">编号： </w:t>
      </w:r>
    </w:p>
    <w:tbl>
      <w:tblPr>
        <w:tblStyle w:val="26"/>
        <w:tblW w:w="9645" w:type="dxa"/>
        <w:tblInd w:w="47" w:type="dxa"/>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2280"/>
        <w:gridCol w:w="2730"/>
        <w:gridCol w:w="2175"/>
        <w:gridCol w:w="2460"/>
      </w:tblGrid>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42" w:hRule="atLeast"/>
        </w:trPr>
        <w:tc>
          <w:tcPr>
            <w:tcW w:w="2280"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3"/>
                <w:rFonts w:ascii="宋体" w:hAnsi="宋体"/>
                <w:sz w:val="21"/>
                <w:szCs w:val="21"/>
              </w:rPr>
            </w:pPr>
            <w:r>
              <w:rPr>
                <w:rFonts w:hint="eastAsia" w:ascii="宋体" w:hAnsi="宋体" w:cs="宋体"/>
                <w:sz w:val="21"/>
                <w:szCs w:val="21"/>
              </w:rPr>
              <w:t>条目号</w:t>
            </w:r>
          </w:p>
        </w:tc>
        <w:tc>
          <w:tcPr>
            <w:tcW w:w="2730"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3"/>
                <w:rFonts w:ascii="宋体" w:hAnsi="宋体"/>
                <w:sz w:val="21"/>
                <w:szCs w:val="21"/>
              </w:rPr>
            </w:pPr>
            <w:r>
              <w:rPr>
                <w:rStyle w:val="43"/>
                <w:rFonts w:ascii="宋体" w:hAnsi="宋体"/>
                <w:sz w:val="21"/>
                <w:szCs w:val="21"/>
              </w:rPr>
              <w:t>采购文件要求</w:t>
            </w:r>
          </w:p>
        </w:tc>
        <w:tc>
          <w:tcPr>
            <w:tcW w:w="217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3"/>
                <w:rFonts w:ascii="宋体" w:hAnsi="宋体"/>
                <w:sz w:val="21"/>
                <w:szCs w:val="21"/>
              </w:rPr>
            </w:pPr>
            <w:r>
              <w:rPr>
                <w:rStyle w:val="43"/>
                <w:rFonts w:ascii="宋体" w:hAnsi="宋体"/>
                <w:sz w:val="21"/>
                <w:szCs w:val="21"/>
              </w:rPr>
              <w:t>是否响应</w:t>
            </w:r>
          </w:p>
        </w:tc>
        <w:tc>
          <w:tcPr>
            <w:tcW w:w="2460"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3"/>
                <w:rFonts w:ascii="宋体" w:hAnsi="宋体"/>
                <w:sz w:val="21"/>
                <w:szCs w:val="21"/>
              </w:rPr>
            </w:pPr>
            <w:r>
              <w:rPr>
                <w:rStyle w:val="43"/>
                <w:rFonts w:ascii="宋体" w:hAnsi="宋体"/>
                <w:sz w:val="21"/>
                <w:szCs w:val="21"/>
              </w:rPr>
              <w:t>投标人的承诺或说明</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33" w:hRule="atLeast"/>
        </w:trPr>
        <w:tc>
          <w:tcPr>
            <w:tcW w:w="2280" w:type="dxa"/>
            <w:tcBorders>
              <w:top w:val="single" w:color="000000" w:sz="4" w:space="0"/>
              <w:left w:val="single" w:color="000000" w:sz="4" w:space="0"/>
              <w:bottom w:val="outset" w:color="000000" w:sz="6" w:space="0"/>
              <w:right w:val="single" w:color="000000" w:sz="4" w:space="0"/>
            </w:tcBorders>
            <w:vAlign w:val="center"/>
          </w:tcPr>
          <w:p>
            <w:pPr>
              <w:snapToGrid w:val="0"/>
              <w:spacing w:beforeLines="50" w:line="360" w:lineRule="auto"/>
              <w:jc w:val="center"/>
              <w:rPr>
                <w:rStyle w:val="43"/>
                <w:rFonts w:ascii="宋体" w:hAnsi="宋体"/>
                <w:kern w:val="1"/>
                <w:sz w:val="21"/>
                <w:szCs w:val="21"/>
              </w:rPr>
            </w:pPr>
          </w:p>
        </w:tc>
        <w:tc>
          <w:tcPr>
            <w:tcW w:w="2730"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3"/>
                <w:rFonts w:ascii="宋体" w:hAnsi="宋体"/>
                <w:sz w:val="21"/>
                <w:szCs w:val="21"/>
              </w:rPr>
            </w:pPr>
          </w:p>
        </w:tc>
        <w:tc>
          <w:tcPr>
            <w:tcW w:w="217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43"/>
              <w:jc w:val="center"/>
              <w:rPr>
                <w:rStyle w:val="43"/>
                <w:rFonts w:ascii="宋体" w:hAnsi="宋体"/>
                <w:sz w:val="21"/>
                <w:szCs w:val="21"/>
              </w:rPr>
            </w:pPr>
          </w:p>
        </w:tc>
        <w:tc>
          <w:tcPr>
            <w:tcW w:w="2460"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43"/>
              <w:jc w:val="center"/>
              <w:rPr>
                <w:rStyle w:val="43"/>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PrEx>
        <w:tc>
          <w:tcPr>
            <w:tcW w:w="2280" w:type="dxa"/>
            <w:tcBorders>
              <w:top w:val="outset" w:color="000000" w:sz="6" w:space="0"/>
              <w:left w:val="single" w:color="000000" w:sz="4" w:space="0"/>
              <w:bottom w:val="outset" w:color="000000" w:sz="6" w:space="0"/>
              <w:right w:val="outset" w:color="000000" w:sz="6" w:space="0"/>
            </w:tcBorders>
            <w:vAlign w:val="center"/>
          </w:tcPr>
          <w:p>
            <w:pPr>
              <w:snapToGrid w:val="0"/>
              <w:spacing w:beforeLines="50" w:line="360" w:lineRule="auto"/>
              <w:jc w:val="center"/>
              <w:rPr>
                <w:rStyle w:val="43"/>
                <w:rFonts w:ascii="宋体" w:hAnsi="宋体"/>
                <w:kern w:val="1"/>
                <w:sz w:val="21"/>
                <w:szCs w:val="21"/>
              </w:rPr>
            </w:pPr>
          </w:p>
        </w:tc>
        <w:tc>
          <w:tcPr>
            <w:tcW w:w="2730"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3"/>
                <w:rFonts w:ascii="宋体" w:hAnsi="宋体"/>
                <w:sz w:val="21"/>
                <w:szCs w:val="21"/>
              </w:rPr>
            </w:pPr>
          </w:p>
        </w:tc>
        <w:tc>
          <w:tcPr>
            <w:tcW w:w="217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3"/>
                <w:rFonts w:ascii="宋体" w:hAnsi="宋体"/>
                <w:sz w:val="21"/>
                <w:szCs w:val="21"/>
              </w:rPr>
            </w:pPr>
          </w:p>
        </w:tc>
        <w:tc>
          <w:tcPr>
            <w:tcW w:w="2460"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3"/>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PrEx>
        <w:tc>
          <w:tcPr>
            <w:tcW w:w="2280" w:type="dxa"/>
            <w:tcBorders>
              <w:top w:val="outset" w:color="000000" w:sz="6" w:space="0"/>
              <w:left w:val="single" w:color="000000" w:sz="4" w:space="0"/>
              <w:bottom w:val="outset" w:color="000000" w:sz="6" w:space="0"/>
              <w:right w:val="outset" w:color="000000" w:sz="6" w:space="0"/>
            </w:tcBorders>
            <w:vAlign w:val="center"/>
          </w:tcPr>
          <w:p>
            <w:pPr>
              <w:snapToGrid w:val="0"/>
              <w:spacing w:beforeLines="50" w:line="360" w:lineRule="auto"/>
              <w:jc w:val="center"/>
              <w:rPr>
                <w:rStyle w:val="43"/>
                <w:rFonts w:ascii="宋体" w:hAnsi="宋体"/>
                <w:kern w:val="1"/>
                <w:sz w:val="21"/>
                <w:szCs w:val="21"/>
              </w:rPr>
            </w:pPr>
          </w:p>
        </w:tc>
        <w:tc>
          <w:tcPr>
            <w:tcW w:w="2730"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3"/>
                <w:rFonts w:ascii="宋体" w:hAnsi="宋体"/>
                <w:sz w:val="21"/>
                <w:szCs w:val="21"/>
              </w:rPr>
            </w:pPr>
          </w:p>
        </w:tc>
        <w:tc>
          <w:tcPr>
            <w:tcW w:w="217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3"/>
                <w:rFonts w:ascii="宋体" w:hAnsi="宋体"/>
                <w:sz w:val="21"/>
                <w:szCs w:val="21"/>
              </w:rPr>
            </w:pPr>
          </w:p>
        </w:tc>
        <w:tc>
          <w:tcPr>
            <w:tcW w:w="2460"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3"/>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PrEx>
        <w:tc>
          <w:tcPr>
            <w:tcW w:w="2280" w:type="dxa"/>
            <w:tcBorders>
              <w:top w:val="outset" w:color="000000" w:sz="6" w:space="0"/>
              <w:left w:val="single" w:color="000000" w:sz="4" w:space="0"/>
              <w:bottom w:val="outset" w:color="000000" w:sz="6" w:space="0"/>
              <w:right w:val="outset" w:color="000000" w:sz="6" w:space="0"/>
            </w:tcBorders>
            <w:vAlign w:val="center"/>
          </w:tcPr>
          <w:p>
            <w:pPr>
              <w:snapToGrid w:val="0"/>
              <w:spacing w:beforeLines="50" w:line="360" w:lineRule="auto"/>
              <w:jc w:val="center"/>
              <w:rPr>
                <w:rStyle w:val="43"/>
                <w:rFonts w:ascii="宋体" w:hAnsi="宋体"/>
                <w:kern w:val="1"/>
                <w:sz w:val="21"/>
                <w:szCs w:val="21"/>
              </w:rPr>
            </w:pPr>
          </w:p>
        </w:tc>
        <w:tc>
          <w:tcPr>
            <w:tcW w:w="2730"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3"/>
                <w:rFonts w:ascii="宋体" w:hAnsi="宋体"/>
                <w:sz w:val="21"/>
                <w:szCs w:val="21"/>
              </w:rPr>
            </w:pPr>
          </w:p>
        </w:tc>
        <w:tc>
          <w:tcPr>
            <w:tcW w:w="217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3"/>
                <w:rFonts w:ascii="宋体" w:hAnsi="宋体"/>
                <w:sz w:val="21"/>
                <w:szCs w:val="21"/>
              </w:rPr>
            </w:pPr>
          </w:p>
        </w:tc>
        <w:tc>
          <w:tcPr>
            <w:tcW w:w="2460"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3"/>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PrEx>
        <w:tc>
          <w:tcPr>
            <w:tcW w:w="2280" w:type="dxa"/>
            <w:tcBorders>
              <w:top w:val="outset" w:color="000000" w:sz="6" w:space="0"/>
              <w:left w:val="single" w:color="000000" w:sz="4" w:space="0"/>
              <w:bottom w:val="outset" w:color="000000" w:sz="6" w:space="0"/>
              <w:right w:val="outset" w:color="000000" w:sz="6" w:space="0"/>
            </w:tcBorders>
            <w:vAlign w:val="center"/>
          </w:tcPr>
          <w:p>
            <w:pPr>
              <w:snapToGrid w:val="0"/>
              <w:spacing w:beforeLines="50" w:line="360" w:lineRule="auto"/>
              <w:jc w:val="center"/>
              <w:rPr>
                <w:rStyle w:val="43"/>
                <w:rFonts w:ascii="宋体" w:hAnsi="宋体"/>
                <w:kern w:val="1"/>
                <w:sz w:val="21"/>
                <w:szCs w:val="21"/>
              </w:rPr>
            </w:pPr>
          </w:p>
        </w:tc>
        <w:tc>
          <w:tcPr>
            <w:tcW w:w="2730"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3"/>
                <w:rFonts w:ascii="宋体" w:hAnsi="宋体"/>
                <w:sz w:val="21"/>
                <w:szCs w:val="21"/>
              </w:rPr>
            </w:pPr>
          </w:p>
        </w:tc>
        <w:tc>
          <w:tcPr>
            <w:tcW w:w="217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3"/>
                <w:rFonts w:ascii="宋体" w:hAnsi="宋体"/>
                <w:sz w:val="21"/>
                <w:szCs w:val="21"/>
              </w:rPr>
            </w:pPr>
          </w:p>
        </w:tc>
        <w:tc>
          <w:tcPr>
            <w:tcW w:w="2460"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3"/>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PrEx>
        <w:tc>
          <w:tcPr>
            <w:tcW w:w="2280" w:type="dxa"/>
            <w:tcBorders>
              <w:top w:val="outset" w:color="000000" w:sz="6" w:space="0"/>
              <w:left w:val="single" w:color="000000" w:sz="4" w:space="0"/>
              <w:bottom w:val="outset" w:color="000000" w:sz="6" w:space="0"/>
              <w:right w:val="outset" w:color="000000" w:sz="6" w:space="0"/>
            </w:tcBorders>
            <w:vAlign w:val="center"/>
          </w:tcPr>
          <w:p>
            <w:pPr>
              <w:spacing w:line="440" w:lineRule="exact"/>
              <w:jc w:val="center"/>
              <w:rPr>
                <w:rFonts w:ascii="Arial" w:hAnsi="Arial" w:cs="Arial"/>
                <w:sz w:val="21"/>
                <w:szCs w:val="18"/>
                <w:lang w:val="zh-CN"/>
              </w:rPr>
            </w:pPr>
            <w:r>
              <w:rPr>
                <w:rFonts w:ascii="Arial" w:hAnsi="Arial" w:cs="Arial"/>
                <w:sz w:val="21"/>
                <w:szCs w:val="18"/>
                <w:lang w:val="zh-CN"/>
              </w:rPr>
              <w:t>……</w:t>
            </w:r>
          </w:p>
        </w:tc>
        <w:tc>
          <w:tcPr>
            <w:tcW w:w="2730"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textAlignment w:val="bottom"/>
              <w:rPr>
                <w:rStyle w:val="43"/>
                <w:rFonts w:ascii="宋体" w:hAnsi="宋体" w:cs="宋体"/>
                <w:b/>
                <w:bCs/>
                <w:sz w:val="21"/>
                <w:szCs w:val="21"/>
              </w:rPr>
            </w:pPr>
          </w:p>
        </w:tc>
        <w:tc>
          <w:tcPr>
            <w:tcW w:w="217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3"/>
                <w:rFonts w:ascii="宋体" w:hAnsi="宋体"/>
                <w:sz w:val="21"/>
                <w:szCs w:val="21"/>
              </w:rPr>
            </w:pPr>
          </w:p>
        </w:tc>
        <w:tc>
          <w:tcPr>
            <w:tcW w:w="2460"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3"/>
                <w:rFonts w:ascii="宋体" w:hAnsi="宋体"/>
                <w:sz w:val="21"/>
                <w:szCs w:val="21"/>
              </w:rPr>
            </w:pPr>
          </w:p>
        </w:tc>
      </w:tr>
    </w:tbl>
    <w:p>
      <w:pPr>
        <w:snapToGrid w:val="0"/>
        <w:spacing w:before="120" w:line="360" w:lineRule="auto"/>
        <w:rPr>
          <w:rStyle w:val="43"/>
          <w:rFonts w:ascii="宋体" w:hAnsi="宋体"/>
          <w:sz w:val="21"/>
          <w:szCs w:val="21"/>
        </w:rPr>
      </w:pPr>
    </w:p>
    <w:p>
      <w:pPr>
        <w:snapToGrid w:val="0"/>
        <w:spacing w:before="50" w:after="50" w:line="600" w:lineRule="exact"/>
        <w:rPr>
          <w:rStyle w:val="43"/>
          <w:rFonts w:ascii="宋体" w:hAnsi="宋体"/>
          <w:spacing w:val="20"/>
          <w:sz w:val="21"/>
          <w:szCs w:val="21"/>
          <w:u w:val="single" w:color="000000"/>
        </w:rPr>
      </w:pPr>
      <w:r>
        <w:rPr>
          <w:rStyle w:val="43"/>
          <w:rFonts w:ascii="宋体" w:hAnsi="宋体"/>
          <w:sz w:val="21"/>
          <w:szCs w:val="21"/>
        </w:rPr>
        <w:t xml:space="preserve">  法定代表人或授权委托人</w:t>
      </w:r>
      <w:r>
        <w:rPr>
          <w:rStyle w:val="43"/>
          <w:rFonts w:hint="eastAsia" w:ascii="宋体" w:hAnsi="宋体"/>
          <w:sz w:val="21"/>
          <w:szCs w:val="21"/>
        </w:rPr>
        <w:t>（</w:t>
      </w:r>
      <w:r>
        <w:rPr>
          <w:rStyle w:val="43"/>
          <w:rFonts w:ascii="宋体" w:hAnsi="宋体"/>
          <w:spacing w:val="20"/>
          <w:sz w:val="21"/>
          <w:szCs w:val="21"/>
        </w:rPr>
        <w:t>签</w:t>
      </w:r>
      <w:r>
        <w:rPr>
          <w:rStyle w:val="43"/>
          <w:rFonts w:hint="eastAsia" w:ascii="宋体" w:hAnsi="宋体"/>
          <w:spacing w:val="20"/>
          <w:sz w:val="21"/>
          <w:szCs w:val="21"/>
        </w:rPr>
        <w:t>字</w:t>
      </w:r>
      <w:r>
        <w:rPr>
          <w:rStyle w:val="43"/>
          <w:rFonts w:hint="eastAsia" w:ascii="宋体" w:hAnsi="宋体"/>
          <w:sz w:val="21"/>
          <w:szCs w:val="21"/>
        </w:rPr>
        <w:t>或签章）</w:t>
      </w:r>
      <w:r>
        <w:rPr>
          <w:rStyle w:val="43"/>
          <w:rFonts w:ascii="宋体" w:hAnsi="宋体"/>
          <w:spacing w:val="20"/>
          <w:sz w:val="21"/>
          <w:szCs w:val="21"/>
        </w:rPr>
        <w:t>：</w:t>
      </w:r>
      <w:r>
        <w:rPr>
          <w:rStyle w:val="43"/>
          <w:rFonts w:ascii="宋体" w:hAnsi="宋体"/>
          <w:spacing w:val="20"/>
          <w:sz w:val="21"/>
          <w:szCs w:val="21"/>
          <w:u w:val="single" w:color="000000"/>
        </w:rPr>
        <w:t xml:space="preserve">         </w:t>
      </w:r>
    </w:p>
    <w:p>
      <w:pPr>
        <w:snapToGrid w:val="0"/>
        <w:spacing w:before="50" w:after="50" w:line="600" w:lineRule="exact"/>
        <w:rPr>
          <w:rStyle w:val="43"/>
          <w:rFonts w:ascii="宋体" w:hAnsi="宋体"/>
          <w:spacing w:val="20"/>
          <w:sz w:val="21"/>
          <w:szCs w:val="21"/>
        </w:rPr>
      </w:pPr>
      <w:r>
        <w:rPr>
          <w:rStyle w:val="43"/>
          <w:rFonts w:ascii="宋体" w:hAnsi="宋体"/>
          <w:spacing w:val="20"/>
          <w:sz w:val="21"/>
          <w:szCs w:val="21"/>
        </w:rPr>
        <w:t xml:space="preserve">  投标人名称（盖章）：</w:t>
      </w:r>
      <w:r>
        <w:rPr>
          <w:rStyle w:val="43"/>
          <w:rFonts w:ascii="宋体" w:hAnsi="宋体"/>
          <w:spacing w:val="20"/>
          <w:sz w:val="21"/>
          <w:szCs w:val="21"/>
          <w:u w:val="single" w:color="000000"/>
        </w:rPr>
        <w:t xml:space="preserve">             </w:t>
      </w:r>
    </w:p>
    <w:p>
      <w:pPr>
        <w:snapToGrid w:val="0"/>
        <w:spacing w:before="50" w:after="50" w:line="600" w:lineRule="exact"/>
        <w:rPr>
          <w:rStyle w:val="43"/>
          <w:rFonts w:ascii="宋体" w:hAnsi="宋体"/>
          <w:sz w:val="21"/>
          <w:szCs w:val="21"/>
        </w:rPr>
      </w:pPr>
      <w:r>
        <w:rPr>
          <w:rStyle w:val="43"/>
          <w:rFonts w:ascii="宋体" w:hAnsi="宋体"/>
          <w:spacing w:val="20"/>
          <w:sz w:val="21"/>
          <w:szCs w:val="21"/>
        </w:rPr>
        <w:t xml:space="preserve">  日           期：</w:t>
      </w:r>
      <w:r>
        <w:rPr>
          <w:rStyle w:val="43"/>
          <w:rFonts w:ascii="宋体" w:hAnsi="宋体"/>
          <w:spacing w:val="20"/>
          <w:sz w:val="21"/>
          <w:szCs w:val="21"/>
          <w:u w:val="single" w:color="000000"/>
        </w:rPr>
        <w:t xml:space="preserve">              </w:t>
      </w:r>
    </w:p>
    <w:p>
      <w:pPr>
        <w:spacing w:after="120"/>
        <w:rPr>
          <w:rFonts w:ascii="宋体" w:hAnsi="宋体" w:cs="宋体"/>
          <w:sz w:val="21"/>
          <w:szCs w:val="21"/>
        </w:rPr>
      </w:pPr>
      <w:r>
        <w:rPr>
          <w:rStyle w:val="43"/>
          <w:rFonts w:ascii="宋体" w:hAnsi="宋体" w:cs="Arial"/>
          <w:b/>
          <w:bCs/>
          <w:sz w:val="21"/>
          <w:szCs w:val="21"/>
        </w:rPr>
        <w:t>注：</w:t>
      </w:r>
      <w:r>
        <w:rPr>
          <w:rFonts w:hint="eastAsia" w:ascii="宋体" w:hAnsi="宋体" w:cs="宋体"/>
          <w:sz w:val="21"/>
          <w:szCs w:val="21"/>
        </w:rPr>
        <w:t>1.若本表为空，则表示供应商“全部满足”采购方相应要求。</w:t>
      </w:r>
    </w:p>
    <w:p>
      <w:pPr>
        <w:snapToGrid w:val="0"/>
        <w:spacing w:line="360" w:lineRule="auto"/>
        <w:rPr>
          <w:rStyle w:val="43"/>
          <w:rFonts w:ascii="宋体" w:hAnsi="宋体" w:cs="Arial"/>
          <w:b/>
          <w:bCs/>
          <w:sz w:val="21"/>
          <w:szCs w:val="21"/>
        </w:rPr>
      </w:pPr>
      <w:r>
        <w:rPr>
          <w:rStyle w:val="43"/>
          <w:rFonts w:hint="eastAsia" w:ascii="宋体" w:hAnsi="宋体" w:cs="Arial"/>
          <w:b/>
          <w:bCs/>
          <w:sz w:val="21"/>
          <w:szCs w:val="21"/>
        </w:rPr>
        <w:t>2.</w:t>
      </w:r>
      <w:r>
        <w:rPr>
          <w:rStyle w:val="43"/>
          <w:rFonts w:ascii="宋体" w:hAnsi="宋体" w:cs="Arial"/>
          <w:b/>
          <w:bCs/>
          <w:sz w:val="21"/>
          <w:szCs w:val="21"/>
        </w:rPr>
        <w:t>此表仅提供了表格形式，投标人可按此表格格式进行扩展。</w:t>
      </w:r>
    </w:p>
    <w:p>
      <w:pPr>
        <w:snapToGrid w:val="0"/>
        <w:spacing w:line="360" w:lineRule="auto"/>
        <w:rPr>
          <w:rStyle w:val="43"/>
          <w:rFonts w:ascii="宋体" w:hAnsi="宋体" w:cs="宋体"/>
          <w:b/>
          <w:bCs/>
          <w:sz w:val="21"/>
          <w:szCs w:val="21"/>
        </w:rPr>
      </w:pPr>
    </w:p>
    <w:p>
      <w:pPr>
        <w:pStyle w:val="11"/>
      </w:pPr>
    </w:p>
    <w:p>
      <w:pPr>
        <w:snapToGrid w:val="0"/>
        <w:spacing w:line="360" w:lineRule="auto"/>
        <w:rPr>
          <w:rStyle w:val="43"/>
          <w:rFonts w:ascii="宋体" w:hAnsi="宋体" w:cs="宋体"/>
          <w:b/>
          <w:bCs/>
          <w:sz w:val="21"/>
          <w:szCs w:val="21"/>
        </w:rPr>
      </w:pPr>
    </w:p>
    <w:p>
      <w:pPr>
        <w:snapToGrid w:val="0"/>
        <w:spacing w:line="360" w:lineRule="auto"/>
        <w:rPr>
          <w:rStyle w:val="43"/>
          <w:rFonts w:ascii="宋体" w:hAnsi="宋体" w:cs="宋体"/>
          <w:b/>
          <w:bCs/>
          <w:sz w:val="21"/>
          <w:szCs w:val="21"/>
        </w:rPr>
      </w:pPr>
    </w:p>
    <w:p>
      <w:pPr>
        <w:snapToGrid w:val="0"/>
        <w:spacing w:line="360" w:lineRule="auto"/>
        <w:rPr>
          <w:rStyle w:val="43"/>
          <w:rFonts w:ascii="宋体" w:hAnsi="宋体" w:cs="宋体"/>
          <w:b/>
          <w:bCs/>
          <w:sz w:val="21"/>
          <w:szCs w:val="21"/>
        </w:rPr>
      </w:pPr>
    </w:p>
    <w:p>
      <w:pPr>
        <w:snapToGrid w:val="0"/>
        <w:spacing w:line="360" w:lineRule="auto"/>
        <w:rPr>
          <w:rStyle w:val="43"/>
          <w:rFonts w:ascii="宋体" w:hAnsi="宋体" w:cs="宋体"/>
          <w:b/>
          <w:bCs/>
          <w:sz w:val="21"/>
          <w:szCs w:val="21"/>
        </w:rPr>
      </w:pPr>
    </w:p>
    <w:p>
      <w:pPr>
        <w:snapToGrid w:val="0"/>
        <w:spacing w:line="360" w:lineRule="auto"/>
        <w:rPr>
          <w:rStyle w:val="43"/>
          <w:rFonts w:ascii="宋体" w:hAnsi="宋体" w:cs="宋体"/>
          <w:b/>
          <w:bCs/>
          <w:sz w:val="21"/>
          <w:szCs w:val="21"/>
        </w:rPr>
      </w:pPr>
    </w:p>
    <w:p>
      <w:pPr>
        <w:pStyle w:val="4"/>
        <w:tabs>
          <w:tab w:val="left" w:pos="432"/>
          <w:tab w:val="clear" w:pos="358"/>
        </w:tabs>
        <w:ind w:left="142" w:firstLine="0"/>
        <w:rPr>
          <w:rFonts w:ascii="宋体" w:hAnsi="宋体"/>
        </w:rPr>
      </w:pPr>
      <w:r>
        <w:rPr>
          <w:rStyle w:val="43"/>
          <w:rFonts w:ascii="宋体" w:hAnsi="宋体" w:cs="宋体"/>
          <w:bCs/>
          <w:sz w:val="21"/>
          <w:szCs w:val="21"/>
        </w:rPr>
        <w:t>附件</w:t>
      </w:r>
      <w:r>
        <w:rPr>
          <w:rStyle w:val="43"/>
          <w:rFonts w:hint="eastAsia" w:ascii="宋体" w:hAnsi="宋体" w:cs="宋体"/>
          <w:bCs/>
          <w:sz w:val="21"/>
          <w:szCs w:val="21"/>
        </w:rPr>
        <w:t>1</w:t>
      </w:r>
      <w:r>
        <w:rPr>
          <w:rStyle w:val="43"/>
          <w:rFonts w:hint="eastAsia" w:ascii="宋体" w:hAnsi="宋体" w:cs="宋体"/>
          <w:bCs/>
          <w:sz w:val="21"/>
          <w:szCs w:val="21"/>
          <w:lang w:val="en-US" w:eastAsia="zh-CN"/>
        </w:rPr>
        <w:t>2</w:t>
      </w:r>
      <w:r>
        <w:rPr>
          <w:rStyle w:val="43"/>
          <w:rFonts w:ascii="宋体" w:hAnsi="宋体" w:cs="宋体"/>
          <w:bCs/>
          <w:sz w:val="21"/>
          <w:szCs w:val="21"/>
        </w:rPr>
        <w:t>：</w:t>
      </w:r>
      <w:r>
        <w:rPr>
          <w:rStyle w:val="43"/>
          <w:rFonts w:hint="eastAsia" w:ascii="宋体" w:hAnsi="宋体" w:cs="宋体"/>
          <w:bCs/>
          <w:sz w:val="21"/>
          <w:szCs w:val="21"/>
        </w:rPr>
        <w:t>技术</w:t>
      </w:r>
      <w:r>
        <w:rPr>
          <w:rStyle w:val="43"/>
          <w:rFonts w:ascii="宋体" w:hAnsi="宋体" w:cs="宋体"/>
          <w:bCs/>
          <w:sz w:val="21"/>
          <w:szCs w:val="21"/>
        </w:rPr>
        <w:t>偏离表</w:t>
      </w:r>
    </w:p>
    <w:p>
      <w:pPr>
        <w:spacing w:after="120"/>
        <w:jc w:val="center"/>
        <w:rPr>
          <w:rStyle w:val="43"/>
          <w:rFonts w:ascii="宋体" w:hAnsi="宋体" w:cs="宋体"/>
          <w:b/>
          <w:bCs/>
          <w:sz w:val="21"/>
          <w:szCs w:val="21"/>
        </w:rPr>
      </w:pPr>
      <w:r>
        <w:rPr>
          <w:rStyle w:val="43"/>
          <w:rFonts w:hint="eastAsia" w:ascii="宋体" w:hAnsi="宋体" w:cs="宋体"/>
          <w:b/>
          <w:bCs/>
          <w:sz w:val="21"/>
          <w:szCs w:val="21"/>
        </w:rPr>
        <w:t>技术</w:t>
      </w:r>
      <w:r>
        <w:rPr>
          <w:rStyle w:val="43"/>
          <w:rFonts w:ascii="宋体" w:hAnsi="宋体" w:cs="宋体"/>
          <w:b/>
          <w:bCs/>
          <w:sz w:val="21"/>
          <w:szCs w:val="21"/>
        </w:rPr>
        <w:t>偏离表</w:t>
      </w:r>
    </w:p>
    <w:p>
      <w:pPr>
        <w:snapToGrid w:val="0"/>
        <w:spacing w:line="360" w:lineRule="auto"/>
        <w:ind w:firstLine="480"/>
        <w:rPr>
          <w:rStyle w:val="43"/>
          <w:rFonts w:ascii="宋体" w:hAnsi="宋体"/>
          <w:sz w:val="21"/>
          <w:szCs w:val="21"/>
        </w:rPr>
      </w:pPr>
      <w:r>
        <w:rPr>
          <w:rStyle w:val="43"/>
          <w:rFonts w:ascii="宋体" w:hAnsi="宋体"/>
          <w:sz w:val="21"/>
          <w:szCs w:val="21"/>
        </w:rPr>
        <w:t>项目名称：</w:t>
      </w:r>
    </w:p>
    <w:p>
      <w:pPr>
        <w:snapToGrid w:val="0"/>
        <w:spacing w:line="360" w:lineRule="auto"/>
        <w:ind w:firstLine="480"/>
        <w:rPr>
          <w:rStyle w:val="43"/>
          <w:rFonts w:ascii="宋体" w:hAnsi="宋体"/>
          <w:sz w:val="21"/>
          <w:szCs w:val="21"/>
        </w:rPr>
      </w:pPr>
      <w:r>
        <w:rPr>
          <w:rStyle w:val="43"/>
          <w:rFonts w:ascii="宋体" w:hAnsi="宋体"/>
          <w:sz w:val="21"/>
          <w:szCs w:val="21"/>
        </w:rPr>
        <w:t>标项：</w:t>
      </w:r>
    </w:p>
    <w:p>
      <w:pPr>
        <w:spacing w:after="120"/>
        <w:ind w:firstLine="426" w:firstLineChars="200"/>
        <w:rPr>
          <w:rFonts w:ascii="宋体" w:hAnsi="宋体" w:cs="宋体"/>
          <w:sz w:val="21"/>
          <w:szCs w:val="21"/>
        </w:rPr>
      </w:pPr>
      <w:r>
        <w:rPr>
          <w:rStyle w:val="43"/>
          <w:rFonts w:ascii="宋体" w:hAnsi="宋体"/>
          <w:sz w:val="21"/>
          <w:szCs w:val="21"/>
        </w:rPr>
        <w:t>编号：</w:t>
      </w:r>
      <w:r>
        <w:rPr>
          <w:rFonts w:hint="eastAsia" w:ascii="宋体" w:hAnsi="宋体" w:cs="宋体"/>
          <w:sz w:val="21"/>
          <w:szCs w:val="21"/>
        </w:rPr>
        <w:t xml:space="preserve">                 </w:t>
      </w:r>
    </w:p>
    <w:tbl>
      <w:tblPr>
        <w:tblStyle w:val="26"/>
        <w:tblW w:w="9375" w:type="dxa"/>
        <w:tblInd w:w="22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60"/>
        <w:gridCol w:w="1455"/>
        <w:gridCol w:w="2985"/>
        <w:gridCol w:w="2745"/>
        <w:gridCol w:w="15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1" w:hRule="atLeast"/>
        </w:trPr>
        <w:tc>
          <w:tcPr>
            <w:tcW w:w="660" w:type="dxa"/>
            <w:vAlign w:val="center"/>
          </w:tcPr>
          <w:p>
            <w:pPr>
              <w:jc w:val="center"/>
              <w:rPr>
                <w:rFonts w:ascii="宋体" w:hAnsi="宋体" w:cs="宋体"/>
                <w:sz w:val="21"/>
                <w:szCs w:val="21"/>
              </w:rPr>
            </w:pPr>
            <w:r>
              <w:rPr>
                <w:rFonts w:hint="eastAsia" w:ascii="宋体" w:hAnsi="宋体" w:cs="宋体"/>
                <w:sz w:val="21"/>
                <w:szCs w:val="21"/>
              </w:rPr>
              <w:t>序号</w:t>
            </w:r>
          </w:p>
        </w:tc>
        <w:tc>
          <w:tcPr>
            <w:tcW w:w="1455" w:type="dxa"/>
            <w:vAlign w:val="center"/>
          </w:tcPr>
          <w:p>
            <w:pPr>
              <w:jc w:val="center"/>
              <w:rPr>
                <w:rFonts w:ascii="宋体" w:hAnsi="宋体" w:cs="宋体"/>
                <w:sz w:val="21"/>
                <w:szCs w:val="21"/>
              </w:rPr>
            </w:pPr>
            <w:r>
              <w:rPr>
                <w:rFonts w:hint="eastAsia" w:ascii="宋体" w:hAnsi="宋体" w:cs="宋体"/>
                <w:sz w:val="21"/>
                <w:szCs w:val="21"/>
              </w:rPr>
              <w:t>条目号</w:t>
            </w:r>
          </w:p>
        </w:tc>
        <w:tc>
          <w:tcPr>
            <w:tcW w:w="2985" w:type="dxa"/>
            <w:vAlign w:val="center"/>
          </w:tcPr>
          <w:p>
            <w:pPr>
              <w:rPr>
                <w:rFonts w:ascii="宋体" w:hAnsi="宋体" w:cs="宋体"/>
                <w:sz w:val="21"/>
                <w:szCs w:val="21"/>
              </w:rPr>
            </w:pPr>
            <w:r>
              <w:rPr>
                <w:rFonts w:hint="eastAsia" w:ascii="宋体" w:hAnsi="宋体" w:cs="宋体"/>
                <w:sz w:val="21"/>
                <w:szCs w:val="21"/>
              </w:rPr>
              <w:t>招标文件的技术规范书条款</w:t>
            </w:r>
          </w:p>
        </w:tc>
        <w:tc>
          <w:tcPr>
            <w:tcW w:w="2745" w:type="dxa"/>
            <w:vAlign w:val="center"/>
          </w:tcPr>
          <w:p>
            <w:pPr>
              <w:jc w:val="center"/>
              <w:rPr>
                <w:rFonts w:ascii="宋体" w:hAnsi="宋体" w:cs="宋体"/>
                <w:sz w:val="21"/>
                <w:szCs w:val="21"/>
              </w:rPr>
            </w:pPr>
            <w:r>
              <w:rPr>
                <w:rFonts w:hint="eastAsia" w:ascii="宋体" w:hAnsi="宋体" w:cs="宋体"/>
                <w:sz w:val="21"/>
                <w:szCs w:val="21"/>
              </w:rPr>
              <w:t>投标文件的技术规范书条款</w:t>
            </w:r>
          </w:p>
        </w:tc>
        <w:tc>
          <w:tcPr>
            <w:tcW w:w="1530" w:type="dxa"/>
            <w:vAlign w:val="center"/>
          </w:tcPr>
          <w:p>
            <w:pPr>
              <w:jc w:val="center"/>
              <w:rPr>
                <w:rFonts w:ascii="宋体" w:hAnsi="宋体" w:cs="宋体"/>
                <w:sz w:val="21"/>
                <w:szCs w:val="21"/>
              </w:rPr>
            </w:pPr>
            <w:r>
              <w:rPr>
                <w:rFonts w:hint="eastAsia" w:ascii="宋体" w:hAnsi="宋体" w:cs="宋体"/>
                <w:sz w:val="21"/>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660" w:type="dxa"/>
          </w:tcPr>
          <w:p>
            <w:pPr>
              <w:rPr>
                <w:rFonts w:ascii="宋体" w:hAnsi="宋体" w:cs="宋体"/>
                <w:sz w:val="21"/>
                <w:szCs w:val="21"/>
              </w:rPr>
            </w:pPr>
          </w:p>
          <w:p>
            <w:pPr>
              <w:rPr>
                <w:rFonts w:ascii="宋体" w:hAnsi="宋体" w:cs="宋体"/>
                <w:sz w:val="21"/>
                <w:szCs w:val="21"/>
              </w:rPr>
            </w:pPr>
          </w:p>
        </w:tc>
        <w:tc>
          <w:tcPr>
            <w:tcW w:w="1455" w:type="dxa"/>
          </w:tcPr>
          <w:p>
            <w:pPr>
              <w:rPr>
                <w:rFonts w:ascii="宋体" w:hAnsi="宋体" w:cs="宋体"/>
                <w:sz w:val="21"/>
                <w:szCs w:val="21"/>
              </w:rPr>
            </w:pPr>
          </w:p>
        </w:tc>
        <w:tc>
          <w:tcPr>
            <w:tcW w:w="2985" w:type="dxa"/>
          </w:tcPr>
          <w:p>
            <w:pPr>
              <w:rPr>
                <w:rFonts w:ascii="宋体" w:hAnsi="宋体" w:cs="宋体"/>
                <w:sz w:val="21"/>
                <w:szCs w:val="21"/>
              </w:rPr>
            </w:pPr>
          </w:p>
        </w:tc>
        <w:tc>
          <w:tcPr>
            <w:tcW w:w="2745" w:type="dxa"/>
          </w:tcPr>
          <w:p>
            <w:pPr>
              <w:rPr>
                <w:rFonts w:ascii="宋体" w:hAnsi="宋体" w:cs="宋体"/>
                <w:sz w:val="21"/>
                <w:szCs w:val="21"/>
              </w:rPr>
            </w:pPr>
          </w:p>
        </w:tc>
        <w:tc>
          <w:tcPr>
            <w:tcW w:w="1530" w:type="dxa"/>
          </w:tcPr>
          <w:p>
            <w:pPr>
              <w:rPr>
                <w:rFonts w:ascii="宋体" w:hAnsi="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660" w:type="dxa"/>
          </w:tcPr>
          <w:p>
            <w:pPr>
              <w:rPr>
                <w:rFonts w:ascii="宋体" w:hAnsi="宋体" w:cs="宋体"/>
                <w:sz w:val="21"/>
                <w:szCs w:val="21"/>
              </w:rPr>
            </w:pPr>
          </w:p>
          <w:p>
            <w:pPr>
              <w:rPr>
                <w:rFonts w:ascii="宋体" w:hAnsi="宋体" w:cs="宋体"/>
                <w:sz w:val="21"/>
                <w:szCs w:val="21"/>
              </w:rPr>
            </w:pPr>
          </w:p>
        </w:tc>
        <w:tc>
          <w:tcPr>
            <w:tcW w:w="1455" w:type="dxa"/>
          </w:tcPr>
          <w:p>
            <w:pPr>
              <w:rPr>
                <w:rFonts w:ascii="宋体" w:hAnsi="宋体" w:cs="宋体"/>
                <w:sz w:val="21"/>
                <w:szCs w:val="21"/>
              </w:rPr>
            </w:pPr>
          </w:p>
        </w:tc>
        <w:tc>
          <w:tcPr>
            <w:tcW w:w="2985" w:type="dxa"/>
          </w:tcPr>
          <w:p>
            <w:pPr>
              <w:rPr>
                <w:rFonts w:ascii="宋体" w:hAnsi="宋体" w:cs="宋体"/>
                <w:sz w:val="21"/>
                <w:szCs w:val="21"/>
              </w:rPr>
            </w:pPr>
          </w:p>
        </w:tc>
        <w:tc>
          <w:tcPr>
            <w:tcW w:w="2745" w:type="dxa"/>
          </w:tcPr>
          <w:p>
            <w:pPr>
              <w:rPr>
                <w:rFonts w:ascii="宋体" w:hAnsi="宋体" w:cs="宋体"/>
                <w:sz w:val="21"/>
                <w:szCs w:val="21"/>
              </w:rPr>
            </w:pPr>
          </w:p>
        </w:tc>
        <w:tc>
          <w:tcPr>
            <w:tcW w:w="1530" w:type="dxa"/>
          </w:tcPr>
          <w:p>
            <w:pPr>
              <w:rPr>
                <w:rFonts w:ascii="宋体" w:hAnsi="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660" w:type="dxa"/>
          </w:tcPr>
          <w:p>
            <w:pPr>
              <w:rPr>
                <w:rFonts w:ascii="宋体" w:hAnsi="宋体" w:cs="宋体"/>
                <w:sz w:val="21"/>
                <w:szCs w:val="21"/>
              </w:rPr>
            </w:pPr>
          </w:p>
          <w:p>
            <w:pPr>
              <w:rPr>
                <w:rFonts w:ascii="宋体" w:hAnsi="宋体" w:cs="宋体"/>
                <w:sz w:val="21"/>
                <w:szCs w:val="21"/>
              </w:rPr>
            </w:pPr>
          </w:p>
        </w:tc>
        <w:tc>
          <w:tcPr>
            <w:tcW w:w="1455" w:type="dxa"/>
          </w:tcPr>
          <w:p>
            <w:pPr>
              <w:rPr>
                <w:rFonts w:ascii="宋体" w:hAnsi="宋体" w:cs="宋体"/>
                <w:sz w:val="21"/>
                <w:szCs w:val="21"/>
              </w:rPr>
            </w:pPr>
          </w:p>
        </w:tc>
        <w:tc>
          <w:tcPr>
            <w:tcW w:w="2985" w:type="dxa"/>
          </w:tcPr>
          <w:p>
            <w:pPr>
              <w:rPr>
                <w:rFonts w:ascii="宋体" w:hAnsi="宋体" w:cs="宋体"/>
                <w:sz w:val="21"/>
                <w:szCs w:val="21"/>
              </w:rPr>
            </w:pPr>
          </w:p>
        </w:tc>
        <w:tc>
          <w:tcPr>
            <w:tcW w:w="2745" w:type="dxa"/>
          </w:tcPr>
          <w:p>
            <w:pPr>
              <w:rPr>
                <w:rFonts w:ascii="宋体" w:hAnsi="宋体" w:cs="宋体"/>
                <w:sz w:val="21"/>
                <w:szCs w:val="21"/>
              </w:rPr>
            </w:pPr>
          </w:p>
        </w:tc>
        <w:tc>
          <w:tcPr>
            <w:tcW w:w="1530" w:type="dxa"/>
          </w:tcPr>
          <w:p>
            <w:pPr>
              <w:rPr>
                <w:rFonts w:ascii="宋体" w:hAnsi="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660" w:type="dxa"/>
          </w:tcPr>
          <w:p>
            <w:pPr>
              <w:rPr>
                <w:rFonts w:ascii="宋体" w:hAnsi="宋体" w:cs="宋体"/>
                <w:sz w:val="21"/>
                <w:szCs w:val="21"/>
              </w:rPr>
            </w:pPr>
          </w:p>
          <w:p>
            <w:pPr>
              <w:rPr>
                <w:rFonts w:ascii="宋体" w:hAnsi="宋体" w:cs="宋体"/>
                <w:sz w:val="21"/>
                <w:szCs w:val="21"/>
              </w:rPr>
            </w:pPr>
          </w:p>
        </w:tc>
        <w:tc>
          <w:tcPr>
            <w:tcW w:w="1455" w:type="dxa"/>
          </w:tcPr>
          <w:p>
            <w:pPr>
              <w:rPr>
                <w:rFonts w:ascii="宋体" w:hAnsi="宋体" w:cs="宋体"/>
                <w:sz w:val="21"/>
                <w:szCs w:val="21"/>
              </w:rPr>
            </w:pPr>
          </w:p>
        </w:tc>
        <w:tc>
          <w:tcPr>
            <w:tcW w:w="2985" w:type="dxa"/>
          </w:tcPr>
          <w:p>
            <w:pPr>
              <w:rPr>
                <w:rFonts w:ascii="宋体" w:hAnsi="宋体" w:cs="宋体"/>
                <w:sz w:val="21"/>
                <w:szCs w:val="21"/>
              </w:rPr>
            </w:pPr>
          </w:p>
        </w:tc>
        <w:tc>
          <w:tcPr>
            <w:tcW w:w="2745" w:type="dxa"/>
          </w:tcPr>
          <w:p>
            <w:pPr>
              <w:rPr>
                <w:rFonts w:ascii="宋体" w:hAnsi="宋体" w:cs="宋体"/>
                <w:sz w:val="21"/>
                <w:szCs w:val="21"/>
              </w:rPr>
            </w:pPr>
          </w:p>
        </w:tc>
        <w:tc>
          <w:tcPr>
            <w:tcW w:w="1530" w:type="dxa"/>
          </w:tcPr>
          <w:p>
            <w:pPr>
              <w:rPr>
                <w:rFonts w:ascii="宋体" w:hAnsi="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660" w:type="dxa"/>
          </w:tcPr>
          <w:p>
            <w:pPr>
              <w:rPr>
                <w:rFonts w:ascii="宋体" w:hAnsi="宋体" w:cs="宋体"/>
                <w:sz w:val="21"/>
                <w:szCs w:val="21"/>
              </w:rPr>
            </w:pPr>
          </w:p>
          <w:p>
            <w:pPr>
              <w:rPr>
                <w:rFonts w:ascii="宋体" w:hAnsi="宋体" w:cs="宋体"/>
                <w:sz w:val="21"/>
                <w:szCs w:val="21"/>
              </w:rPr>
            </w:pPr>
          </w:p>
        </w:tc>
        <w:tc>
          <w:tcPr>
            <w:tcW w:w="1455" w:type="dxa"/>
          </w:tcPr>
          <w:p>
            <w:pPr>
              <w:rPr>
                <w:rFonts w:ascii="宋体" w:hAnsi="宋体" w:cs="宋体"/>
                <w:sz w:val="21"/>
                <w:szCs w:val="21"/>
              </w:rPr>
            </w:pPr>
          </w:p>
        </w:tc>
        <w:tc>
          <w:tcPr>
            <w:tcW w:w="2985" w:type="dxa"/>
          </w:tcPr>
          <w:p>
            <w:pPr>
              <w:rPr>
                <w:rFonts w:ascii="宋体" w:hAnsi="宋体" w:cs="宋体"/>
                <w:sz w:val="21"/>
                <w:szCs w:val="21"/>
              </w:rPr>
            </w:pPr>
          </w:p>
        </w:tc>
        <w:tc>
          <w:tcPr>
            <w:tcW w:w="2745" w:type="dxa"/>
          </w:tcPr>
          <w:p>
            <w:pPr>
              <w:rPr>
                <w:rFonts w:ascii="宋体" w:hAnsi="宋体" w:cs="宋体"/>
                <w:sz w:val="21"/>
                <w:szCs w:val="21"/>
              </w:rPr>
            </w:pPr>
          </w:p>
        </w:tc>
        <w:tc>
          <w:tcPr>
            <w:tcW w:w="1530" w:type="dxa"/>
          </w:tcPr>
          <w:p>
            <w:pPr>
              <w:rPr>
                <w:rFonts w:ascii="宋体" w:hAnsi="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660" w:type="dxa"/>
          </w:tcPr>
          <w:p>
            <w:pPr>
              <w:rPr>
                <w:rFonts w:ascii="宋体" w:hAnsi="宋体" w:cs="宋体"/>
                <w:sz w:val="21"/>
                <w:szCs w:val="21"/>
              </w:rPr>
            </w:pPr>
          </w:p>
          <w:p>
            <w:pPr>
              <w:rPr>
                <w:rFonts w:ascii="宋体" w:hAnsi="宋体" w:cs="宋体"/>
                <w:sz w:val="21"/>
                <w:szCs w:val="21"/>
              </w:rPr>
            </w:pPr>
          </w:p>
        </w:tc>
        <w:tc>
          <w:tcPr>
            <w:tcW w:w="1455" w:type="dxa"/>
          </w:tcPr>
          <w:p>
            <w:pPr>
              <w:rPr>
                <w:rFonts w:ascii="宋体" w:hAnsi="宋体" w:cs="宋体"/>
                <w:sz w:val="21"/>
                <w:szCs w:val="21"/>
              </w:rPr>
            </w:pPr>
          </w:p>
        </w:tc>
        <w:tc>
          <w:tcPr>
            <w:tcW w:w="2985" w:type="dxa"/>
          </w:tcPr>
          <w:p>
            <w:pPr>
              <w:rPr>
                <w:rFonts w:ascii="宋体" w:hAnsi="宋体" w:cs="宋体"/>
                <w:sz w:val="21"/>
                <w:szCs w:val="21"/>
              </w:rPr>
            </w:pPr>
          </w:p>
        </w:tc>
        <w:tc>
          <w:tcPr>
            <w:tcW w:w="2745" w:type="dxa"/>
          </w:tcPr>
          <w:p>
            <w:pPr>
              <w:rPr>
                <w:rFonts w:ascii="宋体" w:hAnsi="宋体" w:cs="宋体"/>
                <w:sz w:val="21"/>
                <w:szCs w:val="21"/>
              </w:rPr>
            </w:pPr>
          </w:p>
        </w:tc>
        <w:tc>
          <w:tcPr>
            <w:tcW w:w="1530" w:type="dxa"/>
          </w:tcPr>
          <w:p>
            <w:pPr>
              <w:rPr>
                <w:rFonts w:ascii="宋体" w:hAnsi="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660" w:type="dxa"/>
          </w:tcPr>
          <w:p>
            <w:pPr>
              <w:rPr>
                <w:rFonts w:ascii="宋体" w:hAnsi="宋体" w:cs="宋体"/>
                <w:sz w:val="21"/>
                <w:szCs w:val="21"/>
              </w:rPr>
            </w:pPr>
          </w:p>
          <w:p>
            <w:pPr>
              <w:rPr>
                <w:rFonts w:ascii="宋体" w:hAnsi="宋体" w:cs="宋体"/>
                <w:sz w:val="21"/>
                <w:szCs w:val="21"/>
              </w:rPr>
            </w:pPr>
          </w:p>
        </w:tc>
        <w:tc>
          <w:tcPr>
            <w:tcW w:w="1455" w:type="dxa"/>
          </w:tcPr>
          <w:p>
            <w:pPr>
              <w:rPr>
                <w:rFonts w:ascii="宋体" w:hAnsi="宋体" w:cs="宋体"/>
                <w:sz w:val="21"/>
                <w:szCs w:val="21"/>
              </w:rPr>
            </w:pPr>
          </w:p>
        </w:tc>
        <w:tc>
          <w:tcPr>
            <w:tcW w:w="2985" w:type="dxa"/>
          </w:tcPr>
          <w:p>
            <w:pPr>
              <w:rPr>
                <w:rFonts w:ascii="宋体" w:hAnsi="宋体" w:cs="宋体"/>
                <w:sz w:val="21"/>
                <w:szCs w:val="21"/>
              </w:rPr>
            </w:pPr>
          </w:p>
        </w:tc>
        <w:tc>
          <w:tcPr>
            <w:tcW w:w="2745" w:type="dxa"/>
          </w:tcPr>
          <w:p>
            <w:pPr>
              <w:rPr>
                <w:rFonts w:ascii="宋体" w:hAnsi="宋体" w:cs="宋体"/>
                <w:sz w:val="21"/>
                <w:szCs w:val="21"/>
              </w:rPr>
            </w:pPr>
          </w:p>
        </w:tc>
        <w:tc>
          <w:tcPr>
            <w:tcW w:w="1530" w:type="dxa"/>
          </w:tcPr>
          <w:p>
            <w:pPr>
              <w:rPr>
                <w:rFonts w:ascii="宋体" w:hAnsi="宋体" w:cs="宋体"/>
                <w:sz w:val="21"/>
                <w:szCs w:val="21"/>
              </w:rPr>
            </w:pPr>
          </w:p>
        </w:tc>
      </w:tr>
    </w:tbl>
    <w:p>
      <w:pPr>
        <w:spacing w:after="120"/>
        <w:rPr>
          <w:rFonts w:ascii="宋体" w:hAnsi="宋体" w:cs="宋体"/>
          <w:sz w:val="21"/>
          <w:szCs w:val="21"/>
        </w:rPr>
      </w:pPr>
      <w:r>
        <w:rPr>
          <w:rFonts w:hint="eastAsia" w:ascii="宋体" w:hAnsi="宋体" w:cs="宋体"/>
          <w:b/>
          <w:sz w:val="21"/>
          <w:szCs w:val="21"/>
        </w:rPr>
        <w:t>说明</w:t>
      </w:r>
      <w:r>
        <w:rPr>
          <w:rFonts w:hint="eastAsia" w:ascii="宋体" w:hAnsi="宋体" w:cs="宋体"/>
          <w:sz w:val="21"/>
          <w:szCs w:val="21"/>
        </w:rPr>
        <w:t>：</w:t>
      </w:r>
    </w:p>
    <w:p>
      <w:pPr>
        <w:spacing w:after="120"/>
        <w:rPr>
          <w:rFonts w:ascii="宋体" w:hAnsi="宋体" w:cs="宋体"/>
          <w:sz w:val="21"/>
          <w:szCs w:val="21"/>
        </w:rPr>
      </w:pPr>
      <w:r>
        <w:rPr>
          <w:rFonts w:hint="eastAsia" w:ascii="宋体" w:hAnsi="宋体" w:cs="宋体"/>
          <w:sz w:val="21"/>
          <w:szCs w:val="21"/>
        </w:rPr>
        <w:t>1..若供应商在《技术偏离表》中应答“全部满足”，但有额外的负向附加解释或说明，视为对该条款的偏离。</w:t>
      </w:r>
    </w:p>
    <w:p>
      <w:pPr>
        <w:spacing w:after="120"/>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.如供应商提供的点对点应答文件与《技术偏离表》中的应答内容不一致，以《技术偏离表》中的内容为准。</w:t>
      </w:r>
    </w:p>
    <w:p>
      <w:pPr>
        <w:tabs>
          <w:tab w:val="left" w:pos="570"/>
        </w:tabs>
        <w:snapToGrid w:val="0"/>
        <w:spacing w:line="440" w:lineRule="exact"/>
        <w:ind w:firstLine="106" w:firstLineChars="50"/>
        <w:jc w:val="left"/>
        <w:rPr>
          <w:rStyle w:val="43"/>
          <w:rFonts w:ascii="宋体" w:hAnsi="宋体"/>
          <w:sz w:val="21"/>
          <w:szCs w:val="21"/>
        </w:rPr>
      </w:pPr>
      <w:r>
        <w:rPr>
          <w:rFonts w:hint="eastAsia" w:ascii="宋体" w:hAnsi="宋体" w:cs="宋体"/>
          <w:sz w:val="21"/>
          <w:szCs w:val="21"/>
          <w:lang w:val="en-US" w:eastAsia="zh-CN"/>
        </w:rPr>
        <w:t>3</w:t>
      </w:r>
      <w:r>
        <w:rPr>
          <w:rFonts w:hint="eastAsia" w:ascii="宋体" w:hAnsi="宋体" w:cs="宋体"/>
          <w:sz w:val="21"/>
          <w:szCs w:val="21"/>
        </w:rPr>
        <w:t>.如果“应答情况”为“不满足”或是“部分满足”，请在“采购文件的技术条款”列，列明“不满足”或是“部分满足”的“具体采购文件条款内容”（仅可增加行），同时在“应答文件的技术条款”列，列明“不满足”或是“部分满足”的“具体应答文件的偏离条款”。</w:t>
      </w:r>
    </w:p>
    <w:p>
      <w:pPr>
        <w:tabs>
          <w:tab w:val="left" w:pos="570"/>
        </w:tabs>
        <w:snapToGrid w:val="0"/>
        <w:spacing w:line="440" w:lineRule="exact"/>
        <w:ind w:firstLine="106" w:firstLineChars="50"/>
        <w:jc w:val="left"/>
        <w:rPr>
          <w:rStyle w:val="43"/>
          <w:rFonts w:ascii="宋体" w:hAnsi="宋体"/>
          <w:sz w:val="21"/>
          <w:szCs w:val="21"/>
        </w:rPr>
      </w:pPr>
      <w:r>
        <w:rPr>
          <w:rStyle w:val="43"/>
          <w:rFonts w:ascii="宋体" w:hAnsi="宋体"/>
          <w:sz w:val="21"/>
          <w:szCs w:val="21"/>
        </w:rPr>
        <w:t xml:space="preserve"> </w:t>
      </w:r>
    </w:p>
    <w:p>
      <w:pPr>
        <w:tabs>
          <w:tab w:val="left" w:pos="570"/>
        </w:tabs>
        <w:snapToGrid w:val="0"/>
        <w:spacing w:line="440" w:lineRule="exact"/>
        <w:ind w:firstLine="106" w:firstLineChars="50"/>
        <w:jc w:val="left"/>
        <w:rPr>
          <w:rFonts w:hint="eastAsia" w:ascii="宋体" w:hAnsi="宋体" w:cs="宋体"/>
          <w:sz w:val="21"/>
          <w:szCs w:val="21"/>
        </w:rPr>
      </w:pPr>
      <w:r>
        <w:rPr>
          <w:rFonts w:hint="eastAsia" w:ascii="宋体" w:hAnsi="宋体" w:cs="宋体"/>
          <w:sz w:val="21"/>
          <w:szCs w:val="21"/>
        </w:rPr>
        <w:t>投标人名称（盖章）：</w:t>
      </w:r>
    </w:p>
    <w:p>
      <w:pPr>
        <w:tabs>
          <w:tab w:val="left" w:pos="570"/>
        </w:tabs>
        <w:snapToGrid w:val="0"/>
        <w:spacing w:line="440" w:lineRule="exact"/>
        <w:ind w:firstLine="106" w:firstLineChars="50"/>
        <w:jc w:val="left"/>
        <w:rPr>
          <w:rFonts w:ascii="宋体" w:hAnsi="宋体" w:cs="宋体"/>
          <w:sz w:val="21"/>
          <w:szCs w:val="21"/>
        </w:rPr>
      </w:pPr>
      <w:r>
        <w:rPr>
          <w:rFonts w:hint="eastAsia" w:ascii="宋体" w:hAnsi="宋体" w:cs="宋体"/>
          <w:sz w:val="21"/>
          <w:szCs w:val="21"/>
        </w:rPr>
        <w:t xml:space="preserve">法定代表人或授权委托人（签字或签章）：         </w:t>
      </w:r>
    </w:p>
    <w:p>
      <w:pPr>
        <w:tabs>
          <w:tab w:val="left" w:pos="570"/>
        </w:tabs>
        <w:snapToGrid w:val="0"/>
        <w:spacing w:line="440" w:lineRule="exact"/>
        <w:ind w:firstLine="106" w:firstLineChars="50"/>
        <w:jc w:val="left"/>
        <w:rPr>
          <w:rFonts w:ascii="宋体" w:hAnsi="宋体" w:cs="宋体"/>
          <w:sz w:val="21"/>
          <w:szCs w:val="21"/>
        </w:rPr>
      </w:pPr>
      <w:r>
        <w:rPr>
          <w:rFonts w:hint="eastAsia" w:ascii="宋体" w:hAnsi="宋体" w:cs="宋体"/>
          <w:sz w:val="21"/>
          <w:szCs w:val="21"/>
        </w:rPr>
        <w:t xml:space="preserve">               </w:t>
      </w:r>
    </w:p>
    <w:p>
      <w:pPr>
        <w:tabs>
          <w:tab w:val="left" w:pos="570"/>
        </w:tabs>
        <w:snapToGrid w:val="0"/>
        <w:spacing w:line="440" w:lineRule="exact"/>
        <w:ind w:firstLine="106" w:firstLineChars="50"/>
        <w:jc w:val="left"/>
        <w:rPr>
          <w:rStyle w:val="43"/>
          <w:rFonts w:ascii="宋体" w:hAnsi="宋体" w:cs="宋体"/>
          <w:b/>
          <w:bCs/>
          <w:sz w:val="21"/>
          <w:szCs w:val="21"/>
        </w:rPr>
      </w:pPr>
      <w:r>
        <w:rPr>
          <w:rFonts w:hint="eastAsia" w:ascii="宋体" w:hAnsi="宋体" w:cs="宋体"/>
          <w:sz w:val="21"/>
          <w:szCs w:val="21"/>
        </w:rPr>
        <w:t xml:space="preserve">  日           期：  </w:t>
      </w:r>
      <w:r>
        <w:rPr>
          <w:rStyle w:val="43"/>
          <w:rFonts w:ascii="宋体" w:hAnsi="宋体"/>
          <w:spacing w:val="20"/>
          <w:sz w:val="21"/>
          <w:szCs w:val="21"/>
          <w:u w:val="single" w:color="000000"/>
        </w:rPr>
        <w:t xml:space="preserve">            </w:t>
      </w:r>
      <w:r>
        <w:rPr>
          <w:rFonts w:hint="eastAsia" w:ascii="宋体" w:hAnsi="宋体" w:cs="宋体"/>
          <w:spacing w:val="20"/>
          <w:sz w:val="21"/>
          <w:szCs w:val="21"/>
          <w:u w:val="single"/>
        </w:rPr>
        <w:t xml:space="preserve">        </w:t>
      </w:r>
    </w:p>
    <w:p>
      <w:pPr>
        <w:pStyle w:val="432"/>
        <w:ind w:firstLine="0"/>
        <w:rPr>
          <w:rStyle w:val="43"/>
          <w:rFonts w:ascii="宋体" w:hAnsi="宋体" w:cs="宋体"/>
          <w:b/>
          <w:bCs/>
          <w:sz w:val="21"/>
          <w:szCs w:val="21"/>
        </w:rPr>
      </w:pPr>
    </w:p>
    <w:p>
      <w:pPr>
        <w:pStyle w:val="432"/>
        <w:ind w:firstLine="0"/>
        <w:outlineLvl w:val="1"/>
        <w:rPr>
          <w:rStyle w:val="43"/>
          <w:rFonts w:ascii="宋体" w:hAnsi="宋体" w:cs="宋体"/>
          <w:b/>
          <w:bCs/>
          <w:sz w:val="21"/>
          <w:szCs w:val="21"/>
        </w:rPr>
      </w:pPr>
    </w:p>
    <w:p>
      <w:pPr>
        <w:pStyle w:val="432"/>
        <w:ind w:firstLine="0"/>
        <w:outlineLvl w:val="1"/>
        <w:rPr>
          <w:rStyle w:val="43"/>
          <w:rFonts w:hAnsi="仿宋_GB2312"/>
          <w:sz w:val="21"/>
          <w:szCs w:val="21"/>
        </w:rPr>
      </w:pPr>
      <w:r>
        <w:rPr>
          <w:rStyle w:val="43"/>
          <w:rFonts w:ascii="宋体" w:hAnsi="宋体" w:cs="宋体"/>
          <w:b/>
          <w:bCs/>
          <w:sz w:val="21"/>
          <w:szCs w:val="21"/>
        </w:rPr>
        <w:t>附件1</w:t>
      </w:r>
      <w:r>
        <w:rPr>
          <w:rStyle w:val="43"/>
          <w:rFonts w:hint="eastAsia" w:ascii="宋体" w:hAnsi="宋体" w:cs="宋体"/>
          <w:b/>
          <w:bCs/>
          <w:sz w:val="21"/>
          <w:szCs w:val="21"/>
          <w:lang w:val="en-US" w:eastAsia="zh-CN"/>
        </w:rPr>
        <w:t>3</w:t>
      </w:r>
      <w:r>
        <w:rPr>
          <w:rStyle w:val="43"/>
          <w:rFonts w:ascii="宋体" w:hAnsi="宋体" w:cs="宋体"/>
          <w:b/>
          <w:bCs/>
          <w:sz w:val="21"/>
          <w:szCs w:val="21"/>
        </w:rPr>
        <w:t>：</w:t>
      </w:r>
      <w:r>
        <w:rPr>
          <w:rStyle w:val="43"/>
          <w:rFonts w:ascii="宋体" w:hAnsi="宋体"/>
          <w:b/>
          <w:sz w:val="21"/>
          <w:szCs w:val="21"/>
        </w:rPr>
        <w:t>廉政承诺书</w:t>
      </w:r>
    </w:p>
    <w:p>
      <w:pPr>
        <w:snapToGrid w:val="0"/>
        <w:spacing w:line="360" w:lineRule="auto"/>
        <w:ind w:left="2"/>
        <w:jc w:val="center"/>
        <w:rPr>
          <w:rStyle w:val="43"/>
          <w:rFonts w:ascii="仿宋_GB2312" w:hAnsi="仿宋_GB2312" w:eastAsia="仿宋_GB2312"/>
          <w:sz w:val="21"/>
          <w:szCs w:val="21"/>
        </w:rPr>
      </w:pPr>
      <w:r>
        <w:rPr>
          <w:rStyle w:val="43"/>
          <w:rFonts w:ascii="宋体" w:hAnsi="宋体"/>
          <w:b/>
          <w:sz w:val="21"/>
          <w:szCs w:val="21"/>
        </w:rPr>
        <w:t>廉政承诺书</w:t>
      </w:r>
    </w:p>
    <w:p>
      <w:pPr>
        <w:snapToGrid w:val="0"/>
        <w:spacing w:line="360" w:lineRule="auto"/>
        <w:ind w:left="2"/>
        <w:jc w:val="left"/>
        <w:rPr>
          <w:rStyle w:val="43"/>
          <w:rFonts w:ascii="宋体" w:hAnsi="宋体"/>
          <w:kern w:val="0"/>
          <w:sz w:val="21"/>
          <w:szCs w:val="21"/>
          <w:lang w:val="zh-CN"/>
        </w:rPr>
      </w:pPr>
      <w:r>
        <w:rPr>
          <w:rStyle w:val="43"/>
          <w:rFonts w:hint="eastAsia" w:ascii="宋体" w:hAnsi="宋体"/>
          <w:sz w:val="21"/>
          <w:szCs w:val="21"/>
        </w:rPr>
        <w:t>嵊州市经济和信息化局</w:t>
      </w:r>
      <w:r>
        <w:rPr>
          <w:rStyle w:val="43"/>
          <w:rFonts w:ascii="宋体" w:hAnsi="宋体"/>
          <w:kern w:val="0"/>
          <w:sz w:val="21"/>
          <w:szCs w:val="21"/>
          <w:lang w:val="zh-CN"/>
        </w:rPr>
        <w:t xml:space="preserve">：    </w:t>
      </w:r>
    </w:p>
    <w:p>
      <w:pPr>
        <w:snapToGrid w:val="0"/>
        <w:spacing w:line="360" w:lineRule="auto"/>
        <w:ind w:left="2" w:leftChars="1" w:firstLine="426" w:firstLineChars="200"/>
        <w:jc w:val="left"/>
        <w:rPr>
          <w:rStyle w:val="43"/>
          <w:rFonts w:ascii="宋体" w:hAnsi="宋体"/>
          <w:kern w:val="0"/>
          <w:sz w:val="21"/>
          <w:szCs w:val="21"/>
          <w:lang w:val="zh-CN"/>
        </w:rPr>
      </w:pPr>
      <w:r>
        <w:rPr>
          <w:rStyle w:val="43"/>
          <w:rFonts w:ascii="宋体" w:hAnsi="宋体"/>
          <w:kern w:val="0"/>
          <w:sz w:val="21"/>
          <w:szCs w:val="21"/>
          <w:lang w:val="zh-CN"/>
        </w:rPr>
        <w:t>我单位响应你</w:t>
      </w:r>
      <w:r>
        <w:rPr>
          <w:rStyle w:val="43"/>
          <w:rFonts w:ascii="宋体" w:hAnsi="宋体"/>
          <w:sz w:val="21"/>
          <w:szCs w:val="21"/>
        </w:rPr>
        <w:t>单位</w:t>
      </w:r>
      <w:r>
        <w:rPr>
          <w:rStyle w:val="43"/>
          <w:rFonts w:ascii="宋体" w:hAnsi="宋体"/>
          <w:kern w:val="0"/>
          <w:sz w:val="21"/>
          <w:szCs w:val="21"/>
          <w:lang w:val="zh-CN"/>
        </w:rPr>
        <w:t xml:space="preserve">项目招标要求参加投标。在这次投标过程中和中标后，我们将严格遵守国家法律法规要求，并郑重承诺：    </w:t>
      </w:r>
    </w:p>
    <w:p>
      <w:pPr>
        <w:snapToGrid w:val="0"/>
        <w:spacing w:line="360" w:lineRule="auto"/>
        <w:ind w:left="2" w:leftChars="1" w:firstLine="426" w:firstLineChars="200"/>
        <w:jc w:val="left"/>
        <w:rPr>
          <w:rStyle w:val="43"/>
          <w:rFonts w:ascii="宋体" w:hAnsi="宋体"/>
          <w:kern w:val="0"/>
          <w:sz w:val="21"/>
          <w:szCs w:val="21"/>
          <w:lang w:val="zh-CN"/>
        </w:rPr>
      </w:pPr>
      <w:r>
        <w:rPr>
          <w:rStyle w:val="43"/>
          <w:rFonts w:ascii="宋体" w:hAnsi="宋体"/>
          <w:kern w:val="0"/>
          <w:sz w:val="21"/>
          <w:szCs w:val="21"/>
          <w:lang w:val="zh-CN"/>
        </w:rPr>
        <w:t xml:space="preserve">一、不向项目有关人员及部门赠送礼金礼物、有价证券、回扣以及中介费、介绍费、咨询费等好处费；    </w:t>
      </w:r>
    </w:p>
    <w:p>
      <w:pPr>
        <w:snapToGrid w:val="0"/>
        <w:spacing w:line="360" w:lineRule="auto"/>
        <w:ind w:left="2" w:leftChars="1" w:firstLine="426" w:firstLineChars="200"/>
        <w:jc w:val="left"/>
        <w:rPr>
          <w:rStyle w:val="43"/>
          <w:rFonts w:ascii="宋体" w:hAnsi="宋体"/>
          <w:kern w:val="0"/>
          <w:sz w:val="21"/>
          <w:szCs w:val="21"/>
          <w:lang w:val="zh-CN"/>
        </w:rPr>
      </w:pPr>
      <w:r>
        <w:rPr>
          <w:rStyle w:val="43"/>
          <w:rFonts w:ascii="宋体" w:hAnsi="宋体"/>
          <w:kern w:val="0"/>
          <w:sz w:val="21"/>
          <w:szCs w:val="21"/>
          <w:lang w:val="zh-CN"/>
        </w:rPr>
        <w:t xml:space="preserve">二、不为项目有关人员及部门报销应由你方单位或个人支付的费用；    </w:t>
      </w:r>
    </w:p>
    <w:p>
      <w:pPr>
        <w:snapToGrid w:val="0"/>
        <w:spacing w:line="360" w:lineRule="auto"/>
        <w:ind w:left="2" w:leftChars="1" w:firstLine="426" w:firstLineChars="200"/>
        <w:jc w:val="left"/>
        <w:rPr>
          <w:rStyle w:val="43"/>
          <w:rFonts w:ascii="宋体" w:hAnsi="宋体"/>
          <w:kern w:val="0"/>
          <w:sz w:val="21"/>
          <w:szCs w:val="21"/>
          <w:lang w:val="zh-CN"/>
        </w:rPr>
      </w:pPr>
      <w:r>
        <w:rPr>
          <w:rStyle w:val="43"/>
          <w:rFonts w:ascii="宋体" w:hAnsi="宋体"/>
          <w:kern w:val="0"/>
          <w:sz w:val="21"/>
          <w:szCs w:val="21"/>
          <w:lang w:val="zh-CN"/>
        </w:rPr>
        <w:t xml:space="preserve">三、不向项目有关人员及部门提供有可能影响公正的宴请和健身娱乐等活动；    </w:t>
      </w:r>
    </w:p>
    <w:p>
      <w:pPr>
        <w:snapToGrid w:val="0"/>
        <w:spacing w:line="360" w:lineRule="auto"/>
        <w:ind w:left="2" w:leftChars="1" w:firstLine="426" w:firstLineChars="200"/>
        <w:jc w:val="left"/>
        <w:rPr>
          <w:rStyle w:val="43"/>
          <w:rFonts w:ascii="宋体" w:hAnsi="宋体"/>
          <w:kern w:val="0"/>
          <w:sz w:val="21"/>
          <w:szCs w:val="21"/>
          <w:lang w:val="zh-CN"/>
        </w:rPr>
      </w:pPr>
      <w:r>
        <w:rPr>
          <w:rStyle w:val="43"/>
          <w:rFonts w:ascii="宋体" w:hAnsi="宋体"/>
          <w:kern w:val="0"/>
          <w:sz w:val="21"/>
          <w:szCs w:val="21"/>
          <w:lang w:val="zh-CN"/>
        </w:rPr>
        <w:t xml:space="preserve">四、不为项目有关人员及部门出国（境）、旅游等提供方便；    </w:t>
      </w:r>
    </w:p>
    <w:p>
      <w:pPr>
        <w:snapToGrid w:val="0"/>
        <w:spacing w:line="360" w:lineRule="auto"/>
        <w:ind w:firstLine="426" w:firstLineChars="200"/>
        <w:jc w:val="left"/>
        <w:rPr>
          <w:rStyle w:val="43"/>
          <w:rFonts w:ascii="宋体" w:hAnsi="宋体"/>
          <w:kern w:val="0"/>
          <w:sz w:val="21"/>
          <w:szCs w:val="21"/>
          <w:lang w:val="zh-CN"/>
        </w:rPr>
      </w:pPr>
      <w:r>
        <w:rPr>
          <w:rStyle w:val="43"/>
          <w:rFonts w:ascii="宋体" w:hAnsi="宋体"/>
          <w:kern w:val="0"/>
          <w:sz w:val="21"/>
          <w:szCs w:val="21"/>
          <w:lang w:val="zh-CN"/>
        </w:rPr>
        <w:t xml:space="preserve">五、不为项目有关人员个人装修住房、婚丧嫁娶、配偶子女工作安排等提供好处；    </w:t>
      </w:r>
    </w:p>
    <w:p>
      <w:pPr>
        <w:snapToGrid w:val="0"/>
        <w:spacing w:line="360" w:lineRule="auto"/>
        <w:ind w:firstLine="426" w:firstLineChars="200"/>
        <w:jc w:val="left"/>
        <w:rPr>
          <w:rStyle w:val="43"/>
          <w:rFonts w:ascii="宋体" w:hAnsi="宋体"/>
          <w:kern w:val="0"/>
          <w:sz w:val="21"/>
          <w:szCs w:val="21"/>
          <w:lang w:val="zh-CN"/>
        </w:rPr>
      </w:pPr>
      <w:r>
        <w:rPr>
          <w:rStyle w:val="43"/>
          <w:rFonts w:ascii="宋体" w:hAnsi="宋体"/>
          <w:kern w:val="0"/>
          <w:sz w:val="21"/>
          <w:szCs w:val="21"/>
          <w:lang w:val="zh-CN"/>
        </w:rPr>
        <w:t xml:space="preserve">六、严格遵守政府采购法、合同法等法律，诚实守信，合法经营，坚决抵制各种违法违纪行为。    </w:t>
      </w:r>
    </w:p>
    <w:p>
      <w:pPr>
        <w:snapToGrid w:val="0"/>
        <w:spacing w:line="360" w:lineRule="auto"/>
        <w:ind w:firstLine="426" w:firstLineChars="200"/>
        <w:jc w:val="left"/>
        <w:rPr>
          <w:rStyle w:val="43"/>
          <w:rFonts w:ascii="宋体" w:hAnsi="宋体"/>
          <w:kern w:val="0"/>
          <w:sz w:val="21"/>
          <w:szCs w:val="21"/>
          <w:lang w:val="zh-CN"/>
        </w:rPr>
      </w:pPr>
      <w:r>
        <w:rPr>
          <w:rStyle w:val="43"/>
          <w:rFonts w:ascii="宋体" w:hAnsi="宋体"/>
          <w:kern w:val="0"/>
          <w:sz w:val="21"/>
          <w:szCs w:val="21"/>
          <w:lang w:val="zh-CN"/>
        </w:rPr>
        <w:t>如违反上述承诺，你</w:t>
      </w:r>
      <w:r>
        <w:rPr>
          <w:rStyle w:val="43"/>
          <w:rFonts w:ascii="宋体" w:hAnsi="宋体"/>
          <w:sz w:val="21"/>
          <w:szCs w:val="21"/>
        </w:rPr>
        <w:t>单位</w:t>
      </w:r>
      <w:r>
        <w:rPr>
          <w:rStyle w:val="43"/>
          <w:rFonts w:ascii="宋体" w:hAnsi="宋体"/>
          <w:kern w:val="0"/>
          <w:sz w:val="21"/>
          <w:szCs w:val="21"/>
          <w:lang w:val="zh-CN"/>
        </w:rPr>
        <w:t>有权立即取消我单位投标、中标或在建项目的建设资格，有权拒绝我单位在一定时期内进入你</w:t>
      </w:r>
      <w:r>
        <w:rPr>
          <w:rStyle w:val="43"/>
          <w:rFonts w:ascii="宋体" w:hAnsi="宋体"/>
          <w:sz w:val="21"/>
          <w:szCs w:val="21"/>
        </w:rPr>
        <w:t>单位</w:t>
      </w:r>
      <w:r>
        <w:rPr>
          <w:rStyle w:val="43"/>
          <w:rFonts w:ascii="宋体" w:hAnsi="宋体"/>
          <w:kern w:val="0"/>
          <w:sz w:val="21"/>
          <w:szCs w:val="21"/>
          <w:lang w:val="zh-CN"/>
        </w:rPr>
        <w:t>进行项目建设或其他经营活动，并通报市财政局。由此引起的相应损失均由我单位承担。</w:t>
      </w:r>
    </w:p>
    <w:p>
      <w:pPr>
        <w:snapToGrid w:val="0"/>
        <w:spacing w:line="360" w:lineRule="auto"/>
        <w:ind w:left="2"/>
        <w:jc w:val="left"/>
        <w:rPr>
          <w:rStyle w:val="43"/>
          <w:rFonts w:ascii="宋体" w:hAnsi="宋体"/>
          <w:kern w:val="0"/>
          <w:sz w:val="21"/>
          <w:szCs w:val="21"/>
          <w:lang w:val="zh-CN"/>
        </w:rPr>
      </w:pPr>
    </w:p>
    <w:p>
      <w:pPr>
        <w:snapToGrid w:val="0"/>
        <w:spacing w:line="360" w:lineRule="auto"/>
        <w:ind w:left="2"/>
        <w:jc w:val="left"/>
        <w:rPr>
          <w:rStyle w:val="43"/>
          <w:rFonts w:ascii="宋体" w:hAnsi="宋体"/>
          <w:kern w:val="0"/>
          <w:sz w:val="21"/>
          <w:szCs w:val="21"/>
          <w:lang w:val="zh-CN"/>
        </w:rPr>
      </w:pPr>
    </w:p>
    <w:p>
      <w:pPr>
        <w:snapToGrid w:val="0"/>
        <w:spacing w:line="360" w:lineRule="auto"/>
        <w:ind w:left="2"/>
        <w:jc w:val="left"/>
        <w:rPr>
          <w:rStyle w:val="43"/>
          <w:rFonts w:ascii="宋体" w:hAnsi="宋体"/>
          <w:kern w:val="0"/>
          <w:sz w:val="21"/>
          <w:szCs w:val="21"/>
          <w:lang w:val="zh-CN"/>
        </w:rPr>
      </w:pPr>
    </w:p>
    <w:p>
      <w:pPr>
        <w:snapToGrid w:val="0"/>
        <w:spacing w:line="360" w:lineRule="auto"/>
        <w:ind w:left="2" w:leftChars="1" w:right="1120" w:firstLine="4469" w:firstLineChars="2099"/>
        <w:jc w:val="left"/>
        <w:rPr>
          <w:rStyle w:val="43"/>
          <w:rFonts w:ascii="宋体" w:hAnsi="宋体"/>
          <w:kern w:val="0"/>
          <w:sz w:val="21"/>
          <w:szCs w:val="21"/>
          <w:lang w:val="zh-CN"/>
        </w:rPr>
      </w:pPr>
      <w:r>
        <w:rPr>
          <w:rStyle w:val="43"/>
          <w:rFonts w:ascii="宋体" w:hAnsi="宋体"/>
          <w:kern w:val="0"/>
          <w:sz w:val="21"/>
          <w:szCs w:val="21"/>
          <w:lang w:val="zh-CN"/>
        </w:rPr>
        <w:t xml:space="preserve">投标人名称（公章）：                </w:t>
      </w:r>
    </w:p>
    <w:p>
      <w:pPr>
        <w:snapToGrid w:val="0"/>
        <w:spacing w:line="360" w:lineRule="auto"/>
        <w:ind w:left="4458" w:leftChars="1828" w:right="1120" w:hanging="16" w:hangingChars="8"/>
        <w:jc w:val="left"/>
        <w:rPr>
          <w:rStyle w:val="43"/>
          <w:rFonts w:ascii="宋体" w:hAnsi="宋体"/>
          <w:kern w:val="0"/>
          <w:sz w:val="21"/>
          <w:szCs w:val="21"/>
          <w:lang w:val="zh-CN"/>
        </w:rPr>
      </w:pPr>
      <w:r>
        <w:rPr>
          <w:rStyle w:val="43"/>
          <w:rFonts w:ascii="宋体" w:hAnsi="宋体"/>
          <w:kern w:val="0"/>
          <w:sz w:val="21"/>
          <w:szCs w:val="21"/>
          <w:lang w:val="zh-CN"/>
        </w:rPr>
        <w:t>法定代表人或其授权代表（</w:t>
      </w:r>
      <w:r>
        <w:rPr>
          <w:rStyle w:val="43"/>
          <w:rFonts w:ascii="宋体" w:hAnsi="宋体"/>
          <w:spacing w:val="20"/>
          <w:sz w:val="21"/>
          <w:szCs w:val="21"/>
        </w:rPr>
        <w:t>签</w:t>
      </w:r>
      <w:r>
        <w:rPr>
          <w:rStyle w:val="43"/>
          <w:rFonts w:hint="eastAsia" w:ascii="宋体" w:hAnsi="宋体"/>
          <w:spacing w:val="20"/>
          <w:sz w:val="21"/>
          <w:szCs w:val="21"/>
        </w:rPr>
        <w:t>字</w:t>
      </w:r>
      <w:r>
        <w:rPr>
          <w:rStyle w:val="43"/>
          <w:rFonts w:hint="eastAsia" w:ascii="宋体" w:hAnsi="宋体"/>
          <w:sz w:val="21"/>
          <w:szCs w:val="21"/>
        </w:rPr>
        <w:t>或签章</w:t>
      </w:r>
      <w:r>
        <w:rPr>
          <w:rStyle w:val="43"/>
          <w:rFonts w:ascii="宋体" w:hAnsi="宋体"/>
          <w:kern w:val="0"/>
          <w:sz w:val="21"/>
          <w:szCs w:val="21"/>
          <w:lang w:val="zh-CN"/>
        </w:rPr>
        <w:t>）：                                                                                                                                                                    日期</w:t>
      </w:r>
      <w:r>
        <w:rPr>
          <w:rStyle w:val="43"/>
          <w:rFonts w:ascii="宋体" w:hAnsi="宋体"/>
          <w:kern w:val="0"/>
          <w:sz w:val="21"/>
          <w:szCs w:val="21"/>
        </w:rPr>
        <w:t>：</w:t>
      </w:r>
      <w:r>
        <w:rPr>
          <w:rStyle w:val="43"/>
          <w:rFonts w:ascii="宋体" w:hAnsi="宋体"/>
          <w:kern w:val="0"/>
          <w:sz w:val="21"/>
          <w:szCs w:val="21"/>
          <w:lang w:val="zh-CN"/>
        </w:rPr>
        <w:t xml:space="preserve">   年   月   日</w:t>
      </w:r>
    </w:p>
    <w:p>
      <w:pPr>
        <w:snapToGrid w:val="0"/>
        <w:spacing w:line="360" w:lineRule="auto"/>
        <w:ind w:left="4410" w:hanging="4410"/>
        <w:rPr>
          <w:rStyle w:val="43"/>
          <w:rFonts w:ascii="宋体" w:hAnsi="宋体"/>
          <w:kern w:val="0"/>
          <w:sz w:val="21"/>
          <w:szCs w:val="21"/>
          <w:lang w:val="zh-CN"/>
        </w:rPr>
      </w:pPr>
    </w:p>
    <w:p>
      <w:pPr>
        <w:snapToGrid w:val="0"/>
        <w:jc w:val="left"/>
        <w:rPr>
          <w:rStyle w:val="43"/>
          <w:rFonts w:ascii="宋体" w:hAnsi="宋体"/>
          <w:sz w:val="21"/>
          <w:szCs w:val="21"/>
        </w:rPr>
      </w:pPr>
    </w:p>
    <w:p>
      <w:pPr>
        <w:pStyle w:val="11"/>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pStyle w:val="12"/>
        <w:ind w:firstLine="214"/>
        <w:rPr>
          <w:rFonts w:ascii="宋体" w:hAnsi="宋体" w:cs="宋体"/>
          <w:b/>
          <w:sz w:val="21"/>
          <w:szCs w:val="21"/>
        </w:rPr>
      </w:pPr>
      <w:bookmarkStart w:id="361" w:name="_Toc489481901"/>
      <w:bookmarkStart w:id="362" w:name="_Toc340321933"/>
      <w:bookmarkStart w:id="363" w:name="_Toc16808"/>
      <w:bookmarkStart w:id="364" w:name="_Toc15528"/>
      <w:bookmarkStart w:id="365" w:name="_Toc8651"/>
      <w:bookmarkStart w:id="366" w:name="_Toc340322188"/>
      <w:bookmarkStart w:id="367" w:name="_Toc339302149"/>
      <w:bookmarkStart w:id="368" w:name="_Toc513456156"/>
      <w:bookmarkStart w:id="369" w:name="_Toc6507"/>
    </w:p>
    <w:p>
      <w:pPr>
        <w:pStyle w:val="12"/>
        <w:ind w:firstLine="214"/>
        <w:outlineLvl w:val="1"/>
        <w:rPr>
          <w:rFonts w:ascii="黑体" w:hAnsi="黑体" w:eastAsia="黑体" w:cs="黑体"/>
          <w:bCs/>
          <w:sz w:val="21"/>
          <w:szCs w:val="21"/>
        </w:rPr>
      </w:pPr>
      <w:r>
        <w:rPr>
          <w:rFonts w:hint="eastAsia" w:ascii="宋体" w:hAnsi="宋体" w:cs="宋体"/>
          <w:b/>
          <w:sz w:val="21"/>
          <w:szCs w:val="21"/>
        </w:rPr>
        <w:t>附件1</w:t>
      </w:r>
      <w:r>
        <w:rPr>
          <w:rFonts w:hint="eastAsia" w:ascii="宋体" w:hAnsi="宋体" w:cs="宋体"/>
          <w:b/>
          <w:sz w:val="21"/>
          <w:szCs w:val="21"/>
          <w:lang w:val="en-US" w:eastAsia="zh-CN"/>
        </w:rPr>
        <w:t>4</w:t>
      </w:r>
      <w:r>
        <w:rPr>
          <w:rFonts w:hint="eastAsia" w:ascii="宋体" w:hAnsi="宋体" w:cs="宋体"/>
          <w:b/>
          <w:sz w:val="21"/>
          <w:szCs w:val="21"/>
        </w:rPr>
        <w:t>：开标一览表（报价表）</w:t>
      </w:r>
      <w:bookmarkEnd w:id="361"/>
      <w:bookmarkEnd w:id="362"/>
      <w:bookmarkEnd w:id="363"/>
      <w:bookmarkEnd w:id="364"/>
      <w:bookmarkEnd w:id="365"/>
      <w:bookmarkEnd w:id="366"/>
      <w:bookmarkEnd w:id="367"/>
      <w:bookmarkEnd w:id="368"/>
      <w:bookmarkEnd w:id="369"/>
    </w:p>
    <w:p>
      <w:pPr>
        <w:jc w:val="center"/>
        <w:rPr>
          <w:rFonts w:ascii="黑体" w:hAnsi="黑体" w:eastAsia="黑体" w:cs="黑体"/>
          <w:bCs/>
          <w:sz w:val="21"/>
          <w:szCs w:val="21"/>
        </w:rPr>
      </w:pPr>
    </w:p>
    <w:p>
      <w:pPr>
        <w:jc w:val="center"/>
        <w:rPr>
          <w:rFonts w:ascii="宋体" w:hAnsi="宋体" w:cs="宋体"/>
          <w:b/>
          <w:sz w:val="21"/>
          <w:szCs w:val="21"/>
        </w:rPr>
      </w:pPr>
      <w:r>
        <w:rPr>
          <w:rFonts w:hint="eastAsia" w:ascii="宋体" w:hAnsi="宋体" w:cs="宋体"/>
          <w:b/>
          <w:sz w:val="21"/>
          <w:szCs w:val="21"/>
        </w:rPr>
        <w:t>开标一览表（报价表）</w:t>
      </w:r>
    </w:p>
    <w:p>
      <w:pPr>
        <w:spacing w:line="360" w:lineRule="auto"/>
        <w:rPr>
          <w:rFonts w:cs="宋体"/>
          <w:sz w:val="21"/>
          <w:szCs w:val="21"/>
        </w:rPr>
      </w:pPr>
    </w:p>
    <w:p>
      <w:pPr>
        <w:spacing w:line="360" w:lineRule="auto"/>
        <w:rPr>
          <w:sz w:val="21"/>
          <w:szCs w:val="21"/>
          <w:u w:val="single"/>
        </w:rPr>
      </w:pPr>
      <w:r>
        <w:rPr>
          <w:rFonts w:hint="eastAsia" w:cs="宋体"/>
          <w:sz w:val="21"/>
          <w:szCs w:val="21"/>
        </w:rPr>
        <w:t>项目名称：</w:t>
      </w:r>
      <w:r>
        <w:rPr>
          <w:sz w:val="21"/>
          <w:szCs w:val="21"/>
          <w:u w:val="single"/>
        </w:rPr>
        <w:t xml:space="preserve">                                    </w:t>
      </w:r>
    </w:p>
    <w:p>
      <w:pPr>
        <w:spacing w:line="360" w:lineRule="auto"/>
        <w:rPr>
          <w:sz w:val="21"/>
          <w:szCs w:val="21"/>
        </w:rPr>
      </w:pPr>
      <w:r>
        <w:rPr>
          <w:rFonts w:hint="eastAsia" w:cs="宋体"/>
          <w:sz w:val="21"/>
          <w:szCs w:val="21"/>
        </w:rPr>
        <w:t>项目编号：</w:t>
      </w:r>
      <w:r>
        <w:rPr>
          <w:sz w:val="21"/>
          <w:szCs w:val="21"/>
          <w:u w:val="single"/>
        </w:rPr>
        <w:t xml:space="preserve">                                    </w:t>
      </w:r>
    </w:p>
    <w:p>
      <w:pPr>
        <w:rPr>
          <w:sz w:val="21"/>
          <w:szCs w:val="21"/>
          <w:u w:val="single"/>
        </w:rPr>
      </w:pPr>
    </w:p>
    <w:tbl>
      <w:tblPr>
        <w:tblStyle w:val="26"/>
        <w:tblW w:w="945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3300"/>
        <w:gridCol w:w="764"/>
        <w:gridCol w:w="3061"/>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ascii="宋体" w:hAnsi="宋体"/>
                <w:kern w:val="0"/>
                <w:sz w:val="21"/>
                <w:szCs w:val="21"/>
              </w:rPr>
              <w:t>序号</w:t>
            </w:r>
          </w:p>
        </w:tc>
        <w:tc>
          <w:tcPr>
            <w:tcW w:w="3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ascii="宋体" w:hAnsi="宋体"/>
                <w:kern w:val="0"/>
                <w:sz w:val="21"/>
                <w:szCs w:val="21"/>
              </w:rPr>
              <w:t>名称</w:t>
            </w:r>
          </w:p>
        </w:tc>
        <w:tc>
          <w:tcPr>
            <w:tcW w:w="7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ascii="宋体" w:hAnsi="宋体"/>
                <w:kern w:val="0"/>
                <w:sz w:val="21"/>
                <w:szCs w:val="21"/>
              </w:rPr>
              <w:t>数量</w:t>
            </w:r>
          </w:p>
        </w:tc>
        <w:tc>
          <w:tcPr>
            <w:tcW w:w="30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hint="eastAsia" w:ascii="宋体" w:hAnsi="宋体"/>
                <w:kern w:val="0"/>
                <w:sz w:val="21"/>
                <w:szCs w:val="21"/>
              </w:rPr>
              <w:t>投标报价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ascii="宋体" w:hAnsi="宋体"/>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ascii="宋体" w:hAnsi="宋体"/>
                <w:kern w:val="0"/>
                <w:sz w:val="21"/>
                <w:szCs w:val="21"/>
              </w:rPr>
              <w:t>1</w:t>
            </w:r>
          </w:p>
        </w:tc>
        <w:tc>
          <w:tcPr>
            <w:tcW w:w="33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hint="eastAsia" w:ascii="宋体" w:hAnsi="宋体" w:eastAsia="宋体"/>
                <w:iCs/>
                <w:sz w:val="21"/>
                <w:szCs w:val="21"/>
                <w:lang w:eastAsia="zh-CN"/>
              </w:rPr>
            </w:pPr>
            <w:r>
              <w:rPr>
                <w:rStyle w:val="43"/>
                <w:rFonts w:hint="eastAsia" w:ascii="宋体" w:hAnsi="宋体"/>
                <w:spacing w:val="6"/>
                <w:sz w:val="21"/>
                <w:szCs w:val="21"/>
                <w:lang w:eastAsia="zh-CN"/>
              </w:rPr>
              <w:t>嵊州智能厨电产业大脑建设项目（一期）</w:t>
            </w:r>
          </w:p>
        </w:tc>
        <w:tc>
          <w:tcPr>
            <w:tcW w:w="7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r>
              <w:rPr>
                <w:rStyle w:val="43"/>
                <w:rFonts w:hint="eastAsia" w:ascii="宋体" w:hAnsi="宋体"/>
                <w:kern w:val="0"/>
                <w:sz w:val="21"/>
                <w:szCs w:val="21"/>
              </w:rPr>
              <w:t>1</w:t>
            </w:r>
          </w:p>
        </w:tc>
        <w:tc>
          <w:tcPr>
            <w:tcW w:w="30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3"/>
                <w:rFonts w:ascii="宋体" w:hAnsi="宋体"/>
                <w:kern w:val="0"/>
                <w:sz w:val="21"/>
                <w:szCs w:val="21"/>
              </w:rPr>
            </w:pPr>
          </w:p>
        </w:tc>
      </w:tr>
    </w:tbl>
    <w:p>
      <w:pPr>
        <w:spacing w:line="380" w:lineRule="exact"/>
        <w:rPr>
          <w:rFonts w:eastAsia="黑体"/>
          <w:b/>
          <w:sz w:val="21"/>
          <w:szCs w:val="21"/>
        </w:rPr>
      </w:pPr>
      <w:r>
        <w:rPr>
          <w:rFonts w:hint="eastAsia" w:cs="宋体"/>
          <w:sz w:val="21"/>
          <w:szCs w:val="21"/>
        </w:rPr>
        <w:t>注</w:t>
      </w:r>
      <w:r>
        <w:rPr>
          <w:rFonts w:hint="eastAsia" w:cs="宋体"/>
          <w:b/>
          <w:sz w:val="21"/>
          <w:szCs w:val="21"/>
        </w:rPr>
        <w:t>：</w:t>
      </w:r>
      <w:r>
        <w:rPr>
          <w:rFonts w:hint="eastAsia" w:ascii="宋体" w:hAnsi="宋体" w:cs="宋体"/>
          <w:b/>
          <w:sz w:val="21"/>
          <w:szCs w:val="21"/>
        </w:rPr>
        <w:t>1.</w:t>
      </w:r>
      <w:r>
        <w:rPr>
          <w:rFonts w:hint="eastAsia" w:cs="宋体"/>
          <w:b/>
          <w:sz w:val="21"/>
          <w:szCs w:val="21"/>
        </w:rPr>
        <w:t>本次报价以“元”为单位，小数点保留</w:t>
      </w:r>
      <w:r>
        <w:rPr>
          <w:rFonts w:hint="eastAsia" w:ascii="宋体" w:hAnsi="宋体" w:cs="宋体"/>
          <w:b/>
          <w:sz w:val="21"/>
          <w:szCs w:val="21"/>
        </w:rPr>
        <w:t>2</w:t>
      </w:r>
      <w:r>
        <w:rPr>
          <w:rFonts w:hint="eastAsia" w:cs="宋体"/>
          <w:b/>
          <w:sz w:val="21"/>
          <w:szCs w:val="21"/>
        </w:rPr>
        <w:t>位。</w:t>
      </w:r>
    </w:p>
    <w:p>
      <w:pPr>
        <w:spacing w:line="380" w:lineRule="exact"/>
        <w:ind w:firstLine="426" w:firstLineChars="200"/>
      </w:pPr>
      <w:r>
        <w:rPr>
          <w:rFonts w:hint="eastAsia" w:ascii="宋体" w:hAnsi="宋体" w:cs="宋体"/>
          <w:sz w:val="21"/>
          <w:szCs w:val="21"/>
        </w:rPr>
        <w:t>2.</w:t>
      </w:r>
      <w:r>
        <w:rPr>
          <w:rFonts w:hint="eastAsia" w:cs="宋体"/>
          <w:sz w:val="21"/>
          <w:szCs w:val="21"/>
        </w:rPr>
        <w:t>投标报价含承包劳务报酬、节日费、高温冷饮费、劳动社会保险、人身意外伤害险、作业成本、利润、税收、管理费、中标服务费及其它所有费用，采购人不承担上述承包总额外中标人的任何费用。</w:t>
      </w:r>
    </w:p>
    <w:p>
      <w:pPr>
        <w:snapToGrid w:val="0"/>
        <w:spacing w:before="50" w:after="50" w:line="600" w:lineRule="exact"/>
        <w:rPr>
          <w:rFonts w:ascii="宋体" w:hAnsi="宋体" w:cs="宋体"/>
          <w:sz w:val="21"/>
          <w:szCs w:val="21"/>
        </w:rPr>
      </w:pPr>
      <w:r>
        <w:rPr>
          <w:rFonts w:hint="eastAsia" w:ascii="宋体" w:hAnsi="宋体" w:cs="宋体"/>
          <w:sz w:val="21"/>
          <w:szCs w:val="21"/>
        </w:rPr>
        <w:t xml:space="preserve"> </w:t>
      </w:r>
    </w:p>
    <w:p>
      <w:pPr>
        <w:snapToGrid w:val="0"/>
        <w:spacing w:before="50" w:after="50" w:line="600" w:lineRule="exact"/>
        <w:rPr>
          <w:rFonts w:ascii="宋体" w:hAnsi="宋体" w:cs="宋体"/>
          <w:sz w:val="21"/>
          <w:szCs w:val="21"/>
        </w:rPr>
      </w:pPr>
    </w:p>
    <w:p>
      <w:pPr>
        <w:snapToGrid w:val="0"/>
        <w:spacing w:before="50" w:after="50" w:line="600" w:lineRule="exact"/>
        <w:rPr>
          <w:rFonts w:ascii="宋体" w:hAnsi="宋体" w:cs="宋体"/>
          <w:spacing w:val="20"/>
          <w:sz w:val="21"/>
          <w:szCs w:val="21"/>
          <w:u w:val="single"/>
        </w:rPr>
      </w:pPr>
      <w:r>
        <w:rPr>
          <w:rFonts w:hint="eastAsia" w:ascii="宋体" w:hAnsi="宋体" w:cs="宋体"/>
          <w:sz w:val="21"/>
          <w:szCs w:val="21"/>
        </w:rPr>
        <w:t>法定代表人或授权委托人</w:t>
      </w:r>
      <w:r>
        <w:rPr>
          <w:rFonts w:hint="eastAsia" w:ascii="宋体" w:hAnsi="宋体" w:cs="宋体"/>
          <w:spacing w:val="20"/>
          <w:sz w:val="21"/>
          <w:szCs w:val="21"/>
        </w:rPr>
        <w:t>签名：</w:t>
      </w:r>
      <w:r>
        <w:rPr>
          <w:rFonts w:hint="eastAsia" w:ascii="宋体" w:hAnsi="宋体" w:cs="宋体"/>
          <w:spacing w:val="20"/>
          <w:sz w:val="21"/>
          <w:szCs w:val="21"/>
          <w:u w:val="single"/>
        </w:rPr>
        <w:t xml:space="preserve">         </w:t>
      </w:r>
    </w:p>
    <w:p>
      <w:pPr>
        <w:snapToGrid w:val="0"/>
        <w:spacing w:before="50" w:after="50" w:line="600" w:lineRule="exact"/>
        <w:rPr>
          <w:rFonts w:ascii="宋体" w:hAnsi="宋体" w:cs="宋体"/>
          <w:spacing w:val="20"/>
          <w:sz w:val="21"/>
          <w:szCs w:val="21"/>
        </w:rPr>
      </w:pPr>
      <w:r>
        <w:rPr>
          <w:rFonts w:hint="eastAsia" w:ascii="宋体" w:hAnsi="宋体" w:cs="宋体"/>
          <w:spacing w:val="20"/>
          <w:sz w:val="21"/>
          <w:szCs w:val="21"/>
        </w:rPr>
        <w:t xml:space="preserve"> 投标人名称（盖章）：</w:t>
      </w:r>
      <w:r>
        <w:rPr>
          <w:rFonts w:hint="eastAsia" w:ascii="宋体" w:hAnsi="宋体" w:cs="宋体"/>
          <w:spacing w:val="20"/>
          <w:sz w:val="21"/>
          <w:szCs w:val="21"/>
          <w:u w:val="single"/>
        </w:rPr>
        <w:t xml:space="preserve">              </w:t>
      </w:r>
      <w:r>
        <w:rPr>
          <w:rFonts w:hint="eastAsia" w:ascii="宋体" w:hAnsi="宋体" w:cs="宋体"/>
          <w:spacing w:val="20"/>
          <w:sz w:val="21"/>
          <w:szCs w:val="21"/>
        </w:rPr>
        <w:t xml:space="preserve">             </w:t>
      </w:r>
    </w:p>
    <w:p>
      <w:pPr>
        <w:snapToGrid w:val="0"/>
        <w:spacing w:before="50" w:after="50" w:line="600" w:lineRule="exact"/>
        <w:rPr>
          <w:rFonts w:ascii="宋体" w:hAnsi="宋体" w:cs="宋体"/>
          <w:sz w:val="21"/>
          <w:szCs w:val="21"/>
        </w:rPr>
      </w:pPr>
      <w:r>
        <w:rPr>
          <w:rFonts w:hint="eastAsia" w:ascii="宋体" w:hAnsi="宋体" w:cs="宋体"/>
          <w:spacing w:val="20"/>
          <w:sz w:val="21"/>
          <w:szCs w:val="21"/>
        </w:rPr>
        <w:t xml:space="preserve"> 日           期：</w:t>
      </w:r>
      <w:r>
        <w:rPr>
          <w:rFonts w:hint="eastAsia" w:ascii="宋体" w:hAnsi="宋体" w:cs="宋体"/>
          <w:spacing w:val="20"/>
          <w:sz w:val="21"/>
          <w:szCs w:val="21"/>
          <w:u w:val="single"/>
        </w:rPr>
        <w:t xml:space="preserve">               </w:t>
      </w:r>
    </w:p>
    <w:p>
      <w:pPr>
        <w:snapToGrid w:val="0"/>
        <w:spacing w:line="600" w:lineRule="exact"/>
        <w:jc w:val="center"/>
        <w:rPr>
          <w:rFonts w:ascii="黑体" w:hAnsi="黑体" w:eastAsia="黑体" w:cs="黑体"/>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p>
    <w:p>
      <w:pPr>
        <w:snapToGrid w:val="0"/>
        <w:jc w:val="left"/>
        <w:rPr>
          <w:rFonts w:ascii="宋体" w:hAnsi="宋体" w:cs="宋体"/>
          <w:b/>
          <w:sz w:val="21"/>
          <w:szCs w:val="21"/>
        </w:rPr>
      </w:pPr>
      <w:bookmarkStart w:id="370" w:name="_Toc9207"/>
      <w:bookmarkStart w:id="371" w:name="_Toc25505"/>
    </w:p>
    <w:p>
      <w:pPr>
        <w:snapToGrid w:val="0"/>
        <w:jc w:val="left"/>
        <w:rPr>
          <w:rFonts w:ascii="宋体" w:hAnsi="宋体" w:cs="宋体"/>
          <w:b/>
          <w:sz w:val="21"/>
          <w:szCs w:val="21"/>
        </w:rPr>
        <w:sectPr>
          <w:pgSz w:w="11905" w:h="16838"/>
          <w:pgMar w:top="1440" w:right="1083" w:bottom="1440" w:left="1083" w:header="851" w:footer="992" w:gutter="0"/>
          <w:pgBorders>
            <w:top w:val="none" w:sz="0" w:space="0"/>
            <w:left w:val="none" w:sz="0" w:space="0"/>
            <w:bottom w:val="none" w:sz="0" w:space="0"/>
            <w:right w:val="none" w:sz="0" w:space="0"/>
          </w:pgBorders>
          <w:pgNumType w:fmt="decimal"/>
          <w:cols w:space="0" w:num="1"/>
          <w:docGrid w:type="linesAndChars" w:linePitch="335" w:charSpace="711"/>
        </w:sectPr>
      </w:pPr>
    </w:p>
    <w:p>
      <w:pPr>
        <w:snapToGrid w:val="0"/>
        <w:jc w:val="left"/>
        <w:outlineLvl w:val="1"/>
        <w:rPr>
          <w:rFonts w:ascii="宋体" w:hAnsi="宋体" w:cs="宋体"/>
          <w:b/>
          <w:sz w:val="21"/>
          <w:szCs w:val="21"/>
        </w:rPr>
      </w:pPr>
      <w:r>
        <w:rPr>
          <w:rFonts w:hint="eastAsia" w:ascii="宋体" w:hAnsi="宋体" w:cs="宋体"/>
          <w:b/>
          <w:sz w:val="21"/>
          <w:szCs w:val="21"/>
        </w:rPr>
        <w:t>附件1</w:t>
      </w:r>
      <w:r>
        <w:rPr>
          <w:rFonts w:hint="eastAsia" w:ascii="宋体" w:hAnsi="宋体" w:cs="宋体"/>
          <w:b/>
          <w:sz w:val="21"/>
          <w:szCs w:val="21"/>
          <w:lang w:val="en-US" w:eastAsia="zh-CN"/>
        </w:rPr>
        <w:t>5</w:t>
      </w:r>
      <w:r>
        <w:rPr>
          <w:rFonts w:hint="eastAsia" w:ascii="宋体" w:hAnsi="宋体" w:cs="宋体"/>
          <w:b/>
          <w:sz w:val="21"/>
          <w:szCs w:val="21"/>
        </w:rPr>
        <w:t>：投标报价分项明细表</w:t>
      </w:r>
      <w:bookmarkEnd w:id="370"/>
      <w:bookmarkEnd w:id="371"/>
    </w:p>
    <w:tbl>
      <w:tblPr>
        <w:tblStyle w:val="26"/>
        <w:tblW w:w="5000" w:type="pct"/>
        <w:tblInd w:w="0" w:type="dxa"/>
        <w:tblLayout w:type="autofit"/>
        <w:tblCellMar>
          <w:top w:w="15" w:type="dxa"/>
          <w:left w:w="15" w:type="dxa"/>
          <w:bottom w:w="15" w:type="dxa"/>
          <w:right w:w="15" w:type="dxa"/>
        </w:tblCellMar>
      </w:tblPr>
      <w:tblGrid>
        <w:gridCol w:w="461"/>
        <w:gridCol w:w="2129"/>
        <w:gridCol w:w="4689"/>
        <w:gridCol w:w="590"/>
        <w:gridCol w:w="1567"/>
        <w:gridCol w:w="1547"/>
        <w:gridCol w:w="1010"/>
        <w:gridCol w:w="1995"/>
      </w:tblGrid>
      <w:tr>
        <w:tblPrEx>
          <w:tblCellMar>
            <w:top w:w="15" w:type="dxa"/>
            <w:left w:w="15" w:type="dxa"/>
            <w:bottom w:w="15" w:type="dxa"/>
            <w:right w:w="15" w:type="dxa"/>
          </w:tblCellMar>
        </w:tblPrEx>
        <w:trPr>
          <w:trHeight w:val="21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 xml:space="preserve">项目报价汇总表  </w:t>
            </w:r>
          </w:p>
        </w:tc>
      </w:tr>
      <w:tr>
        <w:tblPrEx>
          <w:tblCellMar>
            <w:top w:w="15" w:type="dxa"/>
            <w:left w:w="15" w:type="dxa"/>
            <w:bottom w:w="15" w:type="dxa"/>
            <w:right w:w="15" w:type="dxa"/>
          </w:tblCellMar>
        </w:tblPrEx>
        <w:trPr>
          <w:trHeight w:val="22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序号</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分项名称</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描述</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数 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单 价（单位：元，含税）</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总价（单位：元，含税）</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税率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详细报价内容</w:t>
            </w:r>
          </w:p>
        </w:tc>
      </w:tr>
      <w:tr>
        <w:trPr>
          <w:trHeight w:val="43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1</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软件类费用</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包括但不限于：本项目集成实施使用到的工业互联网平台、应用软件、操作系统等软件产品授权</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p>
        </w:tc>
      </w:tr>
      <w:tr>
        <w:tblPrEx>
          <w:tblCellMar>
            <w:top w:w="15" w:type="dxa"/>
            <w:left w:w="15" w:type="dxa"/>
            <w:bottom w:w="15" w:type="dxa"/>
            <w:right w:w="15" w:type="dxa"/>
          </w:tblCellMar>
        </w:tblPrEx>
        <w:trPr>
          <w:trHeight w:val="43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2</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硬件类费用</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包括但不限于：本项目实施所需的大屏、服务器、办公电脑、移动设备等硬件资源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p>
        </w:tc>
      </w:tr>
      <w:tr>
        <w:tblPrEx>
          <w:tblCellMar>
            <w:top w:w="15" w:type="dxa"/>
            <w:left w:w="15" w:type="dxa"/>
            <w:bottom w:w="15" w:type="dxa"/>
            <w:right w:w="15" w:type="dxa"/>
          </w:tblCellMar>
        </w:tblPrEx>
        <w:trPr>
          <w:trHeight w:val="43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3</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云服务类费用</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包括但不限于：本项目实施所需的云端服务资源、存储、安全、网络等</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p>
        </w:tc>
      </w:tr>
      <w:tr>
        <w:tblPrEx>
          <w:tblCellMar>
            <w:top w:w="15" w:type="dxa"/>
            <w:left w:w="15" w:type="dxa"/>
            <w:bottom w:w="15" w:type="dxa"/>
            <w:right w:w="15" w:type="dxa"/>
          </w:tblCellMar>
        </w:tblPrEx>
        <w:trPr>
          <w:trHeight w:val="43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4</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定制开发类费用</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包括但不限于：本项目定制开发类软件平台、软件应用、门户建设费用</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p>
        </w:tc>
      </w:tr>
      <w:tr>
        <w:tblPrEx>
          <w:tblCellMar>
            <w:top w:w="15" w:type="dxa"/>
            <w:left w:w="15" w:type="dxa"/>
            <w:bottom w:w="15" w:type="dxa"/>
            <w:right w:w="15" w:type="dxa"/>
          </w:tblCellMar>
        </w:tblPrEx>
        <w:trPr>
          <w:trHeight w:val="43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实施、系统集成费</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包括但不限于：本项目软件平台及软件应用、门户建设的实施、系统集成费用</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p>
        </w:tc>
      </w:tr>
      <w:tr>
        <w:tblPrEx>
          <w:tblCellMar>
            <w:top w:w="15" w:type="dxa"/>
            <w:left w:w="15" w:type="dxa"/>
            <w:bottom w:w="15" w:type="dxa"/>
            <w:right w:w="15" w:type="dxa"/>
          </w:tblCellMar>
        </w:tblPrEx>
        <w:trPr>
          <w:trHeight w:val="43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6</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场地装修费</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包括但不限于：平台运营中心装修，即行业级产业大脑展示中心装修</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p>
        </w:tc>
      </w:tr>
      <w:tr>
        <w:tblPrEx>
          <w:tblCellMar>
            <w:top w:w="15" w:type="dxa"/>
            <w:left w:w="15" w:type="dxa"/>
            <w:bottom w:w="15" w:type="dxa"/>
            <w:right w:w="15" w:type="dxa"/>
          </w:tblCellMar>
        </w:tblPrEx>
        <w:trPr>
          <w:trHeight w:val="43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1"/>
                <w:szCs w:val="21"/>
              </w:rPr>
            </w:pPr>
            <w:r>
              <w:rPr>
                <w:rFonts w:hint="eastAsia" w:ascii="宋体" w:hAnsi="宋体" w:cs="宋体"/>
                <w:sz w:val="21"/>
                <w:szCs w:val="21"/>
              </w:rPr>
              <w:t>7</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运营费用</w:t>
            </w:r>
          </w:p>
        </w:tc>
        <w:tc>
          <w:tcPr>
            <w:tcW w:w="167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18"/>
                <w:szCs w:val="18"/>
              </w:rPr>
              <w:t>包含但不限于：本项目完成建设后，平台运营中心一年运营费用</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p>
        </w:tc>
      </w:tr>
      <w:tr>
        <w:tblPrEx>
          <w:tblCellMar>
            <w:top w:w="15" w:type="dxa"/>
            <w:left w:w="15" w:type="dxa"/>
            <w:bottom w:w="15" w:type="dxa"/>
            <w:right w:w="15" w:type="dxa"/>
          </w:tblCellMar>
        </w:tblPrEx>
        <w:trPr>
          <w:trHeight w:val="225" w:hRule="atLeast"/>
        </w:trPr>
        <w:tc>
          <w:tcPr>
            <w:tcW w:w="28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小计：</w:t>
            </w:r>
          </w:p>
        </w:tc>
        <w:tc>
          <w:tcPr>
            <w:tcW w:w="11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sz w:val="21"/>
                <w:szCs w:val="21"/>
              </w:rPr>
            </w:pPr>
            <w:r>
              <w:rPr>
                <w:rFonts w:hint="eastAsia" w:ascii="宋体" w:hAnsi="宋体" w:cs="宋体"/>
                <w:sz w:val="21"/>
                <w:szCs w:val="21"/>
              </w:rPr>
              <w:t>　</w:t>
            </w:r>
          </w:p>
        </w:tc>
      </w:tr>
    </w:tbl>
    <w:p>
      <w:pPr>
        <w:snapToGrid w:val="0"/>
        <w:jc w:val="left"/>
        <w:rPr>
          <w:rStyle w:val="43"/>
          <w:rFonts w:ascii="宋体" w:hAnsi="宋体" w:cs="宋体"/>
          <w:b/>
          <w:bCs/>
          <w:sz w:val="21"/>
          <w:szCs w:val="21"/>
        </w:rPr>
      </w:pPr>
    </w:p>
    <w:p>
      <w:pPr>
        <w:snapToGrid w:val="0"/>
        <w:jc w:val="left"/>
        <w:rPr>
          <w:rStyle w:val="43"/>
          <w:rFonts w:ascii="宋体" w:hAnsi="宋体" w:cs="宋体"/>
          <w:b/>
          <w:bCs/>
          <w:sz w:val="21"/>
          <w:szCs w:val="21"/>
        </w:rPr>
      </w:pPr>
      <w:r>
        <w:rPr>
          <w:rFonts w:hint="eastAsia" w:ascii="宋体" w:hAnsi="宋体" w:cs="宋体"/>
          <w:sz w:val="21"/>
          <w:szCs w:val="21"/>
        </w:rPr>
        <w:t>说明：可根据具体情况调整表格或增加内容，但不能删减目前表格已有填写项。</w:t>
      </w:r>
    </w:p>
    <w:p>
      <w:pPr>
        <w:snapToGrid w:val="0"/>
        <w:jc w:val="left"/>
        <w:rPr>
          <w:rStyle w:val="43"/>
          <w:rFonts w:ascii="宋体" w:hAnsi="宋体" w:cs="宋体"/>
          <w:b/>
          <w:bCs/>
          <w:sz w:val="21"/>
          <w:szCs w:val="21"/>
        </w:rPr>
      </w:pPr>
    </w:p>
    <w:p>
      <w:pPr>
        <w:snapToGrid w:val="0"/>
        <w:spacing w:before="50" w:after="50" w:line="600" w:lineRule="exact"/>
        <w:rPr>
          <w:rFonts w:hint="eastAsia" w:ascii="宋体" w:hAnsi="宋体" w:cs="宋体"/>
          <w:spacing w:val="20"/>
          <w:sz w:val="21"/>
          <w:szCs w:val="21"/>
          <w:u w:val="single"/>
        </w:rPr>
      </w:pPr>
      <w:r>
        <w:rPr>
          <w:rFonts w:hint="eastAsia" w:ascii="宋体" w:hAnsi="宋体" w:cs="宋体"/>
          <w:spacing w:val="20"/>
          <w:sz w:val="21"/>
          <w:szCs w:val="21"/>
        </w:rPr>
        <w:t>投标人名称（盖章）：</w:t>
      </w:r>
      <w:r>
        <w:rPr>
          <w:rFonts w:hint="eastAsia" w:ascii="宋体" w:hAnsi="宋体" w:cs="宋体"/>
          <w:spacing w:val="20"/>
          <w:sz w:val="21"/>
          <w:szCs w:val="21"/>
          <w:u w:val="single"/>
        </w:rPr>
        <w:t xml:space="preserve"> </w:t>
      </w:r>
    </w:p>
    <w:p>
      <w:pPr>
        <w:snapToGrid w:val="0"/>
        <w:spacing w:before="50" w:after="50" w:line="600" w:lineRule="exact"/>
        <w:rPr>
          <w:rFonts w:ascii="宋体" w:hAnsi="宋体" w:cs="宋体"/>
          <w:spacing w:val="20"/>
          <w:sz w:val="21"/>
          <w:szCs w:val="21"/>
        </w:rPr>
      </w:pPr>
      <w:r>
        <w:rPr>
          <w:rFonts w:hint="eastAsia" w:ascii="宋体" w:hAnsi="宋体" w:cs="宋体"/>
          <w:sz w:val="21"/>
          <w:szCs w:val="21"/>
        </w:rPr>
        <w:t>法定代表人或授权委托人</w:t>
      </w:r>
      <w:r>
        <w:rPr>
          <w:rFonts w:hint="eastAsia" w:ascii="宋体" w:hAnsi="宋体" w:cs="宋体"/>
          <w:spacing w:val="20"/>
          <w:sz w:val="21"/>
          <w:szCs w:val="21"/>
        </w:rPr>
        <w:t>签名：</w:t>
      </w:r>
      <w:r>
        <w:rPr>
          <w:rFonts w:hint="eastAsia" w:ascii="宋体" w:hAnsi="宋体" w:cs="宋体"/>
          <w:spacing w:val="20"/>
          <w:sz w:val="21"/>
          <w:szCs w:val="21"/>
          <w:u w:val="single"/>
        </w:rPr>
        <w:t xml:space="preserve">                      </w:t>
      </w:r>
      <w:r>
        <w:rPr>
          <w:rFonts w:hint="eastAsia" w:ascii="宋体" w:hAnsi="宋体" w:cs="宋体"/>
          <w:spacing w:val="20"/>
          <w:sz w:val="21"/>
          <w:szCs w:val="21"/>
        </w:rPr>
        <w:t xml:space="preserve">             </w:t>
      </w:r>
    </w:p>
    <w:p>
      <w:pPr>
        <w:snapToGrid w:val="0"/>
        <w:jc w:val="left"/>
        <w:rPr>
          <w:rStyle w:val="43"/>
          <w:rFonts w:ascii="宋体" w:hAnsi="宋体" w:cs="宋体"/>
          <w:b/>
          <w:bCs/>
          <w:sz w:val="21"/>
          <w:szCs w:val="21"/>
        </w:rPr>
        <w:sectPr>
          <w:pgSz w:w="16838" w:h="11905" w:orient="landscape"/>
          <w:pgMar w:top="1083" w:right="1440" w:bottom="1083" w:left="1440" w:header="851" w:footer="992" w:gutter="0"/>
          <w:pgBorders>
            <w:top w:val="none" w:sz="0" w:space="0"/>
            <w:left w:val="none" w:sz="0" w:space="0"/>
            <w:bottom w:val="none" w:sz="0" w:space="0"/>
            <w:right w:val="none" w:sz="0" w:space="0"/>
          </w:pgBorders>
          <w:pgNumType w:fmt="decimal"/>
          <w:cols w:space="0" w:num="1"/>
          <w:docGrid w:type="linesAndChars" w:linePitch="335" w:charSpace="711"/>
        </w:sectPr>
      </w:pPr>
      <w:r>
        <w:rPr>
          <w:rFonts w:hint="eastAsia" w:ascii="宋体" w:hAnsi="宋体" w:cs="宋体"/>
          <w:spacing w:val="20"/>
          <w:sz w:val="21"/>
          <w:szCs w:val="21"/>
        </w:rPr>
        <w:t xml:space="preserve"> 日           期：</w:t>
      </w:r>
      <w:r>
        <w:rPr>
          <w:rFonts w:hint="eastAsia" w:ascii="宋体" w:hAnsi="宋体" w:cs="宋体"/>
          <w:spacing w:val="20"/>
          <w:sz w:val="21"/>
          <w:szCs w:val="21"/>
          <w:u w:val="single"/>
        </w:rPr>
        <w:t xml:space="preserve">   </w:t>
      </w:r>
    </w:p>
    <w:p>
      <w:pPr>
        <w:snapToGrid w:val="0"/>
        <w:jc w:val="left"/>
        <w:rPr>
          <w:rStyle w:val="43"/>
          <w:rFonts w:ascii="宋体" w:hAnsi="宋体" w:cs="宋体"/>
          <w:b/>
          <w:bCs/>
          <w:sz w:val="21"/>
          <w:szCs w:val="21"/>
        </w:rPr>
      </w:pPr>
    </w:p>
    <w:p>
      <w:pPr>
        <w:snapToGrid w:val="0"/>
        <w:jc w:val="left"/>
        <w:outlineLvl w:val="1"/>
        <w:rPr>
          <w:rStyle w:val="43"/>
          <w:rFonts w:ascii="宋体" w:hAnsi="宋体"/>
          <w:b/>
          <w:sz w:val="21"/>
          <w:szCs w:val="21"/>
        </w:rPr>
      </w:pPr>
      <w:r>
        <w:rPr>
          <w:rStyle w:val="43"/>
          <w:rFonts w:ascii="宋体" w:hAnsi="宋体" w:cs="宋体"/>
          <w:b/>
          <w:bCs/>
          <w:sz w:val="21"/>
          <w:szCs w:val="21"/>
        </w:rPr>
        <w:t>附件1</w:t>
      </w:r>
      <w:r>
        <w:rPr>
          <w:rStyle w:val="43"/>
          <w:rFonts w:hint="eastAsia" w:ascii="宋体" w:hAnsi="宋体" w:cs="宋体"/>
          <w:b/>
          <w:bCs/>
          <w:sz w:val="21"/>
          <w:szCs w:val="21"/>
          <w:lang w:val="en-US" w:eastAsia="zh-CN"/>
        </w:rPr>
        <w:t>6</w:t>
      </w:r>
      <w:r>
        <w:rPr>
          <w:rStyle w:val="43"/>
          <w:rFonts w:ascii="宋体" w:hAnsi="宋体" w:cs="宋体"/>
          <w:b/>
          <w:bCs/>
          <w:sz w:val="21"/>
          <w:szCs w:val="21"/>
        </w:rPr>
        <w:t>：</w:t>
      </w:r>
      <w:r>
        <w:rPr>
          <w:rStyle w:val="43"/>
          <w:rFonts w:ascii="宋体" w:hAnsi="宋体"/>
          <w:b/>
          <w:sz w:val="21"/>
          <w:szCs w:val="21"/>
        </w:rPr>
        <w:t>中小企业声明函（二选一）</w:t>
      </w:r>
    </w:p>
    <w:p>
      <w:pPr>
        <w:snapToGrid w:val="0"/>
        <w:jc w:val="left"/>
        <w:rPr>
          <w:rStyle w:val="43"/>
          <w:rFonts w:ascii="宋体" w:hAnsi="宋体"/>
          <w:b/>
          <w:sz w:val="21"/>
          <w:szCs w:val="21"/>
        </w:rPr>
      </w:pPr>
    </w:p>
    <w:p>
      <w:pPr>
        <w:snapToGrid w:val="0"/>
        <w:jc w:val="center"/>
        <w:rPr>
          <w:rStyle w:val="43"/>
          <w:rFonts w:ascii="宋体" w:hAnsi="宋体"/>
          <w:b/>
          <w:sz w:val="21"/>
          <w:szCs w:val="21"/>
        </w:rPr>
      </w:pPr>
      <w:r>
        <w:rPr>
          <w:rStyle w:val="43"/>
          <w:rFonts w:ascii="宋体" w:hAnsi="宋体"/>
          <w:b/>
          <w:sz w:val="21"/>
          <w:szCs w:val="21"/>
        </w:rPr>
        <w:t>中小企业声明函（货物）</w:t>
      </w:r>
    </w:p>
    <w:p>
      <w:pPr>
        <w:snapToGrid w:val="0"/>
        <w:spacing w:line="500" w:lineRule="exact"/>
        <w:ind w:firstLine="426" w:firstLineChars="200"/>
        <w:jc w:val="left"/>
        <w:rPr>
          <w:rStyle w:val="43"/>
          <w:rFonts w:ascii="宋体" w:hAnsi="宋体"/>
          <w:sz w:val="21"/>
          <w:szCs w:val="21"/>
        </w:rPr>
      </w:pPr>
      <w:r>
        <w:rPr>
          <w:rStyle w:val="43"/>
          <w:rFonts w:ascii="宋体" w:hAnsi="宋体"/>
          <w:sz w:val="21"/>
          <w:szCs w:val="21"/>
        </w:rPr>
        <w:t>本公司（联合体）郑重声明，根据《政府采购促进中小企业发展管理办法》 （财库﹝2020﹞46 号）的规定，本公司（联合体）参加</w:t>
      </w:r>
      <w:r>
        <w:rPr>
          <w:rStyle w:val="43"/>
          <w:rFonts w:ascii="宋体" w:hAnsi="宋体"/>
          <w:sz w:val="21"/>
          <w:szCs w:val="21"/>
          <w:u w:val="single" w:color="000000"/>
        </w:rPr>
        <w:t xml:space="preserve">            </w:t>
      </w:r>
      <w:r>
        <w:rPr>
          <w:rStyle w:val="43"/>
          <w:rFonts w:ascii="宋体" w:hAnsi="宋体"/>
          <w:sz w:val="21"/>
          <w:szCs w:val="21"/>
        </w:rPr>
        <w:t>的</w:t>
      </w:r>
      <w:r>
        <w:rPr>
          <w:rStyle w:val="43"/>
          <w:rFonts w:ascii="宋体" w:hAnsi="宋体"/>
          <w:sz w:val="21"/>
          <w:szCs w:val="21"/>
          <w:u w:val="single" w:color="000000"/>
        </w:rPr>
        <w:t xml:space="preserve">                </w:t>
      </w:r>
      <w:r>
        <w:rPr>
          <w:rStyle w:val="43"/>
          <w:rFonts w:ascii="宋体" w:hAnsi="宋体"/>
          <w:sz w:val="21"/>
          <w:szCs w:val="21"/>
        </w:rPr>
        <w:t>采购活动，提供的货物全部由符合政策要求的中小企业制造。相关企业（含联合体中的中小企业、签订分包意向协议的中小企业）的具体情况如下：</w:t>
      </w:r>
    </w:p>
    <w:p>
      <w:pPr>
        <w:snapToGrid w:val="0"/>
        <w:spacing w:line="500" w:lineRule="exact"/>
        <w:jc w:val="left"/>
        <w:rPr>
          <w:rStyle w:val="43"/>
          <w:rFonts w:ascii="宋体" w:hAnsi="宋体"/>
          <w:sz w:val="21"/>
          <w:szCs w:val="21"/>
        </w:rPr>
      </w:pPr>
      <w:r>
        <w:rPr>
          <w:rStyle w:val="43"/>
          <w:rFonts w:ascii="宋体" w:hAnsi="宋体"/>
          <w:sz w:val="21"/>
          <w:szCs w:val="21"/>
        </w:rPr>
        <w:t>1.</w:t>
      </w:r>
      <w:r>
        <w:rPr>
          <w:rStyle w:val="43"/>
          <w:rFonts w:ascii="宋体" w:hAnsi="宋体"/>
          <w:sz w:val="21"/>
          <w:szCs w:val="21"/>
          <w:u w:val="single" w:color="000000"/>
        </w:rPr>
        <w:t xml:space="preserve">        （标的名称）</w:t>
      </w:r>
      <w:r>
        <w:rPr>
          <w:rStyle w:val="43"/>
          <w:rFonts w:ascii="宋体" w:hAnsi="宋体"/>
          <w:sz w:val="21"/>
          <w:szCs w:val="21"/>
        </w:rPr>
        <w:t>，属于</w:t>
      </w:r>
      <w:r>
        <w:rPr>
          <w:rStyle w:val="43"/>
          <w:rFonts w:ascii="宋体" w:hAnsi="宋体"/>
          <w:sz w:val="21"/>
          <w:szCs w:val="21"/>
          <w:u w:val="single" w:color="000000"/>
        </w:rPr>
        <w:t xml:space="preserve">            </w:t>
      </w:r>
      <w:r>
        <w:rPr>
          <w:rStyle w:val="43"/>
          <w:rFonts w:ascii="宋体" w:hAnsi="宋体"/>
          <w:sz w:val="21"/>
          <w:szCs w:val="21"/>
        </w:rPr>
        <w:t>行业 ；制造商为</w:t>
      </w:r>
      <w:r>
        <w:rPr>
          <w:rStyle w:val="43"/>
          <w:rFonts w:ascii="宋体" w:hAnsi="宋体"/>
          <w:sz w:val="21"/>
          <w:szCs w:val="21"/>
          <w:u w:val="single" w:color="000000"/>
        </w:rPr>
        <w:t xml:space="preserve">           （企业名称） </w:t>
      </w:r>
      <w:r>
        <w:rPr>
          <w:rStyle w:val="43"/>
          <w:rFonts w:ascii="宋体" w:hAnsi="宋体"/>
          <w:sz w:val="21"/>
          <w:szCs w:val="21"/>
        </w:rPr>
        <w:t>，从业人员</w:t>
      </w:r>
      <w:r>
        <w:rPr>
          <w:rStyle w:val="43"/>
          <w:rFonts w:ascii="宋体" w:hAnsi="宋体"/>
          <w:sz w:val="21"/>
          <w:szCs w:val="21"/>
          <w:u w:val="single" w:color="000000"/>
        </w:rPr>
        <w:t xml:space="preserve">   </w:t>
      </w:r>
      <w:r>
        <w:rPr>
          <w:rStyle w:val="43"/>
          <w:rFonts w:ascii="宋体" w:hAnsi="宋体"/>
          <w:sz w:val="21"/>
          <w:szCs w:val="21"/>
        </w:rPr>
        <w:t>人，营业收入为</w:t>
      </w:r>
      <w:r>
        <w:rPr>
          <w:rStyle w:val="43"/>
          <w:rFonts w:ascii="宋体" w:hAnsi="宋体"/>
          <w:sz w:val="21"/>
          <w:szCs w:val="21"/>
          <w:u w:val="single" w:color="000000"/>
        </w:rPr>
        <w:t xml:space="preserve">  </w:t>
      </w:r>
      <w:r>
        <w:rPr>
          <w:rStyle w:val="43"/>
          <w:rFonts w:ascii="宋体" w:hAnsi="宋体"/>
          <w:sz w:val="21"/>
          <w:szCs w:val="21"/>
        </w:rPr>
        <w:t>万元，资产总额为</w:t>
      </w:r>
      <w:r>
        <w:rPr>
          <w:rStyle w:val="43"/>
          <w:rFonts w:ascii="宋体" w:hAnsi="宋体"/>
          <w:sz w:val="21"/>
          <w:szCs w:val="21"/>
          <w:u w:val="single" w:color="000000"/>
        </w:rPr>
        <w:t xml:space="preserve">    </w:t>
      </w:r>
      <w:r>
        <w:rPr>
          <w:rStyle w:val="43"/>
          <w:rFonts w:ascii="宋体" w:hAnsi="宋体"/>
          <w:sz w:val="21"/>
          <w:szCs w:val="21"/>
        </w:rPr>
        <w:t>万元 ，属于</w:t>
      </w:r>
      <w:r>
        <w:rPr>
          <w:rStyle w:val="43"/>
          <w:rFonts w:ascii="宋体" w:hAnsi="宋体"/>
          <w:sz w:val="21"/>
          <w:szCs w:val="21"/>
          <w:u w:val="single" w:color="000000"/>
        </w:rPr>
        <w:t xml:space="preserve">     （中型企业、小型企业、微型企业）</w:t>
      </w:r>
      <w:r>
        <w:rPr>
          <w:rStyle w:val="43"/>
          <w:rFonts w:ascii="宋体" w:hAnsi="宋体"/>
          <w:sz w:val="21"/>
          <w:szCs w:val="21"/>
        </w:rPr>
        <w:t xml:space="preserve"> ；</w:t>
      </w:r>
    </w:p>
    <w:p>
      <w:pPr>
        <w:snapToGrid w:val="0"/>
        <w:spacing w:line="500" w:lineRule="exact"/>
        <w:jc w:val="left"/>
        <w:rPr>
          <w:rStyle w:val="43"/>
          <w:rFonts w:ascii="宋体" w:hAnsi="宋体"/>
          <w:sz w:val="21"/>
          <w:szCs w:val="21"/>
        </w:rPr>
      </w:pPr>
      <w:r>
        <w:rPr>
          <w:rStyle w:val="43"/>
          <w:rFonts w:ascii="宋体" w:hAnsi="宋体"/>
          <w:sz w:val="21"/>
          <w:szCs w:val="21"/>
        </w:rPr>
        <w:t>2.</w:t>
      </w:r>
      <w:r>
        <w:rPr>
          <w:rStyle w:val="43"/>
          <w:rFonts w:ascii="宋体" w:hAnsi="宋体"/>
          <w:sz w:val="21"/>
          <w:szCs w:val="21"/>
          <w:u w:val="single" w:color="000000"/>
        </w:rPr>
        <w:t xml:space="preserve">        （标的名称）</w:t>
      </w:r>
      <w:r>
        <w:rPr>
          <w:rStyle w:val="43"/>
          <w:rFonts w:ascii="宋体" w:hAnsi="宋体"/>
          <w:sz w:val="21"/>
          <w:szCs w:val="21"/>
        </w:rPr>
        <w:t>，属于</w:t>
      </w:r>
      <w:r>
        <w:rPr>
          <w:rStyle w:val="43"/>
          <w:rFonts w:ascii="宋体" w:hAnsi="宋体"/>
          <w:sz w:val="21"/>
          <w:szCs w:val="21"/>
          <w:u w:val="single" w:color="000000"/>
        </w:rPr>
        <w:t xml:space="preserve">            </w:t>
      </w:r>
      <w:r>
        <w:rPr>
          <w:rStyle w:val="43"/>
          <w:rFonts w:ascii="宋体" w:hAnsi="宋体"/>
          <w:sz w:val="21"/>
          <w:szCs w:val="21"/>
        </w:rPr>
        <w:t>行业 ；制造商为</w:t>
      </w:r>
      <w:r>
        <w:rPr>
          <w:rStyle w:val="43"/>
          <w:rFonts w:ascii="宋体" w:hAnsi="宋体"/>
          <w:sz w:val="21"/>
          <w:szCs w:val="21"/>
          <w:u w:val="single" w:color="000000"/>
        </w:rPr>
        <w:t xml:space="preserve">           （企业名称） </w:t>
      </w:r>
      <w:r>
        <w:rPr>
          <w:rStyle w:val="43"/>
          <w:rFonts w:ascii="宋体" w:hAnsi="宋体"/>
          <w:sz w:val="21"/>
          <w:szCs w:val="21"/>
        </w:rPr>
        <w:t>，从业人员</w:t>
      </w:r>
      <w:r>
        <w:rPr>
          <w:rStyle w:val="43"/>
          <w:rFonts w:ascii="宋体" w:hAnsi="宋体"/>
          <w:sz w:val="21"/>
          <w:szCs w:val="21"/>
          <w:u w:val="single" w:color="000000"/>
        </w:rPr>
        <w:t xml:space="preserve">   </w:t>
      </w:r>
      <w:r>
        <w:rPr>
          <w:rStyle w:val="43"/>
          <w:rFonts w:ascii="宋体" w:hAnsi="宋体"/>
          <w:sz w:val="21"/>
          <w:szCs w:val="21"/>
        </w:rPr>
        <w:t>人，营业收入为</w:t>
      </w:r>
      <w:r>
        <w:rPr>
          <w:rStyle w:val="43"/>
          <w:rFonts w:ascii="宋体" w:hAnsi="宋体"/>
          <w:sz w:val="21"/>
          <w:szCs w:val="21"/>
          <w:u w:val="single" w:color="000000"/>
        </w:rPr>
        <w:t xml:space="preserve">  </w:t>
      </w:r>
      <w:r>
        <w:rPr>
          <w:rStyle w:val="43"/>
          <w:rFonts w:ascii="宋体" w:hAnsi="宋体"/>
          <w:sz w:val="21"/>
          <w:szCs w:val="21"/>
        </w:rPr>
        <w:t>万元，资产总额为</w:t>
      </w:r>
      <w:r>
        <w:rPr>
          <w:rStyle w:val="43"/>
          <w:rFonts w:ascii="宋体" w:hAnsi="宋体"/>
          <w:sz w:val="21"/>
          <w:szCs w:val="21"/>
          <w:u w:val="single" w:color="000000"/>
        </w:rPr>
        <w:t xml:space="preserve">    </w:t>
      </w:r>
      <w:r>
        <w:rPr>
          <w:rStyle w:val="43"/>
          <w:rFonts w:ascii="宋体" w:hAnsi="宋体"/>
          <w:sz w:val="21"/>
          <w:szCs w:val="21"/>
        </w:rPr>
        <w:t>万元 ，属于</w:t>
      </w:r>
      <w:r>
        <w:rPr>
          <w:rStyle w:val="43"/>
          <w:rFonts w:ascii="宋体" w:hAnsi="宋体"/>
          <w:sz w:val="21"/>
          <w:szCs w:val="21"/>
          <w:u w:val="single" w:color="000000"/>
        </w:rPr>
        <w:t xml:space="preserve">     （中型企业、小型企业、微型企业）</w:t>
      </w:r>
      <w:r>
        <w:rPr>
          <w:rStyle w:val="43"/>
          <w:rFonts w:ascii="宋体" w:hAnsi="宋体"/>
          <w:sz w:val="21"/>
          <w:szCs w:val="21"/>
        </w:rPr>
        <w:t xml:space="preserve"> ；</w:t>
      </w:r>
    </w:p>
    <w:p>
      <w:pPr>
        <w:snapToGrid w:val="0"/>
        <w:spacing w:line="500" w:lineRule="exact"/>
        <w:ind w:firstLine="426" w:firstLineChars="200"/>
        <w:jc w:val="left"/>
        <w:rPr>
          <w:rStyle w:val="43"/>
          <w:rFonts w:ascii="宋体" w:hAnsi="宋体"/>
          <w:sz w:val="21"/>
          <w:szCs w:val="21"/>
        </w:rPr>
      </w:pPr>
      <w:r>
        <w:rPr>
          <w:rStyle w:val="43"/>
          <w:rFonts w:ascii="宋体" w:hAnsi="宋体"/>
          <w:sz w:val="21"/>
          <w:szCs w:val="21"/>
        </w:rPr>
        <w:t>……</w:t>
      </w:r>
    </w:p>
    <w:p>
      <w:pPr>
        <w:snapToGrid w:val="0"/>
        <w:spacing w:line="500" w:lineRule="exact"/>
        <w:ind w:firstLine="426" w:firstLineChars="200"/>
        <w:jc w:val="left"/>
        <w:rPr>
          <w:rStyle w:val="43"/>
          <w:rFonts w:ascii="宋体" w:hAnsi="宋体"/>
          <w:sz w:val="21"/>
          <w:szCs w:val="21"/>
        </w:rPr>
      </w:pPr>
      <w:r>
        <w:rPr>
          <w:rStyle w:val="43"/>
          <w:rFonts w:ascii="宋体" w:hAnsi="宋体"/>
          <w:sz w:val="21"/>
          <w:szCs w:val="21"/>
        </w:rPr>
        <w:t>以上企业，不属于大企业的分支机构，不存在控股股东为大企业的情形，也不存在与大企业的负责人为同一人的情形。</w:t>
      </w:r>
    </w:p>
    <w:p>
      <w:pPr>
        <w:snapToGrid w:val="0"/>
        <w:spacing w:line="500" w:lineRule="exact"/>
        <w:ind w:firstLine="426" w:firstLineChars="200"/>
        <w:jc w:val="left"/>
        <w:rPr>
          <w:rStyle w:val="43"/>
          <w:rFonts w:ascii="宋体" w:hAnsi="宋体"/>
          <w:sz w:val="21"/>
          <w:szCs w:val="21"/>
        </w:rPr>
      </w:pPr>
      <w:r>
        <w:rPr>
          <w:rStyle w:val="43"/>
          <w:rFonts w:ascii="宋体" w:hAnsi="宋体"/>
          <w:sz w:val="21"/>
          <w:szCs w:val="21"/>
        </w:rPr>
        <w:t>本企业对上述声明内容的真实性负责。如有虚假，将依法承担相应责任。</w:t>
      </w:r>
    </w:p>
    <w:p>
      <w:pPr>
        <w:snapToGrid w:val="0"/>
        <w:ind w:right="420" w:firstLine="5218" w:firstLineChars="2450"/>
        <w:jc w:val="left"/>
        <w:rPr>
          <w:rStyle w:val="43"/>
          <w:rFonts w:ascii="宋体" w:hAnsi="宋体"/>
          <w:sz w:val="21"/>
          <w:szCs w:val="21"/>
        </w:rPr>
      </w:pPr>
    </w:p>
    <w:p>
      <w:pPr>
        <w:snapToGrid w:val="0"/>
        <w:spacing w:line="500" w:lineRule="exact"/>
        <w:ind w:right="420" w:firstLine="5218" w:firstLineChars="2450"/>
        <w:jc w:val="right"/>
        <w:rPr>
          <w:rStyle w:val="43"/>
          <w:rFonts w:ascii="宋体" w:hAnsi="宋体"/>
          <w:sz w:val="21"/>
          <w:szCs w:val="21"/>
        </w:rPr>
      </w:pPr>
      <w:r>
        <w:rPr>
          <w:rStyle w:val="43"/>
          <w:rFonts w:ascii="宋体" w:hAnsi="宋体"/>
          <w:sz w:val="21"/>
          <w:szCs w:val="21"/>
        </w:rPr>
        <w:t xml:space="preserve">企业名称（盖章）： </w:t>
      </w:r>
    </w:p>
    <w:p>
      <w:pPr>
        <w:snapToGrid w:val="0"/>
        <w:spacing w:line="500" w:lineRule="exact"/>
        <w:ind w:right="420"/>
        <w:jc w:val="right"/>
        <w:rPr>
          <w:rStyle w:val="43"/>
          <w:rFonts w:ascii="宋体" w:hAnsi="宋体"/>
          <w:sz w:val="21"/>
          <w:szCs w:val="21"/>
        </w:rPr>
      </w:pPr>
      <w:r>
        <w:rPr>
          <w:rStyle w:val="43"/>
          <w:rFonts w:ascii="宋体" w:hAnsi="宋体"/>
          <w:sz w:val="21"/>
          <w:szCs w:val="21"/>
        </w:rPr>
        <w:t>日期：   年     月     日</w:t>
      </w:r>
    </w:p>
    <w:p>
      <w:pPr>
        <w:snapToGrid w:val="0"/>
        <w:spacing w:line="500" w:lineRule="exact"/>
        <w:ind w:right="420"/>
        <w:rPr>
          <w:rStyle w:val="43"/>
          <w:rFonts w:ascii="宋体" w:hAnsi="宋体"/>
          <w:b/>
          <w:sz w:val="21"/>
          <w:szCs w:val="21"/>
        </w:rPr>
      </w:pPr>
    </w:p>
    <w:p>
      <w:pPr>
        <w:snapToGrid w:val="0"/>
        <w:spacing w:line="500" w:lineRule="exact"/>
        <w:ind w:right="420"/>
        <w:rPr>
          <w:rStyle w:val="43"/>
          <w:rFonts w:ascii="宋体" w:hAnsi="宋体"/>
          <w:sz w:val="21"/>
          <w:szCs w:val="21"/>
        </w:rPr>
      </w:pPr>
      <w:r>
        <w:rPr>
          <w:rStyle w:val="43"/>
          <w:rFonts w:ascii="宋体" w:hAnsi="宋体"/>
          <w:b/>
          <w:sz w:val="21"/>
          <w:szCs w:val="21"/>
        </w:rPr>
        <w:t>注：提供的货物清单中每样货物（配件、辅料等材料除外）的制造商均要求为中小企业，即每样货物（配件、辅料等材料除外）的制造商均应在声明中填写。</w:t>
      </w:r>
    </w:p>
    <w:p>
      <w:pPr>
        <w:snapToGrid w:val="0"/>
        <w:spacing w:line="500" w:lineRule="exact"/>
        <w:ind w:right="420" w:firstLine="5325" w:firstLineChars="2500"/>
        <w:rPr>
          <w:rStyle w:val="43"/>
          <w:rFonts w:ascii="宋体" w:hAnsi="宋体"/>
          <w:sz w:val="21"/>
          <w:szCs w:val="21"/>
        </w:rPr>
      </w:pPr>
    </w:p>
    <w:p>
      <w:pPr>
        <w:snapToGrid w:val="0"/>
        <w:jc w:val="center"/>
        <w:rPr>
          <w:rStyle w:val="43"/>
          <w:rFonts w:ascii="宋体" w:hAnsi="宋体"/>
          <w:b/>
          <w:sz w:val="21"/>
          <w:szCs w:val="21"/>
        </w:rPr>
      </w:pPr>
    </w:p>
    <w:p>
      <w:pPr>
        <w:snapToGrid w:val="0"/>
        <w:spacing w:line="500" w:lineRule="exact"/>
        <w:jc w:val="center"/>
        <w:rPr>
          <w:rStyle w:val="43"/>
          <w:rFonts w:ascii="宋体" w:hAnsi="宋体"/>
          <w:b/>
          <w:sz w:val="21"/>
          <w:szCs w:val="21"/>
        </w:rPr>
      </w:pPr>
    </w:p>
    <w:p>
      <w:pPr>
        <w:pStyle w:val="11"/>
      </w:pPr>
    </w:p>
    <w:p>
      <w:pPr>
        <w:snapToGrid w:val="0"/>
        <w:spacing w:line="500" w:lineRule="exact"/>
        <w:jc w:val="center"/>
        <w:rPr>
          <w:rStyle w:val="43"/>
          <w:rFonts w:ascii="宋体" w:hAnsi="宋体"/>
          <w:b/>
          <w:sz w:val="21"/>
          <w:szCs w:val="21"/>
        </w:rPr>
      </w:pPr>
    </w:p>
    <w:p>
      <w:pPr>
        <w:snapToGrid w:val="0"/>
        <w:spacing w:line="500" w:lineRule="exact"/>
        <w:jc w:val="center"/>
        <w:rPr>
          <w:rStyle w:val="43"/>
          <w:rFonts w:ascii="宋体" w:hAnsi="宋体"/>
          <w:b/>
          <w:sz w:val="21"/>
          <w:szCs w:val="21"/>
        </w:rPr>
      </w:pPr>
    </w:p>
    <w:p>
      <w:pPr>
        <w:snapToGrid w:val="0"/>
        <w:spacing w:line="500" w:lineRule="exact"/>
        <w:jc w:val="center"/>
        <w:rPr>
          <w:rStyle w:val="43"/>
          <w:rFonts w:ascii="宋体" w:hAnsi="宋体"/>
          <w:b/>
          <w:sz w:val="21"/>
          <w:szCs w:val="21"/>
        </w:rPr>
      </w:pPr>
    </w:p>
    <w:p>
      <w:pPr>
        <w:snapToGrid w:val="0"/>
        <w:spacing w:line="500" w:lineRule="exact"/>
        <w:jc w:val="center"/>
        <w:rPr>
          <w:rStyle w:val="43"/>
          <w:rFonts w:ascii="宋体" w:hAnsi="宋体"/>
          <w:b/>
          <w:sz w:val="21"/>
          <w:szCs w:val="21"/>
        </w:rPr>
      </w:pPr>
    </w:p>
    <w:p>
      <w:pPr>
        <w:snapToGrid w:val="0"/>
        <w:spacing w:line="500" w:lineRule="exact"/>
        <w:jc w:val="center"/>
        <w:rPr>
          <w:rStyle w:val="43"/>
          <w:rFonts w:ascii="宋体" w:hAnsi="宋体"/>
          <w:b/>
          <w:sz w:val="21"/>
          <w:szCs w:val="21"/>
        </w:rPr>
      </w:pPr>
      <w:r>
        <w:rPr>
          <w:rStyle w:val="43"/>
          <w:rFonts w:ascii="宋体" w:hAnsi="宋体"/>
          <w:b/>
          <w:sz w:val="21"/>
          <w:szCs w:val="21"/>
        </w:rPr>
        <w:t>中小企业声明函（工程、服务）</w:t>
      </w:r>
    </w:p>
    <w:p>
      <w:pPr>
        <w:snapToGrid w:val="0"/>
        <w:spacing w:line="500" w:lineRule="exact"/>
        <w:ind w:firstLine="426" w:firstLineChars="200"/>
        <w:jc w:val="left"/>
        <w:rPr>
          <w:rStyle w:val="43"/>
          <w:rFonts w:ascii="宋体" w:hAnsi="宋体"/>
          <w:sz w:val="21"/>
          <w:szCs w:val="21"/>
        </w:rPr>
      </w:pPr>
      <w:r>
        <w:rPr>
          <w:rStyle w:val="43"/>
          <w:rFonts w:ascii="宋体" w:hAnsi="宋体"/>
          <w:sz w:val="21"/>
          <w:szCs w:val="21"/>
        </w:rPr>
        <w:t>本公司（联合体）郑重声明，根据《政府采购促进中小企业发展管理办法》 （财库﹝2020﹞46 号）的规定，本公司（联合体）参加</w:t>
      </w:r>
      <w:r>
        <w:rPr>
          <w:rStyle w:val="43"/>
          <w:rFonts w:ascii="宋体" w:hAnsi="宋体"/>
          <w:sz w:val="21"/>
          <w:szCs w:val="21"/>
          <w:u w:val="single" w:color="000000"/>
        </w:rPr>
        <w:t xml:space="preserve">          </w:t>
      </w:r>
      <w:r>
        <w:rPr>
          <w:rStyle w:val="43"/>
          <w:rFonts w:ascii="宋体" w:hAnsi="宋体"/>
          <w:sz w:val="21"/>
          <w:szCs w:val="21"/>
        </w:rPr>
        <w:t>的</w:t>
      </w:r>
      <w:r>
        <w:rPr>
          <w:rStyle w:val="43"/>
          <w:rFonts w:ascii="宋体" w:hAnsi="宋体"/>
          <w:sz w:val="21"/>
          <w:szCs w:val="21"/>
          <w:u w:val="single" w:color="000000"/>
        </w:rPr>
        <w:t xml:space="preserve">                  </w:t>
      </w:r>
      <w:r>
        <w:rPr>
          <w:rStyle w:val="43"/>
          <w:rFonts w:ascii="宋体" w:hAnsi="宋体"/>
          <w:sz w:val="21"/>
          <w:szCs w:val="21"/>
        </w:rPr>
        <w:t>采购活动，工程的施工单位全部为符合政策要求的中小企业（或者：服务全部由符合政策要求的中小企业承接） 。相关企业（含联合体中的中小企业、签订分包意向协议的中小企业）的具体情况如下：</w:t>
      </w:r>
    </w:p>
    <w:p>
      <w:pPr>
        <w:snapToGrid w:val="0"/>
        <w:spacing w:line="500" w:lineRule="exact"/>
        <w:jc w:val="left"/>
        <w:rPr>
          <w:rStyle w:val="43"/>
          <w:rFonts w:ascii="宋体" w:hAnsi="宋体"/>
          <w:sz w:val="21"/>
          <w:szCs w:val="21"/>
        </w:rPr>
      </w:pPr>
      <w:r>
        <w:rPr>
          <w:rStyle w:val="43"/>
          <w:rFonts w:ascii="宋体" w:hAnsi="宋体"/>
          <w:sz w:val="21"/>
          <w:szCs w:val="21"/>
        </w:rPr>
        <w:t>1.</w:t>
      </w:r>
      <w:r>
        <w:rPr>
          <w:rStyle w:val="43"/>
          <w:rFonts w:ascii="宋体" w:hAnsi="宋体"/>
          <w:sz w:val="21"/>
          <w:szCs w:val="21"/>
          <w:u w:val="single" w:color="000000"/>
        </w:rPr>
        <w:t xml:space="preserve">        （标的名称）</w:t>
      </w:r>
      <w:r>
        <w:rPr>
          <w:rStyle w:val="43"/>
          <w:rFonts w:ascii="宋体" w:hAnsi="宋体"/>
          <w:sz w:val="21"/>
          <w:szCs w:val="21"/>
        </w:rPr>
        <w:t>，属于</w:t>
      </w:r>
      <w:r>
        <w:rPr>
          <w:rStyle w:val="43"/>
          <w:rFonts w:ascii="宋体" w:hAnsi="宋体"/>
          <w:sz w:val="21"/>
          <w:szCs w:val="21"/>
          <w:u w:val="single" w:color="000000"/>
        </w:rPr>
        <w:t xml:space="preserve">                  行业</w:t>
      </w:r>
      <w:r>
        <w:rPr>
          <w:rStyle w:val="43"/>
          <w:rFonts w:ascii="宋体" w:hAnsi="宋体"/>
          <w:sz w:val="21"/>
          <w:szCs w:val="21"/>
        </w:rPr>
        <w:t>；承建（承接）企业为</w:t>
      </w:r>
      <w:r>
        <w:rPr>
          <w:rStyle w:val="43"/>
          <w:rFonts w:ascii="宋体" w:hAnsi="宋体"/>
          <w:sz w:val="21"/>
          <w:szCs w:val="21"/>
          <w:u w:val="single" w:color="000000"/>
        </w:rPr>
        <w:t xml:space="preserve">           （企业名称） </w:t>
      </w:r>
      <w:r>
        <w:rPr>
          <w:rStyle w:val="43"/>
          <w:rFonts w:ascii="宋体" w:hAnsi="宋体"/>
          <w:sz w:val="21"/>
          <w:szCs w:val="21"/>
        </w:rPr>
        <w:t>，从业人员</w:t>
      </w:r>
      <w:r>
        <w:rPr>
          <w:rStyle w:val="43"/>
          <w:rFonts w:ascii="宋体" w:hAnsi="宋体"/>
          <w:sz w:val="21"/>
          <w:szCs w:val="21"/>
          <w:u w:val="single" w:color="000000"/>
        </w:rPr>
        <w:t xml:space="preserve">   </w:t>
      </w:r>
      <w:r>
        <w:rPr>
          <w:rStyle w:val="43"/>
          <w:rFonts w:ascii="宋体" w:hAnsi="宋体"/>
          <w:sz w:val="21"/>
          <w:szCs w:val="21"/>
        </w:rPr>
        <w:t>人，营业收入为</w:t>
      </w:r>
      <w:r>
        <w:rPr>
          <w:rStyle w:val="43"/>
          <w:rFonts w:ascii="宋体" w:hAnsi="宋体"/>
          <w:sz w:val="21"/>
          <w:szCs w:val="21"/>
          <w:u w:val="single" w:color="000000"/>
        </w:rPr>
        <w:t xml:space="preserve">  </w:t>
      </w:r>
      <w:r>
        <w:rPr>
          <w:rStyle w:val="43"/>
          <w:rFonts w:ascii="宋体" w:hAnsi="宋体"/>
          <w:sz w:val="21"/>
          <w:szCs w:val="21"/>
        </w:rPr>
        <w:t>万元，资产总额为</w:t>
      </w:r>
      <w:r>
        <w:rPr>
          <w:rStyle w:val="43"/>
          <w:rFonts w:ascii="宋体" w:hAnsi="宋体"/>
          <w:sz w:val="21"/>
          <w:szCs w:val="21"/>
          <w:u w:val="single" w:color="000000"/>
        </w:rPr>
        <w:t xml:space="preserve">  </w:t>
      </w:r>
      <w:r>
        <w:rPr>
          <w:rStyle w:val="43"/>
          <w:rFonts w:ascii="宋体" w:hAnsi="宋体"/>
          <w:sz w:val="21"/>
          <w:szCs w:val="21"/>
        </w:rPr>
        <w:t>万元 ，属于</w:t>
      </w:r>
      <w:r>
        <w:rPr>
          <w:rStyle w:val="43"/>
          <w:rFonts w:ascii="宋体" w:hAnsi="宋体"/>
          <w:sz w:val="21"/>
          <w:szCs w:val="21"/>
          <w:u w:val="single" w:color="000000"/>
        </w:rPr>
        <w:t xml:space="preserve">       （中型企业、小型企业、微型企业）</w:t>
      </w:r>
      <w:r>
        <w:rPr>
          <w:rStyle w:val="43"/>
          <w:rFonts w:ascii="宋体" w:hAnsi="宋体"/>
          <w:sz w:val="21"/>
          <w:szCs w:val="21"/>
        </w:rPr>
        <w:t xml:space="preserve"> ；</w:t>
      </w:r>
    </w:p>
    <w:p>
      <w:pPr>
        <w:snapToGrid w:val="0"/>
        <w:spacing w:line="500" w:lineRule="exact"/>
        <w:jc w:val="left"/>
        <w:rPr>
          <w:rStyle w:val="43"/>
          <w:rFonts w:ascii="宋体" w:hAnsi="宋体"/>
          <w:sz w:val="21"/>
          <w:szCs w:val="21"/>
        </w:rPr>
      </w:pPr>
      <w:r>
        <w:rPr>
          <w:rStyle w:val="43"/>
          <w:rFonts w:ascii="宋体" w:hAnsi="宋体"/>
          <w:sz w:val="21"/>
          <w:szCs w:val="21"/>
        </w:rPr>
        <w:t>2.</w:t>
      </w:r>
      <w:r>
        <w:rPr>
          <w:rStyle w:val="43"/>
          <w:rFonts w:ascii="宋体" w:hAnsi="宋体"/>
          <w:sz w:val="21"/>
          <w:szCs w:val="21"/>
          <w:u w:val="single" w:color="000000"/>
        </w:rPr>
        <w:t xml:space="preserve">        （标的名称）</w:t>
      </w:r>
      <w:r>
        <w:rPr>
          <w:rStyle w:val="43"/>
          <w:rFonts w:ascii="宋体" w:hAnsi="宋体"/>
          <w:sz w:val="21"/>
          <w:szCs w:val="21"/>
        </w:rPr>
        <w:t>，属于</w:t>
      </w:r>
      <w:r>
        <w:rPr>
          <w:rStyle w:val="43"/>
          <w:rFonts w:ascii="宋体" w:hAnsi="宋体"/>
          <w:sz w:val="21"/>
          <w:szCs w:val="21"/>
          <w:u w:val="single" w:color="000000"/>
        </w:rPr>
        <w:t xml:space="preserve">                  行业</w:t>
      </w:r>
      <w:r>
        <w:rPr>
          <w:rStyle w:val="43"/>
          <w:rFonts w:ascii="宋体" w:hAnsi="宋体"/>
          <w:sz w:val="21"/>
          <w:szCs w:val="21"/>
        </w:rPr>
        <w:t>；承建（承接）企业为</w:t>
      </w:r>
      <w:r>
        <w:rPr>
          <w:rStyle w:val="43"/>
          <w:rFonts w:ascii="宋体" w:hAnsi="宋体"/>
          <w:sz w:val="21"/>
          <w:szCs w:val="21"/>
          <w:u w:val="single" w:color="000000"/>
        </w:rPr>
        <w:t xml:space="preserve">           （企业名称） </w:t>
      </w:r>
      <w:r>
        <w:rPr>
          <w:rStyle w:val="43"/>
          <w:rFonts w:ascii="宋体" w:hAnsi="宋体"/>
          <w:sz w:val="21"/>
          <w:szCs w:val="21"/>
        </w:rPr>
        <w:t>，从业人员</w:t>
      </w:r>
      <w:r>
        <w:rPr>
          <w:rStyle w:val="43"/>
          <w:rFonts w:ascii="宋体" w:hAnsi="宋体"/>
          <w:sz w:val="21"/>
          <w:szCs w:val="21"/>
          <w:u w:val="single" w:color="000000"/>
        </w:rPr>
        <w:t xml:space="preserve">   </w:t>
      </w:r>
      <w:r>
        <w:rPr>
          <w:rStyle w:val="43"/>
          <w:rFonts w:ascii="宋体" w:hAnsi="宋体"/>
          <w:sz w:val="21"/>
          <w:szCs w:val="21"/>
        </w:rPr>
        <w:t>人，营业收入为</w:t>
      </w:r>
      <w:r>
        <w:rPr>
          <w:rStyle w:val="43"/>
          <w:rFonts w:ascii="宋体" w:hAnsi="宋体"/>
          <w:sz w:val="21"/>
          <w:szCs w:val="21"/>
          <w:u w:val="single" w:color="000000"/>
        </w:rPr>
        <w:t xml:space="preserve">  </w:t>
      </w:r>
      <w:r>
        <w:rPr>
          <w:rStyle w:val="43"/>
          <w:rFonts w:ascii="宋体" w:hAnsi="宋体"/>
          <w:sz w:val="21"/>
          <w:szCs w:val="21"/>
        </w:rPr>
        <w:t>万元，资产总额为</w:t>
      </w:r>
      <w:r>
        <w:rPr>
          <w:rStyle w:val="43"/>
          <w:rFonts w:ascii="宋体" w:hAnsi="宋体"/>
          <w:sz w:val="21"/>
          <w:szCs w:val="21"/>
          <w:u w:val="single" w:color="000000"/>
        </w:rPr>
        <w:t xml:space="preserve">  </w:t>
      </w:r>
      <w:r>
        <w:rPr>
          <w:rStyle w:val="43"/>
          <w:rFonts w:ascii="宋体" w:hAnsi="宋体"/>
          <w:sz w:val="21"/>
          <w:szCs w:val="21"/>
        </w:rPr>
        <w:t>万元 ，属于</w:t>
      </w:r>
      <w:r>
        <w:rPr>
          <w:rStyle w:val="43"/>
          <w:rFonts w:ascii="宋体" w:hAnsi="宋体"/>
          <w:sz w:val="21"/>
          <w:szCs w:val="21"/>
          <w:u w:val="single" w:color="000000"/>
        </w:rPr>
        <w:t xml:space="preserve">       （中型企业、小型企业、微型企业）</w:t>
      </w:r>
      <w:r>
        <w:rPr>
          <w:rStyle w:val="43"/>
          <w:rFonts w:ascii="宋体" w:hAnsi="宋体"/>
          <w:sz w:val="21"/>
          <w:szCs w:val="21"/>
        </w:rPr>
        <w:t xml:space="preserve"> ；</w:t>
      </w:r>
    </w:p>
    <w:p>
      <w:pPr>
        <w:snapToGrid w:val="0"/>
        <w:spacing w:line="500" w:lineRule="exact"/>
        <w:ind w:firstLine="426" w:firstLineChars="200"/>
        <w:jc w:val="left"/>
        <w:rPr>
          <w:rStyle w:val="43"/>
          <w:rFonts w:ascii="宋体" w:hAnsi="宋体"/>
          <w:sz w:val="21"/>
          <w:szCs w:val="21"/>
        </w:rPr>
      </w:pPr>
      <w:r>
        <w:rPr>
          <w:rStyle w:val="43"/>
          <w:rFonts w:ascii="宋体" w:hAnsi="宋体"/>
          <w:sz w:val="21"/>
          <w:szCs w:val="21"/>
        </w:rPr>
        <w:t>……</w:t>
      </w:r>
    </w:p>
    <w:p>
      <w:pPr>
        <w:snapToGrid w:val="0"/>
        <w:spacing w:line="500" w:lineRule="exact"/>
        <w:ind w:firstLine="426" w:firstLineChars="200"/>
        <w:jc w:val="left"/>
        <w:rPr>
          <w:rStyle w:val="43"/>
          <w:rFonts w:ascii="宋体" w:hAnsi="宋体"/>
          <w:sz w:val="21"/>
          <w:szCs w:val="21"/>
        </w:rPr>
      </w:pPr>
      <w:r>
        <w:rPr>
          <w:rStyle w:val="43"/>
          <w:rFonts w:ascii="宋体" w:hAnsi="宋体"/>
          <w:sz w:val="21"/>
          <w:szCs w:val="21"/>
        </w:rPr>
        <w:t>以上企业，不属于大企业的分支机构，不存在控股股东为大企业的情形，也不存在与大企业的负责人为同一人的情形。</w:t>
      </w:r>
    </w:p>
    <w:p>
      <w:pPr>
        <w:snapToGrid w:val="0"/>
        <w:spacing w:line="500" w:lineRule="exact"/>
        <w:ind w:firstLine="426" w:firstLineChars="200"/>
        <w:jc w:val="left"/>
        <w:rPr>
          <w:rStyle w:val="43"/>
          <w:rFonts w:ascii="宋体" w:hAnsi="宋体"/>
          <w:sz w:val="21"/>
          <w:szCs w:val="21"/>
        </w:rPr>
      </w:pPr>
      <w:r>
        <w:rPr>
          <w:rStyle w:val="43"/>
          <w:rFonts w:ascii="宋体" w:hAnsi="宋体"/>
          <w:sz w:val="21"/>
          <w:szCs w:val="21"/>
        </w:rPr>
        <w:t>本企业对上述声明内容的真实性负责。如有虚假，将依法承担相应责任。</w:t>
      </w:r>
    </w:p>
    <w:p>
      <w:pPr>
        <w:snapToGrid w:val="0"/>
        <w:spacing w:line="500" w:lineRule="exact"/>
        <w:ind w:right="420" w:firstLine="5218" w:firstLineChars="2450"/>
        <w:jc w:val="left"/>
        <w:rPr>
          <w:rStyle w:val="43"/>
          <w:rFonts w:ascii="宋体" w:hAnsi="宋体"/>
          <w:sz w:val="21"/>
          <w:szCs w:val="21"/>
        </w:rPr>
      </w:pPr>
    </w:p>
    <w:p>
      <w:pPr>
        <w:snapToGrid w:val="0"/>
        <w:spacing w:line="500" w:lineRule="exact"/>
        <w:ind w:right="420" w:firstLine="5218" w:firstLineChars="2450"/>
        <w:rPr>
          <w:rStyle w:val="43"/>
          <w:rFonts w:ascii="宋体" w:hAnsi="宋体"/>
          <w:sz w:val="21"/>
          <w:szCs w:val="21"/>
        </w:rPr>
      </w:pPr>
      <w:r>
        <w:rPr>
          <w:rStyle w:val="43"/>
          <w:rFonts w:ascii="宋体" w:hAnsi="宋体"/>
          <w:sz w:val="21"/>
          <w:szCs w:val="21"/>
        </w:rPr>
        <w:t xml:space="preserve">企业名称（盖章）： </w:t>
      </w:r>
    </w:p>
    <w:p>
      <w:pPr>
        <w:snapToGrid w:val="0"/>
        <w:spacing w:line="500" w:lineRule="exact"/>
        <w:ind w:right="420" w:firstLine="4899" w:firstLineChars="2300"/>
        <w:rPr>
          <w:rStyle w:val="43"/>
          <w:rFonts w:ascii="宋体" w:hAnsi="宋体"/>
          <w:sz w:val="21"/>
          <w:szCs w:val="21"/>
        </w:rPr>
      </w:pPr>
      <w:r>
        <w:rPr>
          <w:rStyle w:val="43"/>
          <w:rFonts w:ascii="宋体" w:hAnsi="宋体"/>
          <w:sz w:val="21"/>
          <w:szCs w:val="21"/>
        </w:rPr>
        <w:t>日期：   年     月     日</w:t>
      </w:r>
    </w:p>
    <w:p>
      <w:pPr>
        <w:snapToGrid w:val="0"/>
        <w:spacing w:line="500" w:lineRule="exact"/>
        <w:rPr>
          <w:rStyle w:val="43"/>
          <w:rFonts w:ascii="宋体" w:hAnsi="宋体"/>
          <w:sz w:val="21"/>
          <w:szCs w:val="21"/>
        </w:rPr>
      </w:pPr>
      <w:r>
        <w:rPr>
          <w:rStyle w:val="43"/>
          <w:rFonts w:ascii="宋体" w:hAnsi="宋体"/>
          <w:sz w:val="21"/>
          <w:szCs w:val="21"/>
        </w:rPr>
        <w:t>注：</w:t>
      </w:r>
    </w:p>
    <w:p>
      <w:pPr>
        <w:snapToGrid w:val="0"/>
        <w:spacing w:line="500" w:lineRule="exact"/>
        <w:rPr>
          <w:rStyle w:val="43"/>
          <w:rFonts w:ascii="宋体" w:hAnsi="宋体"/>
          <w:b/>
          <w:sz w:val="21"/>
          <w:szCs w:val="21"/>
        </w:rPr>
      </w:pPr>
      <w:r>
        <w:rPr>
          <w:rStyle w:val="43"/>
          <w:rFonts w:ascii="宋体" w:hAnsi="宋体"/>
          <w:b/>
          <w:sz w:val="21"/>
          <w:szCs w:val="21"/>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500" w:lineRule="exact"/>
        <w:rPr>
          <w:rStyle w:val="43"/>
          <w:rFonts w:ascii="宋体" w:hAnsi="宋体"/>
          <w:sz w:val="21"/>
          <w:szCs w:val="21"/>
        </w:rPr>
      </w:pPr>
      <w:r>
        <w:rPr>
          <w:rStyle w:val="43"/>
          <w:rFonts w:ascii="宋体" w:hAnsi="宋体"/>
          <w:b/>
          <w:sz w:val="21"/>
          <w:szCs w:val="21"/>
        </w:rPr>
        <w:t>2、根据《政府采购促进中小企业发展管理办法》的通知（财库〔2020〕46号）规定，</w:t>
      </w:r>
      <w:r>
        <w:rPr>
          <w:rStyle w:val="43"/>
          <w:rFonts w:ascii="宋体" w:hAnsi="宋体"/>
          <w:sz w:val="21"/>
          <w:szCs w:val="21"/>
        </w:rPr>
        <w:t>中标、成交供应商享受中小企业扶持政策的，采购代理机构将随中标、成交结果公开中标、成交供应商的《中小企业声明函》。</w:t>
      </w:r>
    </w:p>
    <w:p>
      <w:pPr>
        <w:snapToGrid w:val="0"/>
        <w:spacing w:line="500" w:lineRule="exact"/>
        <w:rPr>
          <w:rStyle w:val="43"/>
          <w:rFonts w:ascii="宋体" w:hAnsi="宋体"/>
          <w:sz w:val="21"/>
          <w:szCs w:val="21"/>
        </w:rPr>
      </w:pPr>
      <w:r>
        <w:rPr>
          <w:rStyle w:val="43"/>
          <w:rFonts w:ascii="宋体" w:hAnsi="宋体"/>
          <w:sz w:val="21"/>
          <w:szCs w:val="21"/>
        </w:rPr>
        <w:t>3、符合《关于促进残疾人就业政府采购政策的通知》（财库〔2017〕141号）规定的条件并提供提供《残疾人福利性单位声明函》（附件</w:t>
      </w:r>
      <w:r>
        <w:rPr>
          <w:rStyle w:val="43"/>
          <w:rFonts w:hint="eastAsia" w:ascii="宋体" w:hAnsi="宋体"/>
          <w:sz w:val="21"/>
          <w:szCs w:val="21"/>
        </w:rPr>
        <w:t>20</w:t>
      </w:r>
      <w:r>
        <w:rPr>
          <w:rStyle w:val="43"/>
          <w:rFonts w:ascii="宋体" w:hAnsi="宋体"/>
          <w:sz w:val="21"/>
          <w:szCs w:val="21"/>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napToGrid w:val="0"/>
        <w:spacing w:line="588" w:lineRule="exact"/>
        <w:outlineLvl w:val="1"/>
        <w:rPr>
          <w:rStyle w:val="43"/>
          <w:rFonts w:ascii="宋体" w:hAnsi="宋体"/>
          <w:b/>
          <w:spacing w:val="6"/>
          <w:sz w:val="21"/>
          <w:szCs w:val="21"/>
        </w:rPr>
      </w:pPr>
      <w:r>
        <w:rPr>
          <w:rStyle w:val="43"/>
          <w:rFonts w:ascii="宋体" w:hAnsi="宋体"/>
          <w:b/>
          <w:spacing w:val="6"/>
          <w:sz w:val="21"/>
          <w:szCs w:val="21"/>
        </w:rPr>
        <w:t>附件</w:t>
      </w:r>
      <w:r>
        <w:rPr>
          <w:rStyle w:val="43"/>
          <w:rFonts w:hint="eastAsia" w:ascii="宋体" w:hAnsi="宋体"/>
          <w:b/>
          <w:spacing w:val="6"/>
          <w:sz w:val="21"/>
          <w:szCs w:val="21"/>
        </w:rPr>
        <w:t>1</w:t>
      </w:r>
      <w:r>
        <w:rPr>
          <w:rStyle w:val="43"/>
          <w:rFonts w:hint="eastAsia" w:ascii="宋体" w:hAnsi="宋体"/>
          <w:b/>
          <w:spacing w:val="6"/>
          <w:sz w:val="21"/>
          <w:szCs w:val="21"/>
          <w:lang w:val="en-US" w:eastAsia="zh-CN"/>
        </w:rPr>
        <w:t>7</w:t>
      </w:r>
      <w:r>
        <w:rPr>
          <w:rStyle w:val="43"/>
          <w:rFonts w:ascii="宋体" w:hAnsi="宋体"/>
          <w:b/>
          <w:spacing w:val="6"/>
          <w:sz w:val="21"/>
          <w:szCs w:val="21"/>
        </w:rPr>
        <w:t>：残疾人福利性单位声明函</w:t>
      </w:r>
    </w:p>
    <w:p>
      <w:pPr>
        <w:snapToGrid w:val="0"/>
        <w:spacing w:line="588" w:lineRule="exact"/>
        <w:ind w:firstLine="426" w:firstLineChars="200"/>
        <w:jc w:val="center"/>
        <w:rPr>
          <w:rStyle w:val="43"/>
          <w:rFonts w:ascii="宋体" w:hAnsi="宋体"/>
          <w:b/>
          <w:bCs/>
          <w:sz w:val="21"/>
          <w:szCs w:val="21"/>
        </w:rPr>
      </w:pPr>
      <w:r>
        <w:rPr>
          <w:rStyle w:val="43"/>
          <w:rFonts w:ascii="宋体" w:hAnsi="宋体"/>
          <w:b/>
          <w:bCs/>
          <w:sz w:val="21"/>
          <w:szCs w:val="21"/>
        </w:rPr>
        <w:t>残疾人福利性单位声明函</w:t>
      </w:r>
    </w:p>
    <w:p>
      <w:pPr>
        <w:snapToGrid w:val="0"/>
        <w:spacing w:line="588" w:lineRule="exact"/>
        <w:ind w:firstLine="426" w:firstLineChars="200"/>
        <w:rPr>
          <w:rStyle w:val="43"/>
          <w:rFonts w:ascii="宋体" w:hAnsi="宋体"/>
          <w:sz w:val="21"/>
          <w:szCs w:val="21"/>
        </w:rPr>
      </w:pPr>
      <w:r>
        <w:rPr>
          <w:rStyle w:val="43"/>
          <w:rFonts w:ascii="宋体" w:hAnsi="宋体"/>
          <w:sz w:val="21"/>
          <w:szCs w:val="21"/>
        </w:rPr>
        <w:t>本单位郑重声明，根据《财政部 民政部 中国残疾人联合会关于促进残疾人就业政府采购政策的通知》（财库〔2017〕141号）的规定，本单位为符合条件的残疾人福利性单位，且本单位参加</w:t>
      </w:r>
      <w:r>
        <w:rPr>
          <w:rStyle w:val="43"/>
          <w:rFonts w:ascii="宋体" w:hAnsi="宋体"/>
          <w:sz w:val="21"/>
          <w:szCs w:val="21"/>
          <w:u w:val="single" w:color="000000"/>
        </w:rPr>
        <w:t xml:space="preserve">  </w:t>
      </w:r>
      <w:r>
        <w:rPr>
          <w:rStyle w:val="43"/>
          <w:rFonts w:ascii="宋体" w:hAnsi="宋体"/>
          <w:sz w:val="21"/>
          <w:szCs w:val="21"/>
        </w:rPr>
        <w:t>的</w:t>
      </w:r>
      <w:r>
        <w:rPr>
          <w:rStyle w:val="43"/>
          <w:rFonts w:ascii="宋体" w:hAnsi="宋体"/>
          <w:sz w:val="21"/>
          <w:szCs w:val="21"/>
          <w:u w:val="single" w:color="000000"/>
        </w:rPr>
        <w:t xml:space="preserve">              </w:t>
      </w:r>
      <w:r>
        <w:rPr>
          <w:rStyle w:val="43"/>
          <w:rFonts w:ascii="宋体" w:hAnsi="宋体"/>
          <w:sz w:val="21"/>
          <w:szCs w:val="21"/>
        </w:rPr>
        <w:t>项目采购活动提供本单位制造的货物（由本单位承担工程/提供服务），或者提供其他残疾人福利性单位制造的货物（不包括使用非残疾人福利性单位注册商标的货物）。</w:t>
      </w:r>
    </w:p>
    <w:p>
      <w:pPr>
        <w:snapToGrid w:val="0"/>
        <w:spacing w:line="588" w:lineRule="exact"/>
        <w:ind w:firstLine="426" w:firstLineChars="200"/>
        <w:rPr>
          <w:rStyle w:val="43"/>
          <w:rFonts w:ascii="宋体" w:hAnsi="宋体"/>
          <w:sz w:val="21"/>
          <w:szCs w:val="21"/>
        </w:rPr>
      </w:pPr>
      <w:r>
        <w:rPr>
          <w:rStyle w:val="43"/>
          <w:rFonts w:ascii="宋体" w:hAnsi="宋体"/>
          <w:sz w:val="21"/>
          <w:szCs w:val="21"/>
        </w:rPr>
        <w:t>本单位对上述声明的真实性负责。如有虚假，将依法承担相应责任。</w:t>
      </w:r>
    </w:p>
    <w:p>
      <w:pPr>
        <w:snapToGrid w:val="0"/>
        <w:spacing w:line="588" w:lineRule="exact"/>
        <w:ind w:firstLine="426" w:firstLineChars="200"/>
        <w:rPr>
          <w:rStyle w:val="43"/>
          <w:rFonts w:ascii="宋体" w:hAnsi="宋体"/>
          <w:sz w:val="21"/>
          <w:szCs w:val="21"/>
        </w:rPr>
      </w:pPr>
    </w:p>
    <w:p>
      <w:pPr>
        <w:snapToGrid w:val="0"/>
        <w:spacing w:line="588" w:lineRule="exact"/>
        <w:ind w:firstLine="426" w:firstLineChars="200"/>
        <w:rPr>
          <w:rStyle w:val="43"/>
          <w:rFonts w:ascii="宋体" w:hAnsi="宋体"/>
          <w:sz w:val="21"/>
          <w:szCs w:val="21"/>
        </w:rPr>
      </w:pPr>
    </w:p>
    <w:p>
      <w:pPr>
        <w:snapToGrid w:val="0"/>
        <w:spacing w:line="500" w:lineRule="exact"/>
        <w:ind w:right="420" w:firstLine="5218" w:firstLineChars="2450"/>
        <w:rPr>
          <w:rStyle w:val="43"/>
          <w:rFonts w:ascii="宋体" w:hAnsi="宋体"/>
          <w:sz w:val="21"/>
          <w:szCs w:val="21"/>
        </w:rPr>
      </w:pPr>
      <w:r>
        <w:rPr>
          <w:rStyle w:val="43"/>
          <w:rFonts w:ascii="宋体" w:hAnsi="宋体"/>
          <w:sz w:val="21"/>
          <w:szCs w:val="21"/>
        </w:rPr>
        <w:t xml:space="preserve">声明单位（盖章）： </w:t>
      </w:r>
    </w:p>
    <w:p>
      <w:pPr>
        <w:snapToGrid w:val="0"/>
        <w:spacing w:line="500" w:lineRule="exact"/>
        <w:ind w:right="420" w:firstLine="4899" w:firstLineChars="2300"/>
        <w:rPr>
          <w:rStyle w:val="43"/>
          <w:rFonts w:ascii="宋体" w:hAnsi="宋体"/>
          <w:sz w:val="21"/>
          <w:szCs w:val="21"/>
        </w:rPr>
      </w:pPr>
      <w:r>
        <w:rPr>
          <w:rStyle w:val="43"/>
          <w:rFonts w:ascii="宋体" w:hAnsi="宋体"/>
          <w:sz w:val="21"/>
          <w:szCs w:val="21"/>
        </w:rPr>
        <w:t>日期：   年     月     日</w:t>
      </w:r>
    </w:p>
    <w:p>
      <w:pPr>
        <w:tabs>
          <w:tab w:val="left" w:pos="4860"/>
        </w:tabs>
        <w:snapToGrid w:val="0"/>
        <w:spacing w:line="588" w:lineRule="exact"/>
        <w:ind w:right="1560" w:firstLine="624"/>
        <w:jc w:val="center"/>
        <w:rPr>
          <w:rStyle w:val="43"/>
          <w:rFonts w:ascii="宋体" w:hAnsi="宋体" w:cs="宋体"/>
          <w:b/>
          <w:bCs/>
          <w:spacing w:val="6"/>
          <w:sz w:val="21"/>
          <w:szCs w:val="21"/>
        </w:rPr>
      </w:pPr>
    </w:p>
    <w:p>
      <w:pPr>
        <w:tabs>
          <w:tab w:val="left" w:pos="4860"/>
        </w:tabs>
        <w:snapToGrid w:val="0"/>
        <w:spacing w:line="588" w:lineRule="exact"/>
        <w:ind w:right="140"/>
        <w:jc w:val="left"/>
        <w:rPr>
          <w:rStyle w:val="43"/>
          <w:rFonts w:ascii="宋体" w:hAnsi="宋体"/>
          <w:b/>
          <w:sz w:val="21"/>
          <w:szCs w:val="21"/>
        </w:rPr>
      </w:pPr>
      <w:r>
        <w:rPr>
          <w:rStyle w:val="43"/>
          <w:rFonts w:ascii="宋体" w:hAnsi="宋体"/>
          <w:b/>
          <w:sz w:val="21"/>
          <w:szCs w:val="21"/>
        </w:rPr>
        <w:t>备注说明：</w:t>
      </w:r>
    </w:p>
    <w:p>
      <w:pPr>
        <w:tabs>
          <w:tab w:val="left" w:pos="4860"/>
        </w:tabs>
        <w:snapToGrid w:val="0"/>
        <w:spacing w:line="588" w:lineRule="exact"/>
        <w:ind w:right="140"/>
        <w:jc w:val="left"/>
        <w:rPr>
          <w:rStyle w:val="43"/>
          <w:rFonts w:ascii="宋体" w:hAnsi="宋体"/>
          <w:b/>
          <w:sz w:val="21"/>
          <w:szCs w:val="21"/>
        </w:rPr>
      </w:pPr>
      <w:r>
        <w:rPr>
          <w:rStyle w:val="43"/>
          <w:rFonts w:ascii="宋体" w:hAnsi="宋体"/>
          <w:b/>
          <w:sz w:val="21"/>
          <w:szCs w:val="21"/>
        </w:rPr>
        <w:t>1、如中标，将在中标公示中将此残疾人福利性单位声明函予以公示，接受社会监督；</w:t>
      </w:r>
    </w:p>
    <w:p>
      <w:pPr>
        <w:tabs>
          <w:tab w:val="left" w:pos="4860"/>
        </w:tabs>
        <w:snapToGrid w:val="0"/>
        <w:spacing w:line="588" w:lineRule="exact"/>
        <w:ind w:right="140"/>
        <w:jc w:val="left"/>
        <w:rPr>
          <w:rStyle w:val="43"/>
          <w:rFonts w:ascii="宋体" w:hAnsi="宋体"/>
          <w:b/>
          <w:szCs w:val="21"/>
        </w:rPr>
      </w:pPr>
      <w:r>
        <w:rPr>
          <w:rStyle w:val="43"/>
          <w:rFonts w:ascii="宋体" w:hAnsi="宋体"/>
          <w:b/>
          <w:sz w:val="21"/>
          <w:szCs w:val="21"/>
        </w:rPr>
        <w:t>2、供应商提供的《残疾人福利性单位声明函》与事实不符的，依照《政府采购法》第七十七条第一款的规定追究法律责任。</w:t>
      </w:r>
    </w:p>
    <w:p>
      <w:pPr>
        <w:tabs>
          <w:tab w:val="left" w:pos="4860"/>
        </w:tabs>
        <w:snapToGrid w:val="0"/>
        <w:spacing w:line="588" w:lineRule="exact"/>
        <w:ind w:right="140"/>
        <w:jc w:val="left"/>
        <w:rPr>
          <w:rStyle w:val="43"/>
          <w:rFonts w:ascii="宋体" w:hAnsi="宋体"/>
          <w:b/>
          <w:sz w:val="21"/>
          <w:szCs w:val="21"/>
        </w:rPr>
      </w:pPr>
    </w:p>
    <w:p>
      <w:pPr>
        <w:snapToGrid w:val="0"/>
        <w:spacing w:before="50" w:after="50" w:line="360" w:lineRule="auto"/>
        <w:ind w:left="23" w:right="-817"/>
        <w:rPr>
          <w:rStyle w:val="43"/>
          <w:rFonts w:ascii="宋体" w:hAnsi="宋体"/>
          <w:kern w:val="1"/>
        </w:rPr>
      </w:pPr>
    </w:p>
    <w:p>
      <w:pPr>
        <w:pStyle w:val="490"/>
        <w:snapToGrid w:val="0"/>
        <w:spacing w:line="360" w:lineRule="auto"/>
        <w:rPr>
          <w:rStyle w:val="43"/>
          <w:rFonts w:hAnsi="宋体" w:cs="宋体"/>
          <w:b/>
          <w:bCs/>
          <w:szCs w:val="21"/>
        </w:rPr>
      </w:pPr>
    </w:p>
    <w:p>
      <w:pPr>
        <w:pStyle w:val="490"/>
        <w:snapToGrid w:val="0"/>
        <w:spacing w:line="360" w:lineRule="auto"/>
        <w:rPr>
          <w:rStyle w:val="43"/>
          <w:rFonts w:hAnsi="宋体" w:cs="宋体"/>
          <w:b/>
          <w:bCs/>
          <w:szCs w:val="21"/>
        </w:rPr>
      </w:pPr>
    </w:p>
    <w:p>
      <w:pPr>
        <w:pStyle w:val="490"/>
        <w:snapToGrid w:val="0"/>
        <w:spacing w:line="360" w:lineRule="auto"/>
        <w:rPr>
          <w:rStyle w:val="43"/>
          <w:rFonts w:hAnsi="宋体" w:cs="宋体"/>
          <w:b/>
          <w:bCs/>
          <w:szCs w:val="21"/>
        </w:rPr>
      </w:pPr>
    </w:p>
    <w:p>
      <w:pPr>
        <w:pStyle w:val="490"/>
        <w:snapToGrid w:val="0"/>
        <w:spacing w:line="360" w:lineRule="auto"/>
        <w:rPr>
          <w:rStyle w:val="43"/>
          <w:rFonts w:hAnsi="宋体" w:cs="宋体"/>
          <w:b/>
          <w:bCs/>
          <w:szCs w:val="21"/>
        </w:rPr>
      </w:pPr>
    </w:p>
    <w:p>
      <w:pPr>
        <w:pStyle w:val="490"/>
        <w:snapToGrid w:val="0"/>
        <w:spacing w:line="360" w:lineRule="auto"/>
        <w:rPr>
          <w:rStyle w:val="43"/>
          <w:rFonts w:hAnsi="宋体" w:cs="宋体"/>
          <w:b/>
          <w:bCs/>
          <w:szCs w:val="21"/>
        </w:rPr>
      </w:pPr>
    </w:p>
    <w:p>
      <w:pPr>
        <w:pStyle w:val="490"/>
        <w:snapToGrid w:val="0"/>
        <w:spacing w:line="360" w:lineRule="auto"/>
        <w:rPr>
          <w:rStyle w:val="43"/>
          <w:rFonts w:hAnsi="宋体" w:cs="宋体"/>
          <w:b/>
          <w:bCs/>
          <w:szCs w:val="21"/>
        </w:rPr>
      </w:pPr>
    </w:p>
    <w:p>
      <w:pPr>
        <w:pStyle w:val="490"/>
        <w:snapToGrid w:val="0"/>
        <w:spacing w:line="360" w:lineRule="auto"/>
        <w:rPr>
          <w:rStyle w:val="43"/>
          <w:rFonts w:hAnsi="宋体" w:cs="宋体"/>
          <w:b/>
          <w:bCs/>
          <w:szCs w:val="21"/>
        </w:rPr>
      </w:pPr>
    </w:p>
    <w:p>
      <w:pPr>
        <w:pStyle w:val="490"/>
        <w:snapToGrid w:val="0"/>
        <w:spacing w:line="360" w:lineRule="auto"/>
        <w:rPr>
          <w:rStyle w:val="43"/>
          <w:rFonts w:hAnsi="宋体" w:cs="宋体"/>
          <w:b/>
          <w:bCs/>
          <w:szCs w:val="21"/>
        </w:rPr>
      </w:pPr>
    </w:p>
    <w:p>
      <w:pPr>
        <w:pStyle w:val="490"/>
        <w:snapToGrid w:val="0"/>
        <w:spacing w:line="360" w:lineRule="auto"/>
        <w:rPr>
          <w:rStyle w:val="43"/>
          <w:rFonts w:ascii="仿宋" w:hAnsi="仿宋" w:eastAsia="仿宋" w:cs="仿宋"/>
          <w:b/>
          <w:bCs/>
          <w:sz w:val="24"/>
          <w:szCs w:val="24"/>
        </w:rPr>
      </w:pPr>
      <w:r>
        <w:rPr>
          <w:rStyle w:val="43"/>
          <w:rFonts w:hAnsi="宋体" w:cs="宋体"/>
          <w:b/>
          <w:bCs/>
          <w:szCs w:val="21"/>
        </w:rPr>
        <w:t>根据浙江省财政厅关于印发《浙江省政府采购活动现场组织管理办法》的通知（浙财采监【2015】13号）文件要求，由各投标供应商在投标文件解密后半小时内如实填写政府采购活动现场确认声明书，并以扫描件形式发送至</w:t>
      </w:r>
      <w:r>
        <w:rPr>
          <w:rStyle w:val="43"/>
          <w:rFonts w:hint="eastAsia" w:hAnsi="宋体" w:cs="宋体"/>
          <w:b/>
          <w:bCs/>
          <w:szCs w:val="21"/>
        </w:rPr>
        <w:t>512922469</w:t>
      </w:r>
      <w:r>
        <w:rPr>
          <w:rStyle w:val="43"/>
          <w:rFonts w:hAnsi="宋体" w:cs="宋体"/>
          <w:b/>
          <w:bCs/>
          <w:szCs w:val="21"/>
        </w:rPr>
        <w:t>@qq.com邮箱，如未如实填写，将有可能影响你的投标文件评审（政府采购活动现场确认声明书格式见附表）。</w:t>
      </w: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rPr>
          <w:rStyle w:val="43"/>
          <w:rFonts w:hAnsi="宋体" w:cs="宋体"/>
          <w:b/>
          <w:bCs/>
          <w:sz w:val="24"/>
          <w:szCs w:val="24"/>
        </w:rPr>
      </w:pPr>
    </w:p>
    <w:p>
      <w:pPr>
        <w:pStyle w:val="490"/>
        <w:snapToGrid w:val="0"/>
        <w:spacing w:line="360" w:lineRule="auto"/>
        <w:outlineLvl w:val="1"/>
        <w:rPr>
          <w:rStyle w:val="43"/>
          <w:rFonts w:hAnsi="宋体" w:cs="宋体"/>
          <w:b/>
          <w:bCs/>
          <w:sz w:val="24"/>
          <w:szCs w:val="24"/>
        </w:rPr>
      </w:pPr>
      <w:r>
        <w:rPr>
          <w:rStyle w:val="43"/>
          <w:rFonts w:hAnsi="宋体"/>
          <w:b/>
          <w:spacing w:val="6"/>
          <w:kern w:val="2"/>
          <w:szCs w:val="21"/>
        </w:rPr>
        <w:t>附</w:t>
      </w:r>
      <w:r>
        <w:rPr>
          <w:rStyle w:val="43"/>
          <w:rFonts w:hint="eastAsia" w:hAnsi="宋体"/>
          <w:b/>
          <w:spacing w:val="6"/>
          <w:kern w:val="2"/>
          <w:szCs w:val="21"/>
        </w:rPr>
        <w:t>件</w:t>
      </w:r>
      <w:r>
        <w:rPr>
          <w:rStyle w:val="43"/>
          <w:rFonts w:hAnsi="宋体"/>
          <w:b/>
          <w:spacing w:val="6"/>
          <w:kern w:val="2"/>
          <w:szCs w:val="21"/>
        </w:rPr>
        <w:t>1</w:t>
      </w:r>
      <w:r>
        <w:rPr>
          <w:rStyle w:val="43"/>
          <w:rFonts w:hint="eastAsia" w:hAnsi="宋体"/>
          <w:b/>
          <w:spacing w:val="6"/>
          <w:kern w:val="2"/>
          <w:szCs w:val="21"/>
          <w:lang w:val="en-US" w:eastAsia="zh-CN"/>
        </w:rPr>
        <w:t>8</w:t>
      </w:r>
      <w:r>
        <w:rPr>
          <w:rStyle w:val="43"/>
          <w:rFonts w:hAnsi="宋体"/>
          <w:b/>
          <w:spacing w:val="6"/>
          <w:kern w:val="2"/>
          <w:szCs w:val="21"/>
        </w:rPr>
        <w:t>：</w:t>
      </w:r>
      <w:r>
        <w:rPr>
          <w:rStyle w:val="43"/>
          <w:rFonts w:hint="eastAsia" w:hAnsi="宋体"/>
          <w:b/>
          <w:spacing w:val="6"/>
          <w:kern w:val="2"/>
          <w:szCs w:val="21"/>
        </w:rPr>
        <w:t>政府采购活动现场确认声明书</w:t>
      </w:r>
    </w:p>
    <w:p>
      <w:pPr>
        <w:pStyle w:val="490"/>
        <w:snapToGrid w:val="0"/>
        <w:spacing w:line="460" w:lineRule="exact"/>
        <w:jc w:val="center"/>
        <w:rPr>
          <w:rStyle w:val="43"/>
          <w:rFonts w:ascii="Times New Roman" w:hAnsi="宋体"/>
          <w:b/>
          <w:bCs/>
          <w:szCs w:val="21"/>
        </w:rPr>
      </w:pPr>
      <w:r>
        <w:rPr>
          <w:rStyle w:val="43"/>
          <w:rFonts w:hint="eastAsia" w:ascii="Times New Roman" w:hAnsi="宋体"/>
          <w:b/>
          <w:bCs/>
          <w:szCs w:val="21"/>
        </w:rPr>
        <w:t>政府采购活动现场确认声明书</w:t>
      </w:r>
    </w:p>
    <w:p>
      <w:pPr>
        <w:pStyle w:val="490"/>
        <w:snapToGrid w:val="0"/>
        <w:spacing w:line="460" w:lineRule="exact"/>
        <w:rPr>
          <w:rStyle w:val="43"/>
          <w:rFonts w:hAnsi="宋体"/>
          <w:b/>
          <w:szCs w:val="21"/>
        </w:rPr>
      </w:pPr>
      <w:r>
        <w:rPr>
          <w:rStyle w:val="43"/>
          <w:rFonts w:hAnsi="宋体"/>
          <w:szCs w:val="21"/>
          <w:u w:val="single" w:color="000000"/>
        </w:rPr>
        <w:t xml:space="preserve">                                </w:t>
      </w:r>
      <w:r>
        <w:rPr>
          <w:rStyle w:val="43"/>
          <w:rFonts w:hAnsi="宋体"/>
          <w:szCs w:val="21"/>
        </w:rPr>
        <w:t>：</w:t>
      </w:r>
    </w:p>
    <w:p>
      <w:pPr>
        <w:pStyle w:val="490"/>
        <w:snapToGrid w:val="0"/>
        <w:spacing w:line="460" w:lineRule="exact"/>
        <w:rPr>
          <w:rStyle w:val="43"/>
          <w:rFonts w:hAnsi="宋体"/>
          <w:spacing w:val="6"/>
          <w:szCs w:val="21"/>
        </w:rPr>
      </w:pPr>
      <w:r>
        <w:rPr>
          <w:rStyle w:val="43"/>
          <w:rFonts w:hAnsi="宋体"/>
          <w:spacing w:val="6"/>
          <w:szCs w:val="21"/>
        </w:rPr>
        <w:t>本人</w:t>
      </w:r>
      <w:r>
        <w:rPr>
          <w:rStyle w:val="43"/>
          <w:rFonts w:hAnsi="宋体"/>
          <w:spacing w:val="6"/>
          <w:szCs w:val="21"/>
          <w:u w:val="single" w:color="000000"/>
        </w:rPr>
        <w:t xml:space="preserve">      </w:t>
      </w:r>
      <w:r>
        <w:rPr>
          <w:rStyle w:val="43"/>
          <w:rFonts w:hAnsi="宋体"/>
          <w:spacing w:val="6"/>
          <w:szCs w:val="21"/>
        </w:rPr>
        <w:t>经由</w:t>
      </w:r>
      <w:r>
        <w:rPr>
          <w:rStyle w:val="43"/>
          <w:rFonts w:hAnsi="宋体"/>
          <w:spacing w:val="6"/>
          <w:szCs w:val="21"/>
          <w:u w:val="single" w:color="000000"/>
        </w:rPr>
        <w:t xml:space="preserve">                                （单位）</w:t>
      </w:r>
      <w:r>
        <w:rPr>
          <w:rStyle w:val="43"/>
          <w:rFonts w:hAnsi="宋体"/>
          <w:spacing w:val="6"/>
          <w:szCs w:val="21"/>
        </w:rPr>
        <w:t>负责人</w:t>
      </w:r>
      <w:r>
        <w:rPr>
          <w:rStyle w:val="43"/>
          <w:rFonts w:hAnsi="宋体"/>
          <w:spacing w:val="6"/>
          <w:szCs w:val="21"/>
          <w:u w:val="single" w:color="000000"/>
        </w:rPr>
        <w:t xml:space="preserve"> </w:t>
      </w:r>
      <w:r>
        <w:rPr>
          <w:rStyle w:val="43"/>
          <w:rFonts w:hAnsi="宋体"/>
          <w:i/>
          <w:iCs/>
          <w:spacing w:val="6"/>
          <w:szCs w:val="21"/>
          <w:u w:val="single" w:color="000000"/>
        </w:rPr>
        <w:t xml:space="preserve">     </w:t>
      </w:r>
      <w:r>
        <w:rPr>
          <w:rStyle w:val="43"/>
          <w:rFonts w:hAnsi="宋体"/>
          <w:spacing w:val="6"/>
          <w:szCs w:val="21"/>
          <w:u w:val="single" w:color="000000"/>
        </w:rPr>
        <w:t>（姓名）</w:t>
      </w:r>
      <w:r>
        <w:rPr>
          <w:rStyle w:val="43"/>
          <w:rFonts w:hAnsi="宋体"/>
          <w:spacing w:val="6"/>
          <w:szCs w:val="21"/>
        </w:rPr>
        <w:t>合法授权参加</w:t>
      </w:r>
      <w:r>
        <w:rPr>
          <w:rStyle w:val="43"/>
          <w:rFonts w:hAnsi="宋体"/>
          <w:spacing w:val="6"/>
          <w:szCs w:val="21"/>
          <w:u w:val="single" w:color="000000"/>
        </w:rPr>
        <w:t xml:space="preserve">                </w:t>
      </w:r>
      <w:r>
        <w:rPr>
          <w:rStyle w:val="43"/>
          <w:rFonts w:hAnsi="宋体"/>
          <w:spacing w:val="6"/>
          <w:szCs w:val="21"/>
        </w:rPr>
        <w:t>（项目编号：</w:t>
      </w:r>
      <w:r>
        <w:rPr>
          <w:rStyle w:val="43"/>
          <w:rFonts w:hAnsi="宋体"/>
          <w:spacing w:val="6"/>
          <w:szCs w:val="21"/>
          <w:u w:val="single" w:color="000000"/>
        </w:rPr>
        <w:t xml:space="preserve">            </w:t>
      </w:r>
      <w:r>
        <w:rPr>
          <w:rStyle w:val="43"/>
          <w:rFonts w:hAnsi="宋体"/>
          <w:spacing w:val="6"/>
          <w:szCs w:val="21"/>
        </w:rPr>
        <w:t xml:space="preserve">）政府采购活动，经与本单位法人代表（负责人）联系确认，现就有关公平竞争事项郑重声明如下： </w:t>
      </w:r>
    </w:p>
    <w:p>
      <w:pPr>
        <w:pStyle w:val="491"/>
        <w:snapToGrid w:val="0"/>
        <w:spacing w:line="460" w:lineRule="exact"/>
        <w:rPr>
          <w:rStyle w:val="43"/>
          <w:rFonts w:ascii="宋体" w:hAnsi="宋体"/>
          <w:kern w:val="0"/>
          <w:szCs w:val="21"/>
        </w:rPr>
      </w:pPr>
      <w:r>
        <w:rPr>
          <w:rStyle w:val="43"/>
          <w:rFonts w:ascii="宋体" w:hAnsi="宋体"/>
          <w:kern w:val="0"/>
          <w:szCs w:val="21"/>
        </w:rPr>
        <w:t xml:space="preserve">一、本单位与采购人之间 </w:t>
      </w:r>
    </w:p>
    <w:p>
      <w:pPr>
        <w:pStyle w:val="491"/>
        <w:snapToGrid w:val="0"/>
        <w:spacing w:line="460" w:lineRule="exact"/>
        <w:rPr>
          <w:rStyle w:val="43"/>
          <w:rFonts w:ascii="宋体" w:hAnsi="宋体"/>
          <w:kern w:val="0"/>
          <w:szCs w:val="21"/>
        </w:rPr>
      </w:pPr>
      <w:r>
        <w:rPr>
          <w:rStyle w:val="43"/>
          <w:rFonts w:ascii="宋体" w:hAnsi="宋体"/>
          <w:kern w:val="0"/>
          <w:szCs w:val="21"/>
        </w:rPr>
        <w:t xml:space="preserve">  □不存在利害关系;</w:t>
      </w:r>
    </w:p>
    <w:p>
      <w:pPr>
        <w:pStyle w:val="491"/>
        <w:snapToGrid w:val="0"/>
        <w:spacing w:line="460" w:lineRule="exact"/>
        <w:rPr>
          <w:rStyle w:val="43"/>
          <w:rFonts w:ascii="宋体" w:hAnsi="宋体"/>
          <w:kern w:val="0"/>
          <w:szCs w:val="21"/>
        </w:rPr>
      </w:pPr>
      <w:r>
        <w:rPr>
          <w:rStyle w:val="43"/>
          <w:rFonts w:ascii="宋体" w:hAnsi="宋体"/>
          <w:kern w:val="0"/>
          <w:szCs w:val="21"/>
        </w:rPr>
        <w:t xml:space="preserve">  □存在下列利害关系</w:t>
      </w:r>
      <w:r>
        <w:rPr>
          <w:rStyle w:val="43"/>
          <w:rFonts w:ascii="宋体" w:hAnsi="宋体"/>
          <w:kern w:val="0"/>
          <w:szCs w:val="21"/>
          <w:u w:val="single" w:color="000000"/>
        </w:rPr>
        <w:t xml:space="preserve">           </w:t>
      </w:r>
      <w:r>
        <w:rPr>
          <w:rStyle w:val="43"/>
          <w:rFonts w:ascii="宋体" w:hAnsi="宋体"/>
          <w:kern w:val="0"/>
          <w:szCs w:val="21"/>
        </w:rPr>
        <w:t>：</w:t>
      </w:r>
    </w:p>
    <w:p>
      <w:pPr>
        <w:pStyle w:val="491"/>
        <w:snapToGrid w:val="0"/>
        <w:spacing w:line="460" w:lineRule="exact"/>
        <w:rPr>
          <w:rStyle w:val="43"/>
          <w:rFonts w:ascii="宋体" w:hAnsi="宋体"/>
          <w:kern w:val="0"/>
          <w:szCs w:val="21"/>
        </w:rPr>
      </w:pPr>
      <w:r>
        <w:rPr>
          <w:rStyle w:val="43"/>
          <w:rFonts w:ascii="宋体" w:hAnsi="宋体"/>
          <w:kern w:val="0"/>
          <w:szCs w:val="21"/>
        </w:rPr>
        <w:t xml:space="preserve">  A.投资关系    B.行政隶属关系    C.业务指导关系</w:t>
      </w:r>
    </w:p>
    <w:p>
      <w:pPr>
        <w:pStyle w:val="491"/>
        <w:snapToGrid w:val="0"/>
        <w:spacing w:line="460" w:lineRule="exact"/>
        <w:rPr>
          <w:rStyle w:val="43"/>
          <w:rFonts w:ascii="宋体" w:hAnsi="宋体"/>
          <w:kern w:val="0"/>
          <w:szCs w:val="21"/>
        </w:rPr>
      </w:pPr>
      <w:r>
        <w:rPr>
          <w:rStyle w:val="43"/>
          <w:rFonts w:ascii="宋体" w:hAnsi="宋体"/>
          <w:kern w:val="0"/>
          <w:szCs w:val="21"/>
        </w:rPr>
        <w:t xml:space="preserve">  D.其他可能</w:t>
      </w:r>
      <w:r>
        <w:rPr>
          <w:rStyle w:val="43"/>
          <w:rFonts w:ascii="宋体" w:hAnsi="宋体"/>
          <w:szCs w:val="21"/>
        </w:rPr>
        <w:t>影响采购公正的</w:t>
      </w:r>
      <w:r>
        <w:rPr>
          <w:rStyle w:val="43"/>
          <w:rFonts w:ascii="宋体" w:hAnsi="宋体"/>
          <w:kern w:val="0"/>
          <w:szCs w:val="21"/>
        </w:rPr>
        <w:t>利害关系</w:t>
      </w:r>
      <w:r>
        <w:rPr>
          <w:rStyle w:val="43"/>
          <w:rFonts w:ascii="宋体" w:hAnsi="宋体"/>
          <w:kern w:val="0"/>
          <w:szCs w:val="21"/>
          <w:u w:val="single" w:color="000000"/>
        </w:rPr>
        <w:t xml:space="preserve">（如有，请如实说明）                 </w:t>
      </w:r>
      <w:r>
        <w:rPr>
          <w:rStyle w:val="43"/>
          <w:rFonts w:ascii="宋体" w:hAnsi="宋体"/>
          <w:kern w:val="0"/>
          <w:szCs w:val="21"/>
        </w:rPr>
        <w:t>。</w:t>
      </w:r>
    </w:p>
    <w:p>
      <w:pPr>
        <w:pStyle w:val="491"/>
        <w:snapToGrid w:val="0"/>
        <w:spacing w:line="460" w:lineRule="exact"/>
        <w:rPr>
          <w:rStyle w:val="43"/>
          <w:rFonts w:ascii="宋体" w:hAnsi="宋体"/>
          <w:kern w:val="0"/>
          <w:szCs w:val="21"/>
        </w:rPr>
      </w:pPr>
      <w:r>
        <w:rPr>
          <w:rStyle w:val="43"/>
          <w:rFonts w:ascii="宋体" w:hAnsi="宋体"/>
          <w:spacing w:val="6"/>
          <w:szCs w:val="21"/>
        </w:rPr>
        <w:t>二、</w:t>
      </w:r>
      <w:r>
        <w:rPr>
          <w:rStyle w:val="43"/>
          <w:rFonts w:ascii="宋体" w:hAnsi="宋体"/>
          <w:kern w:val="0"/>
          <w:szCs w:val="21"/>
        </w:rPr>
        <w:t xml:space="preserve">现已清楚知道参加本项目采购活动的其他所有供应商名称，本单位 </w:t>
      </w:r>
    </w:p>
    <w:p>
      <w:pPr>
        <w:pStyle w:val="491"/>
        <w:snapToGrid w:val="0"/>
        <w:spacing w:line="460" w:lineRule="exact"/>
        <w:rPr>
          <w:rStyle w:val="43"/>
          <w:rFonts w:ascii="宋体" w:hAnsi="宋体"/>
          <w:kern w:val="0"/>
          <w:szCs w:val="21"/>
        </w:rPr>
      </w:pPr>
      <w:r>
        <w:rPr>
          <w:rStyle w:val="43"/>
          <w:rFonts w:ascii="宋体" w:hAnsi="宋体"/>
          <w:kern w:val="0"/>
          <w:szCs w:val="21"/>
        </w:rPr>
        <w:t xml:space="preserve">  □与其他所有供应商之间均不存在利害关系 </w:t>
      </w:r>
    </w:p>
    <w:p>
      <w:pPr>
        <w:pStyle w:val="491"/>
        <w:snapToGrid w:val="0"/>
        <w:spacing w:line="460" w:lineRule="exact"/>
        <w:rPr>
          <w:rStyle w:val="43"/>
          <w:rFonts w:ascii="宋体" w:hAnsi="宋体"/>
          <w:kern w:val="0"/>
          <w:szCs w:val="21"/>
        </w:rPr>
      </w:pPr>
      <w:r>
        <w:rPr>
          <w:rStyle w:val="43"/>
          <w:rFonts w:ascii="宋体" w:hAnsi="宋体"/>
          <w:kern w:val="0"/>
          <w:szCs w:val="21"/>
        </w:rPr>
        <w:t xml:space="preserve">  □与</w:t>
      </w:r>
      <w:r>
        <w:rPr>
          <w:rStyle w:val="43"/>
          <w:rFonts w:ascii="宋体" w:hAnsi="宋体"/>
          <w:kern w:val="0"/>
          <w:szCs w:val="21"/>
          <w:u w:val="single" w:color="000000"/>
        </w:rPr>
        <w:t xml:space="preserve">           （供应商名称）</w:t>
      </w:r>
      <w:r>
        <w:rPr>
          <w:rStyle w:val="43"/>
          <w:rFonts w:ascii="宋体" w:hAnsi="宋体"/>
          <w:kern w:val="0"/>
          <w:szCs w:val="21"/>
        </w:rPr>
        <w:t>之间存在下列利害关系</w:t>
      </w:r>
      <w:r>
        <w:rPr>
          <w:rStyle w:val="43"/>
          <w:rFonts w:ascii="宋体" w:hAnsi="宋体"/>
          <w:kern w:val="0"/>
          <w:szCs w:val="21"/>
          <w:u w:val="single" w:color="000000"/>
        </w:rPr>
        <w:t xml:space="preserve">          </w:t>
      </w:r>
      <w:r>
        <w:rPr>
          <w:rStyle w:val="43"/>
          <w:rFonts w:ascii="宋体" w:hAnsi="宋体"/>
          <w:kern w:val="0"/>
          <w:szCs w:val="21"/>
        </w:rPr>
        <w:t>：</w:t>
      </w:r>
    </w:p>
    <w:p>
      <w:pPr>
        <w:pStyle w:val="490"/>
        <w:snapToGrid w:val="0"/>
        <w:spacing w:line="460" w:lineRule="exact"/>
        <w:rPr>
          <w:rStyle w:val="43"/>
          <w:rFonts w:hAnsi="宋体"/>
          <w:szCs w:val="21"/>
        </w:rPr>
      </w:pPr>
      <w:r>
        <w:rPr>
          <w:rStyle w:val="43"/>
          <w:rFonts w:hAnsi="宋体"/>
          <w:szCs w:val="21"/>
        </w:rPr>
        <w:t>A.法定代表人或负责人或实际控制人是同一人</w:t>
      </w:r>
    </w:p>
    <w:p>
      <w:pPr>
        <w:pStyle w:val="490"/>
        <w:snapToGrid w:val="0"/>
        <w:spacing w:line="460" w:lineRule="exact"/>
        <w:rPr>
          <w:rStyle w:val="43"/>
          <w:rFonts w:hAnsi="宋体"/>
          <w:spacing w:val="6"/>
          <w:szCs w:val="21"/>
        </w:rPr>
      </w:pPr>
      <w:r>
        <w:rPr>
          <w:rStyle w:val="43"/>
          <w:rFonts w:hAnsi="宋体"/>
          <w:szCs w:val="21"/>
        </w:rPr>
        <w:t>B.法定代表人或负责人或实际控制人是夫妻关系</w:t>
      </w:r>
    </w:p>
    <w:p>
      <w:pPr>
        <w:pStyle w:val="490"/>
        <w:snapToGrid w:val="0"/>
        <w:spacing w:line="460" w:lineRule="exact"/>
        <w:rPr>
          <w:rStyle w:val="43"/>
          <w:rFonts w:hAnsi="宋体"/>
          <w:spacing w:val="6"/>
          <w:szCs w:val="21"/>
        </w:rPr>
      </w:pPr>
      <w:r>
        <w:rPr>
          <w:rStyle w:val="43"/>
          <w:rFonts w:hAnsi="宋体"/>
          <w:szCs w:val="21"/>
        </w:rPr>
        <w:t>C.法定代表人或负责人或实际控制人是直系血亲关系</w:t>
      </w:r>
    </w:p>
    <w:p>
      <w:pPr>
        <w:pStyle w:val="490"/>
        <w:snapToGrid w:val="0"/>
        <w:spacing w:line="460" w:lineRule="exact"/>
        <w:rPr>
          <w:rStyle w:val="43"/>
          <w:rFonts w:hAnsi="宋体"/>
          <w:szCs w:val="21"/>
        </w:rPr>
      </w:pPr>
      <w:r>
        <w:rPr>
          <w:rStyle w:val="43"/>
          <w:rFonts w:hAnsi="宋体"/>
          <w:szCs w:val="21"/>
        </w:rPr>
        <w:t>D.法定代表人或负责人或实际控制人存在三代以内旁系血亲关系</w:t>
      </w:r>
    </w:p>
    <w:p>
      <w:pPr>
        <w:pStyle w:val="490"/>
        <w:snapToGrid w:val="0"/>
        <w:spacing w:line="460" w:lineRule="exact"/>
        <w:rPr>
          <w:rStyle w:val="43"/>
          <w:rFonts w:hAnsi="宋体"/>
          <w:szCs w:val="21"/>
        </w:rPr>
      </w:pPr>
      <w:r>
        <w:rPr>
          <w:rStyle w:val="43"/>
          <w:rFonts w:hAnsi="宋体"/>
          <w:szCs w:val="21"/>
        </w:rPr>
        <w:t>E.法定代表人或负责人或实际控制人存在近姻亲关系</w:t>
      </w:r>
    </w:p>
    <w:p>
      <w:pPr>
        <w:pStyle w:val="490"/>
        <w:snapToGrid w:val="0"/>
        <w:spacing w:line="460" w:lineRule="exact"/>
        <w:rPr>
          <w:rStyle w:val="43"/>
          <w:rFonts w:hAnsi="宋体"/>
          <w:szCs w:val="21"/>
        </w:rPr>
      </w:pPr>
      <w:r>
        <w:rPr>
          <w:rStyle w:val="43"/>
          <w:rFonts w:hAnsi="宋体"/>
          <w:szCs w:val="21"/>
        </w:rPr>
        <w:t>F.法定代表人或负责人或实际控制人存在股份控制或实际控制关系</w:t>
      </w:r>
    </w:p>
    <w:p>
      <w:pPr>
        <w:pStyle w:val="490"/>
        <w:snapToGrid w:val="0"/>
        <w:spacing w:line="460" w:lineRule="exact"/>
        <w:rPr>
          <w:rStyle w:val="43"/>
          <w:rFonts w:hAnsi="宋体"/>
          <w:szCs w:val="21"/>
        </w:rPr>
      </w:pPr>
      <w:r>
        <w:rPr>
          <w:rStyle w:val="43"/>
          <w:rFonts w:hAnsi="宋体"/>
          <w:szCs w:val="21"/>
        </w:rPr>
        <w:t>G.存在共同直接或间接投资设立子公司、联营企业和合营企业情况</w:t>
      </w:r>
    </w:p>
    <w:p>
      <w:pPr>
        <w:pStyle w:val="490"/>
        <w:snapToGrid w:val="0"/>
        <w:spacing w:line="460" w:lineRule="exact"/>
        <w:rPr>
          <w:rStyle w:val="43"/>
          <w:rFonts w:hAnsi="宋体"/>
          <w:szCs w:val="21"/>
        </w:rPr>
      </w:pPr>
      <w:r>
        <w:rPr>
          <w:rStyle w:val="43"/>
          <w:rFonts w:hAnsi="宋体"/>
          <w:szCs w:val="21"/>
        </w:rPr>
        <w:t>H.存在分级代理或代销关系、同一生产制造商关系、管理关系、重要业务（占主营业务收入50%以上）或重要财务往来关系（如融资）等其他实质性控制关系</w:t>
      </w:r>
    </w:p>
    <w:p>
      <w:pPr>
        <w:pStyle w:val="490"/>
        <w:snapToGrid w:val="0"/>
        <w:spacing w:line="460" w:lineRule="exact"/>
        <w:rPr>
          <w:rStyle w:val="43"/>
          <w:rFonts w:ascii="Times New Roman" w:hAnsi="宋体"/>
          <w:szCs w:val="21"/>
        </w:rPr>
      </w:pPr>
      <w:r>
        <w:rPr>
          <w:rStyle w:val="43"/>
          <w:rFonts w:ascii="Times New Roman" w:hAnsi="宋体"/>
          <w:szCs w:val="21"/>
        </w:rPr>
        <w:t>I.其他利害关系情况</w:t>
      </w:r>
      <w:r>
        <w:rPr>
          <w:rStyle w:val="43"/>
          <w:rFonts w:ascii="Times New Roman" w:hAnsi="宋体"/>
          <w:szCs w:val="21"/>
          <w:u w:val="single"/>
        </w:rPr>
        <w:t xml:space="preserve">                              </w:t>
      </w:r>
      <w:r>
        <w:rPr>
          <w:rStyle w:val="43"/>
          <w:rFonts w:ascii="Times New Roman" w:hAnsi="宋体"/>
          <w:szCs w:val="21"/>
        </w:rPr>
        <w:t>。</w:t>
      </w:r>
    </w:p>
    <w:p>
      <w:pPr>
        <w:pStyle w:val="491"/>
        <w:snapToGrid w:val="0"/>
        <w:spacing w:line="460" w:lineRule="exact"/>
        <w:rPr>
          <w:rStyle w:val="43"/>
          <w:rFonts w:ascii="宋体" w:hAnsi="宋体"/>
          <w:kern w:val="0"/>
          <w:szCs w:val="21"/>
        </w:rPr>
      </w:pPr>
      <w:r>
        <w:rPr>
          <w:rStyle w:val="43"/>
          <w:rFonts w:ascii="宋体" w:hAnsi="宋体"/>
          <w:szCs w:val="21"/>
        </w:rPr>
        <w:t>三、现已清楚知道并</w:t>
      </w:r>
      <w:r>
        <w:rPr>
          <w:rStyle w:val="43"/>
          <w:rFonts w:ascii="宋体" w:hAnsi="宋体"/>
          <w:kern w:val="0"/>
          <w:szCs w:val="21"/>
        </w:rPr>
        <w:t>严格遵守政府采购法律法规和现场纪律。</w:t>
      </w:r>
    </w:p>
    <w:p>
      <w:pPr>
        <w:pStyle w:val="491"/>
        <w:snapToGrid w:val="0"/>
        <w:spacing w:line="460" w:lineRule="exact"/>
        <w:rPr>
          <w:rStyle w:val="43"/>
          <w:rFonts w:ascii="宋体" w:hAnsi="宋体"/>
          <w:kern w:val="0"/>
          <w:szCs w:val="21"/>
        </w:rPr>
      </w:pPr>
      <w:r>
        <w:rPr>
          <w:rStyle w:val="43"/>
          <w:rFonts w:ascii="宋体" w:hAnsi="宋体"/>
          <w:kern w:val="0"/>
          <w:szCs w:val="21"/>
        </w:rPr>
        <w:t>四、我发现</w:t>
      </w:r>
      <w:r>
        <w:rPr>
          <w:rStyle w:val="43"/>
          <w:rFonts w:ascii="宋体" w:hAnsi="宋体"/>
          <w:kern w:val="0"/>
          <w:szCs w:val="21"/>
          <w:u w:val="single" w:color="000000"/>
        </w:rPr>
        <w:t xml:space="preserve">                </w:t>
      </w:r>
      <w:r>
        <w:rPr>
          <w:rStyle w:val="43"/>
          <w:rFonts w:ascii="宋体" w:hAnsi="宋体"/>
          <w:kern w:val="0"/>
          <w:szCs w:val="21"/>
        </w:rPr>
        <w:t>供应商之间存在或可能存在上述第二条第</w:t>
      </w:r>
      <w:r>
        <w:rPr>
          <w:rStyle w:val="43"/>
          <w:rFonts w:ascii="宋体" w:hAnsi="宋体"/>
          <w:kern w:val="0"/>
          <w:szCs w:val="21"/>
          <w:u w:val="single" w:color="000000"/>
        </w:rPr>
        <w:t xml:space="preserve">        </w:t>
      </w:r>
      <w:r>
        <w:rPr>
          <w:rStyle w:val="43"/>
          <w:rFonts w:ascii="宋体" w:hAnsi="宋体"/>
          <w:kern w:val="0"/>
          <w:szCs w:val="21"/>
        </w:rPr>
        <w:t>项利害关系。</w:t>
      </w:r>
    </w:p>
    <w:p>
      <w:pPr>
        <w:pStyle w:val="490"/>
        <w:snapToGrid w:val="0"/>
        <w:spacing w:line="360" w:lineRule="auto"/>
        <w:rPr>
          <w:rStyle w:val="43"/>
          <w:rFonts w:hAnsi="宋体"/>
          <w:szCs w:val="21"/>
        </w:rPr>
      </w:pPr>
    </w:p>
    <w:p>
      <w:pPr>
        <w:pStyle w:val="490"/>
        <w:snapToGrid w:val="0"/>
        <w:spacing w:line="360" w:lineRule="auto"/>
        <w:rPr>
          <w:rStyle w:val="43"/>
          <w:rFonts w:hAnsi="宋体"/>
          <w:szCs w:val="21"/>
        </w:rPr>
      </w:pPr>
      <w:r>
        <w:rPr>
          <w:rStyle w:val="43"/>
          <w:rFonts w:hAnsi="宋体"/>
          <w:szCs w:val="21"/>
        </w:rPr>
        <w:t xml:space="preserve">（供应商代表签名）：                                   </w:t>
      </w:r>
      <w:r>
        <w:rPr>
          <w:rStyle w:val="43"/>
          <w:rFonts w:hint="eastAsia" w:hAnsi="宋体"/>
          <w:szCs w:val="21"/>
          <w:lang w:eastAsia="zh-CN"/>
        </w:rPr>
        <w:t>2023</w:t>
      </w:r>
      <w:r>
        <w:rPr>
          <w:rStyle w:val="43"/>
          <w:rFonts w:hAnsi="宋体"/>
          <w:szCs w:val="21"/>
        </w:rPr>
        <w:t>年  月   日</w:t>
      </w:r>
    </w:p>
    <w:p>
      <w:pPr>
        <w:pStyle w:val="490"/>
        <w:snapToGrid w:val="0"/>
        <w:spacing w:line="360" w:lineRule="auto"/>
        <w:rPr>
          <w:rStyle w:val="43"/>
          <w:rFonts w:ascii="仿宋" w:hAnsi="仿宋" w:eastAsia="仿宋"/>
          <w:sz w:val="24"/>
          <w:szCs w:val="24"/>
        </w:rPr>
      </w:pPr>
    </w:p>
    <w:p>
      <w:pPr>
        <w:pStyle w:val="490"/>
        <w:snapToGrid w:val="0"/>
        <w:spacing w:line="360" w:lineRule="auto"/>
        <w:rPr>
          <w:rStyle w:val="43"/>
          <w:rFonts w:ascii="仿宋" w:hAnsi="仿宋" w:eastAsia="仿宋"/>
          <w:sz w:val="24"/>
          <w:szCs w:val="24"/>
        </w:rPr>
        <w:sectPr>
          <w:pgSz w:w="11905" w:h="16838"/>
          <w:pgMar w:top="1440" w:right="1083" w:bottom="1440" w:left="1083" w:header="851" w:footer="992" w:gutter="0"/>
          <w:pgBorders>
            <w:top w:val="none" w:sz="0" w:space="0"/>
            <w:left w:val="none" w:sz="0" w:space="0"/>
            <w:bottom w:val="none" w:sz="0" w:space="0"/>
            <w:right w:val="none" w:sz="0" w:space="0"/>
          </w:pgBorders>
          <w:pgNumType w:fmt="decimal"/>
          <w:cols w:space="0" w:num="1"/>
          <w:docGrid w:type="linesAndChars" w:linePitch="335" w:charSpace="711"/>
        </w:sectPr>
      </w:pPr>
    </w:p>
    <w:tbl>
      <w:tblPr>
        <w:tblStyle w:val="26"/>
        <w:tblW w:w="15077" w:type="dxa"/>
        <w:tblInd w:w="-284" w:type="dxa"/>
        <w:tblLayout w:type="fixed"/>
        <w:tblCellMar>
          <w:top w:w="0" w:type="dxa"/>
          <w:left w:w="0" w:type="dxa"/>
          <w:bottom w:w="0" w:type="dxa"/>
          <w:right w:w="0" w:type="dxa"/>
        </w:tblCellMar>
      </w:tblPr>
      <w:tblGrid>
        <w:gridCol w:w="2003"/>
        <w:gridCol w:w="1512"/>
        <w:gridCol w:w="1723"/>
        <w:gridCol w:w="1740"/>
        <w:gridCol w:w="1330"/>
        <w:gridCol w:w="1570"/>
        <w:gridCol w:w="1600"/>
        <w:gridCol w:w="1072"/>
        <w:gridCol w:w="1388"/>
        <w:gridCol w:w="1133"/>
        <w:gridCol w:w="6"/>
      </w:tblGrid>
      <w:tr>
        <w:tblPrEx>
          <w:tblCellMar>
            <w:top w:w="0" w:type="dxa"/>
            <w:left w:w="0" w:type="dxa"/>
            <w:bottom w:w="0" w:type="dxa"/>
            <w:right w:w="0" w:type="dxa"/>
          </w:tblCellMar>
        </w:tblPrEx>
        <w:trPr>
          <w:trHeight w:val="91" w:hRule="atLeast"/>
        </w:trPr>
        <w:tc>
          <w:tcPr>
            <w:tcW w:w="15077" w:type="dxa"/>
            <w:gridSpan w:val="11"/>
            <w:tcBorders>
              <w:top w:val="nil"/>
              <w:left w:val="nil"/>
              <w:bottom w:val="nil"/>
              <w:right w:val="nil"/>
            </w:tcBorders>
            <w:vAlign w:val="bottom"/>
          </w:tcPr>
          <w:p>
            <w:pPr>
              <w:pStyle w:val="490"/>
              <w:snapToGrid w:val="0"/>
              <w:spacing w:line="360" w:lineRule="auto"/>
              <w:jc w:val="center"/>
              <w:rPr>
                <w:rStyle w:val="43"/>
                <w:rFonts w:hAnsi="宋体" w:cs="宋体"/>
                <w:b/>
                <w:bCs/>
                <w:sz w:val="32"/>
                <w:szCs w:val="32"/>
              </w:rPr>
            </w:pPr>
            <w:r>
              <w:rPr>
                <w:rStyle w:val="43"/>
                <w:rFonts w:hAnsi="宋体" w:cs="宋体"/>
                <w:b/>
                <w:bCs/>
                <w:sz w:val="24"/>
              </w:rPr>
              <w:t>中小微行业划型标准规定（根据工信部联企业〔2011〕300号制定）</w:t>
            </w:r>
          </w:p>
        </w:tc>
      </w:tr>
      <w:tr>
        <w:tblPrEx>
          <w:tblCellMar>
            <w:top w:w="0" w:type="dxa"/>
            <w:left w:w="0" w:type="dxa"/>
            <w:bottom w:w="0" w:type="dxa"/>
            <w:right w:w="0" w:type="dxa"/>
          </w:tblCellMar>
        </w:tblPrEx>
        <w:trPr>
          <w:gridAfter w:val="1"/>
          <w:wAfter w:w="6" w:type="dxa"/>
          <w:trHeight w:val="371" w:hRule="atLeast"/>
        </w:trPr>
        <w:tc>
          <w:tcPr>
            <w:tcW w:w="2003" w:type="dxa"/>
            <w:vMerge w:val="restart"/>
            <w:tcBorders>
              <w:top w:val="single" w:color="000000" w:sz="8" w:space="0"/>
              <w:left w:val="single" w:color="000000" w:sz="8" w:space="0"/>
              <w:bottom w:val="single" w:color="000000" w:sz="4" w:space="0"/>
              <w:right w:val="single" w:color="000000" w:sz="8" w:space="0"/>
            </w:tcBorders>
            <w:vAlign w:val="center"/>
          </w:tcPr>
          <w:p>
            <w:pPr>
              <w:snapToGrid w:val="0"/>
              <w:jc w:val="center"/>
              <w:rPr>
                <w:rStyle w:val="43"/>
                <w:rFonts w:ascii="宋体" w:hAnsi="宋体" w:cs="宋体"/>
                <w:b/>
                <w:bCs/>
                <w:kern w:val="0"/>
              </w:rPr>
            </w:pPr>
            <w:r>
              <w:rPr>
                <w:rStyle w:val="43"/>
                <w:rFonts w:ascii="宋体" w:hAnsi="宋体" w:cs="宋体"/>
                <w:b/>
                <w:bCs/>
                <w:kern w:val="0"/>
              </w:rPr>
              <w:t>行业</w:t>
            </w:r>
          </w:p>
        </w:tc>
        <w:tc>
          <w:tcPr>
            <w:tcW w:w="4975" w:type="dxa"/>
            <w:gridSpan w:val="3"/>
            <w:tcBorders>
              <w:top w:val="single" w:color="000000" w:sz="8" w:space="0"/>
              <w:left w:val="nil"/>
              <w:bottom w:val="single" w:color="000000" w:sz="4" w:space="0"/>
              <w:right w:val="single" w:color="000000" w:sz="8" w:space="0"/>
            </w:tcBorders>
            <w:vAlign w:val="bottom"/>
          </w:tcPr>
          <w:p>
            <w:pPr>
              <w:snapToGrid w:val="0"/>
              <w:jc w:val="center"/>
              <w:rPr>
                <w:rStyle w:val="43"/>
                <w:rFonts w:ascii="宋体" w:hAnsi="宋体" w:cs="宋体"/>
                <w:b/>
                <w:bCs/>
                <w:kern w:val="0"/>
              </w:rPr>
            </w:pPr>
            <w:r>
              <w:rPr>
                <w:rStyle w:val="43"/>
                <w:rFonts w:ascii="宋体" w:hAnsi="宋体" w:cs="宋体"/>
                <w:b/>
                <w:bCs/>
                <w:kern w:val="0"/>
              </w:rPr>
              <w:t>中型企业</w:t>
            </w:r>
          </w:p>
        </w:tc>
        <w:tc>
          <w:tcPr>
            <w:tcW w:w="4500" w:type="dxa"/>
            <w:gridSpan w:val="3"/>
            <w:tcBorders>
              <w:top w:val="single" w:color="000000" w:sz="8" w:space="0"/>
              <w:left w:val="nil"/>
              <w:bottom w:val="single" w:color="000000" w:sz="4" w:space="0"/>
              <w:right w:val="single" w:color="000000" w:sz="8" w:space="0"/>
            </w:tcBorders>
            <w:vAlign w:val="bottom"/>
          </w:tcPr>
          <w:p>
            <w:pPr>
              <w:snapToGrid w:val="0"/>
              <w:jc w:val="center"/>
              <w:rPr>
                <w:rStyle w:val="43"/>
                <w:rFonts w:ascii="宋体" w:hAnsi="宋体" w:cs="宋体"/>
                <w:b/>
                <w:bCs/>
                <w:kern w:val="0"/>
              </w:rPr>
            </w:pPr>
            <w:r>
              <w:rPr>
                <w:rStyle w:val="43"/>
                <w:rFonts w:ascii="宋体" w:hAnsi="宋体" w:cs="宋体"/>
                <w:b/>
                <w:bCs/>
                <w:kern w:val="0"/>
              </w:rPr>
              <w:t>小型企业</w:t>
            </w:r>
          </w:p>
        </w:tc>
        <w:tc>
          <w:tcPr>
            <w:tcW w:w="3593" w:type="dxa"/>
            <w:gridSpan w:val="3"/>
            <w:tcBorders>
              <w:top w:val="single" w:color="000000" w:sz="8" w:space="0"/>
              <w:left w:val="nil"/>
              <w:bottom w:val="single" w:color="000000" w:sz="4" w:space="0"/>
              <w:right w:val="single" w:color="000000" w:sz="8" w:space="0"/>
            </w:tcBorders>
            <w:vAlign w:val="bottom"/>
          </w:tcPr>
          <w:p>
            <w:pPr>
              <w:snapToGrid w:val="0"/>
              <w:jc w:val="center"/>
              <w:rPr>
                <w:rStyle w:val="43"/>
                <w:rFonts w:ascii="宋体" w:hAnsi="宋体" w:cs="宋体"/>
                <w:b/>
                <w:bCs/>
                <w:kern w:val="0"/>
              </w:rPr>
            </w:pPr>
            <w:r>
              <w:rPr>
                <w:rStyle w:val="43"/>
                <w:rFonts w:ascii="宋体" w:hAnsi="宋体" w:cs="宋体"/>
                <w:b/>
                <w:bCs/>
                <w:kern w:val="0"/>
              </w:rPr>
              <w:t>微型企业</w:t>
            </w:r>
          </w:p>
        </w:tc>
      </w:tr>
      <w:tr>
        <w:tblPrEx>
          <w:tblCellMar>
            <w:top w:w="0" w:type="dxa"/>
            <w:left w:w="0" w:type="dxa"/>
            <w:bottom w:w="0" w:type="dxa"/>
            <w:right w:w="0" w:type="dxa"/>
          </w:tblCellMar>
        </w:tblPrEx>
        <w:trPr>
          <w:gridAfter w:val="1"/>
          <w:wAfter w:w="6" w:type="dxa"/>
          <w:trHeight w:val="518" w:hRule="atLeast"/>
        </w:trPr>
        <w:tc>
          <w:tcPr>
            <w:tcW w:w="2003" w:type="dxa"/>
            <w:vMerge w:val="continue"/>
            <w:tcBorders>
              <w:top w:val="single" w:color="000000" w:sz="8" w:space="0"/>
              <w:left w:val="single" w:color="000000" w:sz="8" w:space="0"/>
              <w:bottom w:val="single" w:color="000000" w:sz="4" w:space="0"/>
              <w:right w:val="single" w:color="000000" w:sz="8" w:space="0"/>
            </w:tcBorders>
            <w:vAlign w:val="center"/>
          </w:tcPr>
          <w:p>
            <w:pPr>
              <w:snapToGrid w:val="0"/>
              <w:jc w:val="left"/>
              <w:rPr>
                <w:rStyle w:val="43"/>
                <w:rFonts w:ascii="宋体" w:hAnsi="宋体" w:cs="宋体"/>
                <w:b/>
                <w:bCs/>
                <w:kern w:val="0"/>
              </w:rPr>
            </w:pPr>
          </w:p>
        </w:tc>
        <w:tc>
          <w:tcPr>
            <w:tcW w:w="1512" w:type="dxa"/>
            <w:tcBorders>
              <w:top w:val="nil"/>
              <w:left w:val="nil"/>
              <w:bottom w:val="single" w:color="000000" w:sz="4" w:space="0"/>
              <w:right w:val="single" w:color="000000" w:sz="4" w:space="0"/>
            </w:tcBorders>
            <w:vAlign w:val="bottom"/>
          </w:tcPr>
          <w:p>
            <w:pPr>
              <w:snapToGrid w:val="0"/>
              <w:jc w:val="center"/>
              <w:rPr>
                <w:rStyle w:val="43"/>
                <w:rFonts w:ascii="宋体" w:hAnsi="宋体"/>
                <w:kern w:val="0"/>
                <w:sz w:val="20"/>
              </w:rPr>
            </w:pPr>
            <w:r>
              <w:rPr>
                <w:rStyle w:val="43"/>
                <w:rFonts w:ascii="宋体" w:hAnsi="宋体"/>
                <w:kern w:val="0"/>
                <w:sz w:val="20"/>
              </w:rPr>
              <w:t>从业人员X（人）</w:t>
            </w:r>
          </w:p>
        </w:tc>
        <w:tc>
          <w:tcPr>
            <w:tcW w:w="1723" w:type="dxa"/>
            <w:tcBorders>
              <w:top w:val="nil"/>
              <w:left w:val="nil"/>
              <w:bottom w:val="single" w:color="000000" w:sz="4" w:space="0"/>
              <w:right w:val="single" w:color="000000" w:sz="4" w:space="0"/>
            </w:tcBorders>
            <w:vAlign w:val="bottom"/>
          </w:tcPr>
          <w:p>
            <w:pPr>
              <w:snapToGrid w:val="0"/>
              <w:jc w:val="center"/>
              <w:rPr>
                <w:rStyle w:val="43"/>
                <w:rFonts w:ascii="宋体" w:hAnsi="宋体"/>
                <w:kern w:val="0"/>
                <w:sz w:val="20"/>
              </w:rPr>
            </w:pPr>
            <w:r>
              <w:rPr>
                <w:rStyle w:val="43"/>
                <w:rFonts w:ascii="宋体" w:hAnsi="宋体"/>
                <w:kern w:val="0"/>
                <w:sz w:val="20"/>
              </w:rPr>
              <w:t>营业收入Y</w:t>
            </w:r>
          </w:p>
          <w:p>
            <w:pPr>
              <w:snapToGrid w:val="0"/>
              <w:jc w:val="center"/>
              <w:rPr>
                <w:rStyle w:val="43"/>
                <w:rFonts w:ascii="宋体" w:hAnsi="宋体"/>
                <w:kern w:val="0"/>
                <w:sz w:val="20"/>
              </w:rPr>
            </w:pPr>
            <w:r>
              <w:rPr>
                <w:rStyle w:val="43"/>
                <w:rFonts w:ascii="宋体" w:hAnsi="宋体"/>
                <w:kern w:val="0"/>
                <w:sz w:val="20"/>
              </w:rPr>
              <w:t>（万元）</w:t>
            </w:r>
          </w:p>
        </w:tc>
        <w:tc>
          <w:tcPr>
            <w:tcW w:w="1740" w:type="dxa"/>
            <w:tcBorders>
              <w:top w:val="nil"/>
              <w:left w:val="nil"/>
              <w:bottom w:val="single" w:color="000000" w:sz="4" w:space="0"/>
              <w:right w:val="single" w:color="000000" w:sz="8" w:space="0"/>
            </w:tcBorders>
            <w:vAlign w:val="bottom"/>
          </w:tcPr>
          <w:p>
            <w:pPr>
              <w:snapToGrid w:val="0"/>
              <w:jc w:val="center"/>
              <w:rPr>
                <w:rStyle w:val="43"/>
                <w:rFonts w:ascii="宋体" w:hAnsi="宋体"/>
                <w:kern w:val="0"/>
                <w:sz w:val="20"/>
              </w:rPr>
            </w:pPr>
            <w:r>
              <w:rPr>
                <w:rStyle w:val="43"/>
                <w:rFonts w:ascii="宋体" w:hAnsi="宋体"/>
                <w:kern w:val="0"/>
                <w:sz w:val="20"/>
              </w:rPr>
              <w:t>资产总额Z</w:t>
            </w:r>
          </w:p>
          <w:p>
            <w:pPr>
              <w:snapToGrid w:val="0"/>
              <w:jc w:val="center"/>
              <w:rPr>
                <w:rStyle w:val="43"/>
                <w:rFonts w:ascii="宋体" w:hAnsi="宋体"/>
                <w:kern w:val="0"/>
                <w:sz w:val="20"/>
              </w:rPr>
            </w:pPr>
            <w:r>
              <w:rPr>
                <w:rStyle w:val="43"/>
                <w:rFonts w:ascii="宋体" w:hAnsi="宋体"/>
                <w:kern w:val="0"/>
                <w:sz w:val="20"/>
              </w:rPr>
              <w:t>（万元）</w:t>
            </w:r>
          </w:p>
        </w:tc>
        <w:tc>
          <w:tcPr>
            <w:tcW w:w="1330" w:type="dxa"/>
            <w:tcBorders>
              <w:top w:val="nil"/>
              <w:left w:val="nil"/>
              <w:bottom w:val="single" w:color="000000" w:sz="4" w:space="0"/>
              <w:right w:val="single" w:color="000000" w:sz="4" w:space="0"/>
            </w:tcBorders>
            <w:vAlign w:val="bottom"/>
          </w:tcPr>
          <w:p>
            <w:pPr>
              <w:snapToGrid w:val="0"/>
              <w:jc w:val="center"/>
              <w:rPr>
                <w:rStyle w:val="43"/>
                <w:rFonts w:ascii="宋体" w:hAnsi="宋体"/>
                <w:kern w:val="0"/>
                <w:sz w:val="20"/>
              </w:rPr>
            </w:pPr>
            <w:r>
              <w:rPr>
                <w:rStyle w:val="43"/>
                <w:rFonts w:ascii="宋体" w:hAnsi="宋体"/>
                <w:kern w:val="0"/>
                <w:sz w:val="20"/>
              </w:rPr>
              <w:t>从业人员X（人）</w:t>
            </w:r>
          </w:p>
        </w:tc>
        <w:tc>
          <w:tcPr>
            <w:tcW w:w="1570" w:type="dxa"/>
            <w:tcBorders>
              <w:top w:val="nil"/>
              <w:left w:val="nil"/>
              <w:bottom w:val="single" w:color="000000" w:sz="4" w:space="0"/>
              <w:right w:val="single" w:color="000000" w:sz="4" w:space="0"/>
            </w:tcBorders>
            <w:vAlign w:val="bottom"/>
          </w:tcPr>
          <w:p>
            <w:pPr>
              <w:snapToGrid w:val="0"/>
              <w:jc w:val="center"/>
              <w:rPr>
                <w:rStyle w:val="43"/>
                <w:rFonts w:ascii="宋体" w:hAnsi="宋体"/>
                <w:kern w:val="0"/>
                <w:sz w:val="20"/>
              </w:rPr>
            </w:pPr>
            <w:r>
              <w:rPr>
                <w:rStyle w:val="43"/>
                <w:rFonts w:ascii="宋体" w:hAnsi="宋体"/>
                <w:kern w:val="0"/>
                <w:sz w:val="20"/>
              </w:rPr>
              <w:t>营业收入Y</w:t>
            </w:r>
          </w:p>
          <w:p>
            <w:pPr>
              <w:snapToGrid w:val="0"/>
              <w:jc w:val="center"/>
              <w:rPr>
                <w:rStyle w:val="43"/>
                <w:rFonts w:ascii="宋体" w:hAnsi="宋体"/>
                <w:kern w:val="0"/>
                <w:sz w:val="20"/>
              </w:rPr>
            </w:pPr>
            <w:r>
              <w:rPr>
                <w:rStyle w:val="43"/>
                <w:rFonts w:ascii="宋体" w:hAnsi="宋体"/>
                <w:kern w:val="0"/>
                <w:sz w:val="20"/>
              </w:rPr>
              <w:t>（万元）</w:t>
            </w:r>
          </w:p>
        </w:tc>
        <w:tc>
          <w:tcPr>
            <w:tcW w:w="1600" w:type="dxa"/>
            <w:tcBorders>
              <w:top w:val="nil"/>
              <w:left w:val="nil"/>
              <w:bottom w:val="single" w:color="000000" w:sz="4" w:space="0"/>
              <w:right w:val="single" w:color="000000" w:sz="8" w:space="0"/>
            </w:tcBorders>
            <w:vAlign w:val="bottom"/>
          </w:tcPr>
          <w:p>
            <w:pPr>
              <w:snapToGrid w:val="0"/>
              <w:jc w:val="center"/>
              <w:rPr>
                <w:rStyle w:val="43"/>
                <w:rFonts w:ascii="宋体" w:hAnsi="宋体"/>
                <w:kern w:val="0"/>
                <w:sz w:val="20"/>
              </w:rPr>
            </w:pPr>
            <w:r>
              <w:rPr>
                <w:rStyle w:val="43"/>
                <w:rFonts w:ascii="宋体" w:hAnsi="宋体"/>
                <w:kern w:val="0"/>
                <w:sz w:val="20"/>
              </w:rPr>
              <w:t>资产总额Z</w:t>
            </w:r>
          </w:p>
          <w:p>
            <w:pPr>
              <w:snapToGrid w:val="0"/>
              <w:jc w:val="center"/>
              <w:rPr>
                <w:rStyle w:val="43"/>
                <w:rFonts w:ascii="宋体" w:hAnsi="宋体"/>
                <w:kern w:val="0"/>
                <w:sz w:val="20"/>
              </w:rPr>
            </w:pPr>
            <w:r>
              <w:rPr>
                <w:rStyle w:val="43"/>
                <w:rFonts w:ascii="宋体" w:hAnsi="宋体"/>
                <w:kern w:val="0"/>
                <w:sz w:val="20"/>
              </w:rPr>
              <w:t>（万元）</w:t>
            </w:r>
          </w:p>
        </w:tc>
        <w:tc>
          <w:tcPr>
            <w:tcW w:w="1072" w:type="dxa"/>
            <w:tcBorders>
              <w:top w:val="nil"/>
              <w:left w:val="nil"/>
              <w:bottom w:val="single" w:color="000000" w:sz="4" w:space="0"/>
              <w:right w:val="single" w:color="000000" w:sz="4" w:space="0"/>
            </w:tcBorders>
            <w:vAlign w:val="bottom"/>
          </w:tcPr>
          <w:p>
            <w:pPr>
              <w:snapToGrid w:val="0"/>
              <w:jc w:val="center"/>
              <w:rPr>
                <w:rStyle w:val="43"/>
                <w:rFonts w:ascii="宋体" w:hAnsi="宋体"/>
                <w:kern w:val="0"/>
                <w:sz w:val="20"/>
              </w:rPr>
            </w:pPr>
            <w:r>
              <w:rPr>
                <w:rStyle w:val="43"/>
                <w:rFonts w:ascii="宋体" w:hAnsi="宋体"/>
                <w:kern w:val="0"/>
                <w:sz w:val="20"/>
              </w:rPr>
              <w:t>从业人员X（人）</w:t>
            </w:r>
          </w:p>
        </w:tc>
        <w:tc>
          <w:tcPr>
            <w:tcW w:w="1388" w:type="dxa"/>
            <w:tcBorders>
              <w:top w:val="nil"/>
              <w:left w:val="nil"/>
              <w:bottom w:val="single" w:color="000000" w:sz="4" w:space="0"/>
              <w:right w:val="single" w:color="000000" w:sz="4" w:space="0"/>
            </w:tcBorders>
            <w:vAlign w:val="bottom"/>
          </w:tcPr>
          <w:p>
            <w:pPr>
              <w:snapToGrid w:val="0"/>
              <w:jc w:val="center"/>
              <w:rPr>
                <w:rStyle w:val="43"/>
                <w:rFonts w:ascii="宋体" w:hAnsi="宋体"/>
                <w:kern w:val="0"/>
                <w:sz w:val="20"/>
              </w:rPr>
            </w:pPr>
            <w:r>
              <w:rPr>
                <w:rStyle w:val="43"/>
                <w:rFonts w:ascii="宋体" w:hAnsi="宋体"/>
                <w:kern w:val="0"/>
                <w:sz w:val="20"/>
              </w:rPr>
              <w:t>营业收入Y（万元）</w:t>
            </w:r>
          </w:p>
        </w:tc>
        <w:tc>
          <w:tcPr>
            <w:tcW w:w="1133" w:type="dxa"/>
            <w:tcBorders>
              <w:top w:val="nil"/>
              <w:left w:val="nil"/>
              <w:bottom w:val="single" w:color="000000" w:sz="4" w:space="0"/>
              <w:right w:val="single" w:color="000000" w:sz="8" w:space="0"/>
            </w:tcBorders>
            <w:vAlign w:val="bottom"/>
          </w:tcPr>
          <w:p>
            <w:pPr>
              <w:snapToGrid w:val="0"/>
              <w:jc w:val="center"/>
              <w:rPr>
                <w:rStyle w:val="43"/>
                <w:rFonts w:ascii="宋体" w:hAnsi="宋体"/>
                <w:kern w:val="0"/>
                <w:sz w:val="20"/>
              </w:rPr>
            </w:pPr>
            <w:r>
              <w:rPr>
                <w:rStyle w:val="43"/>
                <w:rFonts w:ascii="宋体" w:hAnsi="宋体"/>
                <w:kern w:val="0"/>
                <w:sz w:val="20"/>
              </w:rPr>
              <w:t>资产总额Z（万元）</w:t>
            </w: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 xml:space="preserve"> 1、农林牧渔业</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500≤Y＜20000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50≤Y＜500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Y＜50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 xml:space="preserve"> 2、工业</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2000≤Y＜40000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300≤Y＜2000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Y＜300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 xml:space="preserve"> 3、建筑业</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6000≤Y＜80000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r>
              <w:rPr>
                <w:rStyle w:val="43"/>
                <w:rFonts w:ascii="宋体" w:hAnsi="宋体"/>
                <w:kern w:val="0"/>
                <w:sz w:val="20"/>
              </w:rPr>
              <w:t>5000≤Z＜80000</w:t>
            </w: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300≤Y＜6000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r>
              <w:rPr>
                <w:rStyle w:val="43"/>
                <w:rFonts w:ascii="宋体" w:hAnsi="宋体"/>
                <w:kern w:val="0"/>
                <w:sz w:val="20"/>
              </w:rPr>
              <w:t>300≤Z＜5000</w:t>
            </w: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Y＜300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r>
              <w:rPr>
                <w:rStyle w:val="43"/>
                <w:rFonts w:ascii="宋体" w:hAnsi="宋体"/>
                <w:kern w:val="0"/>
                <w:sz w:val="20"/>
              </w:rPr>
              <w:t>Z＜300</w:t>
            </w:r>
          </w:p>
        </w:tc>
      </w:tr>
      <w:tr>
        <w:tblPrEx>
          <w:tblCellMar>
            <w:top w:w="0" w:type="dxa"/>
            <w:left w:w="0" w:type="dxa"/>
            <w:bottom w:w="0" w:type="dxa"/>
            <w:right w:w="0" w:type="dxa"/>
          </w:tblCellMar>
        </w:tblPrEx>
        <w:trPr>
          <w:gridAfter w:val="1"/>
          <w:wAfter w:w="6" w:type="dxa"/>
          <w:trHeight w:val="378"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 xml:space="preserve"> 4、批发业</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20≤X＜200</w:t>
            </w: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5000≤Y＜40000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5≤X＜20</w:t>
            </w: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1000≤Y＜5000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X＜5</w:t>
            </w: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Y＜1000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 xml:space="preserve"> 5、零售业</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50≤X＜300</w:t>
            </w: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500≤Y＜20000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10≤X＜50</w:t>
            </w: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100≤Y＜500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 xml:space="preserve"> 6、交通运输业</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3000≤Y＜30000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200≤Y＜3000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V＜200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 xml:space="preserve"> 7、仓储业</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100≤X＜200</w:t>
            </w: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1000≤Y＜30000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20≤X＜100</w:t>
            </w: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 xml:space="preserve"> 8、邮政业</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2000≤Y＜30000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 xml:space="preserve"> 9、住宿业</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2000≤Y＜10000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10、餐饮业</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2000≤Y＜10000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V＜100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11、信息传输业</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100≤X＜2000</w:t>
            </w: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1000≤Y＜100000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12、软件和信息技术服务业</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1000≤Y＜10000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50≤Y＜1000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Y＜50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13、房地产开发经营</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1000≤Y＜200000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r>
              <w:rPr>
                <w:rStyle w:val="43"/>
                <w:rFonts w:ascii="宋体" w:hAnsi="宋体"/>
                <w:kern w:val="0"/>
                <w:sz w:val="20"/>
              </w:rPr>
              <w:t>5000≤Z＜10000</w:t>
            </w: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r>
              <w:rPr>
                <w:rStyle w:val="43"/>
                <w:rFonts w:ascii="宋体" w:hAnsi="宋体"/>
                <w:kern w:val="0"/>
                <w:sz w:val="20"/>
              </w:rPr>
              <w:t>2000≤Z＜5000</w:t>
            </w: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r>
              <w:rPr>
                <w:rStyle w:val="43"/>
                <w:rFonts w:ascii="宋体" w:hAnsi="宋体"/>
                <w:kern w:val="0"/>
                <w:sz w:val="20"/>
              </w:rPr>
              <w:t>Z＜2000</w:t>
            </w: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14、物业管理</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1000≤Y＜5000</w:t>
            </w: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100≤X＜300</w:t>
            </w: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500≤Y＜1000</w:t>
            </w: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X＜100</w:t>
            </w: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Y＜500</w:t>
            </w: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15、租赁和商务服务业</w:t>
            </w:r>
          </w:p>
        </w:tc>
        <w:tc>
          <w:tcPr>
            <w:tcW w:w="151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p>
        </w:tc>
        <w:tc>
          <w:tcPr>
            <w:tcW w:w="174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r>
              <w:rPr>
                <w:rStyle w:val="43"/>
                <w:rFonts w:ascii="宋体" w:hAnsi="宋体"/>
                <w:kern w:val="0"/>
                <w:sz w:val="20"/>
              </w:rPr>
              <w:t>8000≤Z＜120000</w:t>
            </w:r>
          </w:p>
        </w:tc>
        <w:tc>
          <w:tcPr>
            <w:tcW w:w="133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p>
        </w:tc>
        <w:tc>
          <w:tcPr>
            <w:tcW w:w="1600"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r>
              <w:rPr>
                <w:rStyle w:val="43"/>
                <w:rFonts w:ascii="宋体" w:hAnsi="宋体"/>
                <w:kern w:val="0"/>
                <w:sz w:val="20"/>
              </w:rPr>
              <w:t>100≤Z＜8000</w:t>
            </w:r>
          </w:p>
        </w:tc>
        <w:tc>
          <w:tcPr>
            <w:tcW w:w="1072"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3"/>
                <w:rFonts w:ascii="宋体" w:hAnsi="宋体"/>
                <w:kern w:val="0"/>
                <w:sz w:val="20"/>
              </w:rPr>
            </w:pPr>
          </w:p>
        </w:tc>
        <w:tc>
          <w:tcPr>
            <w:tcW w:w="1133" w:type="dxa"/>
            <w:tcBorders>
              <w:top w:val="nil"/>
              <w:left w:val="nil"/>
              <w:bottom w:val="single" w:color="000000" w:sz="4" w:space="0"/>
              <w:right w:val="single" w:color="000000" w:sz="8" w:space="0"/>
            </w:tcBorders>
            <w:vAlign w:val="center"/>
          </w:tcPr>
          <w:p>
            <w:pPr>
              <w:snapToGrid w:val="0"/>
              <w:jc w:val="center"/>
              <w:rPr>
                <w:rStyle w:val="43"/>
                <w:rFonts w:ascii="宋体" w:hAnsi="宋体"/>
                <w:kern w:val="0"/>
                <w:sz w:val="20"/>
              </w:rPr>
            </w:pPr>
            <w:r>
              <w:rPr>
                <w:rStyle w:val="43"/>
                <w:rFonts w:ascii="宋体" w:hAnsi="宋体"/>
                <w:kern w:val="0"/>
                <w:sz w:val="20"/>
              </w:rPr>
              <w:t>Z＜100</w:t>
            </w:r>
          </w:p>
        </w:tc>
      </w:tr>
      <w:tr>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8" w:space="0"/>
              <w:right w:val="single" w:color="000000" w:sz="8" w:space="0"/>
            </w:tcBorders>
            <w:vAlign w:val="bottom"/>
          </w:tcPr>
          <w:p>
            <w:pPr>
              <w:snapToGrid w:val="0"/>
              <w:jc w:val="left"/>
              <w:rPr>
                <w:rStyle w:val="43"/>
                <w:rFonts w:ascii="宋体" w:hAnsi="宋体"/>
                <w:kern w:val="0"/>
                <w:sz w:val="20"/>
              </w:rPr>
            </w:pPr>
            <w:r>
              <w:rPr>
                <w:rStyle w:val="43"/>
                <w:rFonts w:ascii="宋体" w:hAnsi="宋体"/>
                <w:kern w:val="0"/>
                <w:sz w:val="20"/>
              </w:rPr>
              <w:t>16、</w:t>
            </w:r>
            <w:r>
              <w:rPr>
                <w:rStyle w:val="43"/>
                <w:rFonts w:hint="eastAsia" w:ascii="宋体" w:hAnsi="宋体"/>
                <w:kern w:val="0"/>
                <w:sz w:val="20"/>
              </w:rPr>
              <w:t>软件和信息技术服务业</w:t>
            </w:r>
          </w:p>
        </w:tc>
        <w:tc>
          <w:tcPr>
            <w:tcW w:w="1512" w:type="dxa"/>
            <w:tcBorders>
              <w:top w:val="nil"/>
              <w:left w:val="nil"/>
              <w:bottom w:val="single" w:color="000000" w:sz="8"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100≤X＜300</w:t>
            </w:r>
          </w:p>
        </w:tc>
        <w:tc>
          <w:tcPr>
            <w:tcW w:w="1723" w:type="dxa"/>
            <w:tcBorders>
              <w:top w:val="nil"/>
              <w:left w:val="nil"/>
              <w:bottom w:val="single" w:color="000000" w:sz="8" w:space="0"/>
              <w:right w:val="single" w:color="000000" w:sz="4" w:space="0"/>
            </w:tcBorders>
            <w:vAlign w:val="center"/>
          </w:tcPr>
          <w:p>
            <w:pPr>
              <w:snapToGrid w:val="0"/>
              <w:jc w:val="center"/>
              <w:rPr>
                <w:rStyle w:val="43"/>
                <w:rFonts w:ascii="宋体" w:hAnsi="宋体"/>
                <w:kern w:val="0"/>
                <w:sz w:val="20"/>
              </w:rPr>
            </w:pPr>
          </w:p>
        </w:tc>
        <w:tc>
          <w:tcPr>
            <w:tcW w:w="1740" w:type="dxa"/>
            <w:tcBorders>
              <w:top w:val="nil"/>
              <w:left w:val="nil"/>
              <w:bottom w:val="single" w:color="000000" w:sz="8" w:space="0"/>
              <w:right w:val="single" w:color="000000" w:sz="8" w:space="0"/>
            </w:tcBorders>
            <w:vAlign w:val="center"/>
          </w:tcPr>
          <w:p>
            <w:pPr>
              <w:snapToGrid w:val="0"/>
              <w:jc w:val="center"/>
              <w:rPr>
                <w:rStyle w:val="43"/>
                <w:rFonts w:ascii="宋体" w:hAnsi="宋体"/>
                <w:kern w:val="0"/>
                <w:sz w:val="20"/>
              </w:rPr>
            </w:pPr>
          </w:p>
        </w:tc>
        <w:tc>
          <w:tcPr>
            <w:tcW w:w="1330" w:type="dxa"/>
            <w:tcBorders>
              <w:top w:val="nil"/>
              <w:left w:val="nil"/>
              <w:bottom w:val="single" w:color="000000" w:sz="8"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10≤X＜100</w:t>
            </w:r>
          </w:p>
        </w:tc>
        <w:tc>
          <w:tcPr>
            <w:tcW w:w="1570" w:type="dxa"/>
            <w:tcBorders>
              <w:top w:val="nil"/>
              <w:left w:val="nil"/>
              <w:bottom w:val="single" w:color="000000" w:sz="8" w:space="0"/>
              <w:right w:val="single" w:color="000000" w:sz="4" w:space="0"/>
            </w:tcBorders>
            <w:vAlign w:val="center"/>
          </w:tcPr>
          <w:p>
            <w:pPr>
              <w:snapToGrid w:val="0"/>
              <w:jc w:val="center"/>
              <w:rPr>
                <w:rStyle w:val="43"/>
                <w:rFonts w:ascii="宋体" w:hAnsi="宋体"/>
                <w:kern w:val="0"/>
                <w:sz w:val="20"/>
              </w:rPr>
            </w:pPr>
          </w:p>
        </w:tc>
        <w:tc>
          <w:tcPr>
            <w:tcW w:w="1600" w:type="dxa"/>
            <w:tcBorders>
              <w:top w:val="nil"/>
              <w:left w:val="nil"/>
              <w:bottom w:val="single" w:color="000000" w:sz="8" w:space="0"/>
              <w:right w:val="single" w:color="000000" w:sz="8" w:space="0"/>
            </w:tcBorders>
            <w:vAlign w:val="center"/>
          </w:tcPr>
          <w:p>
            <w:pPr>
              <w:snapToGrid w:val="0"/>
              <w:jc w:val="center"/>
              <w:rPr>
                <w:rStyle w:val="43"/>
                <w:rFonts w:ascii="宋体" w:hAnsi="宋体"/>
                <w:kern w:val="0"/>
                <w:sz w:val="20"/>
              </w:rPr>
            </w:pPr>
          </w:p>
        </w:tc>
        <w:tc>
          <w:tcPr>
            <w:tcW w:w="1072" w:type="dxa"/>
            <w:tcBorders>
              <w:top w:val="nil"/>
              <w:left w:val="nil"/>
              <w:bottom w:val="single" w:color="000000" w:sz="8" w:space="0"/>
              <w:right w:val="single" w:color="000000" w:sz="4" w:space="0"/>
            </w:tcBorders>
            <w:vAlign w:val="center"/>
          </w:tcPr>
          <w:p>
            <w:pPr>
              <w:snapToGrid w:val="0"/>
              <w:jc w:val="center"/>
              <w:rPr>
                <w:rStyle w:val="43"/>
                <w:rFonts w:ascii="宋体" w:hAnsi="宋体"/>
                <w:kern w:val="0"/>
                <w:sz w:val="20"/>
              </w:rPr>
            </w:pPr>
            <w:r>
              <w:rPr>
                <w:rStyle w:val="43"/>
                <w:rFonts w:ascii="宋体" w:hAnsi="宋体"/>
                <w:kern w:val="0"/>
                <w:sz w:val="20"/>
              </w:rPr>
              <w:t>X＜10</w:t>
            </w:r>
          </w:p>
        </w:tc>
        <w:tc>
          <w:tcPr>
            <w:tcW w:w="1388" w:type="dxa"/>
            <w:tcBorders>
              <w:top w:val="nil"/>
              <w:left w:val="nil"/>
              <w:bottom w:val="single" w:color="000000" w:sz="8" w:space="0"/>
              <w:right w:val="single" w:color="000000" w:sz="4" w:space="0"/>
            </w:tcBorders>
            <w:vAlign w:val="center"/>
          </w:tcPr>
          <w:p>
            <w:pPr>
              <w:snapToGrid w:val="0"/>
              <w:jc w:val="center"/>
              <w:rPr>
                <w:rStyle w:val="43"/>
                <w:rFonts w:ascii="宋体" w:hAnsi="宋体"/>
                <w:kern w:val="0"/>
                <w:sz w:val="20"/>
              </w:rPr>
            </w:pPr>
          </w:p>
        </w:tc>
        <w:tc>
          <w:tcPr>
            <w:tcW w:w="1133" w:type="dxa"/>
            <w:tcBorders>
              <w:top w:val="nil"/>
              <w:left w:val="nil"/>
              <w:bottom w:val="single" w:color="000000" w:sz="8" w:space="0"/>
              <w:right w:val="single" w:color="000000" w:sz="8" w:space="0"/>
            </w:tcBorders>
            <w:vAlign w:val="center"/>
          </w:tcPr>
          <w:p>
            <w:pPr>
              <w:snapToGrid w:val="0"/>
              <w:jc w:val="center"/>
              <w:rPr>
                <w:rStyle w:val="43"/>
                <w:rFonts w:ascii="宋体" w:hAnsi="宋体"/>
                <w:kern w:val="0"/>
                <w:sz w:val="20"/>
              </w:rPr>
            </w:pPr>
          </w:p>
        </w:tc>
      </w:tr>
      <w:tr>
        <w:tblPrEx>
          <w:tblCellMar>
            <w:top w:w="0" w:type="dxa"/>
            <w:left w:w="0" w:type="dxa"/>
            <w:bottom w:w="0" w:type="dxa"/>
            <w:right w:w="0" w:type="dxa"/>
          </w:tblCellMar>
        </w:tblPrEx>
        <w:trPr>
          <w:trHeight w:val="1104" w:hRule="atLeast"/>
        </w:trPr>
        <w:tc>
          <w:tcPr>
            <w:tcW w:w="15077" w:type="dxa"/>
            <w:gridSpan w:val="11"/>
            <w:tcBorders>
              <w:top w:val="nil"/>
              <w:left w:val="nil"/>
              <w:bottom w:val="nil"/>
              <w:right w:val="nil"/>
            </w:tcBorders>
            <w:vAlign w:val="bottom"/>
          </w:tcPr>
          <w:p>
            <w:pPr>
              <w:snapToGrid w:val="0"/>
              <w:jc w:val="left"/>
              <w:rPr>
                <w:rStyle w:val="43"/>
                <w:rFonts w:ascii="宋体" w:hAnsi="宋体"/>
                <w:kern w:val="0"/>
                <w:sz w:val="21"/>
                <w:szCs w:val="21"/>
              </w:rPr>
            </w:pPr>
            <w:r>
              <w:rPr>
                <w:rStyle w:val="43"/>
                <w:rFonts w:ascii="宋体" w:hAnsi="宋体"/>
                <w:kern w:val="0"/>
                <w:sz w:val="21"/>
                <w:szCs w:val="21"/>
              </w:rPr>
              <w:t>说明　1、企业类型的划分以统计部门的统计数据为依据。</w:t>
            </w:r>
          </w:p>
          <w:p>
            <w:pPr>
              <w:snapToGrid w:val="0"/>
              <w:ind w:firstLine="639" w:firstLineChars="300"/>
              <w:jc w:val="left"/>
              <w:rPr>
                <w:rStyle w:val="43"/>
                <w:rFonts w:ascii="宋体" w:hAnsi="宋体"/>
                <w:kern w:val="0"/>
                <w:sz w:val="21"/>
                <w:szCs w:val="21"/>
              </w:rPr>
            </w:pPr>
            <w:r>
              <w:rPr>
                <w:rStyle w:val="43"/>
                <w:rFonts w:ascii="宋体" w:hAnsi="宋体"/>
                <w:kern w:val="0"/>
                <w:sz w:val="21"/>
                <w:szCs w:val="21"/>
              </w:rPr>
              <w:t>2、个体工商户和本规定以外的行业，参照本规定进行划型。</w:t>
            </w:r>
          </w:p>
          <w:p>
            <w:pPr>
              <w:snapToGrid w:val="0"/>
              <w:ind w:firstLine="639" w:firstLineChars="300"/>
              <w:jc w:val="left"/>
              <w:rPr>
                <w:rStyle w:val="43"/>
                <w:rFonts w:ascii="宋体" w:hAnsi="宋体"/>
                <w:kern w:val="0"/>
                <w:sz w:val="20"/>
              </w:rPr>
            </w:pPr>
            <w:r>
              <w:rPr>
                <w:rStyle w:val="43"/>
                <w:rFonts w:ascii="宋体" w:hAnsi="宋体"/>
                <w:kern w:val="0"/>
                <w:sz w:val="21"/>
                <w:szCs w:val="21"/>
              </w:rPr>
              <w:t>3、本规定的中型企业标准上限即为大型企业标准的下限。</w:t>
            </w:r>
          </w:p>
        </w:tc>
      </w:tr>
    </w:tbl>
    <w:p>
      <w:pPr>
        <w:snapToGrid w:val="0"/>
        <w:spacing w:after="120" w:line="400" w:lineRule="exact"/>
        <w:rPr>
          <w:rStyle w:val="43"/>
          <w:rFonts w:ascii="宋体" w:hAnsi="宋体"/>
          <w:szCs w:val="21"/>
        </w:rPr>
      </w:pPr>
    </w:p>
    <w:sectPr>
      <w:headerReference r:id="rId6" w:type="default"/>
      <w:footerReference r:id="rId7" w:type="default"/>
      <w:pgSz w:w="16838" w:h="11905" w:orient="landscape"/>
      <w:pgMar w:top="1083" w:right="1440" w:bottom="1083" w:left="1440" w:header="851" w:footer="992" w:gutter="0"/>
      <w:pgBorders>
        <w:top w:val="none" w:sz="0" w:space="0"/>
        <w:left w:val="none" w:sz="0" w:space="0"/>
        <w:bottom w:val="none" w:sz="0" w:space="0"/>
        <w:right w:val="none" w:sz="0" w:space="0"/>
      </w:pgBorders>
      <w:pgNumType w:fmt="decimal"/>
      <w:cols w:space="0" w:num="1"/>
      <w:docGrid w:type="linesAndChars" w:linePitch="335" w:charSpace="7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sө">
    <w:altName w:val="Segoe Print"/>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Century Gothic">
    <w:altName w:val="Segoe Print"/>
    <w:panose1 w:val="020B0502020202020204"/>
    <w:charset w:val="00"/>
    <w:family w:val="swiss"/>
    <w:pitch w:val="default"/>
    <w:sig w:usb0="00000000" w:usb1="00000000" w:usb2="00000000" w:usb3="00000000" w:csb0="2000009F" w:csb1="DFD70000"/>
  </w:font>
  <w:font w:name="Helvetica Neue">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w:t>
                </w:r>
                <w:r>
                  <w:rPr>
                    <w:rFonts w:hint="eastAsia"/>
                    <w:lang w:val="en-US" w:eastAsia="zh-CN"/>
                  </w:rPr>
                  <w:t>07</w:t>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43"/>
      </w:rPr>
    </w:pPr>
    <w:r>
      <w:rPr>
        <w:sz w:val="18"/>
      </w:rPr>
      <w:pict>
        <v:shape id="_x0000_s1031" o:spid="_x0000_s103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57</w:t>
                </w:r>
                <w:r>
                  <w:fldChar w:fldCharType="end"/>
                </w:r>
                <w:r>
                  <w:t xml:space="preserve"> 页 共 </w:t>
                </w:r>
                <w:r>
                  <w:rPr>
                    <w:rFonts w:hint="eastAsia"/>
                    <w:lang w:val="en-US" w:eastAsia="zh-CN"/>
                  </w:rPr>
                  <w:t>1</w:t>
                </w:r>
                <w:r>
                  <w:rPr>
                    <w:rFonts w:hint="eastAsia"/>
                    <w:lang w:val="en-US" w:eastAsia="zh-CN"/>
                  </w:rPr>
                  <w:t>07</w:t>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000000" w:sz="4" w:space="0"/>
      </w:pBdr>
      <w:rPr>
        <w:rStyle w:val="43"/>
      </w:rPr>
    </w:pPr>
    <w:r>
      <w:rPr>
        <w:sz w:val="18"/>
      </w:rPr>
      <w:pict>
        <v:shape id="_x0000_s1032" o:spid="_x0000_s103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105</w:t>
                </w:r>
                <w:r>
                  <w:fldChar w:fldCharType="end"/>
                </w:r>
                <w:r>
                  <w:t xml:space="preserve"> 页 共 </w:t>
                </w:r>
                <w:r>
                  <w:rPr>
                    <w:rFonts w:hint="eastAsia"/>
                    <w:lang w:val="en-US" w:eastAsia="zh-CN"/>
                  </w:rPr>
                  <w:t>1</w:t>
                </w:r>
                <w:r>
                  <w:rPr>
                    <w:rFonts w:hint="eastAsia"/>
                    <w:lang w:val="en-US" w:eastAsia="zh-CN"/>
                  </w:rPr>
                  <w:t>07</w:t>
                </w:r>
                <w:r>
                  <w:t xml:space="preserve"> 页</w:t>
                </w:r>
              </w:p>
            </w:txbxContent>
          </v:textbox>
        </v:shape>
      </w:pict>
    </w:r>
    <w:r>
      <w:pict>
        <v:shape id="Text Box 1028" o:spid="_x0000_s1027"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aT2QNIAAAAFAQAADwAAAAAAAAABACAAAAAiAAAAZHJzL2Rvd25yZXYueG1sUEsBAhQA&#10;FAAAAAgAh07iQKeDB5z4AQAACAQAAA4AAAAAAAAAAQAgAAAAIQEAAGRycy9lMm9Eb2MueG1sUEsF&#10;BgAAAAAGAAYAWQEAAIsFAAAAAA==&#10;">
          <v:path/>
          <v:fill on="f" focussize="0,0"/>
          <v:stroke on="f" joinstyle="miter"/>
          <v:imagedata o:title=""/>
          <o:lock v:ext="edit"/>
          <v:textbox inset="0mm,0mm,0mm,0mm">
            <w:txbxContent>
              <w:p>
                <w:pPr>
                  <w:pStyle w:val="17"/>
                  <w:rPr>
                    <w:rStyle w:val="43"/>
                  </w:rPr>
                </w:pPr>
              </w:p>
              <w:p>
                <w:pPr>
                  <w:pStyle w:val="360"/>
                  <w:rPr>
                    <w:rStyle w:val="43"/>
                  </w:rPr>
                </w:pPr>
              </w:p>
            </w:txbxContent>
          </v:textbox>
        </v:shape>
      </w:pict>
    </w:r>
    <w:r>
      <w:rPr>
        <w:rStyle w:val="43"/>
        <w:rFonts w:hint="eastAsia"/>
      </w:rPr>
      <w:t>浙江省房地产管理咨询有限公司</w:t>
    </w:r>
    <w:r>
      <w:rPr>
        <w:rStyle w:val="43"/>
      </w:rPr>
      <w:t xml:space="preserve">                                           </w:t>
    </w:r>
    <w:r>
      <w:rPr>
        <w:rStyle w:val="43"/>
        <w:rFonts w:ascii="宋体" w:hAnsi="宋体"/>
      </w:rPr>
      <w:t xml:space="preserve">                          </w:t>
    </w:r>
    <w:r>
      <w:rPr>
        <w:rStyle w:val="43"/>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Style w:val="43"/>
        <w:rFonts w:hint="eastAsia" w:eastAsia="宋体"/>
        <w:lang w:eastAsia="zh-CN"/>
      </w:rPr>
    </w:pPr>
    <w:r>
      <w:rPr>
        <w:rStyle w:val="43"/>
        <w:rFonts w:hint="eastAsia"/>
        <w:lang w:eastAsia="zh-CN"/>
      </w:rPr>
      <w:t>嵊州智能厨电产业大脑建设项目（一期）</w:t>
    </w:r>
    <w:r>
      <w:rPr>
        <w:rStyle w:val="43"/>
      </w:rPr>
      <w:t xml:space="preserve">                 </w:t>
    </w:r>
    <w:r>
      <w:rPr>
        <w:rStyle w:val="43"/>
        <w:rFonts w:hint="eastAsia"/>
      </w:rPr>
      <w:t xml:space="preserve">                                  </w:t>
    </w:r>
    <w:r>
      <w:rPr>
        <w:rStyle w:val="43"/>
        <w:rFonts w:hint="eastAsia" w:ascii="宋体" w:hAnsi="宋体"/>
        <w:lang w:eastAsia="zh-CN"/>
      </w:rPr>
      <w:t>ZJSFDC-SZ2023N01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000000" w:sz="4" w:space="0"/>
      </w:pBdr>
      <w:rPr>
        <w:rStyle w:val="43"/>
      </w:rPr>
    </w:pPr>
    <w:r>
      <w:rPr>
        <w:rStyle w:val="43"/>
        <w:rFonts w:hint="eastAsia"/>
        <w:lang w:eastAsia="zh-CN"/>
      </w:rPr>
      <w:t>嵊州智能厨电产业大脑建设项目（一期）</w:t>
    </w:r>
    <w:r>
      <w:rPr>
        <w:rStyle w:val="43"/>
        <w:rFonts w:ascii="宋体" w:hAnsi="宋体"/>
      </w:rPr>
      <w:t xml:space="preserve">采购文件                  </w:t>
    </w:r>
    <w:r>
      <w:rPr>
        <w:rStyle w:val="43"/>
        <w:rFonts w:hint="eastAsia" w:ascii="宋体" w:hAnsi="宋体"/>
        <w:lang w:eastAsia="zh-CN"/>
      </w:rPr>
      <w:t>ZJSFDC-SZ2023N01</w:t>
    </w:r>
    <w:r>
      <w:rPr>
        <w:rStyle w:val="43"/>
        <w:rFonts w:ascii="宋体" w:hAnsi="宋体"/>
      </w:rPr>
      <w:t xml:space="preserve">  </w:t>
    </w:r>
    <w:r>
      <w:rPr>
        <w:rStyle w:val="43"/>
      </w:rPr>
      <w:t xml:space="preserve">                                                    </w:t>
    </w:r>
  </w:p>
  <w:p>
    <w:pPr>
      <w:pStyle w:val="18"/>
      <w:pBdr>
        <w:bottom w:val="none" w:color="auto" w:sz="0" w:space="0"/>
      </w:pBdr>
      <w:rPr>
        <w:rStyle w:val="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ED58D"/>
    <w:multiLevelType w:val="singleLevel"/>
    <w:tmpl w:val="865ED58D"/>
    <w:lvl w:ilvl="0" w:tentative="0">
      <w:start w:val="2"/>
      <w:numFmt w:val="decimal"/>
      <w:suff w:val="nothing"/>
      <w:lvlText w:val="%1、"/>
      <w:lvlJc w:val="left"/>
      <w:pPr>
        <w:widowControl/>
        <w:textAlignment w:val="baseline"/>
      </w:pPr>
    </w:lvl>
  </w:abstractNum>
  <w:abstractNum w:abstractNumId="1">
    <w:nsid w:val="BB4508A3"/>
    <w:multiLevelType w:val="singleLevel"/>
    <w:tmpl w:val="BB4508A3"/>
    <w:lvl w:ilvl="0" w:tentative="0">
      <w:start w:val="1"/>
      <w:numFmt w:val="decimal"/>
      <w:suff w:val="nothing"/>
      <w:lvlText w:val="%1、"/>
      <w:lvlJc w:val="left"/>
    </w:lvl>
  </w:abstractNum>
  <w:abstractNum w:abstractNumId="2">
    <w:nsid w:val="F7FE7CF3"/>
    <w:multiLevelType w:val="singleLevel"/>
    <w:tmpl w:val="F7FE7CF3"/>
    <w:lvl w:ilvl="0" w:tentative="0">
      <w:start w:val="1"/>
      <w:numFmt w:val="chineseCounting"/>
      <w:suff w:val="nothing"/>
      <w:lvlText w:val="%1、"/>
      <w:lvlJc w:val="left"/>
      <w:rPr>
        <w:rFonts w:hint="eastAsia"/>
      </w:rPr>
    </w:lvl>
  </w:abstractNum>
  <w:abstractNum w:abstractNumId="3">
    <w:nsid w:val="FEBB5FA8"/>
    <w:multiLevelType w:val="singleLevel"/>
    <w:tmpl w:val="FEBB5FA8"/>
    <w:lvl w:ilvl="0" w:tentative="0">
      <w:start w:val="3"/>
      <w:numFmt w:val="chineseCounting"/>
      <w:suff w:val="space"/>
      <w:lvlText w:val="第%1部分"/>
      <w:lvlJc w:val="left"/>
      <w:rPr>
        <w:rFonts w:hint="eastAsia"/>
      </w:rPr>
    </w:lvl>
  </w:abstractNum>
  <w:abstractNum w:abstractNumId="4">
    <w:nsid w:val="0000000C"/>
    <w:multiLevelType w:val="singleLevel"/>
    <w:tmpl w:val="0000000C"/>
    <w:lvl w:ilvl="0" w:tentative="0">
      <w:start w:val="1"/>
      <w:numFmt w:val="japaneseCounting"/>
      <w:lvlText w:val="第%1条"/>
      <w:lvlJc w:val="left"/>
      <w:pPr>
        <w:tabs>
          <w:tab w:val="left" w:pos="1124"/>
        </w:tabs>
        <w:ind w:left="1124" w:hanging="840"/>
      </w:pPr>
      <w:rPr>
        <w:rFonts w:hint="eastAsia"/>
      </w:rPr>
    </w:lvl>
  </w:abstractNum>
  <w:abstractNum w:abstractNumId="5">
    <w:nsid w:val="036B9AF8"/>
    <w:multiLevelType w:val="singleLevel"/>
    <w:tmpl w:val="036B9AF8"/>
    <w:lvl w:ilvl="0" w:tentative="0">
      <w:start w:val="1"/>
      <w:numFmt w:val="decimal"/>
      <w:suff w:val="nothing"/>
      <w:lvlText w:val="%1）"/>
      <w:lvlJc w:val="left"/>
      <w:pPr>
        <w:widowControl/>
        <w:textAlignment w:val="baseline"/>
      </w:pPr>
    </w:lvl>
  </w:abstractNum>
  <w:abstractNum w:abstractNumId="6">
    <w:nsid w:val="13A97E30"/>
    <w:multiLevelType w:val="singleLevel"/>
    <w:tmpl w:val="13A97E30"/>
    <w:lvl w:ilvl="0" w:tentative="0">
      <w:start w:val="1"/>
      <w:numFmt w:val="decimal"/>
      <w:pStyle w:val="7"/>
      <w:lvlText w:val="%1."/>
      <w:lvlJc w:val="left"/>
      <w:pPr>
        <w:tabs>
          <w:tab w:val="left" w:pos="780"/>
        </w:tabs>
        <w:ind w:left="780" w:hanging="36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2"/>
  <w:drawingGridVerticalSpacing w:val="168"/>
  <w:displayHorizontalDrawingGridEvery w:val="2"/>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JmNzJkNWExNjQ2YjJhOWI1YTcyYmRjMzdlMTg5MmEifQ=="/>
    <w:docVar w:name="KSO_WPS_MARK_KEY" w:val="55822b37-5984-4052-a37c-ac1f0fba953d"/>
  </w:docVars>
  <w:rsids>
    <w:rsidRoot w:val="00F5200C"/>
    <w:rsid w:val="00075CD8"/>
    <w:rsid w:val="0017293A"/>
    <w:rsid w:val="00173B32"/>
    <w:rsid w:val="001D65ED"/>
    <w:rsid w:val="00221625"/>
    <w:rsid w:val="0024354E"/>
    <w:rsid w:val="002C5E92"/>
    <w:rsid w:val="002E36F8"/>
    <w:rsid w:val="00304CA4"/>
    <w:rsid w:val="0038562E"/>
    <w:rsid w:val="003F0F83"/>
    <w:rsid w:val="005141E5"/>
    <w:rsid w:val="00645DDA"/>
    <w:rsid w:val="006A1BB5"/>
    <w:rsid w:val="00732C40"/>
    <w:rsid w:val="00743EBE"/>
    <w:rsid w:val="00763AC4"/>
    <w:rsid w:val="007D11C9"/>
    <w:rsid w:val="008060E3"/>
    <w:rsid w:val="00881AAD"/>
    <w:rsid w:val="008C5161"/>
    <w:rsid w:val="00A139CC"/>
    <w:rsid w:val="00BF12C8"/>
    <w:rsid w:val="00DB6F48"/>
    <w:rsid w:val="00E16BC2"/>
    <w:rsid w:val="00E43DE3"/>
    <w:rsid w:val="00E923CA"/>
    <w:rsid w:val="00F5200C"/>
    <w:rsid w:val="00FD42DB"/>
    <w:rsid w:val="019E14B8"/>
    <w:rsid w:val="01E303F1"/>
    <w:rsid w:val="02182ED7"/>
    <w:rsid w:val="044E2198"/>
    <w:rsid w:val="05207E71"/>
    <w:rsid w:val="065952C9"/>
    <w:rsid w:val="06905216"/>
    <w:rsid w:val="06F1103A"/>
    <w:rsid w:val="08384F8C"/>
    <w:rsid w:val="091B5EA7"/>
    <w:rsid w:val="0950756F"/>
    <w:rsid w:val="095962AF"/>
    <w:rsid w:val="0B520957"/>
    <w:rsid w:val="0BD77D87"/>
    <w:rsid w:val="0C169CC4"/>
    <w:rsid w:val="0C3752F6"/>
    <w:rsid w:val="0C526FE5"/>
    <w:rsid w:val="0C7246CC"/>
    <w:rsid w:val="0CD8398F"/>
    <w:rsid w:val="0E033729"/>
    <w:rsid w:val="0E6429C0"/>
    <w:rsid w:val="0F5B6FA3"/>
    <w:rsid w:val="10313BC2"/>
    <w:rsid w:val="103275F0"/>
    <w:rsid w:val="1092654A"/>
    <w:rsid w:val="118C31EF"/>
    <w:rsid w:val="127312E9"/>
    <w:rsid w:val="12C7575B"/>
    <w:rsid w:val="14510602"/>
    <w:rsid w:val="14951D9C"/>
    <w:rsid w:val="14C6326D"/>
    <w:rsid w:val="14D74D01"/>
    <w:rsid w:val="14E81589"/>
    <w:rsid w:val="15036C43"/>
    <w:rsid w:val="152E5463"/>
    <w:rsid w:val="15315305"/>
    <w:rsid w:val="16C60CFC"/>
    <w:rsid w:val="16E53451"/>
    <w:rsid w:val="175E7E22"/>
    <w:rsid w:val="17AC3D4D"/>
    <w:rsid w:val="1812295C"/>
    <w:rsid w:val="19312462"/>
    <w:rsid w:val="1A52441E"/>
    <w:rsid w:val="1B185171"/>
    <w:rsid w:val="1BA70886"/>
    <w:rsid w:val="1CA35168"/>
    <w:rsid w:val="1CF21731"/>
    <w:rsid w:val="1D175BB6"/>
    <w:rsid w:val="1F365409"/>
    <w:rsid w:val="1F6A65AC"/>
    <w:rsid w:val="1F76346B"/>
    <w:rsid w:val="1F7F5007"/>
    <w:rsid w:val="1FD46237"/>
    <w:rsid w:val="224F382E"/>
    <w:rsid w:val="22785DE7"/>
    <w:rsid w:val="23496C7B"/>
    <w:rsid w:val="240D5902"/>
    <w:rsid w:val="2443398C"/>
    <w:rsid w:val="25F56CFB"/>
    <w:rsid w:val="25F62A16"/>
    <w:rsid w:val="26105691"/>
    <w:rsid w:val="26F81083"/>
    <w:rsid w:val="26FA0563"/>
    <w:rsid w:val="27E15995"/>
    <w:rsid w:val="27E91DD5"/>
    <w:rsid w:val="28101DD7"/>
    <w:rsid w:val="285B1751"/>
    <w:rsid w:val="28AD41CE"/>
    <w:rsid w:val="2B51722F"/>
    <w:rsid w:val="2C9800E3"/>
    <w:rsid w:val="2C9822CE"/>
    <w:rsid w:val="2D79466E"/>
    <w:rsid w:val="2E8546B9"/>
    <w:rsid w:val="304C7CD5"/>
    <w:rsid w:val="316842DD"/>
    <w:rsid w:val="33100617"/>
    <w:rsid w:val="331F229F"/>
    <w:rsid w:val="342F506F"/>
    <w:rsid w:val="34B9415E"/>
    <w:rsid w:val="34C4365F"/>
    <w:rsid w:val="356A27E6"/>
    <w:rsid w:val="357A72CE"/>
    <w:rsid w:val="35A1247D"/>
    <w:rsid w:val="36017203"/>
    <w:rsid w:val="3641355C"/>
    <w:rsid w:val="368E4C54"/>
    <w:rsid w:val="382A30F6"/>
    <w:rsid w:val="38D22B1E"/>
    <w:rsid w:val="39812E39"/>
    <w:rsid w:val="39A64349"/>
    <w:rsid w:val="3A0D2AC1"/>
    <w:rsid w:val="3A43603C"/>
    <w:rsid w:val="3B6F79EF"/>
    <w:rsid w:val="3CF63839"/>
    <w:rsid w:val="3D1611A1"/>
    <w:rsid w:val="3D5B6383"/>
    <w:rsid w:val="3D9F5908"/>
    <w:rsid w:val="3DFF3123"/>
    <w:rsid w:val="3E7C4EAB"/>
    <w:rsid w:val="3FD044EF"/>
    <w:rsid w:val="41F17ABE"/>
    <w:rsid w:val="4269429E"/>
    <w:rsid w:val="428B6A3F"/>
    <w:rsid w:val="436B4989"/>
    <w:rsid w:val="43F27FFD"/>
    <w:rsid w:val="44F75683"/>
    <w:rsid w:val="458E5223"/>
    <w:rsid w:val="45922BA0"/>
    <w:rsid w:val="459F0398"/>
    <w:rsid w:val="45D77D33"/>
    <w:rsid w:val="46AA0C2A"/>
    <w:rsid w:val="47746789"/>
    <w:rsid w:val="48531B40"/>
    <w:rsid w:val="49A06CDC"/>
    <w:rsid w:val="4A137987"/>
    <w:rsid w:val="4B3069F3"/>
    <w:rsid w:val="4B9A0F31"/>
    <w:rsid w:val="4C7B0A82"/>
    <w:rsid w:val="4CCC4729"/>
    <w:rsid w:val="4CEA2347"/>
    <w:rsid w:val="4DA2135B"/>
    <w:rsid w:val="4FB7A3F4"/>
    <w:rsid w:val="4FEECAFB"/>
    <w:rsid w:val="502C3F23"/>
    <w:rsid w:val="504846FB"/>
    <w:rsid w:val="50AD146E"/>
    <w:rsid w:val="50ED5A1B"/>
    <w:rsid w:val="50F722C4"/>
    <w:rsid w:val="532B601F"/>
    <w:rsid w:val="5445302D"/>
    <w:rsid w:val="55CA1AF6"/>
    <w:rsid w:val="564F4219"/>
    <w:rsid w:val="56674E85"/>
    <w:rsid w:val="56FE3512"/>
    <w:rsid w:val="573C34EC"/>
    <w:rsid w:val="579A2F04"/>
    <w:rsid w:val="57A87054"/>
    <w:rsid w:val="58127562"/>
    <w:rsid w:val="58351110"/>
    <w:rsid w:val="59E91D95"/>
    <w:rsid w:val="5A1C1CB8"/>
    <w:rsid w:val="5B264E92"/>
    <w:rsid w:val="5BDB3EFE"/>
    <w:rsid w:val="5C470308"/>
    <w:rsid w:val="5CE325CC"/>
    <w:rsid w:val="5CE541B1"/>
    <w:rsid w:val="5CEF7E25"/>
    <w:rsid w:val="5D1256CE"/>
    <w:rsid w:val="5D214A5E"/>
    <w:rsid w:val="5D7C6629"/>
    <w:rsid w:val="5E4E4E2C"/>
    <w:rsid w:val="5F8108E9"/>
    <w:rsid w:val="5FB31300"/>
    <w:rsid w:val="5FB86A8D"/>
    <w:rsid w:val="5FE179D3"/>
    <w:rsid w:val="60486225"/>
    <w:rsid w:val="60DD2663"/>
    <w:rsid w:val="60E32FFC"/>
    <w:rsid w:val="62965EF5"/>
    <w:rsid w:val="62FF047D"/>
    <w:rsid w:val="641136ED"/>
    <w:rsid w:val="64191A38"/>
    <w:rsid w:val="645C3F74"/>
    <w:rsid w:val="654F1201"/>
    <w:rsid w:val="67984809"/>
    <w:rsid w:val="67D00AC3"/>
    <w:rsid w:val="67FF0825"/>
    <w:rsid w:val="682269E1"/>
    <w:rsid w:val="68F81C93"/>
    <w:rsid w:val="69006820"/>
    <w:rsid w:val="692A718C"/>
    <w:rsid w:val="69BA345B"/>
    <w:rsid w:val="69CA4BFA"/>
    <w:rsid w:val="6B5A71BA"/>
    <w:rsid w:val="6C1A0EEC"/>
    <w:rsid w:val="6C7A69C3"/>
    <w:rsid w:val="6DAE0D51"/>
    <w:rsid w:val="6DDF600F"/>
    <w:rsid w:val="6E606477"/>
    <w:rsid w:val="6EE02FE9"/>
    <w:rsid w:val="6FCA48BA"/>
    <w:rsid w:val="7067188C"/>
    <w:rsid w:val="706758D9"/>
    <w:rsid w:val="70ED7F61"/>
    <w:rsid w:val="71491F04"/>
    <w:rsid w:val="7232658D"/>
    <w:rsid w:val="72AC3973"/>
    <w:rsid w:val="7372A3F4"/>
    <w:rsid w:val="73B64C8E"/>
    <w:rsid w:val="74111574"/>
    <w:rsid w:val="741713C4"/>
    <w:rsid w:val="742004BD"/>
    <w:rsid w:val="74246E1D"/>
    <w:rsid w:val="761E7A36"/>
    <w:rsid w:val="76E73F75"/>
    <w:rsid w:val="77A6C24D"/>
    <w:rsid w:val="782B245A"/>
    <w:rsid w:val="7AAC78DE"/>
    <w:rsid w:val="7B4915CE"/>
    <w:rsid w:val="7BDF2293"/>
    <w:rsid w:val="7BF60FF0"/>
    <w:rsid w:val="7D632554"/>
    <w:rsid w:val="7DC26844"/>
    <w:rsid w:val="7E1176F9"/>
    <w:rsid w:val="7E3971D0"/>
    <w:rsid w:val="7E6FF168"/>
    <w:rsid w:val="7E7F6805"/>
    <w:rsid w:val="7EBEA264"/>
    <w:rsid w:val="7EE124EC"/>
    <w:rsid w:val="7F177986"/>
    <w:rsid w:val="7FA9E9C7"/>
    <w:rsid w:val="9DF1CFA2"/>
    <w:rsid w:val="BBCF7C26"/>
    <w:rsid w:val="BE7F11E4"/>
    <w:rsid w:val="BF77F870"/>
    <w:rsid w:val="BFED6ECA"/>
    <w:rsid w:val="DEEB4932"/>
    <w:rsid w:val="E159383E"/>
    <w:rsid w:val="EFFF6991"/>
    <w:rsid w:val="F5974E4E"/>
    <w:rsid w:val="F5FB8EE5"/>
    <w:rsid w:val="F79FB2BE"/>
    <w:rsid w:val="F9FD9289"/>
    <w:rsid w:val="FB887F35"/>
    <w:rsid w:val="FE5FD39F"/>
    <w:rsid w:val="FE67B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4"/>
      <w:lang w:val="en-US" w:eastAsia="zh-CN" w:bidi="ar-SA"/>
    </w:rPr>
  </w:style>
  <w:style w:type="paragraph" w:styleId="3">
    <w:name w:val="heading 1"/>
    <w:basedOn w:val="1"/>
    <w:next w:val="1"/>
    <w:qFormat/>
    <w:uiPriority w:val="0"/>
    <w:pPr>
      <w:pageBreakBefore/>
      <w:tabs>
        <w:tab w:val="left" w:pos="478"/>
      </w:tabs>
      <w:autoSpaceDE w:val="0"/>
      <w:autoSpaceDN w:val="0"/>
      <w:ind w:left="478" w:hanging="960"/>
      <w:jc w:val="center"/>
      <w:outlineLvl w:val="0"/>
    </w:pPr>
    <w:rPr>
      <w:rFonts w:ascii="宋体"/>
      <w:color w:val="000000"/>
      <w:kern w:val="0"/>
      <w:sz w:val="36"/>
    </w:rPr>
  </w:style>
  <w:style w:type="paragraph" w:styleId="4">
    <w:name w:val="heading 2"/>
    <w:basedOn w:val="1"/>
    <w:next w:val="5"/>
    <w:qFormat/>
    <w:uiPriority w:val="0"/>
    <w:pPr>
      <w:keepNext/>
      <w:keepLines/>
      <w:tabs>
        <w:tab w:val="left" w:pos="358"/>
      </w:tabs>
      <w:spacing w:line="360" w:lineRule="auto"/>
      <w:ind w:left="358" w:hanging="420"/>
      <w:outlineLvl w:val="1"/>
    </w:pPr>
    <w:rPr>
      <w:b/>
      <w:sz w:val="32"/>
    </w:rPr>
  </w:style>
  <w:style w:type="paragraph" w:styleId="6">
    <w:name w:val="heading 3"/>
    <w:basedOn w:val="1"/>
    <w:next w:val="1"/>
    <w:qFormat/>
    <w:uiPriority w:val="0"/>
    <w:pPr>
      <w:keepNext/>
      <w:keepLines/>
      <w:tabs>
        <w:tab w:val="left" w:pos="778"/>
      </w:tabs>
      <w:spacing w:beforeLines="50" w:afterLines="50" w:line="360" w:lineRule="auto"/>
      <w:ind w:firstLine="138" w:firstLineChars="49"/>
      <w:outlineLvl w:val="2"/>
    </w:pPr>
    <w:rPr>
      <w:rFonts w:ascii="Arial" w:hAnsi="宋体"/>
      <w:b/>
      <w:sz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styleId="5">
    <w:name w:val="Normal Indent"/>
    <w:basedOn w:val="1"/>
    <w:next w:val="1"/>
    <w:qFormat/>
    <w:uiPriority w:val="0"/>
    <w:pPr>
      <w:ind w:firstLine="420"/>
    </w:pPr>
    <w:rPr>
      <w:sz w:val="21"/>
    </w:rPr>
  </w:style>
  <w:style w:type="paragraph" w:styleId="7">
    <w:name w:val="List Number 2"/>
    <w:basedOn w:val="1"/>
    <w:semiHidden/>
    <w:unhideWhenUsed/>
    <w:qFormat/>
    <w:uiPriority w:val="99"/>
    <w:pPr>
      <w:numPr>
        <w:ilvl w:val="0"/>
        <w:numId w:val="1"/>
      </w:numPr>
    </w:pPr>
  </w:style>
  <w:style w:type="paragraph" w:styleId="8">
    <w:name w:val="caption"/>
    <w:basedOn w:val="1"/>
    <w:next w:val="1"/>
    <w:link w:val="66"/>
    <w:qFormat/>
    <w:uiPriority w:val="0"/>
    <w:pPr>
      <w:spacing w:before="152" w:after="160" w:line="360" w:lineRule="auto"/>
      <w:ind w:firstLine="476"/>
    </w:pPr>
    <w:rPr>
      <w:rFonts w:ascii="Arial" w:hAnsi="Arial" w:eastAsia="黑体"/>
      <w:spacing w:val="10"/>
      <w:sz w:val="20"/>
    </w:rPr>
  </w:style>
  <w:style w:type="paragraph" w:styleId="9">
    <w:name w:val="Salutation"/>
    <w:basedOn w:val="1"/>
    <w:next w:val="1"/>
    <w:qFormat/>
    <w:uiPriority w:val="0"/>
    <w:pPr>
      <w:spacing w:line="360" w:lineRule="auto"/>
      <w:ind w:firstLine="200" w:firstLineChars="200"/>
      <w:jc w:val="left"/>
    </w:pPr>
    <w:rPr>
      <w:rFonts w:ascii="Arial" w:hAnsi="Arial" w:eastAsia="楷体_GB2312"/>
      <w:sz w:val="28"/>
      <w:szCs w:val="24"/>
    </w:rPr>
  </w:style>
  <w:style w:type="paragraph" w:styleId="10">
    <w:name w:val="Closing"/>
    <w:basedOn w:val="1"/>
    <w:qFormat/>
    <w:uiPriority w:val="0"/>
    <w:pPr>
      <w:spacing w:line="360" w:lineRule="auto"/>
      <w:ind w:left="100" w:leftChars="2100" w:firstLine="200" w:firstLineChars="200"/>
      <w:jc w:val="left"/>
    </w:pPr>
    <w:rPr>
      <w:rFonts w:ascii="Arial" w:hAnsi="Arial" w:eastAsia="楷体_GB2312"/>
      <w:sz w:val="28"/>
      <w:szCs w:val="24"/>
    </w:rPr>
  </w:style>
  <w:style w:type="paragraph" w:styleId="11">
    <w:name w:val="Body Text"/>
    <w:basedOn w:val="1"/>
    <w:next w:val="12"/>
    <w:semiHidden/>
    <w:unhideWhenUsed/>
    <w:qFormat/>
    <w:uiPriority w:val="99"/>
    <w:pPr>
      <w:spacing w:after="120"/>
    </w:pPr>
  </w:style>
  <w:style w:type="paragraph" w:styleId="12">
    <w:name w:val="Body Text First Indent"/>
    <w:basedOn w:val="11"/>
    <w:next w:val="1"/>
    <w:semiHidden/>
    <w:unhideWhenUsed/>
    <w:qFormat/>
    <w:uiPriority w:val="99"/>
    <w:pPr>
      <w:ind w:firstLine="420" w:firstLineChars="100"/>
    </w:pPr>
  </w:style>
  <w:style w:type="paragraph" w:styleId="13">
    <w:name w:val="Body Text Indent"/>
    <w:basedOn w:val="1"/>
    <w:next w:val="5"/>
    <w:qFormat/>
    <w:uiPriority w:val="99"/>
    <w:pPr>
      <w:spacing w:line="360" w:lineRule="auto"/>
      <w:ind w:firstLine="525"/>
    </w:pPr>
    <w:rPr>
      <w:rFonts w:ascii="宋体"/>
    </w:rPr>
  </w:style>
  <w:style w:type="paragraph" w:styleId="14">
    <w:name w:val="Plain Text"/>
    <w:basedOn w:val="1"/>
    <w:next w:val="1"/>
    <w:qFormat/>
    <w:uiPriority w:val="99"/>
    <w:rPr>
      <w:rFonts w:ascii="宋体" w:hAnsi="Courier New"/>
      <w:sz w:val="21"/>
    </w:rPr>
  </w:style>
  <w:style w:type="paragraph" w:styleId="15">
    <w:name w:val="Date"/>
    <w:basedOn w:val="1"/>
    <w:next w:val="1"/>
    <w:link w:val="93"/>
    <w:qFormat/>
    <w:uiPriority w:val="0"/>
    <w:rPr>
      <w:rFonts w:ascii="楷体_GB2312" w:eastAsia="楷体_GB2312"/>
      <w:kern w:val="0"/>
      <w:sz w:val="32"/>
    </w:rPr>
  </w:style>
  <w:style w:type="paragraph" w:styleId="16">
    <w:name w:val="Balloon Text"/>
    <w:basedOn w:val="1"/>
    <w:link w:val="563"/>
    <w:semiHidden/>
    <w:unhideWhenUsed/>
    <w:qFormat/>
    <w:uiPriority w:val="99"/>
    <w:rPr>
      <w:sz w:val="18"/>
      <w:szCs w:val="18"/>
    </w:rPr>
  </w:style>
  <w:style w:type="paragraph" w:styleId="17">
    <w:name w:val="footer"/>
    <w:basedOn w:val="1"/>
    <w:link w:val="99"/>
    <w:qFormat/>
    <w:uiPriority w:val="0"/>
    <w:pPr>
      <w:tabs>
        <w:tab w:val="center" w:pos="4153"/>
        <w:tab w:val="right" w:pos="8306"/>
      </w:tabs>
      <w:snapToGrid w:val="0"/>
      <w:jc w:val="left"/>
    </w:pPr>
    <w:rPr>
      <w:sz w:val="18"/>
    </w:rPr>
  </w:style>
  <w:style w:type="paragraph" w:styleId="18">
    <w:name w:val="header"/>
    <w:basedOn w:val="1"/>
    <w:link w:val="101"/>
    <w:qFormat/>
    <w:uiPriority w:val="0"/>
    <w:pPr>
      <w:pBdr>
        <w:bottom w:val="single" w:color="000000" w:sz="6" w:space="1"/>
      </w:pBdr>
      <w:tabs>
        <w:tab w:val="center" w:pos="4153"/>
        <w:tab w:val="right" w:pos="8306"/>
      </w:tabs>
      <w:snapToGrid w:val="0"/>
      <w:jc w:val="center"/>
    </w:pPr>
    <w:rPr>
      <w:kern w:val="0"/>
      <w:sz w:val="18"/>
    </w:rPr>
  </w:style>
  <w:style w:type="paragraph" w:styleId="19">
    <w:name w:val="Signature"/>
    <w:basedOn w:val="1"/>
    <w:qFormat/>
    <w:uiPriority w:val="0"/>
    <w:pPr>
      <w:ind w:left="100" w:leftChars="2100"/>
    </w:pPr>
    <w:rPr>
      <w:sz w:val="21"/>
      <w:szCs w:val="24"/>
    </w:rPr>
  </w:style>
  <w:style w:type="paragraph" w:styleId="20">
    <w:name w:val="toc 1"/>
    <w:basedOn w:val="1"/>
    <w:next w:val="1"/>
    <w:qFormat/>
    <w:uiPriority w:val="39"/>
    <w:pPr>
      <w:spacing w:before="120"/>
    </w:pPr>
    <w:rPr>
      <w:b/>
      <w:caps/>
      <w:sz w:val="22"/>
      <w:szCs w:val="22"/>
    </w:rPr>
  </w:style>
  <w:style w:type="paragraph" w:styleId="21">
    <w:name w:val="Subtitle"/>
    <w:basedOn w:val="1"/>
    <w:qFormat/>
    <w:uiPriority w:val="0"/>
    <w:pPr>
      <w:spacing w:after="60" w:line="360" w:lineRule="atLeast"/>
      <w:jc w:val="center"/>
    </w:pPr>
    <w:rPr>
      <w:rFonts w:ascii="Arial" w:hAnsi="Arial" w:eastAsia="黑体"/>
      <w:kern w:val="0"/>
    </w:rPr>
  </w:style>
  <w:style w:type="paragraph" w:styleId="22">
    <w:name w:val="List"/>
    <w:basedOn w:val="1"/>
    <w:qFormat/>
    <w:uiPriority w:val="0"/>
    <w:pPr>
      <w:ind w:left="200" w:hanging="200" w:hangingChars="200"/>
    </w:pPr>
    <w:rPr>
      <w:sz w:val="21"/>
      <w:szCs w:val="24"/>
    </w:rPr>
  </w:style>
  <w:style w:type="paragraph" w:styleId="23">
    <w:name w:val="Normal (Web)"/>
    <w:basedOn w:val="1"/>
    <w:qFormat/>
    <w:uiPriority w:val="0"/>
    <w:pPr>
      <w:spacing w:beforeAutospacing="1" w:afterAutospacing="1"/>
      <w:jc w:val="left"/>
    </w:pPr>
    <w:rPr>
      <w:rFonts w:ascii="宋体" w:hAnsi="宋体"/>
      <w:kern w:val="0"/>
      <w:sz w:val="22"/>
    </w:rPr>
  </w:style>
  <w:style w:type="paragraph" w:styleId="24">
    <w:name w:val="Title"/>
    <w:basedOn w:val="1"/>
    <w:next w:val="1"/>
    <w:link w:val="125"/>
    <w:qFormat/>
    <w:uiPriority w:val="0"/>
    <w:pPr>
      <w:spacing w:before="240" w:after="60" w:line="360" w:lineRule="auto"/>
      <w:ind w:firstLine="200" w:firstLineChars="200"/>
      <w:jc w:val="center"/>
    </w:pPr>
    <w:rPr>
      <w:rFonts w:ascii="Arial" w:hAnsi="Arial" w:eastAsia="楷体_GB2312" w:cs="Arial"/>
      <w:sz w:val="32"/>
      <w:szCs w:val="32"/>
    </w:rPr>
  </w:style>
  <w:style w:type="paragraph" w:styleId="25">
    <w:name w:val="Body Text First Indent 2"/>
    <w:basedOn w:val="13"/>
    <w:next w:val="1"/>
    <w:qFormat/>
    <w:uiPriority w:val="0"/>
    <w:pPr>
      <w:spacing w:line="240" w:lineRule="auto"/>
      <w:ind w:left="420" w:leftChars="200" w:firstLine="420" w:firstLineChars="200"/>
    </w:pPr>
    <w:rPr>
      <w:rFonts w:ascii="Times New Roman"/>
    </w:rPr>
  </w:style>
  <w:style w:type="character" w:styleId="28">
    <w:name w:val="Strong"/>
    <w:qFormat/>
    <w:uiPriority w:val="0"/>
    <w:rPr>
      <w:b/>
    </w:rPr>
  </w:style>
  <w:style w:type="character" w:styleId="29">
    <w:name w:val="FollowedHyperlink"/>
    <w:qFormat/>
    <w:uiPriority w:val="0"/>
    <w:rPr>
      <w:color w:val="800080"/>
      <w:u w:val="single"/>
    </w:rPr>
  </w:style>
  <w:style w:type="character" w:styleId="30">
    <w:name w:val="Emphasis"/>
    <w:qFormat/>
    <w:uiPriority w:val="0"/>
    <w:rPr>
      <w:color w:val="CC0033"/>
    </w:rPr>
  </w:style>
  <w:style w:type="character" w:styleId="31">
    <w:name w:val="Hyperlink"/>
    <w:qFormat/>
    <w:uiPriority w:val="0"/>
    <w:rPr>
      <w:color w:val="0000FF"/>
      <w:u w:val="single"/>
    </w:rPr>
  </w:style>
  <w:style w:type="paragraph" w:customStyle="1" w:styleId="32">
    <w:name w:val="Heading1"/>
    <w:basedOn w:val="1"/>
    <w:next w:val="1"/>
    <w:qFormat/>
    <w:uiPriority w:val="0"/>
    <w:pPr>
      <w:pageBreakBefore/>
      <w:tabs>
        <w:tab w:val="left" w:pos="478"/>
      </w:tabs>
      <w:spacing w:before="240" w:after="120"/>
      <w:ind w:left="478" w:hanging="960"/>
      <w:jc w:val="center"/>
    </w:pPr>
    <w:rPr>
      <w:rFonts w:ascii="宋体"/>
      <w:color w:val="000000"/>
      <w:kern w:val="0"/>
      <w:sz w:val="36"/>
    </w:rPr>
  </w:style>
  <w:style w:type="paragraph" w:customStyle="1" w:styleId="33">
    <w:name w:val="Heading2"/>
    <w:basedOn w:val="1"/>
    <w:next w:val="34"/>
    <w:qFormat/>
    <w:uiPriority w:val="0"/>
    <w:pPr>
      <w:keepNext/>
      <w:keepLines/>
      <w:tabs>
        <w:tab w:val="left" w:pos="358"/>
      </w:tabs>
      <w:spacing w:before="400" w:line="360" w:lineRule="auto"/>
      <w:ind w:left="358" w:hanging="420"/>
    </w:pPr>
    <w:rPr>
      <w:sz w:val="32"/>
    </w:rPr>
  </w:style>
  <w:style w:type="paragraph" w:customStyle="1" w:styleId="34">
    <w:name w:val="BodyText1I"/>
    <w:basedOn w:val="1"/>
    <w:next w:val="1"/>
    <w:link w:val="49"/>
    <w:qFormat/>
    <w:uiPriority w:val="0"/>
    <w:pPr>
      <w:spacing w:line="300" w:lineRule="auto"/>
      <w:ind w:firstLine="476"/>
    </w:pPr>
  </w:style>
  <w:style w:type="paragraph" w:customStyle="1" w:styleId="35">
    <w:name w:val="Heading3"/>
    <w:basedOn w:val="1"/>
    <w:next w:val="34"/>
    <w:qFormat/>
    <w:uiPriority w:val="0"/>
    <w:pPr>
      <w:keepNext/>
      <w:keepLines/>
      <w:tabs>
        <w:tab w:val="left" w:pos="778"/>
      </w:tabs>
      <w:spacing w:before="156" w:after="156" w:line="360" w:lineRule="auto"/>
      <w:ind w:firstLine="138" w:firstLineChars="49"/>
    </w:pPr>
    <w:rPr>
      <w:rFonts w:ascii="Arial" w:hAnsi="宋体"/>
      <w:sz w:val="28"/>
    </w:rPr>
  </w:style>
  <w:style w:type="paragraph" w:customStyle="1" w:styleId="36">
    <w:name w:val="Heading4"/>
    <w:basedOn w:val="1"/>
    <w:next w:val="37"/>
    <w:qFormat/>
    <w:uiPriority w:val="0"/>
    <w:pPr>
      <w:keepNext/>
      <w:keepLines/>
      <w:tabs>
        <w:tab w:val="left" w:pos="1198"/>
      </w:tabs>
      <w:spacing w:before="120" w:line="360" w:lineRule="auto"/>
      <w:ind w:left="1198" w:hanging="420"/>
    </w:pPr>
    <w:rPr>
      <w:sz w:val="28"/>
    </w:rPr>
  </w:style>
  <w:style w:type="paragraph" w:customStyle="1" w:styleId="37">
    <w:name w:val="PlainText"/>
    <w:basedOn w:val="1"/>
    <w:next w:val="1"/>
    <w:link w:val="46"/>
    <w:qFormat/>
    <w:uiPriority w:val="0"/>
    <w:rPr>
      <w:rFonts w:ascii="宋体" w:hAnsi="Courier New"/>
      <w:sz w:val="21"/>
    </w:rPr>
  </w:style>
  <w:style w:type="paragraph" w:customStyle="1" w:styleId="38">
    <w:name w:val="Heading5"/>
    <w:basedOn w:val="1"/>
    <w:qFormat/>
    <w:uiPriority w:val="0"/>
    <w:pPr>
      <w:keepNext/>
      <w:keepLines/>
      <w:tabs>
        <w:tab w:val="left" w:pos="1618"/>
      </w:tabs>
      <w:spacing w:before="60" w:after="312"/>
      <w:ind w:left="1618" w:hanging="420"/>
    </w:pPr>
  </w:style>
  <w:style w:type="paragraph" w:customStyle="1" w:styleId="39">
    <w:name w:val="Heading6"/>
    <w:basedOn w:val="1"/>
    <w:qFormat/>
    <w:uiPriority w:val="0"/>
    <w:pPr>
      <w:keepNext/>
      <w:keepLines/>
      <w:tabs>
        <w:tab w:val="left" w:pos="2038"/>
      </w:tabs>
      <w:spacing w:before="240" w:after="64" w:line="317" w:lineRule="auto"/>
      <w:ind w:left="2038" w:hanging="420"/>
    </w:pPr>
    <w:rPr>
      <w:rFonts w:ascii="Arial" w:hAnsi="Arial" w:eastAsia="黑体"/>
    </w:rPr>
  </w:style>
  <w:style w:type="paragraph" w:customStyle="1" w:styleId="40">
    <w:name w:val="Heading7"/>
    <w:basedOn w:val="1"/>
    <w:next w:val="1"/>
    <w:qFormat/>
    <w:uiPriority w:val="0"/>
    <w:pPr>
      <w:keepNext/>
      <w:keepLines/>
      <w:spacing w:before="240" w:after="64" w:line="317" w:lineRule="auto"/>
    </w:pPr>
  </w:style>
  <w:style w:type="paragraph" w:customStyle="1" w:styleId="41">
    <w:name w:val="Heading8"/>
    <w:basedOn w:val="1"/>
    <w:next w:val="1"/>
    <w:qFormat/>
    <w:uiPriority w:val="0"/>
    <w:pPr>
      <w:keepNext/>
      <w:keepLines/>
      <w:spacing w:before="240" w:after="64" w:line="317" w:lineRule="auto"/>
    </w:pPr>
    <w:rPr>
      <w:rFonts w:ascii="Arial" w:hAnsi="Arial" w:eastAsia="黑体"/>
    </w:rPr>
  </w:style>
  <w:style w:type="paragraph" w:customStyle="1" w:styleId="42">
    <w:name w:val="Heading9"/>
    <w:basedOn w:val="1"/>
    <w:next w:val="1"/>
    <w:link w:val="45"/>
    <w:qFormat/>
    <w:uiPriority w:val="0"/>
    <w:pPr>
      <w:keepNext/>
      <w:keepLines/>
      <w:spacing w:before="240" w:after="64" w:line="317" w:lineRule="auto"/>
    </w:pPr>
    <w:rPr>
      <w:rFonts w:ascii="Arial" w:hAnsi="Arial" w:eastAsia="黑体"/>
      <w:sz w:val="21"/>
    </w:rPr>
  </w:style>
  <w:style w:type="character" w:customStyle="1" w:styleId="43">
    <w:name w:val="NormalCharacter"/>
    <w:qFormat/>
    <w:uiPriority w:val="0"/>
  </w:style>
  <w:style w:type="table" w:customStyle="1" w:styleId="44">
    <w:name w:val="TableNormal"/>
    <w:semiHidden/>
    <w:qFormat/>
    <w:uiPriority w:val="0"/>
    <w:tblPr>
      <w:tblCellMar>
        <w:top w:w="0" w:type="dxa"/>
        <w:left w:w="0" w:type="dxa"/>
        <w:bottom w:w="0" w:type="dxa"/>
        <w:right w:w="0" w:type="dxa"/>
      </w:tblCellMar>
    </w:tblPr>
  </w:style>
  <w:style w:type="character" w:customStyle="1" w:styleId="45">
    <w:name w:val="UserStyle_0"/>
    <w:link w:val="42"/>
    <w:qFormat/>
    <w:uiPriority w:val="0"/>
    <w:rPr>
      <w:b/>
      <w:kern w:val="2"/>
      <w:sz w:val="28"/>
    </w:rPr>
  </w:style>
  <w:style w:type="character" w:customStyle="1" w:styleId="46">
    <w:name w:val="UserStyle_1"/>
    <w:link w:val="37"/>
    <w:qFormat/>
    <w:uiPriority w:val="0"/>
    <w:rPr>
      <w:rFonts w:ascii="宋体" w:hAnsi="Courier New"/>
      <w:kern w:val="2"/>
      <w:sz w:val="21"/>
    </w:rPr>
  </w:style>
  <w:style w:type="character" w:customStyle="1" w:styleId="47">
    <w:name w:val="UserStyle_2"/>
    <w:qFormat/>
    <w:uiPriority w:val="0"/>
    <w:rPr>
      <w:rFonts w:ascii="宋体"/>
      <w:color w:val="000000"/>
      <w:sz w:val="36"/>
    </w:rPr>
  </w:style>
  <w:style w:type="character" w:customStyle="1" w:styleId="48">
    <w:name w:val="UserStyle_3"/>
    <w:qFormat/>
    <w:uiPriority w:val="0"/>
    <w:rPr>
      <w:b/>
      <w:kern w:val="2"/>
      <w:sz w:val="32"/>
    </w:rPr>
  </w:style>
  <w:style w:type="character" w:customStyle="1" w:styleId="49">
    <w:name w:val="UserStyle_4"/>
    <w:link w:val="34"/>
    <w:qFormat/>
    <w:uiPriority w:val="0"/>
    <w:rPr>
      <w:kern w:val="2"/>
      <w:sz w:val="24"/>
    </w:rPr>
  </w:style>
  <w:style w:type="character" w:customStyle="1" w:styleId="50">
    <w:name w:val="UserStyle_5"/>
    <w:qFormat/>
    <w:uiPriority w:val="0"/>
    <w:rPr>
      <w:rFonts w:ascii="Arial" w:hAnsi="宋体"/>
      <w:b/>
      <w:kern w:val="2"/>
      <w:sz w:val="28"/>
    </w:rPr>
  </w:style>
  <w:style w:type="character" w:customStyle="1" w:styleId="51">
    <w:name w:val="UserStyle_6"/>
    <w:qFormat/>
    <w:uiPriority w:val="0"/>
    <w:rPr>
      <w:b/>
      <w:kern w:val="2"/>
      <w:sz w:val="24"/>
    </w:rPr>
  </w:style>
  <w:style w:type="paragraph" w:customStyle="1" w:styleId="52">
    <w:name w:val="UserStyle_7"/>
    <w:basedOn w:val="1"/>
    <w:qFormat/>
    <w:uiPriority w:val="0"/>
    <w:pPr>
      <w:spacing w:before="60"/>
      <w:ind w:firstLine="476"/>
    </w:pPr>
  </w:style>
  <w:style w:type="character" w:customStyle="1" w:styleId="53">
    <w:name w:val="UserStyle_8"/>
    <w:qFormat/>
    <w:uiPriority w:val="0"/>
    <w:rPr>
      <w:rFonts w:ascii="Arial" w:hAnsi="Arial" w:eastAsia="黑体"/>
      <w:kern w:val="2"/>
      <w:sz w:val="24"/>
    </w:rPr>
  </w:style>
  <w:style w:type="character" w:customStyle="1" w:styleId="54">
    <w:name w:val="UserStyle_9"/>
    <w:qFormat/>
    <w:uiPriority w:val="0"/>
    <w:rPr>
      <w:rFonts w:eastAsia="宋体"/>
      <w:b/>
      <w:kern w:val="2"/>
      <w:sz w:val="24"/>
      <w:lang w:val="en-US" w:eastAsia="zh-CN" w:bidi="ar-SA"/>
    </w:rPr>
  </w:style>
  <w:style w:type="character" w:customStyle="1" w:styleId="55">
    <w:name w:val="UserStyle_10"/>
    <w:qFormat/>
    <w:uiPriority w:val="0"/>
    <w:rPr>
      <w:rFonts w:ascii="Arial" w:hAnsi="Arial" w:eastAsia="黑体"/>
      <w:kern w:val="2"/>
      <w:sz w:val="24"/>
      <w:lang w:val="en-US" w:eastAsia="zh-CN" w:bidi="ar-SA"/>
    </w:rPr>
  </w:style>
  <w:style w:type="character" w:customStyle="1" w:styleId="56">
    <w:name w:val="UserStyle_11"/>
    <w:qFormat/>
    <w:uiPriority w:val="0"/>
    <w:rPr>
      <w:rFonts w:ascii="Arial" w:hAnsi="Arial" w:eastAsia="黑体"/>
      <w:kern w:val="2"/>
      <w:sz w:val="21"/>
      <w:lang w:val="en-US" w:eastAsia="zh-CN" w:bidi="ar-SA"/>
    </w:rPr>
  </w:style>
  <w:style w:type="paragraph" w:customStyle="1" w:styleId="57">
    <w:name w:val="List3"/>
    <w:basedOn w:val="1"/>
    <w:qFormat/>
    <w:uiPriority w:val="0"/>
    <w:pPr>
      <w:ind w:left="100" w:leftChars="400" w:hanging="200" w:hangingChars="200"/>
    </w:pPr>
    <w:rPr>
      <w:sz w:val="21"/>
      <w:szCs w:val="24"/>
    </w:rPr>
  </w:style>
  <w:style w:type="paragraph" w:customStyle="1" w:styleId="58">
    <w:name w:val="TOC7"/>
    <w:basedOn w:val="1"/>
    <w:next w:val="1"/>
    <w:qFormat/>
    <w:uiPriority w:val="0"/>
    <w:pPr>
      <w:ind w:left="1260"/>
      <w:jc w:val="left"/>
    </w:pPr>
    <w:rPr>
      <w:sz w:val="18"/>
    </w:rPr>
  </w:style>
  <w:style w:type="paragraph" w:customStyle="1" w:styleId="59">
    <w:name w:val="ListNumber2"/>
    <w:basedOn w:val="1"/>
    <w:qFormat/>
    <w:uiPriority w:val="0"/>
    <w:pPr>
      <w:tabs>
        <w:tab w:val="left" w:pos="1130"/>
      </w:tabs>
      <w:spacing w:line="360" w:lineRule="auto"/>
      <w:ind w:left="1130" w:hanging="420"/>
      <w:jc w:val="left"/>
    </w:pPr>
    <w:rPr>
      <w:rFonts w:ascii="Arial" w:hAnsi="Arial" w:eastAsia="楷体_GB2312"/>
      <w:sz w:val="28"/>
      <w:szCs w:val="24"/>
    </w:rPr>
  </w:style>
  <w:style w:type="paragraph" w:customStyle="1" w:styleId="60">
    <w:name w:val="NoteHeading"/>
    <w:basedOn w:val="1"/>
    <w:next w:val="1"/>
    <w:qFormat/>
    <w:uiPriority w:val="0"/>
    <w:pPr>
      <w:spacing w:line="360" w:lineRule="auto"/>
      <w:ind w:firstLine="200" w:firstLineChars="200"/>
      <w:jc w:val="center"/>
    </w:pPr>
    <w:rPr>
      <w:rFonts w:ascii="Arial" w:hAnsi="Arial" w:eastAsia="楷体_GB2312"/>
      <w:sz w:val="28"/>
      <w:szCs w:val="24"/>
    </w:rPr>
  </w:style>
  <w:style w:type="paragraph" w:customStyle="1" w:styleId="61">
    <w:name w:val="ListBullet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62">
    <w:name w:val="AutoSignature"/>
    <w:basedOn w:val="1"/>
    <w:qFormat/>
    <w:uiPriority w:val="0"/>
    <w:pPr>
      <w:spacing w:line="360" w:lineRule="auto"/>
      <w:ind w:firstLine="200" w:firstLineChars="200"/>
      <w:jc w:val="left"/>
    </w:pPr>
    <w:rPr>
      <w:rFonts w:ascii="Arial" w:hAnsi="Arial" w:eastAsia="楷体_GB2312"/>
      <w:sz w:val="28"/>
      <w:szCs w:val="24"/>
    </w:rPr>
  </w:style>
  <w:style w:type="paragraph" w:customStyle="1" w:styleId="63">
    <w:name w:val="ListNumber"/>
    <w:basedOn w:val="1"/>
    <w:qFormat/>
    <w:uiPriority w:val="0"/>
    <w:pPr>
      <w:tabs>
        <w:tab w:val="left" w:pos="900"/>
      </w:tabs>
      <w:spacing w:line="360" w:lineRule="auto"/>
      <w:ind w:left="900" w:hanging="420"/>
      <w:jc w:val="left"/>
    </w:pPr>
    <w:rPr>
      <w:rFonts w:ascii="Arial" w:hAnsi="Arial" w:eastAsia="楷体_GB2312"/>
      <w:sz w:val="28"/>
      <w:szCs w:val="24"/>
    </w:rPr>
  </w:style>
  <w:style w:type="paragraph" w:customStyle="1" w:styleId="64">
    <w:name w:val="NormalIndent"/>
    <w:basedOn w:val="1"/>
    <w:link w:val="65"/>
    <w:qFormat/>
    <w:uiPriority w:val="0"/>
    <w:pPr>
      <w:ind w:firstLine="420"/>
    </w:pPr>
    <w:rPr>
      <w:sz w:val="21"/>
    </w:rPr>
  </w:style>
  <w:style w:type="character" w:customStyle="1" w:styleId="65">
    <w:name w:val="UserStyle_12"/>
    <w:link w:val="64"/>
    <w:qFormat/>
    <w:uiPriority w:val="0"/>
    <w:rPr>
      <w:rFonts w:eastAsia="宋体"/>
      <w:kern w:val="2"/>
      <w:sz w:val="21"/>
      <w:lang w:val="en-US" w:eastAsia="zh-CN"/>
    </w:rPr>
  </w:style>
  <w:style w:type="character" w:customStyle="1" w:styleId="66">
    <w:name w:val="题注 Char"/>
    <w:link w:val="8"/>
    <w:qFormat/>
    <w:uiPriority w:val="0"/>
    <w:rPr>
      <w:rFonts w:ascii="Arial" w:hAnsi="Arial" w:eastAsia="黑体"/>
      <w:spacing w:val="10"/>
      <w:kern w:val="2"/>
    </w:rPr>
  </w:style>
  <w:style w:type="paragraph" w:customStyle="1" w:styleId="67">
    <w:name w:val="Index5"/>
    <w:basedOn w:val="1"/>
    <w:next w:val="1"/>
    <w:qFormat/>
    <w:uiPriority w:val="0"/>
    <w:pPr>
      <w:tabs>
        <w:tab w:val="left" w:pos="5760"/>
      </w:tabs>
      <w:ind w:left="1920" w:leftChars="800"/>
      <w:jc w:val="left"/>
    </w:pPr>
  </w:style>
  <w:style w:type="paragraph" w:customStyle="1" w:styleId="68">
    <w:name w:val="ListBullet"/>
    <w:basedOn w:val="1"/>
    <w:qFormat/>
    <w:uiPriority w:val="0"/>
    <w:pPr>
      <w:tabs>
        <w:tab w:val="left" w:pos="748"/>
      </w:tabs>
      <w:spacing w:line="360" w:lineRule="auto"/>
      <w:ind w:left="748" w:hanging="374"/>
    </w:pPr>
    <w:rPr>
      <w:sz w:val="21"/>
    </w:rPr>
  </w:style>
  <w:style w:type="paragraph" w:customStyle="1" w:styleId="69">
    <w:name w:val="EnvelopeAddress"/>
    <w:basedOn w:val="1"/>
    <w:qFormat/>
    <w:uiPriority w:val="0"/>
    <w:pPr>
      <w:snapToGrid w:val="0"/>
      <w:spacing w:line="360" w:lineRule="auto"/>
      <w:ind w:left="100" w:leftChars="1400" w:firstLine="200" w:firstLineChars="200"/>
      <w:jc w:val="left"/>
    </w:pPr>
    <w:rPr>
      <w:rFonts w:ascii="Arial" w:hAnsi="Arial" w:eastAsia="楷体_GB2312"/>
      <w:szCs w:val="24"/>
    </w:rPr>
  </w:style>
  <w:style w:type="paragraph" w:customStyle="1" w:styleId="70">
    <w:name w:val="NavPane"/>
    <w:basedOn w:val="1"/>
    <w:link w:val="71"/>
    <w:qFormat/>
    <w:uiPriority w:val="0"/>
    <w:pPr>
      <w:shd w:val="clear" w:color="auto" w:fill="000080"/>
    </w:pPr>
    <w:rPr>
      <w:shd w:val="clear" w:color="auto" w:fill="000080"/>
    </w:rPr>
  </w:style>
  <w:style w:type="character" w:customStyle="1" w:styleId="71">
    <w:name w:val="UserStyle_14"/>
    <w:link w:val="70"/>
    <w:qFormat/>
    <w:uiPriority w:val="0"/>
    <w:rPr>
      <w:kern w:val="2"/>
      <w:sz w:val="24"/>
      <w:shd w:val="clear" w:color="auto" w:fill="000080"/>
    </w:rPr>
  </w:style>
  <w:style w:type="paragraph" w:customStyle="1" w:styleId="72">
    <w:name w:val="TOAHeading"/>
    <w:basedOn w:val="1"/>
    <w:next w:val="1"/>
    <w:qFormat/>
    <w:uiPriority w:val="0"/>
    <w:pPr>
      <w:snapToGrid w:val="0"/>
      <w:spacing w:before="120" w:line="360" w:lineRule="auto"/>
    </w:pPr>
    <w:rPr>
      <w:rFonts w:ascii="Arial" w:hAnsi="Arial"/>
      <w:color w:val="000000"/>
      <w:kern w:val="0"/>
      <w:sz w:val="21"/>
    </w:rPr>
  </w:style>
  <w:style w:type="paragraph" w:customStyle="1" w:styleId="73">
    <w:name w:val="AnnotationText"/>
    <w:basedOn w:val="1"/>
    <w:link w:val="74"/>
    <w:qFormat/>
    <w:uiPriority w:val="0"/>
    <w:pPr>
      <w:jc w:val="left"/>
    </w:pPr>
  </w:style>
  <w:style w:type="character" w:customStyle="1" w:styleId="74">
    <w:name w:val="UserStyle_15"/>
    <w:link w:val="73"/>
    <w:qFormat/>
    <w:uiPriority w:val="0"/>
    <w:rPr>
      <w:kern w:val="2"/>
      <w:sz w:val="24"/>
    </w:rPr>
  </w:style>
  <w:style w:type="paragraph" w:customStyle="1" w:styleId="75">
    <w:name w:val="BodyText3"/>
    <w:basedOn w:val="1"/>
    <w:qFormat/>
    <w:uiPriority w:val="0"/>
    <w:pPr>
      <w:spacing w:after="120"/>
    </w:pPr>
    <w:rPr>
      <w:sz w:val="16"/>
      <w:szCs w:val="16"/>
    </w:rPr>
  </w:style>
  <w:style w:type="paragraph" w:customStyle="1" w:styleId="76">
    <w:name w:val="ListBullet3"/>
    <w:basedOn w:val="1"/>
    <w:qFormat/>
    <w:uiPriority w:val="0"/>
    <w:pPr>
      <w:tabs>
        <w:tab w:val="left" w:pos="360"/>
        <w:tab w:val="left" w:pos="1200"/>
      </w:tabs>
      <w:spacing w:line="360" w:lineRule="auto"/>
      <w:ind w:left="1200" w:leftChars="400" w:hanging="360"/>
      <w:jc w:val="left"/>
    </w:pPr>
    <w:rPr>
      <w:rFonts w:ascii="Arial" w:hAnsi="Arial" w:eastAsia="楷体_GB2312"/>
      <w:sz w:val="28"/>
      <w:szCs w:val="24"/>
    </w:rPr>
  </w:style>
  <w:style w:type="paragraph" w:customStyle="1" w:styleId="77">
    <w:name w:val="BodyText"/>
    <w:basedOn w:val="1"/>
    <w:next w:val="1"/>
    <w:link w:val="78"/>
    <w:qFormat/>
    <w:uiPriority w:val="0"/>
    <w:pPr>
      <w:spacing w:line="480" w:lineRule="auto"/>
      <w:jc w:val="left"/>
    </w:pPr>
    <w:rPr>
      <w:rFonts w:ascii="宋体"/>
      <w:color w:val="FF0000"/>
      <w:kern w:val="0"/>
    </w:rPr>
  </w:style>
  <w:style w:type="character" w:customStyle="1" w:styleId="78">
    <w:name w:val="UserStyle_16"/>
    <w:link w:val="77"/>
    <w:qFormat/>
    <w:uiPriority w:val="0"/>
    <w:rPr>
      <w:rFonts w:ascii="宋体"/>
      <w:color w:val="FF0000"/>
      <w:sz w:val="24"/>
    </w:rPr>
  </w:style>
  <w:style w:type="paragraph" w:customStyle="1" w:styleId="79">
    <w:name w:val="BodyTextIndent"/>
    <w:basedOn w:val="1"/>
    <w:next w:val="80"/>
    <w:link w:val="81"/>
    <w:qFormat/>
    <w:uiPriority w:val="0"/>
    <w:pPr>
      <w:spacing w:before="120" w:after="120" w:line="360" w:lineRule="auto"/>
      <w:ind w:firstLine="525"/>
    </w:pPr>
    <w:rPr>
      <w:rFonts w:ascii="宋体"/>
    </w:rPr>
  </w:style>
  <w:style w:type="paragraph" w:customStyle="1" w:styleId="80">
    <w:name w:val="UserStyle_17"/>
    <w:basedOn w:val="79"/>
    <w:qFormat/>
    <w:uiPriority w:val="0"/>
    <w:pPr>
      <w:spacing w:before="156"/>
      <w:ind w:firstLine="645"/>
    </w:pPr>
    <w:rPr>
      <w:rFonts w:ascii="Calibri"/>
      <w:kern w:val="0"/>
      <w:sz w:val="28"/>
    </w:rPr>
  </w:style>
  <w:style w:type="character" w:customStyle="1" w:styleId="81">
    <w:name w:val="UserStyle_18"/>
    <w:link w:val="79"/>
    <w:qFormat/>
    <w:uiPriority w:val="0"/>
    <w:rPr>
      <w:rFonts w:ascii="宋体"/>
      <w:kern w:val="2"/>
      <w:sz w:val="24"/>
    </w:rPr>
  </w:style>
  <w:style w:type="paragraph" w:customStyle="1" w:styleId="82">
    <w:name w:val="ListNumber3"/>
    <w:basedOn w:val="1"/>
    <w:qFormat/>
    <w:uiPriority w:val="0"/>
    <w:pPr>
      <w:tabs>
        <w:tab w:val="left" w:pos="1200"/>
      </w:tabs>
      <w:ind w:left="1200" w:hanging="360"/>
    </w:pPr>
    <w:rPr>
      <w:sz w:val="21"/>
      <w:szCs w:val="24"/>
    </w:rPr>
  </w:style>
  <w:style w:type="paragraph" w:customStyle="1" w:styleId="83">
    <w:name w:val="List2"/>
    <w:basedOn w:val="1"/>
    <w:qFormat/>
    <w:uiPriority w:val="0"/>
    <w:pPr>
      <w:ind w:left="100" w:leftChars="200" w:hanging="200" w:hangingChars="200"/>
    </w:pPr>
    <w:rPr>
      <w:sz w:val="21"/>
      <w:szCs w:val="24"/>
    </w:rPr>
  </w:style>
  <w:style w:type="paragraph" w:customStyle="1" w:styleId="84">
    <w:name w:val="ListContinue"/>
    <w:basedOn w:val="1"/>
    <w:qFormat/>
    <w:uiPriority w:val="0"/>
    <w:pPr>
      <w:spacing w:after="120"/>
      <w:ind w:left="420" w:leftChars="200"/>
    </w:pPr>
    <w:rPr>
      <w:sz w:val="21"/>
      <w:szCs w:val="24"/>
    </w:rPr>
  </w:style>
  <w:style w:type="paragraph" w:customStyle="1" w:styleId="85">
    <w:name w:val="BlockQuote"/>
    <w:basedOn w:val="1"/>
    <w:qFormat/>
    <w:uiPriority w:val="0"/>
    <w:pPr>
      <w:ind w:left="718" w:leftChars="342" w:right="373" w:firstLine="560" w:firstLineChars="200"/>
    </w:pPr>
    <w:rPr>
      <w:rFonts w:ascii="新宋体" w:eastAsia="新宋体"/>
      <w:color w:val="000000"/>
      <w:sz w:val="28"/>
      <w:szCs w:val="21"/>
      <w:lang w:val="zh-CN"/>
    </w:rPr>
  </w:style>
  <w:style w:type="paragraph" w:customStyle="1" w:styleId="86">
    <w:name w:val="ListBullet2"/>
    <w:basedOn w:val="1"/>
    <w:qFormat/>
    <w:uiPriority w:val="0"/>
    <w:pPr>
      <w:tabs>
        <w:tab w:val="left" w:pos="840"/>
      </w:tabs>
      <w:spacing w:line="312" w:lineRule="atLeast"/>
      <w:ind w:left="1350" w:hanging="510"/>
    </w:pPr>
    <w:rPr>
      <w:kern w:val="0"/>
      <w:sz w:val="21"/>
    </w:rPr>
  </w:style>
  <w:style w:type="paragraph" w:customStyle="1" w:styleId="87">
    <w:name w:val="HtmlAddress"/>
    <w:basedOn w:val="1"/>
    <w:qFormat/>
    <w:uiPriority w:val="0"/>
    <w:pPr>
      <w:spacing w:line="360" w:lineRule="auto"/>
      <w:ind w:firstLine="200" w:firstLineChars="200"/>
      <w:jc w:val="left"/>
    </w:pPr>
    <w:rPr>
      <w:rFonts w:ascii="Arial" w:hAnsi="Arial" w:eastAsia="楷体_GB2312"/>
      <w:sz w:val="28"/>
      <w:szCs w:val="24"/>
    </w:rPr>
  </w:style>
  <w:style w:type="paragraph" w:customStyle="1" w:styleId="88">
    <w:name w:val="TOC5"/>
    <w:basedOn w:val="1"/>
    <w:next w:val="1"/>
    <w:qFormat/>
    <w:uiPriority w:val="0"/>
    <w:pPr>
      <w:ind w:left="840"/>
      <w:jc w:val="left"/>
    </w:pPr>
    <w:rPr>
      <w:sz w:val="18"/>
    </w:rPr>
  </w:style>
  <w:style w:type="paragraph" w:customStyle="1" w:styleId="89">
    <w:name w:val="TOC3"/>
    <w:basedOn w:val="1"/>
    <w:next w:val="1"/>
    <w:qFormat/>
    <w:uiPriority w:val="0"/>
    <w:pPr>
      <w:tabs>
        <w:tab w:val="left" w:pos="845"/>
        <w:tab w:val="right" w:leader="dot" w:pos="9316"/>
      </w:tabs>
      <w:ind w:left="420"/>
      <w:jc w:val="left"/>
    </w:pPr>
    <w:rPr>
      <w:sz w:val="20"/>
    </w:rPr>
  </w:style>
  <w:style w:type="paragraph" w:customStyle="1" w:styleId="90">
    <w:name w:val="ListBullet5"/>
    <w:basedOn w:val="1"/>
    <w:qFormat/>
    <w:uiPriority w:val="0"/>
    <w:pPr>
      <w:tabs>
        <w:tab w:val="left" w:pos="840"/>
      </w:tabs>
      <w:spacing w:line="312" w:lineRule="atLeast"/>
      <w:ind w:left="1350" w:hanging="510"/>
    </w:pPr>
    <w:rPr>
      <w:kern w:val="0"/>
      <w:sz w:val="21"/>
    </w:rPr>
  </w:style>
  <w:style w:type="paragraph" w:customStyle="1" w:styleId="91">
    <w:name w:val="ListNumber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92">
    <w:name w:val="TOC8"/>
    <w:basedOn w:val="1"/>
    <w:next w:val="1"/>
    <w:qFormat/>
    <w:uiPriority w:val="0"/>
    <w:pPr>
      <w:ind w:left="2940" w:leftChars="1400"/>
    </w:pPr>
    <w:rPr>
      <w:sz w:val="21"/>
    </w:rPr>
  </w:style>
  <w:style w:type="character" w:customStyle="1" w:styleId="93">
    <w:name w:val="日期 Char"/>
    <w:link w:val="15"/>
    <w:qFormat/>
    <w:uiPriority w:val="0"/>
    <w:rPr>
      <w:rFonts w:ascii="楷体_GB2312" w:eastAsia="楷体_GB2312"/>
      <w:sz w:val="32"/>
    </w:rPr>
  </w:style>
  <w:style w:type="paragraph" w:customStyle="1" w:styleId="94">
    <w:name w:val="BodyTextIndent2"/>
    <w:basedOn w:val="1"/>
    <w:link w:val="95"/>
    <w:qFormat/>
    <w:uiPriority w:val="0"/>
    <w:pPr>
      <w:spacing w:line="360" w:lineRule="auto"/>
      <w:ind w:left="718" w:firstLine="480" w:firstLineChars="200"/>
    </w:pPr>
    <w:rPr>
      <w:rFonts w:ascii="Arial" w:hAnsi="Arial" w:eastAsia="LineDraw"/>
    </w:rPr>
  </w:style>
  <w:style w:type="character" w:customStyle="1" w:styleId="95">
    <w:name w:val="UserStyle_20"/>
    <w:link w:val="94"/>
    <w:qFormat/>
    <w:uiPriority w:val="0"/>
    <w:rPr>
      <w:rFonts w:ascii="Arial" w:hAnsi="Arial" w:eastAsia="LineDraw"/>
      <w:kern w:val="2"/>
      <w:sz w:val="24"/>
    </w:rPr>
  </w:style>
  <w:style w:type="paragraph" w:customStyle="1" w:styleId="96">
    <w:name w:val="ListContinue5"/>
    <w:basedOn w:val="1"/>
    <w:qFormat/>
    <w:uiPriority w:val="0"/>
    <w:pPr>
      <w:spacing w:after="120" w:line="360" w:lineRule="auto"/>
      <w:ind w:left="2100" w:leftChars="1000" w:firstLine="200" w:firstLineChars="200"/>
      <w:jc w:val="left"/>
    </w:pPr>
    <w:rPr>
      <w:rFonts w:ascii="Arial" w:hAnsi="Arial" w:eastAsia="楷体_GB2312"/>
      <w:sz w:val="28"/>
      <w:szCs w:val="24"/>
    </w:rPr>
  </w:style>
  <w:style w:type="paragraph" w:customStyle="1" w:styleId="97">
    <w:name w:val="Acetate"/>
    <w:basedOn w:val="1"/>
    <w:link w:val="98"/>
    <w:qFormat/>
    <w:uiPriority w:val="0"/>
    <w:pPr>
      <w:spacing w:before="100" w:beforeAutospacing="1" w:after="100" w:afterAutospacing="1" w:line="400" w:lineRule="atLeast"/>
      <w:ind w:firstLine="454"/>
    </w:pPr>
    <w:rPr>
      <w:rFonts w:ascii="宋体"/>
      <w:color w:val="FF0000"/>
    </w:rPr>
  </w:style>
  <w:style w:type="character" w:customStyle="1" w:styleId="98">
    <w:name w:val="UserStyle_21"/>
    <w:link w:val="97"/>
    <w:semiHidden/>
    <w:qFormat/>
    <w:uiPriority w:val="0"/>
    <w:rPr>
      <w:rFonts w:ascii="宋体" w:eastAsia="宋体"/>
      <w:color w:val="FF0000"/>
      <w:kern w:val="2"/>
      <w:sz w:val="24"/>
      <w:lang w:val="en-US" w:eastAsia="zh-CN" w:bidi="ar-SA"/>
    </w:rPr>
  </w:style>
  <w:style w:type="character" w:customStyle="1" w:styleId="99">
    <w:name w:val="页脚 Char"/>
    <w:link w:val="17"/>
    <w:qFormat/>
    <w:uiPriority w:val="0"/>
    <w:rPr>
      <w:kern w:val="2"/>
      <w:sz w:val="18"/>
    </w:rPr>
  </w:style>
  <w:style w:type="paragraph" w:customStyle="1" w:styleId="100">
    <w:name w:val="EnvelopeReturn"/>
    <w:basedOn w:val="1"/>
    <w:qFormat/>
    <w:uiPriority w:val="0"/>
    <w:pPr>
      <w:snapToGrid w:val="0"/>
      <w:spacing w:line="360" w:lineRule="auto"/>
      <w:ind w:firstLine="200" w:firstLineChars="200"/>
      <w:jc w:val="left"/>
    </w:pPr>
    <w:rPr>
      <w:rFonts w:ascii="Arial" w:hAnsi="Arial" w:eastAsia="楷体_GB2312"/>
      <w:sz w:val="28"/>
      <w:szCs w:val="24"/>
    </w:rPr>
  </w:style>
  <w:style w:type="character" w:customStyle="1" w:styleId="101">
    <w:name w:val="页眉 Char"/>
    <w:link w:val="18"/>
    <w:qFormat/>
    <w:uiPriority w:val="0"/>
    <w:rPr>
      <w:sz w:val="18"/>
    </w:rPr>
  </w:style>
  <w:style w:type="paragraph" w:customStyle="1" w:styleId="102">
    <w:name w:val="TOC1"/>
    <w:basedOn w:val="1"/>
    <w:next w:val="1"/>
    <w:qFormat/>
    <w:uiPriority w:val="0"/>
    <w:pPr>
      <w:spacing w:before="120" w:after="120"/>
      <w:jc w:val="left"/>
    </w:pPr>
    <w:rPr>
      <w:sz w:val="20"/>
    </w:rPr>
  </w:style>
  <w:style w:type="paragraph" w:customStyle="1" w:styleId="103">
    <w:name w:val="ListContinue4"/>
    <w:basedOn w:val="1"/>
    <w:qFormat/>
    <w:uiPriority w:val="0"/>
    <w:pPr>
      <w:spacing w:after="120"/>
      <w:ind w:left="1680" w:leftChars="800"/>
    </w:pPr>
    <w:rPr>
      <w:sz w:val="21"/>
      <w:szCs w:val="24"/>
    </w:rPr>
  </w:style>
  <w:style w:type="paragraph" w:customStyle="1" w:styleId="104">
    <w:name w:val="TOC4"/>
    <w:basedOn w:val="1"/>
    <w:next w:val="1"/>
    <w:qFormat/>
    <w:uiPriority w:val="0"/>
    <w:pPr>
      <w:ind w:left="630"/>
      <w:jc w:val="left"/>
    </w:pPr>
    <w:rPr>
      <w:sz w:val="18"/>
    </w:rPr>
  </w:style>
  <w:style w:type="paragraph" w:customStyle="1" w:styleId="105">
    <w:name w:val="IndexHeading"/>
    <w:basedOn w:val="1"/>
    <w:next w:val="106"/>
    <w:qFormat/>
    <w:uiPriority w:val="0"/>
    <w:pPr>
      <w:spacing w:after="120" w:line="360" w:lineRule="exact"/>
    </w:pPr>
    <w:rPr>
      <w:sz w:val="21"/>
    </w:rPr>
  </w:style>
  <w:style w:type="paragraph" w:customStyle="1" w:styleId="106">
    <w:name w:val="Index1"/>
    <w:basedOn w:val="1"/>
    <w:next w:val="1"/>
    <w:qFormat/>
    <w:uiPriority w:val="0"/>
  </w:style>
  <w:style w:type="paragraph" w:customStyle="1" w:styleId="107">
    <w:name w:val="ListNumber5"/>
    <w:basedOn w:val="1"/>
    <w:qFormat/>
    <w:uiPriority w:val="0"/>
    <w:pPr>
      <w:tabs>
        <w:tab w:val="left" w:pos="2040"/>
      </w:tabs>
      <w:spacing w:line="360" w:lineRule="auto"/>
      <w:ind w:left="2040" w:leftChars="800" w:hanging="360" w:hangingChars="200"/>
      <w:jc w:val="left"/>
    </w:pPr>
    <w:rPr>
      <w:rFonts w:ascii="Arial" w:hAnsi="Arial" w:eastAsia="楷体_GB2312"/>
      <w:sz w:val="28"/>
      <w:szCs w:val="24"/>
    </w:rPr>
  </w:style>
  <w:style w:type="paragraph" w:customStyle="1" w:styleId="108">
    <w:name w:val="FootnoteText"/>
    <w:basedOn w:val="1"/>
    <w:semiHidden/>
    <w:qFormat/>
    <w:uiPriority w:val="0"/>
    <w:pPr>
      <w:snapToGrid w:val="0"/>
      <w:jc w:val="left"/>
    </w:pPr>
    <w:rPr>
      <w:rFonts w:eastAsia="仿宋_GB2312"/>
      <w:sz w:val="18"/>
    </w:rPr>
  </w:style>
  <w:style w:type="paragraph" w:customStyle="1" w:styleId="109">
    <w:name w:val="TOC6"/>
    <w:basedOn w:val="1"/>
    <w:next w:val="1"/>
    <w:qFormat/>
    <w:uiPriority w:val="0"/>
    <w:pPr>
      <w:ind w:left="2100" w:leftChars="1000"/>
    </w:pPr>
    <w:rPr>
      <w:sz w:val="21"/>
    </w:rPr>
  </w:style>
  <w:style w:type="paragraph" w:customStyle="1" w:styleId="110">
    <w:name w:val="List5"/>
    <w:basedOn w:val="1"/>
    <w:qFormat/>
    <w:uiPriority w:val="0"/>
    <w:pPr>
      <w:spacing w:line="360" w:lineRule="auto"/>
      <w:ind w:left="100" w:leftChars="800" w:hanging="200" w:hangingChars="200"/>
      <w:jc w:val="left"/>
    </w:pPr>
    <w:rPr>
      <w:rFonts w:ascii="Arial" w:hAnsi="Arial" w:eastAsia="楷体_GB2312"/>
      <w:sz w:val="28"/>
      <w:szCs w:val="24"/>
    </w:rPr>
  </w:style>
  <w:style w:type="paragraph" w:customStyle="1" w:styleId="111">
    <w:name w:val="BodyTextIndent3"/>
    <w:basedOn w:val="1"/>
    <w:link w:val="112"/>
    <w:qFormat/>
    <w:uiPriority w:val="0"/>
    <w:pPr>
      <w:spacing w:line="360" w:lineRule="auto"/>
      <w:ind w:firstLine="480"/>
    </w:pPr>
    <w:rPr>
      <w:rFonts w:ascii="Arial" w:hAnsi="Arial"/>
      <w:color w:val="FF0000"/>
    </w:rPr>
  </w:style>
  <w:style w:type="character" w:customStyle="1" w:styleId="112">
    <w:name w:val="UserStyle_24"/>
    <w:link w:val="111"/>
    <w:qFormat/>
    <w:uiPriority w:val="0"/>
    <w:rPr>
      <w:rFonts w:ascii="Arial" w:hAnsi="Arial"/>
      <w:color w:val="FF0000"/>
      <w:kern w:val="2"/>
      <w:sz w:val="24"/>
    </w:rPr>
  </w:style>
  <w:style w:type="paragraph" w:customStyle="1" w:styleId="113">
    <w:name w:val="ToCaption"/>
    <w:basedOn w:val="1"/>
    <w:next w:val="1"/>
    <w:qFormat/>
    <w:uiPriority w:val="0"/>
    <w:pPr>
      <w:ind w:left="420" w:hanging="420"/>
      <w:jc w:val="left"/>
    </w:pPr>
    <w:rPr>
      <w:sz w:val="20"/>
    </w:rPr>
  </w:style>
  <w:style w:type="paragraph" w:customStyle="1" w:styleId="114">
    <w:name w:val="TOC2"/>
    <w:basedOn w:val="1"/>
    <w:next w:val="1"/>
    <w:qFormat/>
    <w:uiPriority w:val="0"/>
    <w:pPr>
      <w:tabs>
        <w:tab w:val="left" w:pos="600"/>
        <w:tab w:val="right" w:leader="dot" w:pos="9019"/>
      </w:tabs>
      <w:ind w:left="210"/>
      <w:jc w:val="left"/>
    </w:pPr>
    <w:rPr>
      <w:sz w:val="20"/>
    </w:rPr>
  </w:style>
  <w:style w:type="paragraph" w:customStyle="1" w:styleId="115">
    <w:name w:val="TOC9"/>
    <w:basedOn w:val="77"/>
    <w:next w:val="1"/>
    <w:qFormat/>
    <w:uiPriority w:val="0"/>
    <w:pPr>
      <w:spacing w:before="100" w:beforeAutospacing="1" w:after="100" w:afterAutospacing="1" w:line="400" w:lineRule="atLeast"/>
      <w:ind w:left="1920" w:firstLine="454"/>
    </w:pPr>
    <w:rPr>
      <w:rFonts w:ascii="Times New Roman"/>
      <w:color w:val="000000"/>
      <w:sz w:val="18"/>
    </w:rPr>
  </w:style>
  <w:style w:type="paragraph" w:customStyle="1" w:styleId="116">
    <w:name w:val="BodyText2"/>
    <w:basedOn w:val="1"/>
    <w:qFormat/>
    <w:uiPriority w:val="0"/>
    <w:pPr>
      <w:spacing w:after="120" w:line="480" w:lineRule="auto"/>
    </w:pPr>
    <w:rPr>
      <w:sz w:val="21"/>
    </w:rPr>
  </w:style>
  <w:style w:type="paragraph" w:customStyle="1" w:styleId="117">
    <w:name w:val="List4"/>
    <w:basedOn w:val="1"/>
    <w:qFormat/>
    <w:uiPriority w:val="0"/>
    <w:pPr>
      <w:ind w:left="100" w:leftChars="600" w:hanging="200" w:hangingChars="200"/>
    </w:pPr>
    <w:rPr>
      <w:sz w:val="21"/>
      <w:szCs w:val="24"/>
    </w:rPr>
  </w:style>
  <w:style w:type="paragraph" w:customStyle="1" w:styleId="118">
    <w:name w:val="ListContinue2"/>
    <w:basedOn w:val="1"/>
    <w:qFormat/>
    <w:uiPriority w:val="0"/>
    <w:pPr>
      <w:spacing w:after="120"/>
      <w:ind w:left="840" w:leftChars="400"/>
    </w:pPr>
    <w:rPr>
      <w:sz w:val="21"/>
      <w:szCs w:val="24"/>
    </w:rPr>
  </w:style>
  <w:style w:type="paragraph" w:customStyle="1" w:styleId="119">
    <w:name w:val="MessageHeader"/>
    <w:basedOn w:val="1"/>
    <w:qFormat/>
    <w:uiPriority w:val="0"/>
    <w:pPr>
      <w:pBdr>
        <w:top w:val="single" w:color="000000" w:sz="6" w:space="1"/>
        <w:left w:val="single" w:color="000000" w:sz="6" w:space="1"/>
        <w:bottom w:val="single" w:color="000000" w:sz="6" w:space="1"/>
        <w:right w:val="single" w:color="000000" w:sz="6" w:space="1"/>
      </w:pBdr>
      <w:spacing w:line="360" w:lineRule="auto"/>
      <w:ind w:left="1080" w:leftChars="500" w:hanging="1080" w:hangingChars="500"/>
      <w:jc w:val="left"/>
    </w:pPr>
    <w:rPr>
      <w:rFonts w:ascii="Arial" w:hAnsi="Arial" w:eastAsia="楷体_GB2312"/>
      <w:szCs w:val="24"/>
    </w:rPr>
  </w:style>
  <w:style w:type="paragraph" w:customStyle="1" w:styleId="120">
    <w:name w:val="HtmlPre"/>
    <w:basedOn w:val="1"/>
    <w:link w:val="121"/>
    <w:qFormat/>
    <w:uiPriority w:val="0"/>
    <w:pPr>
      <w:spacing w:line="360" w:lineRule="auto"/>
      <w:ind w:firstLine="200" w:firstLineChars="200"/>
      <w:jc w:val="left"/>
    </w:pPr>
    <w:rPr>
      <w:rFonts w:ascii="Courier New" w:hAnsi="Courier New" w:eastAsia="楷体_GB2312"/>
      <w:sz w:val="20"/>
    </w:rPr>
  </w:style>
  <w:style w:type="character" w:customStyle="1" w:styleId="121">
    <w:name w:val="UserStyle_25"/>
    <w:link w:val="120"/>
    <w:qFormat/>
    <w:uiPriority w:val="0"/>
    <w:rPr>
      <w:rFonts w:ascii="Courier New" w:hAnsi="Courier New" w:eastAsia="楷体_GB2312"/>
      <w:kern w:val="2"/>
    </w:rPr>
  </w:style>
  <w:style w:type="paragraph" w:customStyle="1" w:styleId="122">
    <w:name w:val="HtmlNormal"/>
    <w:basedOn w:val="1"/>
    <w:link w:val="123"/>
    <w:qFormat/>
    <w:uiPriority w:val="0"/>
    <w:pPr>
      <w:spacing w:before="100" w:beforeAutospacing="1" w:after="100" w:afterAutospacing="1"/>
      <w:jc w:val="left"/>
    </w:pPr>
    <w:rPr>
      <w:rFonts w:ascii="宋体" w:hAnsi="宋体"/>
      <w:kern w:val="0"/>
      <w:sz w:val="22"/>
    </w:rPr>
  </w:style>
  <w:style w:type="character" w:customStyle="1" w:styleId="123">
    <w:name w:val="UserStyle_26"/>
    <w:link w:val="122"/>
    <w:qFormat/>
    <w:uiPriority w:val="0"/>
    <w:rPr>
      <w:rFonts w:ascii="宋体" w:hAnsi="宋体"/>
      <w:sz w:val="22"/>
    </w:rPr>
  </w:style>
  <w:style w:type="paragraph" w:customStyle="1" w:styleId="124">
    <w:name w:val="ListContinue3"/>
    <w:basedOn w:val="1"/>
    <w:qFormat/>
    <w:uiPriority w:val="0"/>
    <w:pPr>
      <w:spacing w:after="120"/>
      <w:ind w:left="1260" w:leftChars="600"/>
    </w:pPr>
    <w:rPr>
      <w:sz w:val="21"/>
      <w:szCs w:val="24"/>
    </w:rPr>
  </w:style>
  <w:style w:type="character" w:customStyle="1" w:styleId="125">
    <w:name w:val="标题 Char"/>
    <w:link w:val="24"/>
    <w:qFormat/>
    <w:uiPriority w:val="0"/>
    <w:rPr>
      <w:rFonts w:ascii="Arial" w:hAnsi="Arial" w:eastAsia="楷体_GB2312" w:cs="Arial"/>
      <w:b/>
      <w:bCs/>
      <w:kern w:val="2"/>
      <w:sz w:val="32"/>
      <w:szCs w:val="32"/>
      <w:lang w:val="en-US" w:eastAsia="zh-CN" w:bidi="ar-SA"/>
    </w:rPr>
  </w:style>
  <w:style w:type="paragraph" w:customStyle="1" w:styleId="126">
    <w:name w:val="AnnotationSubject"/>
    <w:basedOn w:val="73"/>
    <w:next w:val="73"/>
    <w:qFormat/>
    <w:uiPriority w:val="0"/>
  </w:style>
  <w:style w:type="paragraph" w:customStyle="1" w:styleId="127">
    <w:name w:val="BodyText1I2"/>
    <w:basedOn w:val="79"/>
    <w:qFormat/>
    <w:uiPriority w:val="0"/>
    <w:pPr>
      <w:spacing w:before="0" w:line="240" w:lineRule="auto"/>
      <w:ind w:left="420" w:leftChars="200" w:firstLine="420" w:firstLineChars="200"/>
    </w:pPr>
    <w:rPr>
      <w:rFonts w:ascii="Times New Roman"/>
    </w:rPr>
  </w:style>
  <w:style w:type="table" w:customStyle="1" w:styleId="128">
    <w:name w:val="TableGrid"/>
    <w:basedOn w:val="44"/>
    <w:qFormat/>
    <w:uiPriority w:val="0"/>
    <w:tblPr>
      <w:tblCellMar>
        <w:top w:w="0" w:type="dxa"/>
        <w:left w:w="0" w:type="dxa"/>
        <w:bottom w:w="0" w:type="dxa"/>
        <w:right w:w="0" w:type="dxa"/>
      </w:tblCellMar>
    </w:tblPr>
  </w:style>
  <w:style w:type="character" w:customStyle="1" w:styleId="129">
    <w:name w:val="PageNumber"/>
    <w:qFormat/>
    <w:uiPriority w:val="0"/>
  </w:style>
  <w:style w:type="character" w:customStyle="1" w:styleId="130">
    <w:name w:val="LineNumber"/>
    <w:qFormat/>
    <w:uiPriority w:val="0"/>
  </w:style>
  <w:style w:type="character" w:customStyle="1" w:styleId="131">
    <w:name w:val="AnnotationReference"/>
    <w:qFormat/>
    <w:uiPriority w:val="0"/>
    <w:rPr>
      <w:sz w:val="21"/>
    </w:rPr>
  </w:style>
  <w:style w:type="character" w:customStyle="1" w:styleId="132">
    <w:name w:val="UserStyle_28"/>
    <w:link w:val="133"/>
    <w:qFormat/>
    <w:uiPriority w:val="0"/>
    <w:rPr>
      <w:sz w:val="24"/>
    </w:rPr>
  </w:style>
  <w:style w:type="paragraph" w:customStyle="1" w:styleId="133">
    <w:name w:val="UserStyle_29"/>
    <w:basedOn w:val="1"/>
    <w:link w:val="132"/>
    <w:qFormat/>
    <w:uiPriority w:val="0"/>
    <w:pPr>
      <w:snapToGrid w:val="0"/>
      <w:spacing w:after="156"/>
      <w:ind w:firstLine="200" w:firstLineChars="200"/>
    </w:pPr>
    <w:rPr>
      <w:kern w:val="0"/>
    </w:rPr>
  </w:style>
  <w:style w:type="character" w:customStyle="1" w:styleId="134">
    <w:name w:val="UserStyle_30"/>
    <w:qFormat/>
    <w:uiPriority w:val="0"/>
  </w:style>
  <w:style w:type="character" w:customStyle="1" w:styleId="135">
    <w:name w:val="UserStyle_31"/>
    <w:qFormat/>
    <w:locked/>
    <w:uiPriority w:val="0"/>
    <w:rPr>
      <w:rFonts w:ascii="Cambria" w:hAnsi="Cambria" w:eastAsia="黑体" w:cs="Times New Roman"/>
      <w:b/>
      <w:bCs/>
      <w:sz w:val="28"/>
      <w:szCs w:val="28"/>
    </w:rPr>
  </w:style>
  <w:style w:type="character" w:customStyle="1" w:styleId="136">
    <w:name w:val="UserStyle_32"/>
    <w:qFormat/>
    <w:uiPriority w:val="0"/>
    <w:rPr>
      <w:kern w:val="2"/>
      <w:sz w:val="21"/>
      <w:szCs w:val="24"/>
    </w:rPr>
  </w:style>
  <w:style w:type="character" w:customStyle="1" w:styleId="137">
    <w:name w:val="UserStyle_33"/>
    <w:qFormat/>
    <w:uiPriority w:val="0"/>
    <w:rPr>
      <w:rFonts w:ascii="Arial" w:hAnsi="Arial" w:eastAsia="仿宋_GB2312" w:cs="Calibri"/>
      <w:b/>
      <w:bCs/>
      <w:kern w:val="2"/>
      <w:sz w:val="28"/>
      <w:szCs w:val="32"/>
    </w:rPr>
  </w:style>
  <w:style w:type="character" w:customStyle="1" w:styleId="138">
    <w:name w:val="UserStyle_34"/>
    <w:qFormat/>
    <w:uiPriority w:val="0"/>
    <w:rPr>
      <w:rFonts w:eastAsia="宋体"/>
      <w:sz w:val="24"/>
      <w:lang w:val="en-US" w:eastAsia="zh-CN"/>
    </w:rPr>
  </w:style>
  <w:style w:type="character" w:customStyle="1" w:styleId="139">
    <w:name w:val="UserStyle_35"/>
    <w:qFormat/>
    <w:uiPriority w:val="0"/>
    <w:rPr>
      <w:rFonts w:ascii="Arial" w:hAnsi="Arial" w:cs="Arial"/>
      <w:b/>
      <w:bCs/>
      <w:color w:val="16344F"/>
      <w:sz w:val="20"/>
      <w:szCs w:val="20"/>
    </w:rPr>
  </w:style>
  <w:style w:type="character" w:customStyle="1" w:styleId="140">
    <w:name w:val="UserStyle_36"/>
    <w:qFormat/>
    <w:locked/>
    <w:uiPriority w:val="0"/>
    <w:rPr>
      <w:rFonts w:ascii="Times New Roman" w:hAnsi="Times New Roman" w:eastAsia="黑体" w:cs="Times New Roman"/>
      <w:b/>
      <w:bCs/>
      <w:sz w:val="32"/>
      <w:szCs w:val="32"/>
    </w:rPr>
  </w:style>
  <w:style w:type="character" w:customStyle="1" w:styleId="141">
    <w:name w:val="UserStyle_37"/>
    <w:qFormat/>
    <w:locked/>
    <w:uiPriority w:val="0"/>
    <w:rPr>
      <w:rFonts w:ascii="Times New Roman" w:hAnsi="Times New Roman"/>
    </w:rPr>
  </w:style>
  <w:style w:type="character" w:customStyle="1" w:styleId="142">
    <w:name w:val="UserStyle_38"/>
    <w:qFormat/>
    <w:uiPriority w:val="0"/>
    <w:rPr>
      <w:rFonts w:ascii="宋体"/>
      <w:kern w:val="2"/>
      <w:sz w:val="24"/>
    </w:rPr>
  </w:style>
  <w:style w:type="character" w:customStyle="1" w:styleId="143">
    <w:name w:val="UserStyle_39"/>
    <w:qFormat/>
    <w:locked/>
    <w:uiPriority w:val="0"/>
    <w:rPr>
      <w:sz w:val="18"/>
      <w:szCs w:val="18"/>
    </w:rPr>
  </w:style>
  <w:style w:type="character" w:customStyle="1" w:styleId="144">
    <w:name w:val="UserStyle_40"/>
    <w:qFormat/>
    <w:uiPriority w:val="0"/>
    <w:rPr>
      <w:rFonts w:ascii="Arial" w:hAnsi="Arial"/>
      <w:color w:val="666666"/>
      <w:sz w:val="18"/>
      <w:szCs w:val="18"/>
    </w:rPr>
  </w:style>
  <w:style w:type="character" w:customStyle="1" w:styleId="145">
    <w:name w:val="UserStyle_41"/>
    <w:qFormat/>
    <w:uiPriority w:val="0"/>
    <w:rPr>
      <w:rFonts w:ascii="宋体" w:hAnsi="宋体" w:eastAsia="宋体"/>
      <w:b/>
      <w:sz w:val="28"/>
      <w:szCs w:val="21"/>
      <w:lang w:val="en-US" w:eastAsia="zh-CN" w:bidi="ar-SA"/>
    </w:rPr>
  </w:style>
  <w:style w:type="character" w:customStyle="1" w:styleId="146">
    <w:name w:val="UserStyle_42"/>
    <w:qFormat/>
    <w:uiPriority w:val="0"/>
    <w:rPr>
      <w:rFonts w:ascii="_x000b_x000c_" w:hAnsi="_x000b_x000c_"/>
      <w:sz w:val="24"/>
      <w:szCs w:val="24"/>
    </w:rPr>
  </w:style>
  <w:style w:type="character" w:customStyle="1" w:styleId="147">
    <w:name w:val="UserStyle_43"/>
    <w:qFormat/>
    <w:uiPriority w:val="0"/>
    <w:rPr>
      <w:rFonts w:ascii="宋体"/>
      <w:kern w:val="2"/>
      <w:sz w:val="24"/>
    </w:rPr>
  </w:style>
  <w:style w:type="character" w:customStyle="1" w:styleId="148">
    <w:name w:val="UserStyle_44"/>
    <w:qFormat/>
    <w:locked/>
    <w:uiPriority w:val="0"/>
    <w:rPr>
      <w:rFonts w:ascii="Times New Roman" w:hAnsi="Times New Roman"/>
      <w:sz w:val="24"/>
    </w:rPr>
  </w:style>
  <w:style w:type="character" w:customStyle="1" w:styleId="149">
    <w:name w:val="UserStyle_45"/>
    <w:qFormat/>
    <w:uiPriority w:val="0"/>
    <w:rPr>
      <w:rFonts w:ascii="Arial" w:hAnsi="Arial" w:eastAsia="宋体"/>
      <w:b/>
      <w:spacing w:val="14"/>
      <w:kern w:val="24"/>
      <w:sz w:val="32"/>
      <w:lang w:val="en-US" w:eastAsia="zh-CN" w:bidi="ar-SA"/>
    </w:rPr>
  </w:style>
  <w:style w:type="character" w:customStyle="1" w:styleId="150">
    <w:name w:val="UserStyle_46"/>
    <w:qFormat/>
    <w:uiPriority w:val="0"/>
    <w:rPr>
      <w:rFonts w:ascii="Arial" w:hAnsi="Arial" w:eastAsia="黑体"/>
      <w:b/>
      <w:kern w:val="2"/>
      <w:sz w:val="28"/>
      <w:lang w:val="en-US" w:eastAsia="zh-CN" w:bidi="ar-SA"/>
    </w:rPr>
  </w:style>
  <w:style w:type="character" w:customStyle="1" w:styleId="151">
    <w:name w:val="UserStyle_47"/>
    <w:qFormat/>
    <w:uiPriority w:val="0"/>
    <w:rPr>
      <w:rFonts w:ascii="宋体" w:hAnsi="宋体" w:eastAsia="宋体" w:cs="Calibri"/>
      <w:b/>
      <w:bCs/>
      <w:kern w:val="2"/>
      <w:sz w:val="21"/>
      <w:szCs w:val="32"/>
      <w:lang w:val="en-US" w:eastAsia="zh-CN" w:bidi="ar-SA"/>
    </w:rPr>
  </w:style>
  <w:style w:type="character" w:customStyle="1" w:styleId="152">
    <w:name w:val="UserStyle_48"/>
    <w:qFormat/>
    <w:uiPriority w:val="0"/>
    <w:rPr>
      <w:color w:val="0000FF"/>
    </w:rPr>
  </w:style>
  <w:style w:type="character" w:customStyle="1" w:styleId="153">
    <w:name w:val="UserStyle_49"/>
    <w:link w:val="154"/>
    <w:qFormat/>
    <w:uiPriority w:val="0"/>
    <w:rPr>
      <w:rFonts w:ascii="黑体" w:hAnsi="Calibri" w:eastAsia="黑体" w:cs="Calibri"/>
      <w:b/>
      <w:bCs/>
      <w:kern w:val="44"/>
      <w:sz w:val="32"/>
      <w:szCs w:val="32"/>
    </w:rPr>
  </w:style>
  <w:style w:type="paragraph" w:customStyle="1" w:styleId="154">
    <w:name w:val="UserStyle_50"/>
    <w:basedOn w:val="32"/>
    <w:link w:val="153"/>
    <w:qFormat/>
    <w:uiPriority w:val="0"/>
    <w:pPr>
      <w:keepNext/>
      <w:keepLines/>
      <w:tabs>
        <w:tab w:val="left" w:pos="1130"/>
      </w:tabs>
      <w:spacing w:before="340" w:after="330" w:line="578" w:lineRule="auto"/>
      <w:ind w:left="1130" w:hanging="420"/>
      <w:jc w:val="both"/>
    </w:pPr>
    <w:rPr>
      <w:rFonts w:ascii="黑体" w:eastAsia="黑体" w:cs="Calibri"/>
      <w:kern w:val="44"/>
      <w:sz w:val="32"/>
      <w:szCs w:val="32"/>
    </w:rPr>
  </w:style>
  <w:style w:type="character" w:customStyle="1" w:styleId="155">
    <w:name w:val="UserStyle_51"/>
    <w:qFormat/>
    <w:uiPriority w:val="0"/>
    <w:rPr>
      <w:rFonts w:eastAsia="宋体"/>
      <w:sz w:val="30"/>
      <w:szCs w:val="30"/>
      <w:lang w:val="en-US" w:eastAsia="zh-CN" w:bidi="ar-SA"/>
    </w:rPr>
  </w:style>
  <w:style w:type="character" w:customStyle="1" w:styleId="156">
    <w:name w:val="UserStyle_52"/>
    <w:link w:val="157"/>
    <w:qFormat/>
    <w:uiPriority w:val="0"/>
    <w:rPr>
      <w:rFonts w:ascii="宋体" w:hAnsi="宋体" w:eastAsia="宋体" w:cs="Calibri"/>
      <w:b/>
      <w:bCs/>
      <w:kern w:val="2"/>
      <w:sz w:val="44"/>
      <w:szCs w:val="24"/>
      <w:lang w:val="en-US" w:eastAsia="zh-CN" w:bidi="ar-SA"/>
    </w:rPr>
  </w:style>
  <w:style w:type="paragraph" w:customStyle="1" w:styleId="157">
    <w:name w:val="UserStyle_53"/>
    <w:basedOn w:val="1"/>
    <w:link w:val="156"/>
    <w:qFormat/>
    <w:uiPriority w:val="0"/>
    <w:pPr>
      <w:jc w:val="center"/>
    </w:pPr>
    <w:rPr>
      <w:rFonts w:ascii="宋体" w:hAnsi="宋体" w:cs="Calibri"/>
      <w:sz w:val="44"/>
      <w:szCs w:val="24"/>
    </w:rPr>
  </w:style>
  <w:style w:type="character" w:customStyle="1" w:styleId="158">
    <w:name w:val="UserStyle_54"/>
    <w:qFormat/>
    <w:uiPriority w:val="0"/>
    <w:rPr>
      <w:rFonts w:ascii="Arial" w:hAnsi="Arial" w:eastAsia="黑体" w:cs="Calibri"/>
      <w:b/>
      <w:bCs/>
      <w:kern w:val="2"/>
      <w:sz w:val="28"/>
      <w:szCs w:val="28"/>
      <w:lang w:val="en-US" w:eastAsia="zh-CN" w:bidi="ar-SA"/>
    </w:rPr>
  </w:style>
  <w:style w:type="character" w:customStyle="1" w:styleId="159">
    <w:name w:val="UserStyle_55"/>
    <w:qFormat/>
    <w:uiPriority w:val="0"/>
    <w:rPr>
      <w:color w:val="0E2DCD"/>
      <w:sz w:val="21"/>
      <w:szCs w:val="21"/>
    </w:rPr>
  </w:style>
  <w:style w:type="character" w:customStyle="1" w:styleId="160">
    <w:name w:val="UserStyle_56"/>
    <w:link w:val="161"/>
    <w:qFormat/>
    <w:locked/>
    <w:uiPriority w:val="0"/>
    <w:rPr>
      <w:rFonts w:ascii="仿宋_GB2312" w:eastAsia="仿宋_GB2312"/>
      <w:sz w:val="24"/>
      <w:lang w:bidi="ar-SA"/>
    </w:rPr>
  </w:style>
  <w:style w:type="paragraph" w:customStyle="1" w:styleId="161">
    <w:name w:val="UserStyle_57"/>
    <w:basedOn w:val="1"/>
    <w:link w:val="160"/>
    <w:qFormat/>
    <w:uiPriority w:val="0"/>
    <w:pPr>
      <w:spacing w:before="120" w:after="120" w:line="480" w:lineRule="exact"/>
      <w:ind w:firstLine="200" w:firstLineChars="200"/>
      <w:jc w:val="left"/>
    </w:pPr>
    <w:rPr>
      <w:rFonts w:ascii="仿宋_GB2312" w:eastAsia="仿宋_GB2312"/>
      <w:kern w:val="0"/>
    </w:rPr>
  </w:style>
  <w:style w:type="character" w:customStyle="1" w:styleId="162">
    <w:name w:val="UserStyle_58"/>
    <w:qFormat/>
    <w:uiPriority w:val="0"/>
    <w:rPr>
      <w:rFonts w:ascii="Arial" w:hAnsi="Arial" w:eastAsia="黑体"/>
      <w:b/>
      <w:kern w:val="2"/>
      <w:sz w:val="24"/>
      <w:lang w:val="en-US" w:eastAsia="zh-CN" w:bidi="ar-SA"/>
    </w:rPr>
  </w:style>
  <w:style w:type="character" w:customStyle="1" w:styleId="163">
    <w:name w:val="UserStyle_59"/>
    <w:qFormat/>
    <w:locked/>
    <w:uiPriority w:val="0"/>
    <w:rPr>
      <w:sz w:val="18"/>
      <w:szCs w:val="18"/>
    </w:rPr>
  </w:style>
  <w:style w:type="character" w:customStyle="1" w:styleId="164">
    <w:name w:val="UserStyle_60"/>
    <w:qFormat/>
    <w:uiPriority w:val="0"/>
    <w:rPr>
      <w:rFonts w:ascii="宋体" w:hAnsi="宋体" w:eastAsia="宋体"/>
      <w:sz w:val="24"/>
      <w:szCs w:val="21"/>
      <w:u w:val="thick"/>
      <w:lang w:val="en-US" w:eastAsia="zh-CN" w:bidi="ar-SA"/>
    </w:rPr>
  </w:style>
  <w:style w:type="character" w:customStyle="1" w:styleId="165">
    <w:name w:val="UserStyle_61"/>
    <w:qFormat/>
    <w:uiPriority w:val="0"/>
    <w:rPr>
      <w:rFonts w:ascii="宋体" w:hAnsi="宋体" w:cs="Calibri"/>
      <w:b/>
      <w:bCs/>
      <w:kern w:val="44"/>
      <w:sz w:val="28"/>
      <w:szCs w:val="28"/>
    </w:rPr>
  </w:style>
  <w:style w:type="character" w:customStyle="1" w:styleId="166">
    <w:name w:val="UserStyle_62"/>
    <w:link w:val="167"/>
    <w:qFormat/>
    <w:uiPriority w:val="0"/>
    <w:rPr>
      <w:rFonts w:ascii="Arial" w:hAnsi="Arial"/>
      <w:kern w:val="2"/>
      <w:sz w:val="24"/>
      <w:szCs w:val="22"/>
      <w:lang w:val="en-US" w:eastAsia="zh-CN" w:bidi="ar-SA"/>
    </w:rPr>
  </w:style>
  <w:style w:type="paragraph" w:customStyle="1" w:styleId="167">
    <w:name w:val="UserStyle_63"/>
    <w:link w:val="166"/>
    <w:qFormat/>
    <w:uiPriority w:val="0"/>
    <w:pPr>
      <w:spacing w:line="360" w:lineRule="auto"/>
      <w:ind w:firstLine="200" w:firstLineChars="200"/>
      <w:textAlignment w:val="baseline"/>
    </w:pPr>
    <w:rPr>
      <w:rFonts w:ascii="Arial" w:hAnsi="Arial" w:eastAsia="宋体" w:cs="Times New Roman"/>
      <w:kern w:val="2"/>
      <w:sz w:val="24"/>
      <w:szCs w:val="22"/>
      <w:lang w:val="en-US" w:eastAsia="zh-CN" w:bidi="ar-SA"/>
    </w:rPr>
  </w:style>
  <w:style w:type="character" w:customStyle="1" w:styleId="168">
    <w:name w:val="UserStyle_64"/>
    <w:qFormat/>
    <w:uiPriority w:val="0"/>
    <w:rPr>
      <w:rFonts w:ascii="Times New Roman" w:hAnsi="Times New Roman"/>
      <w:kern w:val="2"/>
      <w:sz w:val="24"/>
      <w:szCs w:val="21"/>
    </w:rPr>
  </w:style>
  <w:style w:type="character" w:customStyle="1" w:styleId="169">
    <w:name w:val="UserStyle_65"/>
    <w:qFormat/>
    <w:uiPriority w:val="0"/>
    <w:rPr>
      <w:sz w:val="18"/>
      <w:szCs w:val="18"/>
    </w:rPr>
  </w:style>
  <w:style w:type="character" w:customStyle="1" w:styleId="170">
    <w:name w:val="UserStyle_66"/>
    <w:qFormat/>
    <w:locked/>
    <w:uiPriority w:val="0"/>
    <w:rPr>
      <w:rFonts w:ascii="Times New Roman" w:hAnsi="Times New Roman" w:eastAsia="宋体" w:cs="Times New Roman"/>
      <w:b/>
      <w:bCs/>
      <w:kern w:val="44"/>
      <w:sz w:val="44"/>
      <w:szCs w:val="44"/>
    </w:rPr>
  </w:style>
  <w:style w:type="character" w:customStyle="1" w:styleId="171">
    <w:name w:val="UserStyle_67"/>
    <w:qFormat/>
    <w:uiPriority w:val="0"/>
  </w:style>
  <w:style w:type="character" w:customStyle="1" w:styleId="172">
    <w:name w:val="UserStyle_68"/>
    <w:qFormat/>
    <w:uiPriority w:val="0"/>
    <w:rPr>
      <w:rFonts w:ascii="Verdana" w:hAnsi="Verdana"/>
      <w:b/>
      <w:color w:val="000000"/>
      <w:sz w:val="27"/>
    </w:rPr>
  </w:style>
  <w:style w:type="character" w:customStyle="1" w:styleId="173">
    <w:name w:val="UserStyle_69"/>
    <w:qFormat/>
    <w:uiPriority w:val="0"/>
    <w:rPr>
      <w:rFonts w:eastAsia="宋体"/>
      <w:b/>
      <w:spacing w:val="-2"/>
      <w:sz w:val="24"/>
      <w:lang w:val="en-US" w:eastAsia="zh-CN" w:bidi="ar-SA"/>
    </w:rPr>
  </w:style>
  <w:style w:type="character" w:customStyle="1" w:styleId="174">
    <w:name w:val="UserStyle_70"/>
    <w:qFormat/>
    <w:uiPriority w:val="0"/>
    <w:rPr>
      <w:rFonts w:ascii="ˎ̥" w:hAnsi="ˎ̥"/>
      <w:sz w:val="21"/>
    </w:rPr>
  </w:style>
  <w:style w:type="character" w:customStyle="1" w:styleId="175">
    <w:name w:val="UserStyle_71"/>
    <w:link w:val="176"/>
    <w:qFormat/>
    <w:locked/>
    <w:uiPriority w:val="0"/>
    <w:rPr>
      <w:kern w:val="2"/>
      <w:sz w:val="24"/>
    </w:rPr>
  </w:style>
  <w:style w:type="paragraph" w:customStyle="1" w:styleId="176">
    <w:name w:val="UserStyle_72"/>
    <w:basedOn w:val="1"/>
    <w:link w:val="175"/>
    <w:qFormat/>
    <w:uiPriority w:val="0"/>
    <w:pPr>
      <w:spacing w:before="60" w:after="60" w:line="360" w:lineRule="auto"/>
    </w:pPr>
  </w:style>
  <w:style w:type="character" w:customStyle="1" w:styleId="177">
    <w:name w:val="UserStyle_73"/>
    <w:qFormat/>
    <w:uiPriority w:val="0"/>
    <w:rPr>
      <w:rFonts w:ascii="Times New Roman" w:hAnsi="Times New Roman"/>
      <w:kern w:val="2"/>
      <w:sz w:val="24"/>
      <w:szCs w:val="24"/>
    </w:rPr>
  </w:style>
  <w:style w:type="character" w:customStyle="1" w:styleId="178">
    <w:name w:val="UserStyle_74"/>
    <w:qFormat/>
    <w:uiPriority w:val="0"/>
    <w:rPr>
      <w:rFonts w:eastAsia="宋体"/>
      <w:kern w:val="2"/>
      <w:sz w:val="21"/>
      <w:szCs w:val="24"/>
      <w:lang w:val="en-US" w:eastAsia="zh-CN" w:bidi="ar-SA"/>
    </w:rPr>
  </w:style>
  <w:style w:type="character" w:customStyle="1" w:styleId="179">
    <w:name w:val="UserStyle_75"/>
    <w:qFormat/>
    <w:uiPriority w:val="0"/>
    <w:rPr>
      <w:rFonts w:ascii="Arial" w:hAnsi="Arial"/>
      <w:sz w:val="22"/>
    </w:rPr>
  </w:style>
  <w:style w:type="character" w:customStyle="1" w:styleId="180">
    <w:name w:val="UserStyle_76"/>
    <w:qFormat/>
    <w:uiPriority w:val="0"/>
    <w:rPr>
      <w:rFonts w:ascii="Arial" w:hAnsi="Arial" w:eastAsia="黑体"/>
      <w:b/>
      <w:kern w:val="2"/>
      <w:sz w:val="28"/>
      <w:lang w:val="en-US" w:eastAsia="zh-CN"/>
    </w:rPr>
  </w:style>
  <w:style w:type="character" w:customStyle="1" w:styleId="181">
    <w:name w:val="UserStyle_77"/>
    <w:qFormat/>
    <w:uiPriority w:val="0"/>
  </w:style>
  <w:style w:type="character" w:customStyle="1" w:styleId="182">
    <w:name w:val="UserStyle_78"/>
    <w:qFormat/>
    <w:uiPriority w:val="0"/>
    <w:rPr>
      <w:rFonts w:ascii="Arial" w:hAnsi="Arial"/>
      <w:b/>
      <w:sz w:val="18"/>
    </w:rPr>
  </w:style>
  <w:style w:type="character" w:customStyle="1" w:styleId="183">
    <w:name w:val="UserStyle_79"/>
    <w:semiHidden/>
    <w:qFormat/>
    <w:uiPriority w:val="0"/>
    <w:rPr>
      <w:rFonts w:ascii="Courier New" w:hAnsi="Courier New"/>
      <w:kern w:val="2"/>
    </w:rPr>
  </w:style>
  <w:style w:type="character" w:customStyle="1" w:styleId="184">
    <w:name w:val="UserStyle_80"/>
    <w:qFormat/>
    <w:uiPriority w:val="0"/>
  </w:style>
  <w:style w:type="character" w:customStyle="1" w:styleId="185">
    <w:name w:val="UserStyle_81"/>
    <w:link w:val="186"/>
    <w:qFormat/>
    <w:uiPriority w:val="0"/>
    <w:rPr>
      <w:rFonts w:ascii="宋体" w:eastAsia="宋体"/>
      <w:color w:val="FF0000"/>
      <w:sz w:val="24"/>
      <w:lang w:val="en-US" w:eastAsia="zh-CN"/>
    </w:rPr>
  </w:style>
  <w:style w:type="paragraph" w:customStyle="1" w:styleId="186">
    <w:name w:val="UserStyle_82"/>
    <w:basedOn w:val="70"/>
    <w:link w:val="185"/>
    <w:qFormat/>
    <w:uiPriority w:val="0"/>
    <w:rPr>
      <w:rFonts w:ascii="宋体"/>
      <w:color w:val="FF0000"/>
      <w:kern w:val="0"/>
    </w:rPr>
  </w:style>
  <w:style w:type="character" w:customStyle="1" w:styleId="187">
    <w:name w:val="UserStyle_83"/>
    <w:qFormat/>
    <w:uiPriority w:val="0"/>
    <w:rPr>
      <w:color w:val="282828"/>
      <w:spacing w:val="15"/>
      <w:sz w:val="18"/>
    </w:rPr>
  </w:style>
  <w:style w:type="character" w:customStyle="1" w:styleId="188">
    <w:name w:val="UserStyle_84"/>
    <w:link w:val="189"/>
    <w:qFormat/>
    <w:uiPriority w:val="0"/>
    <w:rPr>
      <w:rFonts w:eastAsia="宋体"/>
      <w:kern w:val="2"/>
      <w:sz w:val="24"/>
      <w:lang w:val="en-US" w:eastAsia="zh-CN" w:bidi="ar-SA"/>
    </w:rPr>
  </w:style>
  <w:style w:type="paragraph" w:customStyle="1" w:styleId="189">
    <w:name w:val="UserStyle_85"/>
    <w:basedOn w:val="1"/>
    <w:link w:val="188"/>
    <w:qFormat/>
    <w:uiPriority w:val="0"/>
    <w:pPr>
      <w:snapToGrid w:val="0"/>
      <w:spacing w:line="360" w:lineRule="auto"/>
      <w:ind w:firstLine="420"/>
    </w:pPr>
  </w:style>
  <w:style w:type="character" w:customStyle="1" w:styleId="190">
    <w:name w:val="UserStyle_86"/>
    <w:link w:val="191"/>
    <w:qFormat/>
    <w:uiPriority w:val="0"/>
    <w:rPr>
      <w:rFonts w:eastAsia="宋体"/>
      <w:kern w:val="2"/>
      <w:sz w:val="21"/>
      <w:lang w:val="en-US" w:eastAsia="zh-CN" w:bidi="ar-SA"/>
    </w:rPr>
  </w:style>
  <w:style w:type="paragraph" w:customStyle="1" w:styleId="191">
    <w:name w:val="UserStyle_87"/>
    <w:basedOn w:val="1"/>
    <w:link w:val="190"/>
    <w:qFormat/>
    <w:uiPriority w:val="0"/>
    <w:pPr>
      <w:spacing w:line="360" w:lineRule="auto"/>
      <w:ind w:firstLine="200" w:firstLineChars="200"/>
    </w:pPr>
    <w:rPr>
      <w:sz w:val="21"/>
    </w:rPr>
  </w:style>
  <w:style w:type="character" w:customStyle="1" w:styleId="192">
    <w:name w:val="UserStyle_88"/>
    <w:qFormat/>
    <w:uiPriority w:val="0"/>
    <w:rPr>
      <w:rFonts w:ascii="sө" w:hAnsi="sө"/>
      <w:color w:val="000000"/>
      <w:sz w:val="15"/>
      <w:szCs w:val="15"/>
    </w:rPr>
  </w:style>
  <w:style w:type="character" w:customStyle="1" w:styleId="193">
    <w:name w:val="UserStyle_89"/>
    <w:qFormat/>
    <w:uiPriority w:val="0"/>
    <w:rPr>
      <w:sz w:val="21"/>
    </w:rPr>
  </w:style>
  <w:style w:type="character" w:customStyle="1" w:styleId="194">
    <w:name w:val="UserStyle_90"/>
    <w:qFormat/>
    <w:uiPriority w:val="0"/>
    <w:rPr>
      <w:rFonts w:eastAsia="宋体"/>
      <w:kern w:val="2"/>
      <w:sz w:val="21"/>
      <w:lang w:val="en-US" w:eastAsia="zh-CN"/>
    </w:rPr>
  </w:style>
  <w:style w:type="character" w:customStyle="1" w:styleId="195">
    <w:name w:val="UserStyle_91"/>
    <w:link w:val="196"/>
    <w:qFormat/>
    <w:uiPriority w:val="0"/>
    <w:rPr>
      <w:rFonts w:eastAsia="仿宋_GB2312"/>
      <w:sz w:val="24"/>
      <w:lang w:val="en-US" w:eastAsia="zh-CN" w:bidi="ar-SA"/>
    </w:rPr>
  </w:style>
  <w:style w:type="paragraph" w:customStyle="1" w:styleId="196">
    <w:name w:val="UserStyle_92"/>
    <w:basedOn w:val="1"/>
    <w:next w:val="1"/>
    <w:link w:val="195"/>
    <w:qFormat/>
    <w:uiPriority w:val="0"/>
    <w:pPr>
      <w:spacing w:line="440" w:lineRule="exact"/>
      <w:ind w:firstLine="480" w:firstLineChars="200"/>
      <w:jc w:val="left"/>
    </w:pPr>
    <w:rPr>
      <w:rFonts w:eastAsia="仿宋_GB2312"/>
      <w:kern w:val="0"/>
    </w:rPr>
  </w:style>
  <w:style w:type="character" w:customStyle="1" w:styleId="197">
    <w:name w:val="UserStyle_93"/>
    <w:semiHidden/>
    <w:qFormat/>
    <w:uiPriority w:val="0"/>
  </w:style>
  <w:style w:type="character" w:customStyle="1" w:styleId="198">
    <w:name w:val="UserStyle_94"/>
    <w:qFormat/>
    <w:uiPriority w:val="0"/>
    <w:rPr>
      <w:color w:val="FF0000"/>
    </w:rPr>
  </w:style>
  <w:style w:type="character" w:customStyle="1" w:styleId="199">
    <w:name w:val="UserStyle_95"/>
    <w:qFormat/>
    <w:locked/>
    <w:uiPriority w:val="0"/>
    <w:rPr>
      <w:rFonts w:ascii="楷体_GB2312" w:eastAsia="楷体_GB2312"/>
      <w:sz w:val="32"/>
    </w:rPr>
  </w:style>
  <w:style w:type="character" w:customStyle="1" w:styleId="200">
    <w:name w:val="UserStyle_96"/>
    <w:qFormat/>
    <w:uiPriority w:val="0"/>
    <w:rPr>
      <w:sz w:val="18"/>
      <w:szCs w:val="18"/>
    </w:rPr>
  </w:style>
  <w:style w:type="character" w:customStyle="1" w:styleId="201">
    <w:name w:val="UserStyle_97"/>
    <w:qFormat/>
    <w:uiPriority w:val="0"/>
    <w:rPr>
      <w:b/>
    </w:rPr>
  </w:style>
  <w:style w:type="character" w:customStyle="1" w:styleId="202">
    <w:name w:val="UserStyle_98"/>
    <w:qFormat/>
    <w:uiPriority w:val="0"/>
    <w:rPr>
      <w:rFonts w:ascii="宋体" w:hAnsi="宋体" w:eastAsia="宋体"/>
      <w:sz w:val="18"/>
      <w:szCs w:val="18"/>
    </w:rPr>
  </w:style>
  <w:style w:type="character" w:customStyle="1" w:styleId="203">
    <w:name w:val="UserStyle_99"/>
    <w:link w:val="204"/>
    <w:qFormat/>
    <w:uiPriority w:val="0"/>
    <w:rPr>
      <w:rFonts w:ascii="Arial" w:hAnsi="Arial" w:eastAsia="黑体"/>
      <w:kern w:val="2"/>
      <w:sz w:val="28"/>
      <w:lang w:val="en-US" w:eastAsia="zh-CN"/>
    </w:rPr>
  </w:style>
  <w:style w:type="paragraph" w:customStyle="1" w:styleId="204">
    <w:name w:val="UserStyle_100"/>
    <w:basedOn w:val="35"/>
    <w:next w:val="1"/>
    <w:link w:val="203"/>
    <w:qFormat/>
    <w:uiPriority w:val="0"/>
    <w:pPr>
      <w:spacing w:before="260" w:after="260" w:line="413" w:lineRule="auto"/>
      <w:ind w:left="-7" w:firstLine="567"/>
    </w:pPr>
    <w:rPr>
      <w:rFonts w:hAnsi="Arial" w:eastAsia="黑体"/>
    </w:rPr>
  </w:style>
  <w:style w:type="character" w:customStyle="1" w:styleId="205">
    <w:name w:val="UserStyle_101"/>
    <w:qFormat/>
    <w:uiPriority w:val="0"/>
    <w:rPr>
      <w:rFonts w:ascii="仿宋_GB2312" w:eastAsia="仿宋_GB2312"/>
      <w:color w:val="000000"/>
      <w:sz w:val="22"/>
      <w:szCs w:val="22"/>
    </w:rPr>
  </w:style>
  <w:style w:type="character" w:customStyle="1" w:styleId="206">
    <w:name w:val="UserStyle_102"/>
    <w:qFormat/>
    <w:uiPriority w:val="0"/>
    <w:rPr>
      <w:rFonts w:eastAsia="宋体"/>
      <w:kern w:val="2"/>
      <w:sz w:val="24"/>
      <w:lang w:val="en-US" w:eastAsia="zh-CN"/>
    </w:rPr>
  </w:style>
  <w:style w:type="character" w:customStyle="1" w:styleId="207">
    <w:name w:val="UserStyle_103"/>
    <w:qFormat/>
    <w:uiPriority w:val="0"/>
    <w:rPr>
      <w:b/>
      <w:kern w:val="2"/>
      <w:sz w:val="32"/>
    </w:rPr>
  </w:style>
  <w:style w:type="character" w:customStyle="1" w:styleId="208">
    <w:name w:val="UserStyle_104"/>
    <w:link w:val="209"/>
    <w:qFormat/>
    <w:uiPriority w:val="0"/>
    <w:rPr>
      <w:rFonts w:ascii="宋体" w:hAnsi="宋体" w:eastAsia="宋体" w:cs="Calibri"/>
      <w:b/>
      <w:bCs/>
      <w:color w:val="000000"/>
      <w:kern w:val="44"/>
      <w:sz w:val="28"/>
      <w:szCs w:val="32"/>
      <w:lang w:val="en-US" w:eastAsia="zh-CN" w:bidi="ar-SA"/>
    </w:rPr>
  </w:style>
  <w:style w:type="paragraph" w:customStyle="1" w:styleId="209">
    <w:name w:val="UserStyle_105"/>
    <w:basedOn w:val="1"/>
    <w:link w:val="208"/>
    <w:qFormat/>
    <w:uiPriority w:val="0"/>
    <w:pPr>
      <w:spacing w:before="50" w:after="75"/>
    </w:pPr>
    <w:rPr>
      <w:rFonts w:ascii="宋体" w:hAnsi="宋体" w:cs="Calibri"/>
      <w:color w:val="000000"/>
      <w:kern w:val="44"/>
      <w:sz w:val="28"/>
      <w:szCs w:val="32"/>
    </w:rPr>
  </w:style>
  <w:style w:type="character" w:customStyle="1" w:styleId="210">
    <w:name w:val="UserStyle_106"/>
    <w:qFormat/>
    <w:uiPriority w:val="0"/>
    <w:rPr>
      <w:rFonts w:ascii="Courier New" w:hAnsi="Courier New"/>
      <w:b/>
      <w:color w:val="FF0000"/>
    </w:rPr>
  </w:style>
  <w:style w:type="character" w:customStyle="1" w:styleId="211">
    <w:name w:val="UserStyle_107"/>
    <w:qFormat/>
    <w:uiPriority w:val="0"/>
  </w:style>
  <w:style w:type="character" w:customStyle="1" w:styleId="212">
    <w:name w:val="UserStyle_108"/>
    <w:qFormat/>
    <w:uiPriority w:val="0"/>
  </w:style>
  <w:style w:type="character" w:customStyle="1" w:styleId="213">
    <w:name w:val="UserStyle_109"/>
    <w:qFormat/>
    <w:uiPriority w:val="0"/>
    <w:rPr>
      <w:rFonts w:ascii="宋体" w:eastAsia="宋体"/>
      <w:b/>
      <w:color w:val="FF0000"/>
      <w:kern w:val="2"/>
      <w:sz w:val="24"/>
      <w:lang w:val="en-US" w:eastAsia="zh-CN"/>
    </w:rPr>
  </w:style>
  <w:style w:type="character" w:customStyle="1" w:styleId="214">
    <w:name w:val="UserStyle_110"/>
    <w:qFormat/>
    <w:uiPriority w:val="0"/>
    <w:rPr>
      <w:color w:val="0000FF"/>
    </w:rPr>
  </w:style>
  <w:style w:type="character" w:customStyle="1" w:styleId="215">
    <w:name w:val="UserStyle_111"/>
    <w:qFormat/>
    <w:uiPriority w:val="0"/>
  </w:style>
  <w:style w:type="character" w:customStyle="1" w:styleId="216">
    <w:name w:val="UserStyle_112"/>
    <w:qFormat/>
    <w:uiPriority w:val="0"/>
    <w:rPr>
      <w:rFonts w:ascii="Times New Roman" w:hAnsi="Times New Roman"/>
      <w:color w:val="000000"/>
      <w:sz w:val="22"/>
      <w:szCs w:val="22"/>
    </w:rPr>
  </w:style>
  <w:style w:type="character" w:customStyle="1" w:styleId="217">
    <w:name w:val="UserStyle_113"/>
    <w:qFormat/>
    <w:uiPriority w:val="0"/>
    <w:rPr>
      <w:rFonts w:ascii="宋体" w:hAnsi="Courier New" w:eastAsia="宋体"/>
      <w:kern w:val="2"/>
      <w:sz w:val="21"/>
      <w:lang w:val="en-US" w:eastAsia="zh-CN"/>
    </w:rPr>
  </w:style>
  <w:style w:type="character" w:customStyle="1" w:styleId="218">
    <w:name w:val="UserStyle_114"/>
    <w:qFormat/>
    <w:uiPriority w:val="0"/>
    <w:rPr>
      <w:rFonts w:eastAsia="宋体"/>
      <w:kern w:val="2"/>
      <w:sz w:val="24"/>
      <w:lang w:val="en-US" w:eastAsia="zh-CN"/>
    </w:rPr>
  </w:style>
  <w:style w:type="character" w:customStyle="1" w:styleId="219">
    <w:name w:val="UserStyle_115"/>
    <w:qFormat/>
    <w:uiPriority w:val="0"/>
    <w:rPr>
      <w:sz w:val="22"/>
      <w:szCs w:val="22"/>
    </w:rPr>
  </w:style>
  <w:style w:type="character" w:customStyle="1" w:styleId="220">
    <w:name w:val="UserStyle_116"/>
    <w:link w:val="221"/>
    <w:qFormat/>
    <w:uiPriority w:val="0"/>
    <w:rPr>
      <w:rFonts w:ascii="Arial" w:hAnsi="Arial" w:eastAsia="楷体_GB2312" w:cs="Arial"/>
      <w:b/>
      <w:bCs/>
      <w:kern w:val="2"/>
      <w:sz w:val="24"/>
      <w:szCs w:val="28"/>
      <w:lang w:val="en-US" w:eastAsia="zh-CN" w:bidi="ar-SA"/>
    </w:rPr>
  </w:style>
  <w:style w:type="paragraph" w:customStyle="1" w:styleId="221">
    <w:name w:val="UserStyle_117"/>
    <w:basedOn w:val="36"/>
    <w:link w:val="220"/>
    <w:qFormat/>
    <w:uiPriority w:val="0"/>
    <w:pPr>
      <w:tabs>
        <w:tab w:val="left" w:pos="1919"/>
      </w:tabs>
      <w:spacing w:before="280" w:after="290" w:line="377" w:lineRule="auto"/>
      <w:ind w:left="1547" w:hanging="708"/>
      <w:jc w:val="left"/>
    </w:pPr>
    <w:rPr>
      <w:rFonts w:ascii="Arial" w:hAnsi="Arial" w:eastAsia="楷体_GB2312" w:cs="Arial"/>
      <w:sz w:val="24"/>
      <w:szCs w:val="28"/>
    </w:rPr>
  </w:style>
  <w:style w:type="character" w:customStyle="1" w:styleId="222">
    <w:name w:val="UserStyle_118"/>
    <w:link w:val="223"/>
    <w:qFormat/>
    <w:locked/>
    <w:uiPriority w:val="0"/>
    <w:rPr>
      <w:sz w:val="24"/>
      <w:lang w:bidi="ar-SA"/>
    </w:rPr>
  </w:style>
  <w:style w:type="paragraph" w:customStyle="1" w:styleId="223">
    <w:name w:val="UserStyle_119"/>
    <w:basedOn w:val="1"/>
    <w:link w:val="222"/>
    <w:qFormat/>
    <w:uiPriority w:val="0"/>
    <w:pPr>
      <w:spacing w:line="360" w:lineRule="auto"/>
      <w:ind w:firstLine="480" w:firstLineChars="200"/>
    </w:pPr>
    <w:rPr>
      <w:kern w:val="0"/>
    </w:rPr>
  </w:style>
  <w:style w:type="character" w:customStyle="1" w:styleId="224">
    <w:name w:val="UserStyle_120"/>
    <w:qFormat/>
    <w:locked/>
    <w:uiPriority w:val="0"/>
    <w:rPr>
      <w:rFonts w:ascii="Cambria" w:hAnsi="Cambria" w:eastAsia="黑体" w:cs="Times New Roman"/>
      <w:b/>
      <w:bCs/>
      <w:sz w:val="32"/>
      <w:szCs w:val="32"/>
    </w:rPr>
  </w:style>
  <w:style w:type="character" w:customStyle="1" w:styleId="225">
    <w:name w:val="UserStyle_121"/>
    <w:qFormat/>
    <w:uiPriority w:val="0"/>
    <w:rPr>
      <w:rFonts w:ascii="Arial" w:hAnsi="宋体"/>
      <w:b/>
      <w:kern w:val="2"/>
      <w:sz w:val="28"/>
    </w:rPr>
  </w:style>
  <w:style w:type="character" w:customStyle="1" w:styleId="226">
    <w:name w:val="UserStyle_122"/>
    <w:qFormat/>
    <w:uiPriority w:val="0"/>
    <w:rPr>
      <w:rFonts w:eastAsia="宋体" w:cs="Calibri"/>
      <w:b/>
      <w:bCs/>
      <w:kern w:val="44"/>
      <w:sz w:val="44"/>
      <w:szCs w:val="44"/>
      <w:lang w:val="en-US" w:eastAsia="zh-CN" w:bidi="ar-SA"/>
    </w:rPr>
  </w:style>
  <w:style w:type="character" w:customStyle="1" w:styleId="227">
    <w:name w:val="UserStyle_123"/>
    <w:qFormat/>
    <w:uiPriority w:val="0"/>
    <w:rPr>
      <w:sz w:val="21"/>
      <w:szCs w:val="21"/>
    </w:rPr>
  </w:style>
  <w:style w:type="character" w:customStyle="1" w:styleId="228">
    <w:name w:val="UserStyle_124"/>
    <w:qFormat/>
    <w:uiPriority w:val="0"/>
    <w:rPr>
      <w:spacing w:val="31680"/>
      <w:sz w:val="26"/>
    </w:rPr>
  </w:style>
  <w:style w:type="character" w:customStyle="1" w:styleId="229">
    <w:name w:val="UserStyle_125"/>
    <w:qFormat/>
    <w:uiPriority w:val="0"/>
    <w:rPr>
      <w:color w:val="990000"/>
    </w:rPr>
  </w:style>
  <w:style w:type="character" w:customStyle="1" w:styleId="230">
    <w:name w:val="UserStyle_126"/>
    <w:qFormat/>
    <w:uiPriority w:val="0"/>
    <w:rPr>
      <w:rFonts w:ascii="Times New Roman" w:hAnsi="Times New Roman" w:eastAsia="仿宋_GB2312" w:cs="Calibri"/>
      <w:b/>
      <w:bCs/>
      <w:kern w:val="44"/>
      <w:sz w:val="30"/>
      <w:szCs w:val="44"/>
    </w:rPr>
  </w:style>
  <w:style w:type="paragraph" w:customStyle="1" w:styleId="231">
    <w:name w:val="UserStyle_127"/>
    <w:basedOn w:val="1"/>
    <w:next w:val="1"/>
    <w:qFormat/>
    <w:uiPriority w:val="0"/>
    <w:pPr>
      <w:jc w:val="left"/>
    </w:pPr>
    <w:rPr>
      <w:color w:val="000000"/>
      <w:kern w:val="0"/>
    </w:rPr>
  </w:style>
  <w:style w:type="paragraph" w:customStyle="1" w:styleId="232">
    <w:name w:val="UserStyle_128"/>
    <w:basedOn w:val="1"/>
    <w:qFormat/>
    <w:uiPriority w:val="0"/>
    <w:pPr>
      <w:spacing w:before="100" w:beforeAutospacing="1" w:after="100" w:afterAutospacing="1"/>
      <w:jc w:val="left"/>
    </w:pPr>
    <w:rPr>
      <w:rFonts w:ascii="宋体" w:hAnsi="宋体"/>
      <w:color w:val="000000"/>
      <w:kern w:val="0"/>
      <w:szCs w:val="24"/>
    </w:rPr>
  </w:style>
  <w:style w:type="paragraph" w:customStyle="1" w:styleId="233">
    <w:name w:val="UserStyle_129"/>
    <w:basedOn w:val="1"/>
    <w:qFormat/>
    <w:uiPriority w:val="0"/>
    <w:pPr>
      <w:spacing w:line="360" w:lineRule="auto"/>
      <w:ind w:firstLine="420"/>
    </w:pPr>
    <w:rPr>
      <w:sz w:val="21"/>
    </w:rPr>
  </w:style>
  <w:style w:type="paragraph" w:customStyle="1" w:styleId="234">
    <w:name w:val="UserStyle_130"/>
    <w:basedOn w:val="1"/>
    <w:qFormat/>
    <w:uiPriority w:val="0"/>
    <w:pPr>
      <w:spacing w:before="156" w:after="156" w:line="360" w:lineRule="auto"/>
    </w:pPr>
    <w:rPr>
      <w:color w:val="000000"/>
      <w:sz w:val="21"/>
    </w:rPr>
  </w:style>
  <w:style w:type="paragraph" w:customStyle="1" w:styleId="235">
    <w:name w:val="UserStyle_131"/>
    <w:basedOn w:val="236"/>
    <w:next w:val="237"/>
    <w:qFormat/>
    <w:uiPriority w:val="0"/>
    <w:pPr>
      <w:ind w:left="0"/>
    </w:pPr>
  </w:style>
  <w:style w:type="paragraph" w:customStyle="1" w:styleId="236">
    <w:name w:val="UserStyle_132"/>
    <w:next w:val="237"/>
    <w:qFormat/>
    <w:uiPriority w:val="0"/>
    <w:pPr>
      <w:ind w:left="3675"/>
      <w:textAlignment w:val="baseline"/>
    </w:pPr>
    <w:rPr>
      <w:rFonts w:ascii="Calibri" w:hAnsi="Calibri" w:eastAsia="黑体" w:cs="Times New Roman"/>
      <w:sz w:val="21"/>
      <w:lang w:val="en-US" w:eastAsia="zh-CN" w:bidi="ar-SA"/>
    </w:rPr>
  </w:style>
  <w:style w:type="paragraph" w:customStyle="1" w:styleId="237">
    <w:name w:val="UserStyle_133"/>
    <w:qFormat/>
    <w:uiPriority w:val="0"/>
    <w:pPr>
      <w:ind w:firstLine="200" w:firstLineChars="200"/>
      <w:jc w:val="both"/>
      <w:textAlignment w:val="baseline"/>
    </w:pPr>
    <w:rPr>
      <w:rFonts w:ascii="宋体" w:hAnsi="Calibri" w:eastAsia="宋体" w:cs="Times New Roman"/>
      <w:sz w:val="21"/>
      <w:lang w:val="en-US" w:eastAsia="zh-CN" w:bidi="ar-SA"/>
    </w:rPr>
  </w:style>
  <w:style w:type="paragraph" w:customStyle="1" w:styleId="238">
    <w:name w:val="UserStyle_134"/>
    <w:basedOn w:val="1"/>
    <w:qFormat/>
    <w:uiPriority w:val="0"/>
    <w:rPr>
      <w:rFonts w:ascii="仿宋_GB2312" w:eastAsia="仿宋_GB2312"/>
      <w:sz w:val="32"/>
    </w:rPr>
  </w:style>
  <w:style w:type="paragraph" w:customStyle="1" w:styleId="239">
    <w:name w:val="UserStyle_135"/>
    <w:basedOn w:val="1"/>
    <w:qFormat/>
    <w:uiPriority w:val="0"/>
    <w:pPr>
      <w:spacing w:before="60" w:after="60" w:line="360" w:lineRule="auto"/>
    </w:pPr>
  </w:style>
  <w:style w:type="paragraph" w:customStyle="1" w:styleId="240">
    <w:name w:val="UserStyle_136"/>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241">
    <w:name w:val="UserStyle_137"/>
    <w:basedOn w:val="1"/>
    <w:qFormat/>
    <w:uiPriority w:val="0"/>
    <w:pPr>
      <w:keepNext/>
      <w:keepLines/>
      <w:tabs>
        <w:tab w:val="left" w:pos="3000"/>
      </w:tabs>
      <w:spacing w:before="156" w:after="156" w:line="320" w:lineRule="auto"/>
      <w:ind w:left="3000" w:hanging="420"/>
    </w:pPr>
    <w:rPr>
      <w:rFonts w:ascii="Arial" w:hAnsi="Arial" w:eastAsia="黑体" w:cs="Calibri"/>
      <w:szCs w:val="24"/>
    </w:rPr>
  </w:style>
  <w:style w:type="paragraph" w:customStyle="1" w:styleId="242">
    <w:name w:val="UserStyle_138"/>
    <w:basedOn w:val="32"/>
    <w:next w:val="1"/>
    <w:qFormat/>
    <w:uiPriority w:val="0"/>
    <w:pPr>
      <w:keepNext/>
      <w:keepLines/>
      <w:spacing w:before="120" w:after="480" w:line="360" w:lineRule="auto"/>
      <w:textAlignment w:val="top"/>
    </w:pPr>
    <w:rPr>
      <w:rFonts w:ascii="Times New Roman" w:eastAsia="黑体"/>
      <w:kern w:val="2"/>
      <w:sz w:val="44"/>
    </w:rPr>
  </w:style>
  <w:style w:type="paragraph" w:customStyle="1" w:styleId="243">
    <w:name w:val="UserStyle_139"/>
    <w:basedOn w:val="1"/>
    <w:qFormat/>
    <w:uiPriority w:val="0"/>
    <w:pPr>
      <w:topLinePunct/>
      <w:ind w:firstLine="200" w:firstLineChars="200"/>
    </w:pPr>
    <w:rPr>
      <w:rFonts w:ascii="宋体" w:hAnsi="宋体"/>
      <w:kern w:val="0"/>
      <w:szCs w:val="21"/>
      <w:u w:val="thick"/>
    </w:rPr>
  </w:style>
  <w:style w:type="paragraph" w:customStyle="1" w:styleId="244">
    <w:name w:val="UserStyle_140"/>
    <w:basedOn w:val="1"/>
    <w:qFormat/>
    <w:uiPriority w:val="0"/>
    <w:pPr>
      <w:jc w:val="center"/>
    </w:pPr>
    <w:rPr>
      <w:rFonts w:ascii="楷体_GB2312" w:hAnsi="Courier New" w:eastAsia="楷体_GB2312"/>
      <w:sz w:val="21"/>
    </w:rPr>
  </w:style>
  <w:style w:type="paragraph" w:customStyle="1" w:styleId="245">
    <w:name w:val="UserStyle_141"/>
    <w:basedOn w:val="64"/>
    <w:qFormat/>
    <w:uiPriority w:val="0"/>
    <w:pPr>
      <w:spacing w:line="360" w:lineRule="auto"/>
      <w:ind w:firstLine="560"/>
    </w:pPr>
    <w:rPr>
      <w:rFonts w:ascii="宋体" w:hAnsi="宋体"/>
      <w:sz w:val="24"/>
    </w:rPr>
  </w:style>
  <w:style w:type="paragraph" w:customStyle="1" w:styleId="246">
    <w:name w:val="UserStyle_142"/>
    <w:basedOn w:val="1"/>
    <w:qFormat/>
    <w:uiPriority w:val="0"/>
    <w:pPr>
      <w:spacing w:before="156" w:after="156" w:line="360" w:lineRule="auto"/>
      <w:ind w:firstLine="480" w:firstLineChars="200"/>
    </w:pPr>
    <w:rPr>
      <w:rFonts w:eastAsia="仿宋_GB2312" w:cs="Calibri"/>
      <w:sz w:val="28"/>
      <w:szCs w:val="24"/>
    </w:rPr>
  </w:style>
  <w:style w:type="paragraph" w:customStyle="1" w:styleId="247">
    <w:name w:val="UserStyle_143"/>
    <w:qFormat/>
    <w:uiPriority w:val="0"/>
    <w:pPr>
      <w:spacing w:before="308"/>
      <w:jc w:val="right"/>
      <w:textAlignment w:val="center"/>
    </w:pPr>
    <w:rPr>
      <w:rFonts w:ascii="Calibri" w:hAnsi="Calibri" w:eastAsia="宋体" w:cs="Times New Roman"/>
      <w:sz w:val="28"/>
      <w:lang w:val="en-US" w:eastAsia="zh-CN" w:bidi="ar-SA"/>
    </w:rPr>
  </w:style>
  <w:style w:type="paragraph" w:customStyle="1" w:styleId="248">
    <w:name w:val="UserStyle_144"/>
    <w:basedOn w:val="1"/>
    <w:next w:val="1"/>
    <w:qFormat/>
    <w:uiPriority w:val="0"/>
    <w:pPr>
      <w:jc w:val="left"/>
    </w:pPr>
    <w:rPr>
      <w:color w:val="000000"/>
      <w:kern w:val="0"/>
    </w:rPr>
  </w:style>
  <w:style w:type="paragraph" w:customStyle="1" w:styleId="249">
    <w:name w:val="UserStyle_14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50">
    <w:name w:val="UserStyle_146"/>
    <w:basedOn w:val="1"/>
    <w:qFormat/>
    <w:uiPriority w:val="0"/>
    <w:pPr>
      <w:spacing w:before="100" w:beforeAutospacing="1" w:after="100" w:afterAutospacing="1"/>
      <w:jc w:val="left"/>
    </w:pPr>
    <w:rPr>
      <w:rFonts w:ascii="幼圆" w:hAnsi="宋体" w:eastAsia="幼圆"/>
      <w:kern w:val="0"/>
      <w:szCs w:val="24"/>
    </w:rPr>
  </w:style>
  <w:style w:type="paragraph" w:customStyle="1" w:styleId="251">
    <w:name w:val="UserStyle_147"/>
    <w:basedOn w:val="1"/>
    <w:qFormat/>
    <w:uiPriority w:val="0"/>
    <w:pPr>
      <w:spacing w:before="100" w:after="100" w:line="360" w:lineRule="auto"/>
      <w:ind w:firstLine="420"/>
      <w:jc w:val="left"/>
    </w:pPr>
  </w:style>
  <w:style w:type="paragraph" w:customStyle="1" w:styleId="252">
    <w:name w:val="UserStyle_148"/>
    <w:basedOn w:val="33"/>
    <w:qFormat/>
    <w:uiPriority w:val="0"/>
    <w:pPr>
      <w:tabs>
        <w:tab w:val="left" w:pos="720"/>
      </w:tabs>
      <w:spacing w:before="100" w:beforeAutospacing="1" w:after="100" w:afterAutospacing="1" w:line="240" w:lineRule="auto"/>
      <w:ind w:left="0" w:firstLine="0"/>
      <w:jc w:val="left"/>
    </w:pPr>
    <w:rPr>
      <w:rFonts w:ascii="宋体" w:hAnsi="宋体"/>
      <w:kern w:val="0"/>
      <w:sz w:val="28"/>
    </w:rPr>
  </w:style>
  <w:style w:type="paragraph" w:customStyle="1" w:styleId="253">
    <w:name w:val="UserStyle_149"/>
    <w:basedOn w:val="1"/>
    <w:qFormat/>
    <w:uiPriority w:val="0"/>
    <w:pPr>
      <w:spacing w:before="100" w:beforeAutospacing="1" w:after="100" w:afterAutospacing="1"/>
      <w:jc w:val="left"/>
    </w:pPr>
    <w:rPr>
      <w:rFonts w:ascii="宋体" w:hAnsi="宋体"/>
      <w:kern w:val="0"/>
      <w:szCs w:val="24"/>
    </w:rPr>
  </w:style>
  <w:style w:type="paragraph" w:customStyle="1" w:styleId="254">
    <w:name w:val="UserStyle_150"/>
    <w:basedOn w:val="1"/>
    <w:qFormat/>
    <w:uiPriority w:val="0"/>
    <w:pPr>
      <w:ind w:firstLine="420" w:firstLineChars="200"/>
    </w:pPr>
    <w:rPr>
      <w:sz w:val="21"/>
      <w:szCs w:val="22"/>
    </w:rPr>
  </w:style>
  <w:style w:type="paragraph" w:customStyle="1" w:styleId="255">
    <w:name w:val="UserStyle_151"/>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256">
    <w:name w:val="UserStyle_152"/>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kern w:val="0"/>
    </w:rPr>
  </w:style>
  <w:style w:type="paragraph" w:customStyle="1" w:styleId="257">
    <w:name w:val="UserStyle_153"/>
    <w:basedOn w:val="1"/>
    <w:qFormat/>
    <w:uiPriority w:val="0"/>
    <w:pPr>
      <w:spacing w:before="100" w:beforeAutospacing="1" w:after="100" w:afterAutospacing="1"/>
      <w:jc w:val="left"/>
    </w:pPr>
    <w:rPr>
      <w:rFonts w:ascii="宋体" w:hAnsi="宋体"/>
      <w:color w:val="000000"/>
      <w:kern w:val="0"/>
      <w:szCs w:val="24"/>
    </w:rPr>
  </w:style>
  <w:style w:type="paragraph" w:customStyle="1" w:styleId="258">
    <w:name w:val="UserStyle_154"/>
    <w:basedOn w:val="1"/>
    <w:next w:val="1"/>
    <w:qFormat/>
    <w:uiPriority w:val="0"/>
    <w:pPr>
      <w:keepNext/>
      <w:keepLines/>
      <w:spacing w:before="260" w:after="260" w:line="413" w:lineRule="auto"/>
    </w:pPr>
    <w:rPr>
      <w:rFonts w:ascii="Arial" w:hAnsi="Arial" w:eastAsia="黑体"/>
      <w:sz w:val="32"/>
    </w:rPr>
  </w:style>
  <w:style w:type="paragraph" w:customStyle="1" w:styleId="259">
    <w:name w:val="UserStyle_155"/>
    <w:basedOn w:val="1"/>
    <w:qFormat/>
    <w:uiPriority w:val="0"/>
    <w:pPr>
      <w:spacing w:line="400" w:lineRule="atLeast"/>
      <w:ind w:left="600" w:leftChars="600" w:firstLine="454"/>
    </w:pPr>
    <w:rPr>
      <w:kern w:val="0"/>
    </w:rPr>
  </w:style>
  <w:style w:type="paragraph" w:customStyle="1" w:styleId="260">
    <w:name w:val="UserStyle_156"/>
    <w:basedOn w:val="77"/>
    <w:qFormat/>
    <w:uiPriority w:val="0"/>
    <w:pPr>
      <w:spacing w:before="100" w:beforeAutospacing="1" w:after="100" w:afterAutospacing="1" w:line="400" w:lineRule="atLeast"/>
      <w:ind w:left="600" w:leftChars="600"/>
      <w:jc w:val="both"/>
    </w:pPr>
    <w:rPr>
      <w:rFonts w:ascii="Times New Roman"/>
      <w:color w:val="000000"/>
    </w:rPr>
  </w:style>
  <w:style w:type="paragraph" w:customStyle="1" w:styleId="261">
    <w:name w:val="UserStyle_15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62">
    <w:name w:val="UserStyle_1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63">
    <w:name w:val="UserStyle_159"/>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264">
    <w:name w:val="UserStyle_160"/>
    <w:basedOn w:val="1"/>
    <w:qFormat/>
    <w:uiPriority w:val="0"/>
    <w:pPr>
      <w:spacing w:line="360" w:lineRule="auto"/>
      <w:ind w:firstLine="480" w:firstLineChars="200"/>
    </w:pPr>
  </w:style>
  <w:style w:type="paragraph" w:customStyle="1" w:styleId="265">
    <w:name w:val="UserStyle_161"/>
    <w:basedOn w:val="1"/>
    <w:qFormat/>
    <w:uiPriority w:val="0"/>
    <w:pPr>
      <w:spacing w:line="360" w:lineRule="atLeast"/>
      <w:ind w:left="840" w:hanging="420"/>
    </w:pPr>
    <w:rPr>
      <w:kern w:val="0"/>
      <w:sz w:val="21"/>
    </w:rPr>
  </w:style>
  <w:style w:type="paragraph" w:customStyle="1" w:styleId="266">
    <w:name w:val="UserStyle_162"/>
    <w:basedOn w:val="1"/>
    <w:qFormat/>
    <w:uiPriority w:val="0"/>
    <w:pPr>
      <w:spacing w:after="120"/>
    </w:pPr>
    <w:rPr>
      <w:sz w:val="21"/>
    </w:rPr>
  </w:style>
  <w:style w:type="paragraph" w:customStyle="1" w:styleId="267">
    <w:name w:val="UserStyle_163"/>
    <w:basedOn w:val="1"/>
    <w:qFormat/>
    <w:uiPriority w:val="0"/>
    <w:pPr>
      <w:pBdr>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68">
    <w:name w:val="UserStyle_164"/>
    <w:basedOn w:val="1"/>
    <w:next w:val="1"/>
    <w:qFormat/>
    <w:uiPriority w:val="0"/>
    <w:pPr>
      <w:spacing w:line="360" w:lineRule="auto"/>
      <w:ind w:firstLine="420"/>
    </w:pPr>
    <w:rPr>
      <w:rFonts w:ascii="宋体"/>
      <w:color w:val="000000"/>
    </w:rPr>
  </w:style>
  <w:style w:type="paragraph" w:customStyle="1" w:styleId="269">
    <w:name w:val="UserStyle_165"/>
    <w:basedOn w:val="1"/>
    <w:qFormat/>
    <w:uiPriority w:val="0"/>
    <w:pPr>
      <w:keepNext/>
      <w:keepLines/>
      <w:tabs>
        <w:tab w:val="left" w:pos="1021"/>
      </w:tabs>
      <w:spacing w:before="312" w:after="312" w:line="360" w:lineRule="auto"/>
      <w:ind w:firstLine="482"/>
    </w:pPr>
    <w:rPr>
      <w:rFonts w:ascii="Arial" w:hAnsi="Arial" w:eastAsia="黑体"/>
      <w:spacing w:val="10"/>
      <w:kern w:val="44"/>
      <w:sz w:val="32"/>
    </w:rPr>
  </w:style>
  <w:style w:type="paragraph" w:customStyle="1" w:styleId="270">
    <w:name w:val="UserStyle_166"/>
    <w:basedOn w:val="1"/>
    <w:next w:val="1"/>
    <w:qFormat/>
    <w:uiPriority w:val="0"/>
    <w:pPr>
      <w:tabs>
        <w:tab w:val="left" w:pos="249"/>
      </w:tabs>
      <w:snapToGrid w:val="0"/>
      <w:spacing w:line="300" w:lineRule="auto"/>
      <w:ind w:left="249" w:hanging="249"/>
    </w:pPr>
    <w:rPr>
      <w:color w:val="000000"/>
      <w:sz w:val="21"/>
    </w:rPr>
  </w:style>
  <w:style w:type="paragraph" w:customStyle="1" w:styleId="271">
    <w:name w:val="UserStyle_167"/>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272">
    <w:name w:val="UserStyle_168"/>
    <w:basedOn w:val="70"/>
    <w:qFormat/>
    <w:uiPriority w:val="0"/>
    <w:rPr>
      <w:rFonts w:ascii="Tahoma" w:hAnsi="Tahoma"/>
    </w:rPr>
  </w:style>
  <w:style w:type="paragraph" w:customStyle="1" w:styleId="273">
    <w:name w:val="UserStyle_169"/>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Cs w:val="24"/>
    </w:rPr>
  </w:style>
  <w:style w:type="paragraph" w:customStyle="1" w:styleId="274">
    <w:name w:val="UserStyle_170"/>
    <w:basedOn w:val="1"/>
    <w:qFormat/>
    <w:uiPriority w:val="0"/>
    <w:pPr>
      <w:spacing w:before="100" w:after="100"/>
      <w:jc w:val="left"/>
    </w:pPr>
    <w:rPr>
      <w:rFonts w:ascii="宋体" w:hAnsi="宋体"/>
      <w:color w:val="000000"/>
      <w:kern w:val="0"/>
      <w:sz w:val="21"/>
    </w:rPr>
  </w:style>
  <w:style w:type="paragraph" w:customStyle="1" w:styleId="275">
    <w:name w:val="UserStyle_171"/>
    <w:basedOn w:val="1"/>
    <w:qFormat/>
    <w:uiPriority w:val="0"/>
    <w:pPr>
      <w:tabs>
        <w:tab w:val="left" w:pos="1080"/>
        <w:tab w:val="left" w:pos="1200"/>
      </w:tabs>
      <w:spacing w:before="156" w:after="156" w:line="360" w:lineRule="auto"/>
      <w:ind w:left="420" w:firstLine="120"/>
      <w:jc w:val="left"/>
    </w:pPr>
    <w:rPr>
      <w:rFonts w:ascii="Arial"/>
    </w:rPr>
  </w:style>
  <w:style w:type="paragraph" w:customStyle="1" w:styleId="276">
    <w:name w:val="UserStyle_172"/>
    <w:basedOn w:val="1"/>
    <w:qFormat/>
    <w:uiPriority w:val="0"/>
    <w:pPr>
      <w:tabs>
        <w:tab w:val="left" w:pos="675"/>
      </w:tabs>
      <w:spacing w:line="360" w:lineRule="auto"/>
      <w:ind w:firstLine="200" w:firstLineChars="200"/>
    </w:pPr>
    <w:rPr>
      <w:rFonts w:cs="Calibri"/>
      <w:sz w:val="18"/>
      <w:szCs w:val="18"/>
    </w:rPr>
  </w:style>
  <w:style w:type="paragraph" w:customStyle="1" w:styleId="277">
    <w:name w:val="178"/>
    <w:semiHidden/>
    <w:qFormat/>
    <w:uiPriority w:val="0"/>
    <w:pPr>
      <w:textAlignment w:val="baseline"/>
    </w:pPr>
    <w:rPr>
      <w:rFonts w:ascii="Calibri" w:hAnsi="Calibri" w:eastAsia="宋体" w:cs="Times New Roman"/>
      <w:kern w:val="2"/>
      <w:sz w:val="24"/>
      <w:lang w:val="en-US" w:eastAsia="zh-CN" w:bidi="ar-SA"/>
    </w:rPr>
  </w:style>
  <w:style w:type="paragraph" w:customStyle="1" w:styleId="278">
    <w:name w:val="UserStyle_173"/>
    <w:basedOn w:val="32"/>
    <w:next w:val="1"/>
    <w:qFormat/>
    <w:uiPriority w:val="0"/>
    <w:pPr>
      <w:keepNext/>
      <w:keepLines/>
      <w:tabs>
        <w:tab w:val="left" w:pos="425"/>
      </w:tabs>
      <w:spacing w:before="120" w:after="360" w:line="360" w:lineRule="auto"/>
      <w:ind w:left="425" w:hanging="425"/>
      <w:jc w:val="left"/>
    </w:pPr>
    <w:rPr>
      <w:rFonts w:ascii="Arial" w:hAnsi="Arial"/>
      <w:kern w:val="44"/>
      <w:sz w:val="32"/>
    </w:rPr>
  </w:style>
  <w:style w:type="paragraph" w:customStyle="1" w:styleId="279">
    <w:name w:val="UserStyle_174"/>
    <w:basedOn w:val="1"/>
    <w:qFormat/>
    <w:uiPriority w:val="0"/>
    <w:pPr>
      <w:keepNext/>
      <w:keepLines/>
      <w:tabs>
        <w:tab w:val="left" w:pos="2160"/>
      </w:tabs>
      <w:spacing w:before="280" w:after="290" w:line="377" w:lineRule="auto"/>
      <w:ind w:left="2160" w:hanging="420"/>
    </w:pPr>
    <w:rPr>
      <w:rFonts w:cs="Calibri"/>
      <w:sz w:val="28"/>
      <w:szCs w:val="28"/>
    </w:rPr>
  </w:style>
  <w:style w:type="paragraph" w:customStyle="1" w:styleId="280">
    <w:name w:val="UserStyle_1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281">
    <w:name w:val="UserStyle_176"/>
    <w:basedOn w:val="1"/>
    <w:qFormat/>
    <w:uiPriority w:val="0"/>
    <w:pPr>
      <w:spacing w:before="60" w:after="60" w:line="500" w:lineRule="exact"/>
      <w:ind w:left="1436" w:firstLine="592"/>
    </w:pPr>
    <w:rPr>
      <w:sz w:val="28"/>
    </w:rPr>
  </w:style>
  <w:style w:type="paragraph" w:customStyle="1" w:styleId="282">
    <w:name w:val="UserStyle_17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kern w:val="0"/>
      <w:sz w:val="20"/>
    </w:rPr>
  </w:style>
  <w:style w:type="paragraph" w:customStyle="1" w:styleId="283">
    <w:name w:val="UserStyle_178"/>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284">
    <w:name w:val="UserStyle_179"/>
    <w:basedOn w:val="1"/>
    <w:qFormat/>
    <w:uiPriority w:val="0"/>
    <w:pPr>
      <w:spacing w:before="100" w:beforeAutospacing="1" w:after="100" w:afterAutospacing="1"/>
      <w:jc w:val="left"/>
    </w:pPr>
    <w:rPr>
      <w:rFonts w:ascii="宋体" w:hAnsi="宋体"/>
      <w:color w:val="000000"/>
      <w:kern w:val="0"/>
      <w:szCs w:val="24"/>
    </w:rPr>
  </w:style>
  <w:style w:type="paragraph" w:customStyle="1" w:styleId="285">
    <w:name w:val="UserStyle_180"/>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color w:val="000000"/>
      <w:kern w:val="0"/>
      <w:sz w:val="21"/>
    </w:rPr>
  </w:style>
  <w:style w:type="paragraph" w:customStyle="1" w:styleId="286">
    <w:name w:val="UserStyle_181"/>
    <w:basedOn w:val="1"/>
    <w:qFormat/>
    <w:uiPriority w:val="0"/>
    <w:pPr>
      <w:spacing w:line="360" w:lineRule="auto"/>
      <w:ind w:firstLine="420" w:firstLineChars="200"/>
    </w:pPr>
    <w:rPr>
      <w:szCs w:val="24"/>
    </w:rPr>
  </w:style>
  <w:style w:type="paragraph" w:customStyle="1" w:styleId="287">
    <w:name w:val="UserStyle_182"/>
    <w:basedOn w:val="36"/>
    <w:next w:val="1"/>
    <w:qFormat/>
    <w:uiPriority w:val="0"/>
    <w:pPr>
      <w:spacing w:before="312"/>
      <w:ind w:left="0" w:firstLine="0"/>
    </w:pPr>
    <w:rPr>
      <w:rFonts w:ascii="宋体" w:hAnsi="宋体" w:cs="Calibri"/>
      <w:sz w:val="24"/>
      <w:szCs w:val="24"/>
    </w:rPr>
  </w:style>
  <w:style w:type="paragraph" w:customStyle="1" w:styleId="288">
    <w:name w:val="UserStyle_183"/>
    <w:qFormat/>
    <w:uiPriority w:val="0"/>
    <w:pPr>
      <w:spacing w:line="360" w:lineRule="auto"/>
      <w:textAlignment w:val="baseline"/>
    </w:pPr>
    <w:rPr>
      <w:rFonts w:ascii="Calibri" w:hAnsi="Calibri" w:eastAsia="宋体" w:cs="Times New Roman"/>
      <w:color w:val="000000"/>
      <w:kern w:val="1"/>
      <w:sz w:val="24"/>
      <w:szCs w:val="21"/>
      <w:lang w:val="en-US" w:eastAsia="zh-CN" w:bidi="ar-SA"/>
    </w:rPr>
  </w:style>
  <w:style w:type="paragraph" w:customStyle="1" w:styleId="289">
    <w:name w:val="UserStyle_184"/>
    <w:basedOn w:val="40"/>
    <w:qFormat/>
    <w:uiPriority w:val="0"/>
    <w:rPr>
      <w:kern w:val="0"/>
    </w:rPr>
  </w:style>
  <w:style w:type="paragraph" w:customStyle="1" w:styleId="290">
    <w:name w:val="UserStyle_185"/>
    <w:basedOn w:val="1"/>
    <w:qFormat/>
    <w:uiPriority w:val="0"/>
    <w:pPr>
      <w:ind w:firstLine="420"/>
      <w:jc w:val="left"/>
    </w:pPr>
    <w:rPr>
      <w:rFonts w:eastAsia="楷体_GB2312"/>
    </w:rPr>
  </w:style>
  <w:style w:type="paragraph" w:customStyle="1" w:styleId="291">
    <w:name w:val="UserStyle_186"/>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292">
    <w:name w:val="UserStyle_187"/>
    <w:basedOn w:val="1"/>
    <w:qFormat/>
    <w:uiPriority w:val="0"/>
    <w:pPr>
      <w:ind w:firstLine="420" w:firstLineChars="200"/>
    </w:pPr>
    <w:rPr>
      <w:sz w:val="21"/>
      <w:szCs w:val="22"/>
    </w:rPr>
  </w:style>
  <w:style w:type="paragraph" w:customStyle="1" w:styleId="293">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294">
    <w:name w:val="UserStyle_1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95">
    <w:name w:val="UserStyle_190"/>
    <w:basedOn w:val="1"/>
    <w:next w:val="1"/>
    <w:qFormat/>
    <w:uiPriority w:val="0"/>
    <w:pPr>
      <w:tabs>
        <w:tab w:val="left" w:pos="624"/>
      </w:tabs>
      <w:snapToGrid w:val="0"/>
      <w:spacing w:line="300" w:lineRule="auto"/>
      <w:ind w:left="623" w:hanging="374"/>
    </w:pPr>
    <w:rPr>
      <w:color w:val="000000"/>
      <w:sz w:val="21"/>
    </w:rPr>
  </w:style>
  <w:style w:type="paragraph" w:customStyle="1" w:styleId="296">
    <w:name w:val="UserStyle_191"/>
    <w:basedOn w:val="1"/>
    <w:qFormat/>
    <w:uiPriority w:val="0"/>
    <w:pPr>
      <w:ind w:firstLine="420" w:firstLineChars="200"/>
    </w:pPr>
    <w:rPr>
      <w:szCs w:val="21"/>
    </w:rPr>
  </w:style>
  <w:style w:type="paragraph" w:customStyle="1" w:styleId="297">
    <w:name w:val="UserStyle_192"/>
    <w:basedOn w:val="1"/>
    <w:qFormat/>
    <w:uiPriority w:val="0"/>
    <w:pPr>
      <w:spacing w:line="120" w:lineRule="exact"/>
    </w:pPr>
    <w:rPr>
      <w:rFonts w:eastAsia="仿宋_GB2312"/>
      <w:color w:val="FFFFFF"/>
      <w:kern w:val="0"/>
      <w:sz w:val="30"/>
    </w:rPr>
  </w:style>
  <w:style w:type="paragraph" w:customStyle="1" w:styleId="298">
    <w:name w:val="UserStyle_193"/>
    <w:basedOn w:val="1"/>
    <w:qFormat/>
    <w:uiPriority w:val="0"/>
    <w:rPr>
      <w:sz w:val="21"/>
    </w:rPr>
  </w:style>
  <w:style w:type="paragraph" w:customStyle="1" w:styleId="299">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rPr>
  </w:style>
  <w:style w:type="paragraph" w:customStyle="1" w:styleId="300">
    <w:name w:val="UserStyle_195"/>
    <w:basedOn w:val="1"/>
    <w:qFormat/>
    <w:uiPriority w:val="0"/>
    <w:pPr>
      <w:spacing w:before="100" w:beforeAutospacing="1" w:after="100" w:afterAutospacing="1"/>
      <w:jc w:val="left"/>
    </w:pPr>
    <w:rPr>
      <w:rFonts w:ascii="宋体" w:hAnsi="宋体"/>
      <w:kern w:val="0"/>
      <w:szCs w:val="24"/>
    </w:rPr>
  </w:style>
  <w:style w:type="paragraph" w:customStyle="1" w:styleId="301">
    <w:name w:val="UserStyle_196"/>
    <w:basedOn w:val="1"/>
    <w:qFormat/>
    <w:uiPriority w:val="0"/>
    <w:rPr>
      <w:rFonts w:ascii="Tahoma" w:hAnsi="Tahoma"/>
    </w:rPr>
  </w:style>
  <w:style w:type="paragraph" w:customStyle="1" w:styleId="302">
    <w:name w:val="UserStyle_197"/>
    <w:basedOn w:val="35"/>
    <w:qFormat/>
    <w:uiPriority w:val="0"/>
    <w:pPr>
      <w:tabs>
        <w:tab w:val="left" w:pos="1260"/>
      </w:tabs>
      <w:spacing w:before="260" w:after="260" w:line="413" w:lineRule="auto"/>
      <w:ind w:left="1260"/>
    </w:pPr>
    <w:rPr>
      <w:rFonts w:ascii="Times New Roman" w:hAnsi="Times New Roman"/>
      <w:sz w:val="32"/>
    </w:rPr>
  </w:style>
  <w:style w:type="paragraph" w:customStyle="1" w:styleId="303">
    <w:name w:val="UserStyle_198"/>
    <w:basedOn w:val="33"/>
    <w:qFormat/>
    <w:uiPriority w:val="0"/>
    <w:pPr>
      <w:tabs>
        <w:tab w:val="left" w:pos="425"/>
      </w:tabs>
      <w:spacing w:before="120" w:after="120"/>
      <w:ind w:left="425" w:hanging="425"/>
    </w:pPr>
    <w:rPr>
      <w:rFonts w:ascii="Arial" w:hAnsi="Arial"/>
      <w:sz w:val="28"/>
    </w:rPr>
  </w:style>
  <w:style w:type="paragraph" w:customStyle="1" w:styleId="304">
    <w:name w:val="UserStyle_199"/>
    <w:basedOn w:val="1"/>
    <w:qFormat/>
    <w:uiPriority w:val="0"/>
    <w:pPr>
      <w:spacing w:before="100" w:beforeAutospacing="1" w:after="100" w:afterAutospacing="1"/>
      <w:jc w:val="center"/>
    </w:pPr>
    <w:rPr>
      <w:rFonts w:ascii="幼圆" w:hAnsi="宋体" w:eastAsia="幼圆"/>
      <w:kern w:val="0"/>
      <w:szCs w:val="24"/>
    </w:rPr>
  </w:style>
  <w:style w:type="paragraph" w:customStyle="1" w:styleId="305">
    <w:name w:val="UserStyle_200"/>
    <w:basedOn w:val="33"/>
    <w:next w:val="1"/>
    <w:qFormat/>
    <w:uiPriority w:val="0"/>
    <w:pPr>
      <w:tabs>
        <w:tab w:val="left" w:pos="720"/>
      </w:tabs>
      <w:spacing w:before="360" w:after="120"/>
      <w:ind w:left="567" w:hanging="567"/>
      <w:jc w:val="left"/>
    </w:pPr>
    <w:rPr>
      <w:rFonts w:ascii="Arial" w:hAnsi="Arial"/>
      <w:kern w:val="0"/>
      <w:sz w:val="24"/>
    </w:rPr>
  </w:style>
  <w:style w:type="paragraph" w:customStyle="1" w:styleId="306">
    <w:name w:val="UserStyle_201"/>
    <w:basedOn w:val="1"/>
    <w:qFormat/>
    <w:uiPriority w:val="0"/>
    <w:pPr>
      <w:spacing w:before="100" w:beforeAutospacing="1" w:after="100" w:afterAutospacing="1"/>
      <w:jc w:val="left"/>
    </w:pPr>
    <w:rPr>
      <w:rFonts w:ascii="Arial" w:hAnsi="Arial"/>
      <w:color w:val="000000"/>
      <w:kern w:val="0"/>
      <w:szCs w:val="24"/>
    </w:rPr>
  </w:style>
  <w:style w:type="paragraph" w:customStyle="1" w:styleId="307">
    <w:name w:val="UserStyle_202"/>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308">
    <w:name w:val="UserStyle_203"/>
    <w:basedOn w:val="77"/>
    <w:qFormat/>
    <w:uiPriority w:val="0"/>
    <w:pPr>
      <w:spacing w:before="100" w:beforeAutospacing="1" w:after="100" w:afterAutospacing="1" w:line="400" w:lineRule="atLeast"/>
      <w:ind w:left="851"/>
      <w:jc w:val="both"/>
    </w:pPr>
    <w:rPr>
      <w:rFonts w:ascii="Times New Roman"/>
      <w:color w:val="000000"/>
    </w:rPr>
  </w:style>
  <w:style w:type="paragraph" w:customStyle="1" w:styleId="309">
    <w:name w:val="UserStyle_204"/>
    <w:basedOn w:val="32"/>
    <w:qFormat/>
    <w:uiPriority w:val="0"/>
    <w:pPr>
      <w:keepNext/>
      <w:keepLines/>
      <w:spacing w:before="340" w:after="330" w:line="576" w:lineRule="auto"/>
      <w:jc w:val="both"/>
    </w:pPr>
    <w:rPr>
      <w:rFonts w:ascii="Times New Roman"/>
      <w:kern w:val="44"/>
      <w:sz w:val="44"/>
    </w:rPr>
  </w:style>
  <w:style w:type="paragraph" w:customStyle="1" w:styleId="310">
    <w:name w:val="UserStyle_205"/>
    <w:basedOn w:val="1"/>
    <w:next w:val="311"/>
    <w:qFormat/>
    <w:uiPriority w:val="0"/>
    <w:pPr>
      <w:keepNext/>
      <w:keepLines/>
      <w:tabs>
        <w:tab w:val="left" w:pos="900"/>
      </w:tabs>
      <w:spacing w:before="340" w:after="330" w:line="578" w:lineRule="auto"/>
      <w:ind w:left="900" w:hanging="420"/>
    </w:pPr>
    <w:rPr>
      <w:rFonts w:cs="Calibri"/>
      <w:kern w:val="44"/>
      <w:sz w:val="36"/>
      <w:szCs w:val="44"/>
    </w:rPr>
  </w:style>
  <w:style w:type="paragraph" w:customStyle="1" w:styleId="311">
    <w:name w:val="UserStyle_206"/>
    <w:basedOn w:val="1"/>
    <w:next w:val="312"/>
    <w:qFormat/>
    <w:uiPriority w:val="0"/>
    <w:pPr>
      <w:keepNext/>
      <w:keepLines/>
      <w:tabs>
        <w:tab w:val="left" w:pos="1320"/>
      </w:tabs>
      <w:spacing w:before="260" w:after="260" w:line="415" w:lineRule="auto"/>
      <w:ind w:left="1320" w:hanging="420"/>
    </w:pPr>
    <w:rPr>
      <w:rFonts w:cs="Calibri"/>
      <w:sz w:val="32"/>
      <w:szCs w:val="32"/>
    </w:rPr>
  </w:style>
  <w:style w:type="paragraph" w:customStyle="1" w:styleId="312">
    <w:name w:val="UserStyle_207"/>
    <w:basedOn w:val="1"/>
    <w:qFormat/>
    <w:uiPriority w:val="0"/>
    <w:pPr>
      <w:keepNext/>
      <w:keepLines/>
      <w:tabs>
        <w:tab w:val="left" w:pos="1740"/>
      </w:tabs>
      <w:spacing w:before="260" w:after="260" w:line="415" w:lineRule="auto"/>
      <w:ind w:left="1740" w:hanging="420"/>
    </w:pPr>
    <w:rPr>
      <w:rFonts w:cs="Calibri"/>
      <w:sz w:val="30"/>
      <w:szCs w:val="32"/>
    </w:rPr>
  </w:style>
  <w:style w:type="paragraph" w:customStyle="1" w:styleId="313">
    <w:name w:val="UserStyle_208"/>
    <w:basedOn w:val="1"/>
    <w:next w:val="1"/>
    <w:qFormat/>
    <w:uiPriority w:val="0"/>
    <w:pPr>
      <w:tabs>
        <w:tab w:val="left" w:pos="840"/>
      </w:tabs>
      <w:spacing w:line="360" w:lineRule="auto"/>
      <w:ind w:left="840" w:hanging="420"/>
    </w:pPr>
    <w:rPr>
      <w:rFonts w:ascii="宋体"/>
      <w:color w:val="000000"/>
    </w:rPr>
  </w:style>
  <w:style w:type="paragraph" w:customStyle="1" w:styleId="314">
    <w:name w:val="UserStyle_209"/>
    <w:basedOn w:val="1"/>
    <w:qFormat/>
    <w:uiPriority w:val="0"/>
    <w:pPr>
      <w:spacing w:before="100" w:beforeAutospacing="1" w:after="100" w:afterAutospacing="1" w:line="330" w:lineRule="atLeast"/>
      <w:jc w:val="left"/>
    </w:pPr>
    <w:rPr>
      <w:rFonts w:ascii="宋体" w:hAnsi="宋体"/>
      <w:color w:val="0072BB"/>
      <w:kern w:val="0"/>
      <w:sz w:val="18"/>
      <w:szCs w:val="18"/>
    </w:rPr>
  </w:style>
  <w:style w:type="paragraph" w:customStyle="1" w:styleId="315">
    <w:name w:val="UserStyle_210"/>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316">
    <w:name w:val="UserStyle_211"/>
    <w:basedOn w:val="1"/>
    <w:qFormat/>
    <w:uiPriority w:val="0"/>
    <w:pPr>
      <w:spacing w:line="360" w:lineRule="auto"/>
      <w:ind w:firstLine="480" w:firstLineChars="200"/>
    </w:pPr>
  </w:style>
  <w:style w:type="paragraph" w:customStyle="1" w:styleId="317">
    <w:name w:val="UserStyle_212"/>
    <w:basedOn w:val="1"/>
    <w:qFormat/>
    <w:uiPriority w:val="0"/>
    <w:pPr>
      <w:spacing w:before="100" w:beforeAutospacing="1" w:after="100" w:afterAutospacing="1"/>
      <w:jc w:val="left"/>
    </w:pPr>
    <w:rPr>
      <w:rFonts w:ascii="Courier New" w:hAnsi="Courier New"/>
      <w:kern w:val="0"/>
      <w:szCs w:val="24"/>
    </w:rPr>
  </w:style>
  <w:style w:type="paragraph" w:customStyle="1" w:styleId="318">
    <w:name w:val="UserStyle_2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319">
    <w:name w:val="UserStyle_214"/>
    <w:basedOn w:val="77"/>
    <w:qFormat/>
    <w:uiPriority w:val="0"/>
    <w:pPr>
      <w:spacing w:line="360" w:lineRule="atLeast"/>
      <w:ind w:left="72" w:right="72"/>
      <w:jc w:val="both"/>
    </w:pPr>
    <w:rPr>
      <w:rFonts w:ascii="Times New Roman"/>
      <w:color w:val="000000"/>
      <w:sz w:val="21"/>
    </w:rPr>
  </w:style>
  <w:style w:type="paragraph" w:customStyle="1" w:styleId="320">
    <w:name w:val="UserStyle_215"/>
    <w:basedOn w:val="321"/>
    <w:next w:val="237"/>
    <w:qFormat/>
    <w:uiPriority w:val="0"/>
  </w:style>
  <w:style w:type="paragraph" w:customStyle="1" w:styleId="321">
    <w:name w:val="UserStyle_216"/>
    <w:basedOn w:val="235"/>
    <w:next w:val="237"/>
    <w:qFormat/>
    <w:uiPriority w:val="0"/>
  </w:style>
  <w:style w:type="paragraph" w:customStyle="1" w:styleId="322">
    <w:name w:val="UserStyle_217"/>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323">
    <w:name w:val="UserStyle_218"/>
    <w:basedOn w:val="1"/>
    <w:qFormat/>
    <w:uiPriority w:val="0"/>
    <w:pPr>
      <w:spacing w:before="156" w:after="312" w:line="480" w:lineRule="exact"/>
      <w:jc w:val="center"/>
    </w:pPr>
    <w:rPr>
      <w:color w:val="000000"/>
      <w:sz w:val="28"/>
      <w:szCs w:val="52"/>
    </w:rPr>
  </w:style>
  <w:style w:type="paragraph" w:customStyle="1" w:styleId="324">
    <w:name w:val="UserStyle_219"/>
    <w:basedOn w:val="1"/>
    <w:next w:val="1"/>
    <w:qFormat/>
    <w:uiPriority w:val="0"/>
    <w:rPr>
      <w:color w:val="000000"/>
      <w:sz w:val="21"/>
    </w:rPr>
  </w:style>
  <w:style w:type="paragraph" w:customStyle="1" w:styleId="325">
    <w:name w:val="UserStyle_220"/>
    <w:qFormat/>
    <w:uiPriority w:val="0"/>
    <w:pPr>
      <w:tabs>
        <w:tab w:val="left" w:pos="1260"/>
      </w:tabs>
      <w:spacing w:line="360" w:lineRule="auto"/>
      <w:ind w:left="1260" w:hanging="420"/>
      <w:jc w:val="both"/>
      <w:textAlignment w:val="baseline"/>
    </w:pPr>
    <w:rPr>
      <w:rFonts w:ascii="Arial" w:hAnsi="Arial" w:eastAsia="黑体" w:cs="Times New Roman"/>
      <w:sz w:val="30"/>
      <w:lang w:val="en-US" w:eastAsia="zh-CN" w:bidi="ar-SA"/>
    </w:rPr>
  </w:style>
  <w:style w:type="paragraph" w:customStyle="1" w:styleId="326">
    <w:name w:val="UserStyle_221"/>
    <w:basedOn w:val="77"/>
    <w:qFormat/>
    <w:uiPriority w:val="0"/>
    <w:pPr>
      <w:spacing w:before="100" w:beforeAutospacing="1" w:after="100" w:afterAutospacing="1" w:line="400" w:lineRule="atLeast"/>
      <w:ind w:left="400" w:leftChars="400"/>
      <w:jc w:val="both"/>
    </w:pPr>
    <w:rPr>
      <w:rFonts w:ascii="Times New Roman"/>
      <w:color w:val="000000"/>
    </w:rPr>
  </w:style>
  <w:style w:type="paragraph" w:customStyle="1" w:styleId="327">
    <w:name w:val="UserStyle_222"/>
    <w:basedOn w:val="1"/>
    <w:qFormat/>
    <w:uiPriority w:val="0"/>
    <w:pPr>
      <w:spacing w:before="100" w:beforeAutospacing="1" w:after="100" w:afterAutospacing="1"/>
      <w:jc w:val="center"/>
    </w:pPr>
    <w:rPr>
      <w:rFonts w:ascii="Arial" w:hAnsi="Arial"/>
      <w:color w:val="000000"/>
      <w:kern w:val="0"/>
      <w:szCs w:val="24"/>
    </w:rPr>
  </w:style>
  <w:style w:type="paragraph" w:customStyle="1" w:styleId="328">
    <w:name w:val="UserStyle_22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29">
    <w:name w:val="UserStyle_224"/>
    <w:basedOn w:val="1"/>
    <w:qFormat/>
    <w:uiPriority w:val="0"/>
    <w:pPr>
      <w:spacing w:after="160" w:line="240" w:lineRule="exact"/>
      <w:ind w:firstLine="200" w:firstLineChars="200"/>
      <w:jc w:val="left"/>
    </w:pPr>
    <w:rPr>
      <w:szCs w:val="24"/>
    </w:rPr>
  </w:style>
  <w:style w:type="paragraph" w:customStyle="1" w:styleId="330">
    <w:name w:val="UserStyle_225"/>
    <w:basedOn w:val="1"/>
    <w:next w:val="1"/>
    <w:qFormat/>
    <w:uiPriority w:val="0"/>
    <w:pPr>
      <w:spacing w:line="360" w:lineRule="auto"/>
      <w:ind w:firstLine="480"/>
    </w:pPr>
    <w:rPr>
      <w:color w:val="000000"/>
    </w:rPr>
  </w:style>
  <w:style w:type="paragraph" w:customStyle="1" w:styleId="331">
    <w:name w:val="UserStyle_2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Cs w:val="24"/>
    </w:rPr>
  </w:style>
  <w:style w:type="paragraph" w:customStyle="1" w:styleId="332">
    <w:name w:val="UserStyle_227"/>
    <w:basedOn w:val="1"/>
    <w:next w:val="77"/>
    <w:qFormat/>
    <w:uiPriority w:val="0"/>
    <w:pPr>
      <w:keepNext/>
      <w:spacing w:line="280" w:lineRule="atLeast"/>
      <w:jc w:val="left"/>
    </w:pPr>
    <w:rPr>
      <w:rFonts w:ascii="Arial" w:hAnsi="Arial"/>
      <w:kern w:val="0"/>
      <w:sz w:val="22"/>
      <w:szCs w:val="24"/>
      <w:lang w:val="en-GB"/>
    </w:rPr>
  </w:style>
  <w:style w:type="paragraph" w:customStyle="1" w:styleId="333">
    <w:name w:val="UserStyle_2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334">
    <w:name w:val="UserStyle_229"/>
    <w:basedOn w:val="1"/>
    <w:qFormat/>
    <w:uiPriority w:val="0"/>
    <w:pPr>
      <w:spacing w:before="100" w:beforeAutospacing="1" w:after="100" w:afterAutospacing="1"/>
      <w:jc w:val="left"/>
    </w:pPr>
    <w:rPr>
      <w:rFonts w:ascii="宋体" w:hAnsi="宋体"/>
      <w:color w:val="000000"/>
      <w:kern w:val="0"/>
      <w:szCs w:val="24"/>
    </w:rPr>
  </w:style>
  <w:style w:type="paragraph" w:customStyle="1" w:styleId="335">
    <w:name w:val="UserStyle_230"/>
    <w:basedOn w:val="33"/>
    <w:qFormat/>
    <w:uiPriority w:val="0"/>
    <w:pPr>
      <w:snapToGrid w:val="0"/>
      <w:spacing w:after="156"/>
    </w:pPr>
    <w:rPr>
      <w:rFonts w:ascii="仿宋_GB2312" w:hAnsi="Times New Roman" w:eastAsia="仿宋_GB2312"/>
    </w:rPr>
  </w:style>
  <w:style w:type="paragraph" w:customStyle="1" w:styleId="336">
    <w:name w:val="UserStyle_231"/>
    <w:basedOn w:val="1"/>
    <w:qFormat/>
    <w:uiPriority w:val="0"/>
    <w:rPr>
      <w:rFonts w:ascii="仿宋_GB2312" w:eastAsia="仿宋_GB2312"/>
      <w:sz w:val="32"/>
    </w:rPr>
  </w:style>
  <w:style w:type="paragraph" w:customStyle="1" w:styleId="337">
    <w:name w:val="UserStyle_232"/>
    <w:basedOn w:val="1"/>
    <w:next w:val="1"/>
    <w:qFormat/>
    <w:uiPriority w:val="0"/>
    <w:pPr>
      <w:tabs>
        <w:tab w:val="left" w:pos="482"/>
        <w:tab w:val="left" w:pos="840"/>
      </w:tabs>
      <w:spacing w:after="50"/>
      <w:ind w:left="482" w:hanging="340"/>
      <w:jc w:val="left"/>
    </w:pPr>
    <w:rPr>
      <w:color w:val="000000"/>
      <w:kern w:val="0"/>
    </w:rPr>
  </w:style>
  <w:style w:type="paragraph" w:customStyle="1" w:styleId="338">
    <w:name w:val="UserStyle_233"/>
    <w:basedOn w:val="1"/>
    <w:qFormat/>
    <w:uiPriority w:val="0"/>
    <w:pPr>
      <w:snapToGrid w:val="0"/>
      <w:spacing w:line="396" w:lineRule="auto"/>
      <w:ind w:firstLine="207" w:firstLineChars="207"/>
    </w:pPr>
    <w:rPr>
      <w:rFonts w:ascii="Century Gothic"/>
      <w:sz w:val="28"/>
    </w:rPr>
  </w:style>
  <w:style w:type="paragraph" w:customStyle="1" w:styleId="339">
    <w:name w:val="UserStyle_234"/>
    <w:basedOn w:val="1"/>
    <w:qFormat/>
    <w:uiPriority w:val="0"/>
    <w:pPr>
      <w:tabs>
        <w:tab w:val="left" w:pos="780"/>
      </w:tabs>
      <w:ind w:left="780" w:hanging="360"/>
    </w:pPr>
    <w:rPr>
      <w:sz w:val="21"/>
      <w:szCs w:val="24"/>
    </w:rPr>
  </w:style>
  <w:style w:type="paragraph" w:customStyle="1" w:styleId="340">
    <w:name w:val="UserStyle_235"/>
    <w:basedOn w:val="1"/>
    <w:qFormat/>
    <w:uiPriority w:val="0"/>
    <w:rPr>
      <w:rFonts w:ascii="仿宋_GB2312" w:eastAsia="仿宋_GB2312"/>
      <w:sz w:val="32"/>
      <w:szCs w:val="32"/>
    </w:rPr>
  </w:style>
  <w:style w:type="paragraph" w:customStyle="1" w:styleId="341">
    <w:name w:val="UserStyle_236"/>
    <w:basedOn w:val="1"/>
    <w:qFormat/>
    <w:uiPriority w:val="0"/>
    <w:pPr>
      <w:spacing w:before="100" w:beforeAutospacing="1" w:after="100" w:afterAutospacing="1"/>
      <w:jc w:val="left"/>
    </w:pPr>
    <w:rPr>
      <w:rFonts w:ascii="宋体" w:hAnsi="宋体"/>
      <w:kern w:val="0"/>
      <w:szCs w:val="24"/>
    </w:rPr>
  </w:style>
  <w:style w:type="paragraph" w:customStyle="1" w:styleId="342">
    <w:name w:val="UserStyle_237"/>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343">
    <w:name w:val="UserStyle_238"/>
    <w:basedOn w:val="1"/>
    <w:qFormat/>
    <w:uiPriority w:val="0"/>
    <w:pPr>
      <w:spacing w:before="80" w:after="80" w:line="312" w:lineRule="atLeast"/>
      <w:ind w:firstLine="425"/>
    </w:pPr>
    <w:rPr>
      <w:kern w:val="0"/>
      <w:sz w:val="21"/>
    </w:rPr>
  </w:style>
  <w:style w:type="paragraph" w:customStyle="1" w:styleId="344">
    <w:name w:val="UserStyle_239"/>
    <w:basedOn w:val="1"/>
    <w:qFormat/>
    <w:uiPriority w:val="0"/>
    <w:pPr>
      <w:spacing w:before="560" w:after="120" w:line="360" w:lineRule="auto"/>
      <w:jc w:val="center"/>
    </w:pPr>
    <w:rPr>
      <w:rFonts w:ascii="Arial" w:eastAsia="黑体"/>
      <w:kern w:val="0"/>
      <w:sz w:val="28"/>
    </w:rPr>
  </w:style>
  <w:style w:type="paragraph" w:customStyle="1" w:styleId="345">
    <w:name w:val="UserStyle_240"/>
    <w:basedOn w:val="1"/>
    <w:qFormat/>
    <w:uiPriority w:val="0"/>
    <w:pPr>
      <w:shd w:val="clear" w:color="auto" w:fill="99CCFF"/>
      <w:spacing w:before="100" w:beforeAutospacing="1" w:after="100" w:afterAutospacing="1"/>
      <w:jc w:val="left"/>
    </w:pPr>
    <w:rPr>
      <w:rFonts w:ascii="宋体" w:hAnsi="宋体" w:cs="宋体"/>
      <w:color w:val="000000"/>
      <w:kern w:val="0"/>
      <w:szCs w:val="24"/>
    </w:rPr>
  </w:style>
  <w:style w:type="paragraph" w:customStyle="1" w:styleId="346">
    <w:name w:val="UserStyle_241"/>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347">
    <w:name w:val="UserStyle_242"/>
    <w:basedOn w:val="1"/>
    <w:next w:val="1"/>
    <w:qFormat/>
    <w:uiPriority w:val="0"/>
    <w:pPr>
      <w:shd w:val="clear" w:color="auto" w:fill="000080"/>
    </w:pPr>
    <w:rPr>
      <w:color w:val="000000"/>
      <w:sz w:val="21"/>
    </w:rPr>
  </w:style>
  <w:style w:type="paragraph" w:customStyle="1" w:styleId="348">
    <w:name w:val="UserStyle_243"/>
    <w:basedOn w:val="1"/>
    <w:qFormat/>
    <w:uiPriority w:val="0"/>
    <w:pPr>
      <w:tabs>
        <w:tab w:val="left" w:pos="360"/>
      </w:tabs>
      <w:ind w:left="360" w:hanging="360"/>
    </w:pPr>
    <w:rPr>
      <w:sz w:val="21"/>
      <w:szCs w:val="22"/>
    </w:rPr>
  </w:style>
  <w:style w:type="paragraph" w:customStyle="1" w:styleId="349">
    <w:name w:val="UserStyle_244"/>
    <w:basedOn w:val="1"/>
    <w:qFormat/>
    <w:uiPriority w:val="0"/>
    <w:pPr>
      <w:ind w:firstLine="420" w:firstLineChars="200"/>
    </w:pPr>
  </w:style>
  <w:style w:type="paragraph" w:customStyle="1" w:styleId="350">
    <w:name w:val="UserStyle_245"/>
    <w:basedOn w:val="1"/>
    <w:qFormat/>
    <w:uiPriority w:val="0"/>
    <w:pPr>
      <w:spacing w:before="156" w:after="156" w:line="360" w:lineRule="auto"/>
      <w:ind w:firstLine="480"/>
    </w:pPr>
    <w:rPr>
      <w:color w:val="000000"/>
      <w:sz w:val="21"/>
    </w:rPr>
  </w:style>
  <w:style w:type="paragraph" w:customStyle="1" w:styleId="351">
    <w:name w:val="UserStyle_246"/>
    <w:basedOn w:val="1"/>
    <w:qFormat/>
    <w:uiPriority w:val="0"/>
    <w:pPr>
      <w:tabs>
        <w:tab w:val="left" w:pos="900"/>
      </w:tabs>
      <w:ind w:left="900" w:hanging="420"/>
      <w:jc w:val="center"/>
    </w:pPr>
    <w:rPr>
      <w:rFonts w:eastAsia="黑体"/>
    </w:rPr>
  </w:style>
  <w:style w:type="paragraph" w:customStyle="1" w:styleId="352">
    <w:name w:val="UserStyle_247"/>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ascii="宋体" w:hAnsi="宋体" w:cs="Calibri"/>
      <w:kern w:val="0"/>
      <w:sz w:val="20"/>
    </w:rPr>
  </w:style>
  <w:style w:type="paragraph" w:customStyle="1" w:styleId="353">
    <w:name w:val="UserStyle_248"/>
    <w:basedOn w:val="1"/>
    <w:qFormat/>
    <w:uiPriority w:val="0"/>
    <w:pPr>
      <w:spacing w:before="100" w:beforeAutospacing="1" w:after="100" w:afterAutospacing="1"/>
      <w:jc w:val="left"/>
    </w:pPr>
    <w:rPr>
      <w:rFonts w:ascii="宋体" w:hAnsi="宋体"/>
      <w:kern w:val="0"/>
      <w:sz w:val="40"/>
      <w:szCs w:val="40"/>
    </w:rPr>
  </w:style>
  <w:style w:type="paragraph" w:customStyle="1" w:styleId="354">
    <w:name w:val="UserStyle_249"/>
    <w:basedOn w:val="1"/>
    <w:qFormat/>
    <w:uiPriority w:val="0"/>
    <w:pPr>
      <w:spacing w:before="100" w:beforeAutospacing="1" w:after="100" w:afterAutospacing="1"/>
      <w:jc w:val="left"/>
    </w:pPr>
    <w:rPr>
      <w:rFonts w:ascii="宋体" w:hAnsi="宋体"/>
      <w:color w:val="000000"/>
      <w:kern w:val="0"/>
      <w:szCs w:val="24"/>
    </w:rPr>
  </w:style>
  <w:style w:type="paragraph" w:customStyle="1" w:styleId="355">
    <w:name w:val="UserStyle_250"/>
    <w:basedOn w:val="1"/>
    <w:qFormat/>
    <w:uiPriority w:val="0"/>
    <w:pPr>
      <w:spacing w:before="320" w:after="160" w:line="360" w:lineRule="auto"/>
      <w:jc w:val="center"/>
    </w:pPr>
    <w:rPr>
      <w:rFonts w:ascii="Arial" w:eastAsia="黑体"/>
      <w:kern w:val="0"/>
      <w:sz w:val="30"/>
    </w:rPr>
  </w:style>
  <w:style w:type="paragraph" w:customStyle="1" w:styleId="356">
    <w:name w:val="UserStyle_251"/>
    <w:basedOn w:val="1"/>
    <w:qFormat/>
    <w:uiPriority w:val="0"/>
    <w:pPr>
      <w:spacing w:before="100" w:beforeAutospacing="1" w:after="100" w:afterAutospacing="1"/>
      <w:jc w:val="left"/>
    </w:pPr>
    <w:rPr>
      <w:rFonts w:ascii="宋体" w:hAnsi="宋体"/>
      <w:kern w:val="0"/>
      <w:szCs w:val="24"/>
    </w:rPr>
  </w:style>
  <w:style w:type="paragraph" w:customStyle="1" w:styleId="357">
    <w:name w:val="UserStyle_252"/>
    <w:basedOn w:val="1"/>
    <w:qFormat/>
    <w:uiPriority w:val="0"/>
    <w:pPr>
      <w:keepLines/>
      <w:topLinePunct/>
      <w:snapToGrid w:val="0"/>
      <w:spacing w:before="100" w:beforeAutospacing="1" w:after="100" w:afterAutospacing="1"/>
    </w:pPr>
    <w:rPr>
      <w:rFonts w:ascii="宋体" w:hAnsi="宋体"/>
      <w:kern w:val="0"/>
      <w:szCs w:val="21"/>
    </w:rPr>
  </w:style>
  <w:style w:type="paragraph" w:customStyle="1" w:styleId="358">
    <w:name w:val="UserStyle_253"/>
    <w:basedOn w:val="1"/>
    <w:qFormat/>
    <w:uiPriority w:val="0"/>
    <w:pPr>
      <w:spacing w:before="100" w:beforeAutospacing="1" w:after="100" w:afterAutospacing="1"/>
      <w:jc w:val="left"/>
    </w:pPr>
    <w:rPr>
      <w:rFonts w:ascii="宋体" w:hAnsi="宋体"/>
      <w:kern w:val="0"/>
      <w:sz w:val="18"/>
      <w:szCs w:val="18"/>
    </w:rPr>
  </w:style>
  <w:style w:type="paragraph" w:customStyle="1" w:styleId="359">
    <w:name w:val="UserStyle_254"/>
    <w:basedOn w:val="77"/>
    <w:qFormat/>
    <w:uiPriority w:val="0"/>
    <w:pPr>
      <w:spacing w:after="156" w:line="300" w:lineRule="auto"/>
      <w:jc w:val="both"/>
    </w:pPr>
    <w:rPr>
      <w:rFonts w:ascii="Times New Roman" w:eastAsia="仿宋_GB2312"/>
      <w:color w:val="000000"/>
      <w:spacing w:val="-10"/>
      <w:szCs w:val="24"/>
    </w:rPr>
  </w:style>
  <w:style w:type="paragraph" w:customStyle="1" w:styleId="360">
    <w:name w:val="UserStyle_255"/>
    <w:basedOn w:val="1"/>
    <w:qFormat/>
    <w:uiPriority w:val="0"/>
    <w:pPr>
      <w:spacing w:line="400" w:lineRule="exact"/>
      <w:jc w:val="center"/>
    </w:pPr>
    <w:rPr>
      <w:rFonts w:ascii="Verdana" w:hAnsi="Verdana"/>
      <w:kern w:val="0"/>
      <w:sz w:val="21"/>
      <w:lang w:eastAsia="en-US"/>
    </w:rPr>
  </w:style>
  <w:style w:type="paragraph" w:customStyle="1" w:styleId="361">
    <w:name w:val="UserStyle_256"/>
    <w:basedOn w:val="1"/>
    <w:next w:val="1"/>
    <w:qFormat/>
    <w:uiPriority w:val="0"/>
    <w:rPr>
      <w:color w:val="800080"/>
      <w:sz w:val="21"/>
      <w:u w:val="single"/>
    </w:rPr>
  </w:style>
  <w:style w:type="paragraph" w:customStyle="1" w:styleId="362">
    <w:name w:val="UserStyle_257"/>
    <w:basedOn w:val="1"/>
    <w:qFormat/>
    <w:uiPriority w:val="0"/>
    <w:pPr>
      <w:spacing w:before="60" w:after="60" w:line="500" w:lineRule="exact"/>
      <w:ind w:left="1020" w:firstLine="592"/>
    </w:pPr>
    <w:rPr>
      <w:sz w:val="28"/>
    </w:rPr>
  </w:style>
  <w:style w:type="paragraph" w:customStyle="1" w:styleId="363">
    <w:name w:val="Null"/>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64">
    <w:name w:val="UserStyle_258"/>
    <w:basedOn w:val="1"/>
    <w:qFormat/>
    <w:uiPriority w:val="0"/>
    <w:pPr>
      <w:spacing w:before="100" w:beforeAutospacing="1" w:after="100" w:afterAutospacing="1"/>
      <w:jc w:val="left"/>
    </w:pPr>
    <w:rPr>
      <w:rFonts w:ascii="宋体" w:hAnsi="宋体"/>
      <w:kern w:val="0"/>
      <w:szCs w:val="24"/>
    </w:rPr>
  </w:style>
  <w:style w:type="paragraph" w:customStyle="1" w:styleId="365">
    <w:name w:val="UserStyle_259"/>
    <w:basedOn w:val="1"/>
    <w:qFormat/>
    <w:uiPriority w:val="0"/>
    <w:pPr>
      <w:ind w:firstLine="420"/>
      <w:jc w:val="left"/>
    </w:pPr>
    <w:rPr>
      <w:kern w:val="0"/>
    </w:rPr>
  </w:style>
  <w:style w:type="paragraph" w:customStyle="1" w:styleId="366">
    <w:name w:val="UserStyle_260"/>
    <w:basedOn w:val="1"/>
    <w:qFormat/>
    <w:uiPriority w:val="0"/>
    <w:pPr>
      <w:spacing w:after="60" w:line="360" w:lineRule="atLeast"/>
      <w:ind w:left="57" w:right="57"/>
      <w:jc w:val="center"/>
    </w:pPr>
    <w:rPr>
      <w:rFonts w:ascii="Arial" w:hAnsi="Arial" w:eastAsia="黑体"/>
      <w:kern w:val="0"/>
      <w:sz w:val="21"/>
    </w:rPr>
  </w:style>
  <w:style w:type="paragraph" w:customStyle="1" w:styleId="367">
    <w:name w:val="UserStyle_261"/>
    <w:basedOn w:val="1"/>
    <w:qFormat/>
    <w:uiPriority w:val="0"/>
    <w:pPr>
      <w:tabs>
        <w:tab w:val="left" w:pos="643"/>
        <w:tab w:val="left" w:pos="840"/>
      </w:tabs>
      <w:spacing w:line="360" w:lineRule="auto"/>
      <w:ind w:left="643" w:hanging="420"/>
    </w:pPr>
  </w:style>
  <w:style w:type="paragraph" w:customStyle="1" w:styleId="368">
    <w:name w:val="UserStyle_262"/>
    <w:basedOn w:val="1"/>
    <w:qFormat/>
    <w:uiPriority w:val="0"/>
    <w:pPr>
      <w:spacing w:before="100" w:beforeAutospacing="1" w:after="100" w:afterAutospacing="1"/>
      <w:jc w:val="left"/>
    </w:pPr>
    <w:rPr>
      <w:rFonts w:ascii="宋体" w:hAnsi="宋体"/>
      <w:color w:val="000000"/>
      <w:kern w:val="0"/>
      <w:szCs w:val="24"/>
    </w:rPr>
  </w:style>
  <w:style w:type="paragraph" w:customStyle="1" w:styleId="369">
    <w:name w:val="UserStyle_263"/>
    <w:basedOn w:val="1"/>
    <w:qFormat/>
    <w:uiPriority w:val="0"/>
    <w:pPr>
      <w:spacing w:before="100" w:beforeAutospacing="1" w:after="100" w:afterAutospacing="1"/>
      <w:jc w:val="left"/>
    </w:pPr>
    <w:rPr>
      <w:rFonts w:ascii="宋体" w:hAnsi="宋体"/>
      <w:kern w:val="0"/>
      <w:szCs w:val="24"/>
    </w:rPr>
  </w:style>
  <w:style w:type="paragraph" w:customStyle="1" w:styleId="370">
    <w:name w:val="UserStyle_264"/>
    <w:basedOn w:val="35"/>
    <w:next w:val="1"/>
    <w:qFormat/>
    <w:uiPriority w:val="0"/>
    <w:pPr>
      <w:tabs>
        <w:tab w:val="left" w:pos="1080"/>
      </w:tabs>
      <w:spacing w:before="260" w:after="260" w:line="413" w:lineRule="auto"/>
      <w:ind w:left="709" w:hanging="709"/>
    </w:pPr>
    <w:rPr>
      <w:rFonts w:hAnsi="Arial"/>
      <w:sz w:val="24"/>
    </w:rPr>
  </w:style>
  <w:style w:type="paragraph" w:customStyle="1" w:styleId="371">
    <w:name w:val="UserStyle_265"/>
    <w:basedOn w:val="19"/>
    <w:qFormat/>
    <w:uiPriority w:val="0"/>
  </w:style>
  <w:style w:type="paragraph" w:customStyle="1" w:styleId="372">
    <w:name w:val="UserStyle_2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373">
    <w:name w:val="UserStyle_267"/>
    <w:basedOn w:val="1"/>
    <w:next w:val="37"/>
    <w:qFormat/>
    <w:uiPriority w:val="0"/>
    <w:rPr>
      <w:rFonts w:ascii="宋体" w:hAnsi="Courier New"/>
      <w:sz w:val="21"/>
    </w:rPr>
  </w:style>
  <w:style w:type="paragraph" w:customStyle="1" w:styleId="374">
    <w:name w:val="UserStyle_268"/>
    <w:basedOn w:val="1"/>
    <w:qFormat/>
    <w:uiPriority w:val="0"/>
    <w:pPr>
      <w:tabs>
        <w:tab w:val="left" w:pos="0"/>
        <w:tab w:val="left" w:pos="1134"/>
        <w:tab w:val="left" w:pos="8505"/>
      </w:tabs>
      <w:spacing w:before="240" w:after="60" w:line="360" w:lineRule="atLeast"/>
    </w:pPr>
    <w:rPr>
      <w:rFonts w:ascii="宋体"/>
      <w:kern w:val="0"/>
    </w:rPr>
  </w:style>
  <w:style w:type="paragraph" w:customStyle="1" w:styleId="375">
    <w:name w:val="UserStyle_269"/>
    <w:basedOn w:val="1"/>
    <w:next w:val="1"/>
    <w:qFormat/>
    <w:uiPriority w:val="0"/>
    <w:pPr>
      <w:jc w:val="left"/>
    </w:pPr>
    <w:rPr>
      <w:color w:val="000000"/>
      <w:kern w:val="0"/>
    </w:rPr>
  </w:style>
  <w:style w:type="paragraph" w:customStyle="1" w:styleId="376">
    <w:name w:val="UserStyle_270"/>
    <w:basedOn w:val="1"/>
    <w:qFormat/>
    <w:uiPriority w:val="0"/>
    <w:pPr>
      <w:spacing w:before="100" w:beforeAutospacing="1" w:after="100" w:afterAutospacing="1"/>
      <w:jc w:val="left"/>
    </w:pPr>
    <w:rPr>
      <w:rFonts w:ascii="Arial" w:hAnsi="Arial"/>
      <w:color w:val="000000"/>
      <w:kern w:val="0"/>
      <w:szCs w:val="24"/>
    </w:rPr>
  </w:style>
  <w:style w:type="paragraph" w:customStyle="1" w:styleId="377">
    <w:name w:val="UserStyle_271"/>
    <w:basedOn w:val="1"/>
    <w:qFormat/>
    <w:uiPriority w:val="0"/>
    <w:pPr>
      <w:tabs>
        <w:tab w:val="left" w:pos="987"/>
      </w:tabs>
      <w:ind w:left="987" w:firstLine="199"/>
    </w:pPr>
    <w:rPr>
      <w:sz w:val="21"/>
    </w:rPr>
  </w:style>
  <w:style w:type="paragraph" w:customStyle="1" w:styleId="378">
    <w:name w:val="UserStyle_272"/>
    <w:basedOn w:val="1"/>
    <w:qFormat/>
    <w:uiPriority w:val="0"/>
    <w:rPr>
      <w:rFonts w:ascii="Tahoma" w:hAnsi="Tahoma"/>
    </w:rPr>
  </w:style>
  <w:style w:type="paragraph" w:customStyle="1" w:styleId="379">
    <w:name w:val="UserStyle_27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80">
    <w:name w:val="UserStyle_274"/>
    <w:basedOn w:val="1"/>
    <w:qFormat/>
    <w:uiPriority w:val="0"/>
    <w:pPr>
      <w:spacing w:line="360" w:lineRule="auto"/>
    </w:pPr>
    <w:rPr>
      <w:rFonts w:ascii="宋体" w:hAnsi="Courier New" w:eastAsia="黑体"/>
      <w:sz w:val="30"/>
    </w:rPr>
  </w:style>
  <w:style w:type="paragraph" w:customStyle="1" w:styleId="381">
    <w:name w:val="UserStyle_275"/>
    <w:basedOn w:val="1"/>
    <w:qFormat/>
    <w:uiPriority w:val="0"/>
    <w:pPr>
      <w:spacing w:before="100" w:after="100"/>
      <w:jc w:val="left"/>
    </w:pPr>
    <w:rPr>
      <w:rFonts w:ascii="宋体" w:hAnsi="宋体"/>
      <w:color w:val="000000"/>
      <w:kern w:val="0"/>
      <w:sz w:val="20"/>
    </w:rPr>
  </w:style>
  <w:style w:type="paragraph" w:customStyle="1" w:styleId="382">
    <w:name w:val="UserStyle_276"/>
    <w:basedOn w:val="1"/>
    <w:qFormat/>
    <w:uiPriority w:val="0"/>
    <w:pPr>
      <w:spacing w:before="120" w:line="360" w:lineRule="auto"/>
    </w:pPr>
    <w:rPr>
      <w:rFonts w:ascii="Arial" w:hAnsi="Arial"/>
      <w:kern w:val="0"/>
    </w:rPr>
  </w:style>
  <w:style w:type="paragraph" w:customStyle="1" w:styleId="383">
    <w:name w:val="UserStyle_277"/>
    <w:basedOn w:val="1"/>
    <w:qFormat/>
    <w:uiPriority w:val="0"/>
    <w:rPr>
      <w:rFonts w:ascii="Tahoma" w:hAnsi="Tahoma"/>
    </w:rPr>
  </w:style>
  <w:style w:type="paragraph" w:customStyle="1" w:styleId="384">
    <w:name w:val="UserStyle_278"/>
    <w:basedOn w:val="1"/>
    <w:qFormat/>
    <w:uiPriority w:val="0"/>
    <w:pPr>
      <w:keepNext/>
      <w:keepLines/>
      <w:tabs>
        <w:tab w:val="left" w:pos="2580"/>
      </w:tabs>
      <w:spacing w:before="50" w:after="50" w:line="377" w:lineRule="auto"/>
      <w:ind w:left="2580" w:hanging="420"/>
    </w:pPr>
    <w:rPr>
      <w:rFonts w:cs="Calibri"/>
      <w:szCs w:val="24"/>
    </w:rPr>
  </w:style>
  <w:style w:type="paragraph" w:customStyle="1" w:styleId="385">
    <w:name w:val="UserStyle_279"/>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0"/>
    </w:rPr>
  </w:style>
  <w:style w:type="paragraph" w:customStyle="1" w:styleId="386">
    <w:name w:val="UserStyle_280"/>
    <w:basedOn w:val="127"/>
    <w:qFormat/>
    <w:uiPriority w:val="0"/>
    <w:pPr>
      <w:tabs>
        <w:tab w:val="right" w:leader="dot" w:pos="8302"/>
      </w:tabs>
      <w:spacing w:before="156" w:after="156" w:line="360" w:lineRule="auto"/>
      <w:ind w:left="0" w:leftChars="0" w:firstLine="480"/>
      <w:jc w:val="left"/>
    </w:pPr>
    <w:rPr>
      <w:rFonts w:ascii="宋体" w:hAnsi="宋体"/>
    </w:rPr>
  </w:style>
  <w:style w:type="paragraph" w:customStyle="1" w:styleId="387">
    <w:name w:val="UserStyle_281"/>
    <w:basedOn w:val="1"/>
    <w:qFormat/>
    <w:uiPriority w:val="0"/>
    <w:pPr>
      <w:spacing w:before="100" w:beforeAutospacing="1" w:after="100" w:afterAutospacing="1"/>
      <w:jc w:val="center"/>
    </w:pPr>
    <w:rPr>
      <w:rFonts w:ascii="宋体" w:hAnsi="宋体"/>
      <w:kern w:val="0"/>
    </w:rPr>
  </w:style>
  <w:style w:type="paragraph" w:customStyle="1" w:styleId="388">
    <w:name w:val="UserStyle_282"/>
    <w:basedOn w:val="355"/>
    <w:qFormat/>
    <w:uiPriority w:val="0"/>
    <w:rPr>
      <w:sz w:val="32"/>
    </w:rPr>
  </w:style>
  <w:style w:type="paragraph" w:customStyle="1" w:styleId="389">
    <w:name w:val="UserStyle_283"/>
    <w:basedOn w:val="320"/>
    <w:next w:val="237"/>
    <w:qFormat/>
    <w:uiPriority w:val="0"/>
  </w:style>
  <w:style w:type="paragraph" w:customStyle="1" w:styleId="390">
    <w:name w:val="UserStyle_284"/>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391">
    <w:name w:val="UserStyle_285"/>
    <w:basedOn w:val="70"/>
    <w:qFormat/>
    <w:uiPriority w:val="0"/>
    <w:rPr>
      <w:rFonts w:ascii="Tahoma" w:hAnsi="Tahoma"/>
    </w:rPr>
  </w:style>
  <w:style w:type="paragraph" w:customStyle="1" w:styleId="392">
    <w:name w:val="UserStyle_286"/>
    <w:basedOn w:val="1"/>
    <w:next w:val="1"/>
    <w:qFormat/>
    <w:uiPriority w:val="0"/>
    <w:pPr>
      <w:spacing w:after="120"/>
      <w:ind w:left="420"/>
    </w:pPr>
    <w:rPr>
      <w:color w:val="000000"/>
      <w:sz w:val="21"/>
    </w:rPr>
  </w:style>
  <w:style w:type="paragraph" w:customStyle="1" w:styleId="393">
    <w:name w:val="UserStyle_287"/>
    <w:basedOn w:val="1"/>
    <w:qFormat/>
    <w:uiPriority w:val="0"/>
    <w:pPr>
      <w:spacing w:before="60" w:after="60" w:line="500" w:lineRule="exact"/>
      <w:ind w:left="1404" w:hanging="432"/>
    </w:pPr>
    <w:rPr>
      <w:sz w:val="28"/>
    </w:rPr>
  </w:style>
  <w:style w:type="paragraph" w:customStyle="1" w:styleId="394">
    <w:name w:val="UserStyle_288"/>
    <w:basedOn w:val="1"/>
    <w:qFormat/>
    <w:uiPriority w:val="0"/>
    <w:pPr>
      <w:spacing w:line="360" w:lineRule="auto"/>
    </w:pPr>
    <w:rPr>
      <w:sz w:val="28"/>
    </w:rPr>
  </w:style>
  <w:style w:type="paragraph" w:customStyle="1" w:styleId="395">
    <w:name w:val="UserStyle_289"/>
    <w:basedOn w:val="1"/>
    <w:qFormat/>
    <w:uiPriority w:val="0"/>
    <w:pPr>
      <w:spacing w:before="60" w:after="60" w:line="360" w:lineRule="auto"/>
      <w:ind w:left="200" w:leftChars="200" w:firstLine="200" w:firstLineChars="200"/>
    </w:pPr>
  </w:style>
  <w:style w:type="paragraph" w:customStyle="1" w:styleId="396">
    <w:name w:val="UserStyle_290"/>
    <w:basedOn w:val="35"/>
    <w:next w:val="1"/>
    <w:qFormat/>
    <w:uiPriority w:val="0"/>
    <w:pPr>
      <w:tabs>
        <w:tab w:val="left" w:pos="425"/>
      </w:tabs>
      <w:spacing w:before="260" w:after="260" w:line="413" w:lineRule="auto"/>
      <w:ind w:left="425" w:hanging="425"/>
    </w:pPr>
    <w:rPr>
      <w:rFonts w:ascii="Times New Roman" w:hAnsi="Times New Roman"/>
      <w:sz w:val="24"/>
    </w:rPr>
  </w:style>
  <w:style w:type="paragraph" w:customStyle="1" w:styleId="397">
    <w:name w:val="UserStyle_291"/>
    <w:basedOn w:val="1"/>
    <w:qFormat/>
    <w:uiPriority w:val="0"/>
    <w:pPr>
      <w:ind w:left="1980"/>
    </w:pPr>
    <w:rPr>
      <w:sz w:val="21"/>
    </w:rPr>
  </w:style>
  <w:style w:type="paragraph" w:customStyle="1" w:styleId="398">
    <w:name w:val="UserStyle_292"/>
    <w:basedOn w:val="1"/>
    <w:qFormat/>
    <w:uiPriority w:val="0"/>
    <w:pPr>
      <w:spacing w:before="100" w:beforeAutospacing="1" w:after="100" w:afterAutospacing="1"/>
      <w:jc w:val="left"/>
    </w:pPr>
    <w:rPr>
      <w:rFonts w:ascii="宋体" w:hAnsi="宋体"/>
      <w:kern w:val="0"/>
      <w:szCs w:val="24"/>
    </w:rPr>
  </w:style>
  <w:style w:type="paragraph" w:customStyle="1" w:styleId="399">
    <w:name w:val="UserStyle_293"/>
    <w:next w:val="237"/>
    <w:qFormat/>
    <w:uiPriority w:val="0"/>
    <w:pPr>
      <w:jc w:val="center"/>
      <w:textAlignment w:val="baseline"/>
    </w:pPr>
    <w:rPr>
      <w:rFonts w:ascii="黑体" w:hAnsi="Calibri" w:eastAsia="黑体" w:cs="Times New Roman"/>
      <w:sz w:val="21"/>
      <w:lang w:val="en-US" w:eastAsia="zh-CN" w:bidi="ar-SA"/>
    </w:rPr>
  </w:style>
  <w:style w:type="paragraph" w:customStyle="1" w:styleId="400">
    <w:name w:val="UserStyle_29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kern w:val="0"/>
      <w:sz w:val="21"/>
    </w:rPr>
  </w:style>
  <w:style w:type="paragraph" w:customStyle="1" w:styleId="401">
    <w:name w:val="UserStyle_29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402">
    <w:name w:val="UserStyle_296"/>
    <w:basedOn w:val="33"/>
    <w:qFormat/>
    <w:uiPriority w:val="0"/>
    <w:pPr>
      <w:tabs>
        <w:tab w:val="left" w:pos="567"/>
      </w:tabs>
      <w:spacing w:before="100" w:beforeAutospacing="1" w:after="100" w:afterAutospacing="1"/>
      <w:ind w:left="567" w:hanging="567"/>
      <w:jc w:val="left"/>
    </w:pPr>
    <w:rPr>
      <w:rFonts w:ascii="Arial" w:hAnsi="Arial"/>
      <w:kern w:val="0"/>
      <w:sz w:val="30"/>
    </w:rPr>
  </w:style>
  <w:style w:type="paragraph" w:customStyle="1" w:styleId="403">
    <w:name w:val="UserStyle_297"/>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404">
    <w:name w:val="UserStyle_298"/>
    <w:qFormat/>
    <w:uiPriority w:val="0"/>
    <w:pPr>
      <w:textAlignment w:val="baseline"/>
    </w:pPr>
    <w:rPr>
      <w:rFonts w:ascii="宋体" w:hAnsi="Calibri" w:eastAsia="宋体" w:cs="Times New Roman"/>
      <w:lang w:val="en-US" w:eastAsia="zh-CN" w:bidi="ar-SA"/>
    </w:rPr>
  </w:style>
  <w:style w:type="paragraph" w:customStyle="1" w:styleId="405">
    <w:name w:val="UserStyle_299"/>
    <w:basedOn w:val="1"/>
    <w:qFormat/>
    <w:uiPriority w:val="0"/>
    <w:pPr>
      <w:tabs>
        <w:tab w:val="left" w:pos="980"/>
      </w:tabs>
      <w:ind w:left="980" w:hanging="420"/>
    </w:pPr>
    <w:rPr>
      <w:rFonts w:ascii="Tahoma" w:hAnsi="Tahoma"/>
    </w:rPr>
  </w:style>
  <w:style w:type="paragraph" w:customStyle="1" w:styleId="406">
    <w:name w:val="UserStyle_300"/>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07">
    <w:name w:val="UserStyle_301"/>
    <w:basedOn w:val="63"/>
    <w:qFormat/>
    <w:uiPriority w:val="0"/>
    <w:pPr>
      <w:tabs>
        <w:tab w:val="left" w:pos="720"/>
      </w:tabs>
      <w:ind w:left="720"/>
    </w:pPr>
  </w:style>
  <w:style w:type="paragraph" w:customStyle="1" w:styleId="408">
    <w:name w:val="UserStyle_302"/>
    <w:basedOn w:val="1"/>
    <w:qFormat/>
    <w:uiPriority w:val="0"/>
    <w:pPr>
      <w:spacing w:before="100" w:beforeAutospacing="1" w:after="100" w:afterAutospacing="1"/>
      <w:jc w:val="center"/>
    </w:pPr>
    <w:rPr>
      <w:rFonts w:ascii="宋体" w:hAnsi="宋体"/>
      <w:kern w:val="0"/>
      <w:szCs w:val="24"/>
    </w:rPr>
  </w:style>
  <w:style w:type="paragraph" w:customStyle="1" w:styleId="409">
    <w:name w:val="UserStyle_303"/>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1"/>
    </w:rPr>
  </w:style>
  <w:style w:type="paragraph" w:customStyle="1" w:styleId="410">
    <w:name w:val="UserStyle_304"/>
    <w:basedOn w:val="1"/>
    <w:qFormat/>
    <w:uiPriority w:val="0"/>
    <w:pPr>
      <w:spacing w:before="100" w:beforeAutospacing="1" w:after="100" w:afterAutospacing="1"/>
      <w:jc w:val="center"/>
      <w:textAlignment w:val="bottom"/>
    </w:pPr>
    <w:rPr>
      <w:rFonts w:ascii="幼圆" w:hAnsi="宋体" w:eastAsia="幼圆"/>
      <w:kern w:val="0"/>
      <w:szCs w:val="24"/>
    </w:rPr>
  </w:style>
  <w:style w:type="paragraph" w:customStyle="1" w:styleId="411">
    <w:name w:val="UserStyle_305"/>
    <w:basedOn w:val="1"/>
    <w:qFormat/>
    <w:uiPriority w:val="0"/>
    <w:pPr>
      <w:pBdr>
        <w:top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412">
    <w:name w:val="UserStyle_306"/>
    <w:qFormat/>
    <w:uiPriority w:val="0"/>
    <w:pPr>
      <w:tabs>
        <w:tab w:val="right" w:pos="9020"/>
      </w:tabs>
      <w:textAlignment w:val="baseline"/>
    </w:pPr>
    <w:rPr>
      <w:rFonts w:ascii="Helvetica Neue" w:hAnsi="Helvetica Neue" w:eastAsia="Arial Unicode MS" w:cs="Times New Roman"/>
      <w:color w:val="000000"/>
      <w:sz w:val="24"/>
      <w:szCs w:val="24"/>
      <w:lang w:val="en-US" w:eastAsia="zh-CN" w:bidi="ar-SA"/>
    </w:rPr>
  </w:style>
  <w:style w:type="paragraph" w:customStyle="1" w:styleId="413">
    <w:name w:val="UserStyle_307"/>
    <w:basedOn w:val="77"/>
    <w:qFormat/>
    <w:uiPriority w:val="0"/>
    <w:pPr>
      <w:spacing w:before="100" w:beforeAutospacing="1" w:after="100" w:afterAutospacing="1" w:line="400" w:lineRule="atLeast"/>
      <w:ind w:left="425"/>
      <w:jc w:val="both"/>
    </w:pPr>
    <w:rPr>
      <w:rFonts w:ascii="Times New Roman"/>
      <w:color w:val="000000"/>
    </w:rPr>
  </w:style>
  <w:style w:type="paragraph" w:customStyle="1" w:styleId="414">
    <w:name w:val="UserStyle_308"/>
    <w:basedOn w:val="1"/>
    <w:next w:val="1"/>
    <w:qFormat/>
    <w:uiPriority w:val="0"/>
    <w:pPr>
      <w:jc w:val="left"/>
    </w:pPr>
    <w:rPr>
      <w:color w:val="000000"/>
      <w:kern w:val="0"/>
    </w:rPr>
  </w:style>
  <w:style w:type="paragraph" w:customStyle="1" w:styleId="415">
    <w:name w:val="UserStyle_309"/>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416">
    <w:name w:val="UserStyle_310"/>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cs="Calibri"/>
      <w:kern w:val="0"/>
      <w:sz w:val="20"/>
    </w:rPr>
  </w:style>
  <w:style w:type="paragraph" w:customStyle="1" w:styleId="417">
    <w:name w:val="UserStyle_311"/>
    <w:basedOn w:val="1"/>
    <w:qFormat/>
    <w:uiPriority w:val="0"/>
    <w:pPr>
      <w:spacing w:before="100" w:beforeAutospacing="1" w:after="100" w:afterAutospacing="1"/>
      <w:jc w:val="left"/>
    </w:pPr>
    <w:rPr>
      <w:rFonts w:ascii="宋体" w:hAnsi="宋体"/>
      <w:kern w:val="0"/>
    </w:rPr>
  </w:style>
  <w:style w:type="paragraph" w:customStyle="1" w:styleId="418">
    <w:name w:val="UserStyle_312"/>
    <w:basedOn w:val="1"/>
    <w:qFormat/>
    <w:uiPriority w:val="0"/>
    <w:pPr>
      <w:spacing w:before="100" w:beforeAutospacing="1" w:after="100" w:afterAutospacing="1"/>
      <w:jc w:val="left"/>
    </w:pPr>
    <w:rPr>
      <w:rFonts w:ascii="宋体" w:hAnsi="宋体"/>
      <w:color w:val="000000"/>
      <w:kern w:val="0"/>
      <w:szCs w:val="24"/>
    </w:rPr>
  </w:style>
  <w:style w:type="paragraph" w:customStyle="1" w:styleId="419">
    <w:name w:val="UserStyle_313"/>
    <w:basedOn w:val="1"/>
    <w:qFormat/>
    <w:uiPriority w:val="0"/>
    <w:pPr>
      <w:jc w:val="left"/>
    </w:pPr>
    <w:rPr>
      <w:sz w:val="18"/>
    </w:rPr>
  </w:style>
  <w:style w:type="paragraph" w:customStyle="1" w:styleId="420">
    <w:name w:val="UserStyle_314"/>
    <w:basedOn w:val="1"/>
    <w:next w:val="1"/>
    <w:qFormat/>
    <w:uiPriority w:val="0"/>
    <w:rPr>
      <w:color w:val="0000FF"/>
      <w:sz w:val="21"/>
      <w:u w:val="single"/>
    </w:rPr>
  </w:style>
  <w:style w:type="paragraph" w:customStyle="1" w:styleId="421">
    <w:name w:val="UserStyle_315"/>
    <w:basedOn w:val="1"/>
    <w:qFormat/>
    <w:uiPriority w:val="0"/>
    <w:pPr>
      <w:ind w:firstLine="200" w:firstLineChars="200"/>
    </w:pPr>
    <w:rPr>
      <w:sz w:val="21"/>
      <w:szCs w:val="24"/>
    </w:rPr>
  </w:style>
  <w:style w:type="paragraph" w:customStyle="1" w:styleId="422">
    <w:name w:val="UserStyle_3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423">
    <w:name w:val="UserStyle_317"/>
    <w:basedOn w:val="1"/>
    <w:qFormat/>
    <w:uiPriority w:val="0"/>
    <w:rPr>
      <w:rFonts w:ascii="Tahoma" w:hAnsi="Tahoma"/>
    </w:rPr>
  </w:style>
  <w:style w:type="paragraph" w:customStyle="1" w:styleId="424">
    <w:name w:val="UserStyle_318"/>
    <w:basedOn w:val="1"/>
    <w:qFormat/>
    <w:uiPriority w:val="0"/>
    <w:rPr>
      <w:rFonts w:ascii="Tahoma" w:hAnsi="Tahoma"/>
    </w:rPr>
  </w:style>
  <w:style w:type="paragraph" w:customStyle="1" w:styleId="425">
    <w:name w:val="UserStyle_3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 w:val="20"/>
    </w:rPr>
  </w:style>
  <w:style w:type="paragraph" w:customStyle="1" w:styleId="426">
    <w:name w:val="UserStyle_32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Calibri"/>
      <w:kern w:val="0"/>
      <w:sz w:val="20"/>
    </w:rPr>
  </w:style>
  <w:style w:type="paragraph" w:customStyle="1" w:styleId="427">
    <w:name w:val="UserStyle_321"/>
    <w:basedOn w:val="33"/>
    <w:qFormat/>
    <w:uiPriority w:val="0"/>
    <w:pPr>
      <w:tabs>
        <w:tab w:val="left" w:pos="840"/>
      </w:tabs>
      <w:spacing w:before="312" w:after="312"/>
      <w:ind w:left="840"/>
    </w:pPr>
    <w:rPr>
      <w:rFonts w:ascii="Arial" w:hAnsi="Arial" w:eastAsia="黑体"/>
      <w:spacing w:val="10"/>
      <w:sz w:val="30"/>
    </w:rPr>
  </w:style>
  <w:style w:type="paragraph" w:customStyle="1" w:styleId="428">
    <w:name w:val="UserStyle_322"/>
    <w:basedOn w:val="1"/>
    <w:next w:val="1"/>
    <w:qFormat/>
    <w:uiPriority w:val="0"/>
    <w:pPr>
      <w:spacing w:after="50"/>
      <w:ind w:firstLine="200"/>
    </w:pPr>
    <w:rPr>
      <w:color w:val="000000"/>
    </w:rPr>
  </w:style>
  <w:style w:type="paragraph" w:customStyle="1" w:styleId="429">
    <w:name w:val="UserStyle_323"/>
    <w:basedOn w:val="1"/>
    <w:qFormat/>
    <w:uiPriority w:val="0"/>
    <w:pPr>
      <w:spacing w:before="100" w:beforeAutospacing="1" w:after="100" w:afterAutospacing="1"/>
      <w:jc w:val="left"/>
    </w:pPr>
    <w:rPr>
      <w:rFonts w:ascii="幼圆" w:hAnsi="宋体" w:eastAsia="幼圆"/>
      <w:kern w:val="0"/>
      <w:szCs w:val="24"/>
    </w:rPr>
  </w:style>
  <w:style w:type="paragraph" w:customStyle="1" w:styleId="430">
    <w:name w:val="UserStyle_324"/>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31">
    <w:name w:val="UserStyle_325"/>
    <w:next w:val="237"/>
    <w:qFormat/>
    <w:uiPriority w:val="0"/>
    <w:pPr>
      <w:spacing w:before="156" w:after="156"/>
      <w:jc w:val="both"/>
      <w:textAlignment w:val="baseline"/>
    </w:pPr>
    <w:rPr>
      <w:rFonts w:ascii="黑体" w:hAnsi="Calibri" w:eastAsia="黑体" w:cs="Times New Roman"/>
      <w:sz w:val="21"/>
      <w:lang w:val="en-US" w:eastAsia="zh-CN" w:bidi="ar-SA"/>
    </w:rPr>
  </w:style>
  <w:style w:type="paragraph" w:customStyle="1" w:styleId="432">
    <w:name w:val="UserStyle_326"/>
    <w:basedOn w:val="79"/>
    <w:qFormat/>
    <w:uiPriority w:val="0"/>
    <w:pPr>
      <w:snapToGrid w:val="0"/>
      <w:spacing w:before="0" w:after="0"/>
      <w:ind w:firstLine="539"/>
    </w:pPr>
    <w:rPr>
      <w:rFonts w:ascii="Times New Roman"/>
    </w:rPr>
  </w:style>
  <w:style w:type="paragraph" w:customStyle="1" w:styleId="433">
    <w:name w:val="UserStyle_327"/>
    <w:basedOn w:val="1"/>
    <w:next w:val="1"/>
    <w:qFormat/>
    <w:uiPriority w:val="0"/>
    <w:rPr>
      <w:rFonts w:ascii="宋体"/>
      <w:color w:val="000000"/>
    </w:rPr>
  </w:style>
  <w:style w:type="paragraph" w:customStyle="1" w:styleId="434">
    <w:name w:val="UserStyle_328"/>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35">
    <w:name w:val="UserStyle_329"/>
    <w:basedOn w:val="1"/>
    <w:qFormat/>
    <w:uiPriority w:val="0"/>
    <w:pPr>
      <w:tabs>
        <w:tab w:val="left" w:pos="840"/>
      </w:tabs>
      <w:spacing w:line="360" w:lineRule="auto"/>
      <w:ind w:left="840" w:hanging="420"/>
    </w:pPr>
  </w:style>
  <w:style w:type="paragraph" w:customStyle="1" w:styleId="436">
    <w:name w:val="UserStyle_330"/>
    <w:basedOn w:val="33"/>
    <w:next w:val="1"/>
    <w:qFormat/>
    <w:uiPriority w:val="0"/>
    <w:pPr>
      <w:spacing w:before="0" w:after="156" w:line="480" w:lineRule="auto"/>
      <w:ind w:left="0" w:firstLine="0"/>
    </w:pPr>
    <w:rPr>
      <w:rFonts w:ascii="仿宋_GB2312" w:hAnsi="仿宋_GB2312" w:eastAsia="仿宋_GB2312"/>
      <w:szCs w:val="24"/>
    </w:rPr>
  </w:style>
  <w:style w:type="paragraph" w:customStyle="1" w:styleId="437">
    <w:name w:val="UserStyle_331"/>
    <w:basedOn w:val="33"/>
    <w:next w:val="1"/>
    <w:qFormat/>
    <w:uiPriority w:val="0"/>
    <w:pPr>
      <w:spacing w:before="260" w:after="260" w:line="413" w:lineRule="auto"/>
    </w:pPr>
    <w:rPr>
      <w:rFonts w:ascii="黑体" w:hAnsi="Arial" w:eastAsia="黑体"/>
    </w:rPr>
  </w:style>
  <w:style w:type="paragraph" w:customStyle="1" w:styleId="438">
    <w:name w:val="UserStyle_332"/>
    <w:basedOn w:val="1"/>
    <w:qFormat/>
    <w:uiPriority w:val="0"/>
    <w:pPr>
      <w:spacing w:line="360" w:lineRule="auto"/>
      <w:ind w:firstLine="480" w:firstLineChars="200"/>
    </w:pPr>
    <w:rPr>
      <w:rFonts w:ascii="宋体" w:hAnsi="宋体"/>
    </w:rPr>
  </w:style>
  <w:style w:type="paragraph" w:customStyle="1" w:styleId="439">
    <w:name w:val="UserStyle_333"/>
    <w:basedOn w:val="1"/>
    <w:qFormat/>
    <w:uiPriority w:val="0"/>
    <w:pPr>
      <w:pBdr>
        <w:top w:val="single" w:color="000000" w:sz="4" w:space="0"/>
        <w:left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440">
    <w:name w:val="UserStyle_334"/>
    <w:basedOn w:val="1"/>
    <w:qFormat/>
    <w:uiPriority w:val="0"/>
    <w:rPr>
      <w:rFonts w:ascii="Tahoma" w:hAnsi="Tahoma"/>
    </w:rPr>
  </w:style>
  <w:style w:type="paragraph" w:customStyle="1" w:styleId="441">
    <w:name w:val="UserStyle_335"/>
    <w:basedOn w:val="1"/>
    <w:qFormat/>
    <w:uiPriority w:val="0"/>
    <w:pPr>
      <w:snapToGrid w:val="0"/>
    </w:pPr>
    <w:rPr>
      <w:kern w:val="0"/>
      <w:sz w:val="21"/>
    </w:rPr>
  </w:style>
  <w:style w:type="paragraph" w:customStyle="1" w:styleId="442">
    <w:name w:val="UserStyle_336"/>
    <w:basedOn w:val="1"/>
    <w:qFormat/>
    <w:uiPriority w:val="0"/>
    <w:pPr>
      <w:spacing w:before="156"/>
    </w:pPr>
    <w:rPr>
      <w:rFonts w:cs="Calibri"/>
    </w:rPr>
  </w:style>
  <w:style w:type="paragraph" w:customStyle="1" w:styleId="443">
    <w:name w:val="UserStyle_337"/>
    <w:basedOn w:val="1"/>
    <w:qFormat/>
    <w:uiPriority w:val="0"/>
    <w:pPr>
      <w:spacing w:after="160" w:line="240" w:lineRule="exact"/>
      <w:jc w:val="left"/>
    </w:pPr>
    <w:rPr>
      <w:rFonts w:ascii="Verdana" w:hAnsi="Verdana"/>
      <w:kern w:val="0"/>
      <w:sz w:val="20"/>
      <w:lang w:eastAsia="en-US"/>
    </w:rPr>
  </w:style>
  <w:style w:type="paragraph" w:customStyle="1" w:styleId="444">
    <w:name w:val="UserStyle_338"/>
    <w:qFormat/>
    <w:uiPriority w:val="0"/>
    <w:pPr>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445">
    <w:name w:val="UserStyle_339"/>
    <w:basedOn w:val="1"/>
    <w:qFormat/>
    <w:uiPriority w:val="0"/>
    <w:pPr>
      <w:spacing w:before="100" w:beforeAutospacing="1" w:after="100" w:afterAutospacing="1"/>
      <w:jc w:val="left"/>
    </w:pPr>
    <w:rPr>
      <w:rFonts w:ascii="宋体" w:hAnsi="宋体"/>
      <w:kern w:val="0"/>
      <w:szCs w:val="24"/>
    </w:rPr>
  </w:style>
  <w:style w:type="paragraph" w:customStyle="1" w:styleId="446">
    <w:name w:val="UserStyle_340"/>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47">
    <w:name w:val="UserStyle_341"/>
    <w:qFormat/>
    <w:uiPriority w:val="0"/>
    <w:pPr>
      <w:spacing w:before="99" w:line="250" w:lineRule="atLeast"/>
      <w:textAlignment w:val="baseline"/>
    </w:pPr>
    <w:rPr>
      <w:rFonts w:ascii="Palatino Linotype" w:hAnsi="Palatino Linotype" w:eastAsia="宋体" w:cs="Times New Roman"/>
      <w:sz w:val="21"/>
      <w:lang w:val="en-US" w:eastAsia="en-US" w:bidi="ar-SA"/>
    </w:rPr>
  </w:style>
  <w:style w:type="paragraph" w:customStyle="1" w:styleId="448">
    <w:name w:val="UserStyle_342"/>
    <w:basedOn w:val="1"/>
    <w:qFormat/>
    <w:uiPriority w:val="0"/>
    <w:pPr>
      <w:spacing w:before="100" w:beforeAutospacing="1" w:after="100" w:afterAutospacing="1"/>
      <w:jc w:val="center"/>
    </w:pPr>
    <w:rPr>
      <w:rFonts w:ascii="Arial" w:hAnsi="Arial"/>
      <w:color w:val="000000"/>
      <w:kern w:val="0"/>
      <w:szCs w:val="24"/>
    </w:rPr>
  </w:style>
  <w:style w:type="paragraph" w:customStyle="1" w:styleId="449">
    <w:name w:val="UserStyle_343"/>
    <w:basedOn w:val="1"/>
    <w:qFormat/>
    <w:uiPriority w:val="0"/>
    <w:pPr>
      <w:spacing w:line="440" w:lineRule="exact"/>
      <w:ind w:firstLine="200" w:firstLineChars="200"/>
      <w:jc w:val="left"/>
    </w:pPr>
    <w:rPr>
      <w:spacing w:val="6"/>
      <w:kern w:val="0"/>
    </w:rPr>
  </w:style>
  <w:style w:type="paragraph" w:customStyle="1" w:styleId="450">
    <w:name w:val="UserStyle_344"/>
    <w:basedOn w:val="1"/>
    <w:next w:val="1"/>
    <w:qFormat/>
    <w:uiPriority w:val="0"/>
    <w:pPr>
      <w:spacing w:line="360" w:lineRule="auto"/>
      <w:ind w:firstLine="200" w:firstLineChars="200"/>
      <w:jc w:val="left"/>
    </w:pPr>
    <w:rPr>
      <w:rFonts w:ascii="宋体" w:hAnsi="宋体"/>
      <w:sz w:val="28"/>
      <w:szCs w:val="24"/>
      <w:u w:val="single"/>
    </w:rPr>
  </w:style>
  <w:style w:type="paragraph" w:customStyle="1" w:styleId="451">
    <w:name w:val="UserStyle_34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452">
    <w:name w:val="UserStyle_346"/>
    <w:basedOn w:val="1"/>
    <w:next w:val="1"/>
    <w:qFormat/>
    <w:uiPriority w:val="0"/>
    <w:rPr>
      <w:rFonts w:ascii="ˎ̥" w:hAnsi="ˎ̥"/>
      <w:color w:val="000000"/>
      <w:sz w:val="20"/>
    </w:rPr>
  </w:style>
  <w:style w:type="paragraph" w:customStyle="1" w:styleId="453">
    <w:name w:val="UserStyle_347"/>
    <w:basedOn w:val="1"/>
    <w:qFormat/>
    <w:uiPriority w:val="0"/>
    <w:pPr>
      <w:tabs>
        <w:tab w:val="left" w:pos="-57"/>
      </w:tabs>
      <w:spacing w:line="300" w:lineRule="auto"/>
      <w:ind w:left="-397" w:firstLine="397"/>
    </w:pPr>
    <w:rPr>
      <w:rFonts w:ascii="宋体" w:hAnsi="宋体"/>
    </w:rPr>
  </w:style>
  <w:style w:type="paragraph" w:customStyle="1" w:styleId="454">
    <w:name w:val="UserStyle_348"/>
    <w:basedOn w:val="1"/>
    <w:qFormat/>
    <w:uiPriority w:val="0"/>
    <w:pPr>
      <w:spacing w:before="100" w:beforeAutospacing="1" w:after="100" w:afterAutospacing="1"/>
      <w:jc w:val="left"/>
    </w:pPr>
    <w:rPr>
      <w:rFonts w:ascii="宋体" w:hAnsi="宋体"/>
      <w:kern w:val="0"/>
      <w:szCs w:val="24"/>
    </w:rPr>
  </w:style>
  <w:style w:type="paragraph" w:customStyle="1" w:styleId="455">
    <w:name w:val="UserStyle_349"/>
    <w:basedOn w:val="1"/>
    <w:qFormat/>
    <w:uiPriority w:val="0"/>
    <w:pPr>
      <w:pBdr>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456">
    <w:name w:val="UserStyle_350"/>
    <w:basedOn w:val="1"/>
    <w:qFormat/>
    <w:uiPriority w:val="0"/>
    <w:pPr>
      <w:spacing w:before="100" w:beforeAutospacing="1" w:after="100" w:afterAutospacing="1"/>
      <w:jc w:val="left"/>
    </w:pPr>
    <w:rPr>
      <w:kern w:val="0"/>
      <w:sz w:val="20"/>
    </w:rPr>
  </w:style>
  <w:style w:type="paragraph" w:customStyle="1" w:styleId="457">
    <w:name w:val="UserStyle_351"/>
    <w:basedOn w:val="1"/>
    <w:qFormat/>
    <w:uiPriority w:val="0"/>
    <w:pPr>
      <w:spacing w:line="400" w:lineRule="exact"/>
    </w:pPr>
    <w:rPr>
      <w:spacing w:val="20"/>
    </w:rPr>
  </w:style>
  <w:style w:type="paragraph" w:customStyle="1" w:styleId="458">
    <w:name w:val="UserStyle_352"/>
    <w:qFormat/>
    <w:uiPriority w:val="0"/>
    <w:pPr>
      <w:snapToGrid w:val="0"/>
      <w:spacing w:before="62" w:after="62" w:line="300" w:lineRule="auto"/>
      <w:ind w:left="300" w:leftChars="300" w:firstLine="200" w:firstLineChars="200"/>
      <w:jc w:val="both"/>
      <w:textAlignment w:val="baseline"/>
    </w:pPr>
    <w:rPr>
      <w:rFonts w:ascii="Calibri" w:hAnsi="Calibri" w:eastAsia="宋体" w:cs="Times New Roman"/>
      <w:kern w:val="2"/>
      <w:sz w:val="28"/>
      <w:szCs w:val="28"/>
      <w:lang w:val="en-US" w:eastAsia="zh-CN" w:bidi="ar-SA"/>
    </w:rPr>
  </w:style>
  <w:style w:type="paragraph" w:customStyle="1" w:styleId="459">
    <w:name w:val="266"/>
    <w:basedOn w:val="32"/>
    <w:next w:val="1"/>
    <w:qFormat/>
    <w:uiPriority w:val="0"/>
    <w:pPr>
      <w:keepNext/>
      <w:keepLines/>
      <w:spacing w:before="480" w:after="0" w:line="276" w:lineRule="auto"/>
      <w:ind w:left="0" w:firstLine="0"/>
      <w:jc w:val="left"/>
    </w:pPr>
    <w:rPr>
      <w:rFonts w:ascii="Cambria" w:hAnsi="Cambria" w:cs="Calibri"/>
      <w:color w:val="365F91"/>
      <w:sz w:val="28"/>
      <w:szCs w:val="28"/>
    </w:rPr>
  </w:style>
  <w:style w:type="paragraph" w:customStyle="1" w:styleId="460">
    <w:name w:val="UserStyle_353"/>
    <w:basedOn w:val="1"/>
    <w:qFormat/>
    <w:uiPriority w:val="0"/>
    <w:pPr>
      <w:ind w:firstLine="480" w:firstLineChars="200"/>
    </w:pPr>
    <w:rPr>
      <w:rFonts w:ascii="Arial" w:hAnsi="Arial"/>
      <w:szCs w:val="21"/>
    </w:rPr>
  </w:style>
  <w:style w:type="paragraph" w:customStyle="1" w:styleId="461">
    <w:name w:val="UserStyle_354"/>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cs="Calibri"/>
      <w:kern w:val="0"/>
      <w:sz w:val="20"/>
    </w:rPr>
  </w:style>
  <w:style w:type="paragraph" w:customStyle="1" w:styleId="462">
    <w:name w:val="UserStyle_355"/>
    <w:basedOn w:val="1"/>
    <w:qFormat/>
    <w:uiPriority w:val="0"/>
    <w:pPr>
      <w:spacing w:line="400" w:lineRule="exact"/>
      <w:jc w:val="center"/>
    </w:pPr>
    <w:rPr>
      <w:rFonts w:ascii="Verdana" w:hAnsi="Verdana"/>
      <w:kern w:val="0"/>
      <w:sz w:val="21"/>
      <w:lang w:eastAsia="en-US"/>
    </w:rPr>
  </w:style>
  <w:style w:type="paragraph" w:customStyle="1" w:styleId="463">
    <w:name w:val="UserStyle_356"/>
    <w:basedOn w:val="1"/>
    <w:qFormat/>
    <w:uiPriority w:val="0"/>
    <w:pPr>
      <w:spacing w:line="360" w:lineRule="auto"/>
      <w:ind w:firstLine="200" w:firstLineChars="200"/>
    </w:pPr>
  </w:style>
  <w:style w:type="paragraph" w:customStyle="1" w:styleId="464">
    <w:name w:val="UserStyle_357"/>
    <w:basedOn w:val="17"/>
    <w:qFormat/>
    <w:uiPriority w:val="0"/>
    <w:rPr>
      <w:szCs w:val="18"/>
    </w:rPr>
  </w:style>
  <w:style w:type="paragraph" w:customStyle="1" w:styleId="465">
    <w:name w:val="UserStyle_3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Cs w:val="24"/>
    </w:rPr>
  </w:style>
  <w:style w:type="paragraph" w:customStyle="1" w:styleId="466">
    <w:name w:val="UserStyle_359"/>
    <w:basedOn w:val="1"/>
    <w:qFormat/>
    <w:uiPriority w:val="0"/>
    <w:rPr>
      <w:rFonts w:ascii="Tahoma" w:hAnsi="Tahoma"/>
    </w:rPr>
  </w:style>
  <w:style w:type="paragraph" w:customStyle="1" w:styleId="467">
    <w:name w:val="UserStyle_360"/>
    <w:basedOn w:val="1"/>
    <w:qFormat/>
    <w:uiPriority w:val="0"/>
    <w:pPr>
      <w:spacing w:before="100" w:after="100"/>
      <w:jc w:val="left"/>
    </w:pPr>
    <w:rPr>
      <w:rFonts w:ascii="宋体" w:hAnsi="宋体"/>
      <w:color w:val="000000"/>
      <w:kern w:val="0"/>
      <w:sz w:val="20"/>
    </w:rPr>
  </w:style>
  <w:style w:type="paragraph" w:customStyle="1" w:styleId="468">
    <w:name w:val="UserStyle_361"/>
    <w:basedOn w:val="1"/>
    <w:qFormat/>
    <w:uiPriority w:val="0"/>
    <w:pPr>
      <w:topLinePunct/>
      <w:ind w:firstLine="600" w:firstLineChars="200"/>
      <w:jc w:val="center"/>
    </w:pPr>
    <w:rPr>
      <w:kern w:val="0"/>
      <w:sz w:val="30"/>
      <w:szCs w:val="30"/>
    </w:rPr>
  </w:style>
  <w:style w:type="paragraph" w:customStyle="1" w:styleId="469">
    <w:name w:val="UserStyle_362"/>
    <w:basedOn w:val="1"/>
    <w:qFormat/>
    <w:uiPriority w:val="0"/>
    <w:pPr>
      <w:spacing w:before="100" w:beforeAutospacing="1" w:after="100" w:afterAutospacing="1"/>
      <w:jc w:val="left"/>
    </w:pPr>
    <w:rPr>
      <w:rFonts w:ascii="宋体" w:hAnsi="宋体"/>
      <w:kern w:val="0"/>
      <w:sz w:val="18"/>
      <w:szCs w:val="18"/>
    </w:rPr>
  </w:style>
  <w:style w:type="paragraph" w:customStyle="1" w:styleId="470">
    <w:name w:val="UserStyle_363"/>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471">
    <w:name w:val="UserStyle_364"/>
    <w:next w:val="1"/>
    <w:qFormat/>
    <w:uiPriority w:val="0"/>
    <w:pPr>
      <w:shd w:val="clear" w:color="auto" w:fill="FFFFFF"/>
      <w:spacing w:before="640" w:after="560"/>
      <w:jc w:val="center"/>
      <w:textAlignment w:val="baseline"/>
    </w:pPr>
    <w:rPr>
      <w:rFonts w:ascii="黑体" w:hAnsi="Calibri" w:eastAsia="黑体" w:cs="Times New Roman"/>
      <w:sz w:val="32"/>
      <w:lang w:val="en-US" w:eastAsia="zh-CN" w:bidi="ar-SA"/>
    </w:rPr>
  </w:style>
  <w:style w:type="paragraph" w:customStyle="1" w:styleId="472">
    <w:name w:val="UserStyle_365"/>
    <w:basedOn w:val="1"/>
    <w:next w:val="1"/>
    <w:qFormat/>
    <w:uiPriority w:val="0"/>
    <w:rPr>
      <w:color w:val="000000"/>
      <w:sz w:val="21"/>
    </w:rPr>
  </w:style>
  <w:style w:type="paragraph" w:customStyle="1" w:styleId="473">
    <w:name w:val="UserStyle_366"/>
    <w:basedOn w:val="1"/>
    <w:qFormat/>
    <w:uiPriority w:val="0"/>
    <w:pPr>
      <w:snapToGrid w:val="0"/>
      <w:jc w:val="right"/>
    </w:pPr>
    <w:rPr>
      <w:rFonts w:ascii="宋体"/>
      <w:kern w:val="0"/>
      <w:sz w:val="21"/>
    </w:rPr>
  </w:style>
  <w:style w:type="paragraph" w:customStyle="1" w:styleId="474">
    <w:name w:val="UserStyle_367"/>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475">
    <w:name w:val="179"/>
    <w:basedOn w:val="1"/>
    <w:qFormat/>
    <w:uiPriority w:val="0"/>
    <w:pPr>
      <w:ind w:firstLine="420" w:firstLineChars="200"/>
    </w:pPr>
    <w:rPr>
      <w:rFonts w:ascii="Verdana" w:hAnsi="Verdana" w:eastAsia="微软雅黑"/>
      <w:sz w:val="21"/>
    </w:rPr>
  </w:style>
  <w:style w:type="paragraph" w:customStyle="1" w:styleId="476">
    <w:name w:val="UserStyle_368"/>
    <w:basedOn w:val="1"/>
    <w:qFormat/>
    <w:uiPriority w:val="0"/>
    <w:pPr>
      <w:spacing w:line="240" w:lineRule="atLeast"/>
      <w:ind w:left="420" w:firstLine="420"/>
    </w:pPr>
    <w:rPr>
      <w:kern w:val="0"/>
      <w:sz w:val="21"/>
      <w:szCs w:val="21"/>
    </w:rPr>
  </w:style>
  <w:style w:type="paragraph" w:customStyle="1" w:styleId="477">
    <w:name w:val="UserStyle_369"/>
    <w:basedOn w:val="1"/>
    <w:qFormat/>
    <w:uiPriority w:val="0"/>
    <w:pPr>
      <w:spacing w:before="100" w:beforeAutospacing="1" w:after="100" w:afterAutospacing="1"/>
      <w:jc w:val="left"/>
    </w:pPr>
    <w:rPr>
      <w:rFonts w:ascii="宋体" w:hAnsi="宋体"/>
      <w:kern w:val="0"/>
      <w:szCs w:val="24"/>
    </w:rPr>
  </w:style>
  <w:style w:type="paragraph" w:customStyle="1" w:styleId="478">
    <w:name w:val="UserStyle_370"/>
    <w:basedOn w:val="1"/>
    <w:qFormat/>
    <w:uiPriority w:val="0"/>
    <w:rPr>
      <w:rFonts w:ascii="仿宋_GB2312" w:eastAsia="仿宋_GB2312"/>
      <w:sz w:val="32"/>
    </w:rPr>
  </w:style>
  <w:style w:type="paragraph" w:customStyle="1" w:styleId="479">
    <w:name w:val="UserStyle_371"/>
    <w:basedOn w:val="1"/>
    <w:qFormat/>
    <w:uiPriority w:val="0"/>
    <w:pPr>
      <w:spacing w:before="100" w:after="100"/>
      <w:jc w:val="left"/>
    </w:pPr>
    <w:rPr>
      <w:rFonts w:ascii="宋体" w:hAnsi="宋体"/>
      <w:kern w:val="0"/>
      <w:sz w:val="18"/>
    </w:rPr>
  </w:style>
  <w:style w:type="paragraph" w:customStyle="1" w:styleId="480">
    <w:name w:val="UserStyle_372"/>
    <w:basedOn w:val="1"/>
    <w:qFormat/>
    <w:uiPriority w:val="0"/>
    <w:pPr>
      <w:spacing w:before="100" w:beforeAutospacing="1" w:after="100" w:afterAutospacing="1"/>
      <w:jc w:val="center"/>
    </w:pPr>
    <w:rPr>
      <w:rFonts w:ascii="华文新魏" w:hAnsi="宋体" w:eastAsia="华文新魏" w:cs="Calibri"/>
      <w:kern w:val="0"/>
      <w:sz w:val="32"/>
      <w:szCs w:val="32"/>
    </w:rPr>
  </w:style>
  <w:style w:type="paragraph" w:customStyle="1" w:styleId="481">
    <w:name w:val="UserStyle_373"/>
    <w:basedOn w:val="1"/>
    <w:qFormat/>
    <w:uiPriority w:val="0"/>
    <w:pPr>
      <w:spacing w:before="100" w:beforeAutospacing="1" w:after="100" w:afterAutospacing="1"/>
      <w:jc w:val="left"/>
    </w:pPr>
    <w:rPr>
      <w:rFonts w:ascii="Arial" w:hAnsi="Arial"/>
      <w:kern w:val="0"/>
      <w:szCs w:val="24"/>
    </w:rPr>
  </w:style>
  <w:style w:type="paragraph" w:customStyle="1" w:styleId="482">
    <w:name w:val="UserStyle_374"/>
    <w:basedOn w:val="1"/>
    <w:qFormat/>
    <w:uiPriority w:val="0"/>
    <w:pPr>
      <w:spacing w:before="100" w:beforeAutospacing="1" w:after="100" w:afterAutospacing="1"/>
      <w:jc w:val="left"/>
    </w:pPr>
    <w:rPr>
      <w:rFonts w:ascii="华文细黑" w:hAnsi="华文细黑" w:eastAsia="华文细黑" w:cs="宋体"/>
      <w:color w:val="000000"/>
      <w:kern w:val="0"/>
      <w:szCs w:val="24"/>
    </w:rPr>
  </w:style>
  <w:style w:type="paragraph" w:customStyle="1" w:styleId="483">
    <w:name w:val="UserStyle_375"/>
    <w:basedOn w:val="1"/>
    <w:qFormat/>
    <w:uiPriority w:val="0"/>
    <w:pPr>
      <w:spacing w:before="100" w:after="100"/>
      <w:jc w:val="left"/>
    </w:pPr>
    <w:rPr>
      <w:color w:val="000000"/>
      <w:kern w:val="0"/>
      <w:sz w:val="21"/>
    </w:rPr>
  </w:style>
  <w:style w:type="paragraph" w:customStyle="1" w:styleId="484">
    <w:name w:val="UserStyle_376"/>
    <w:basedOn w:val="1"/>
    <w:qFormat/>
    <w:uiPriority w:val="0"/>
    <w:rPr>
      <w:rFonts w:ascii="仿宋_GB2312" w:eastAsia="仿宋_GB2312"/>
      <w:sz w:val="32"/>
    </w:rPr>
  </w:style>
  <w:style w:type="paragraph" w:customStyle="1" w:styleId="485">
    <w:name w:val="UserStyle_377"/>
    <w:basedOn w:val="1"/>
    <w:qFormat/>
    <w:uiPriority w:val="0"/>
    <w:pPr>
      <w:spacing w:before="100" w:beforeAutospacing="1" w:after="100" w:afterAutospacing="1"/>
      <w:jc w:val="center"/>
    </w:pPr>
    <w:rPr>
      <w:rFonts w:ascii="Arial" w:hAnsi="Arial"/>
      <w:kern w:val="0"/>
      <w:szCs w:val="24"/>
    </w:rPr>
  </w:style>
  <w:style w:type="paragraph" w:customStyle="1" w:styleId="486">
    <w:name w:val="UserStyle_378"/>
    <w:basedOn w:val="1"/>
    <w:qFormat/>
    <w:uiPriority w:val="0"/>
    <w:pPr>
      <w:spacing w:before="60" w:after="60" w:line="360" w:lineRule="auto"/>
      <w:ind w:left="1080"/>
    </w:pPr>
  </w:style>
  <w:style w:type="paragraph" w:customStyle="1" w:styleId="487">
    <w:name w:val="UserStyle_379"/>
    <w:basedOn w:val="1"/>
    <w:qFormat/>
    <w:uiPriority w:val="0"/>
    <w:pPr>
      <w:spacing w:after="160" w:line="240" w:lineRule="exact"/>
      <w:jc w:val="left"/>
    </w:pPr>
    <w:rPr>
      <w:rFonts w:ascii="Arial" w:hAnsi="Arial" w:eastAsia="Times New Roman"/>
      <w:kern w:val="0"/>
      <w:lang w:eastAsia="en-US"/>
    </w:rPr>
  </w:style>
  <w:style w:type="paragraph" w:customStyle="1" w:styleId="488">
    <w:name w:val="UserStyle_380"/>
    <w:basedOn w:val="1"/>
    <w:qFormat/>
    <w:uiPriority w:val="0"/>
    <w:pPr>
      <w:spacing w:before="100" w:beforeAutospacing="1" w:after="100" w:afterAutospacing="1"/>
      <w:jc w:val="center"/>
    </w:pPr>
    <w:rPr>
      <w:rFonts w:ascii="Arial" w:hAnsi="Arial"/>
      <w:kern w:val="0"/>
      <w:szCs w:val="24"/>
    </w:rPr>
  </w:style>
  <w:style w:type="paragraph" w:customStyle="1" w:styleId="489">
    <w:name w:val="UserStyle_381"/>
    <w:basedOn w:val="1"/>
    <w:qFormat/>
    <w:uiPriority w:val="0"/>
    <w:rPr>
      <w:rFonts w:ascii="仿宋_GB2312" w:eastAsia="仿宋_GB2312"/>
      <w:sz w:val="32"/>
      <w:szCs w:val="32"/>
    </w:rPr>
  </w:style>
  <w:style w:type="paragraph" w:customStyle="1" w:styleId="490">
    <w:name w:val="UserStyle_382"/>
    <w:basedOn w:val="491"/>
    <w:qFormat/>
    <w:uiPriority w:val="0"/>
    <w:rPr>
      <w:rFonts w:ascii="宋体" w:hAnsi="Tms Rmn"/>
      <w:kern w:val="0"/>
    </w:rPr>
  </w:style>
  <w:style w:type="paragraph" w:customStyle="1" w:styleId="491">
    <w:name w:val="UserStyle_383"/>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492">
    <w:name w:val="UserStyle_384"/>
    <w:basedOn w:val="77"/>
    <w:qFormat/>
    <w:uiPriority w:val="0"/>
    <w:pPr>
      <w:spacing w:after="60" w:line="360" w:lineRule="atLeast"/>
      <w:ind w:left="72" w:right="72"/>
      <w:jc w:val="center"/>
    </w:pPr>
    <w:rPr>
      <w:rFonts w:ascii="Arial" w:eastAsia="黑体"/>
      <w:color w:val="000000"/>
      <w:sz w:val="21"/>
    </w:rPr>
  </w:style>
  <w:style w:type="paragraph" w:customStyle="1" w:styleId="493">
    <w:name w:val="UserStyle_385"/>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94">
    <w:name w:val="UserStyle_386"/>
    <w:basedOn w:val="1"/>
    <w:next w:val="1"/>
    <w:qFormat/>
    <w:uiPriority w:val="0"/>
    <w:pPr>
      <w:tabs>
        <w:tab w:val="left" w:pos="420"/>
      </w:tabs>
      <w:ind w:left="420" w:hanging="420"/>
    </w:pPr>
    <w:rPr>
      <w:color w:val="000000"/>
      <w:sz w:val="21"/>
    </w:rPr>
  </w:style>
  <w:style w:type="paragraph" w:customStyle="1" w:styleId="495">
    <w:name w:val="UserStyle_387"/>
    <w:basedOn w:val="1"/>
    <w:qFormat/>
    <w:uiPriority w:val="0"/>
    <w:pPr>
      <w:jc w:val="left"/>
    </w:pPr>
    <w:rPr>
      <w:kern w:val="0"/>
    </w:rPr>
  </w:style>
  <w:style w:type="paragraph" w:customStyle="1" w:styleId="496">
    <w:name w:val="UserStyle_388"/>
    <w:basedOn w:val="32"/>
    <w:qFormat/>
    <w:uiPriority w:val="0"/>
    <w:pPr>
      <w:keepNext/>
      <w:keepLines/>
      <w:tabs>
        <w:tab w:val="left" w:pos="425"/>
      </w:tabs>
      <w:spacing w:before="340" w:after="330" w:line="576" w:lineRule="auto"/>
      <w:ind w:left="425" w:hanging="425"/>
      <w:jc w:val="both"/>
    </w:pPr>
    <w:rPr>
      <w:rFonts w:ascii="Times New Roman"/>
      <w:kern w:val="44"/>
      <w:sz w:val="32"/>
    </w:rPr>
  </w:style>
  <w:style w:type="paragraph" w:customStyle="1" w:styleId="497">
    <w:name w:val="UserStyle_389"/>
    <w:basedOn w:val="1"/>
    <w:qFormat/>
    <w:uiPriority w:val="0"/>
    <w:pPr>
      <w:keepLines/>
      <w:topLinePunct/>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498">
    <w:name w:val="UserStyle_3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499">
    <w:name w:val="UserStyle_391"/>
    <w:basedOn w:val="1"/>
    <w:qFormat/>
    <w:uiPriority w:val="0"/>
    <w:pPr>
      <w:spacing w:before="100" w:beforeAutospacing="1" w:after="100" w:afterAutospacing="1"/>
      <w:jc w:val="left"/>
    </w:pPr>
    <w:rPr>
      <w:rFonts w:ascii="宋体" w:hAnsi="宋体"/>
      <w:kern w:val="0"/>
      <w:sz w:val="22"/>
      <w:szCs w:val="22"/>
    </w:rPr>
  </w:style>
  <w:style w:type="paragraph" w:customStyle="1" w:styleId="500">
    <w:name w:val="UserStyle_392"/>
    <w:basedOn w:val="1"/>
    <w:qFormat/>
    <w:uiPriority w:val="0"/>
    <w:pPr>
      <w:spacing w:before="100" w:beforeAutospacing="1" w:after="100" w:afterAutospacing="1"/>
      <w:jc w:val="left"/>
    </w:pPr>
    <w:rPr>
      <w:rFonts w:ascii="Arial" w:hAnsi="Arial"/>
      <w:color w:val="000000"/>
      <w:kern w:val="0"/>
      <w:szCs w:val="24"/>
    </w:rPr>
  </w:style>
  <w:style w:type="paragraph" w:customStyle="1" w:styleId="501">
    <w:name w:val="UserStyle_393"/>
    <w:basedOn w:val="36"/>
    <w:next w:val="1"/>
    <w:qFormat/>
    <w:uiPriority w:val="0"/>
    <w:pPr>
      <w:ind w:left="0" w:right="2" w:firstLine="0"/>
    </w:pPr>
    <w:rPr>
      <w:rFonts w:ascii="Arial" w:hAnsi="Arial" w:eastAsia="楷体_GB2312"/>
      <w:szCs w:val="30"/>
    </w:rPr>
  </w:style>
  <w:style w:type="paragraph" w:customStyle="1" w:styleId="502">
    <w:name w:val="UserStyle_394"/>
    <w:basedOn w:val="1"/>
    <w:qFormat/>
    <w:uiPriority w:val="0"/>
    <w:pPr>
      <w:spacing w:after="120" w:line="360" w:lineRule="auto"/>
      <w:ind w:firstLine="480" w:firstLineChars="200"/>
    </w:pPr>
  </w:style>
  <w:style w:type="paragraph" w:customStyle="1" w:styleId="503">
    <w:name w:val="UserStyle_395"/>
    <w:basedOn w:val="1"/>
    <w:qFormat/>
    <w:uiPriority w:val="0"/>
    <w:pPr>
      <w:pBdr>
        <w:top w:val="single" w:color="000000" w:sz="4" w:space="0"/>
        <w:left w:val="single" w:color="000000" w:sz="4" w:space="0"/>
        <w:bottom w:val="single" w:color="000000" w:sz="4" w:space="0"/>
      </w:pBdr>
      <w:shd w:val="clear" w:color="auto" w:fill="000080"/>
      <w:spacing w:before="100" w:beforeAutospacing="1" w:after="100" w:afterAutospacing="1"/>
      <w:jc w:val="left"/>
    </w:pPr>
    <w:rPr>
      <w:rFonts w:ascii="宋体" w:hAnsi="宋体" w:cs="Calibri"/>
      <w:color w:val="FFFFFF"/>
      <w:kern w:val="0"/>
      <w:sz w:val="20"/>
    </w:rPr>
  </w:style>
  <w:style w:type="paragraph" w:customStyle="1" w:styleId="504">
    <w:name w:val="UserStyle_39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rPr>
  </w:style>
  <w:style w:type="paragraph" w:customStyle="1" w:styleId="505">
    <w:name w:val="UserStyle_397"/>
    <w:basedOn w:val="35"/>
    <w:qFormat/>
    <w:uiPriority w:val="0"/>
    <w:pPr>
      <w:tabs>
        <w:tab w:val="left" w:pos="420"/>
      </w:tabs>
      <w:spacing w:before="200" w:after="0"/>
      <w:ind w:left="420" w:hanging="420"/>
    </w:pPr>
    <w:rPr>
      <w:rFonts w:ascii="宋体" w:eastAsia="楷体_GB2312"/>
      <w:sz w:val="24"/>
    </w:rPr>
  </w:style>
  <w:style w:type="paragraph" w:customStyle="1" w:styleId="506">
    <w:name w:val="UserStyle_398"/>
    <w:basedOn w:val="1"/>
    <w:next w:val="1"/>
    <w:qFormat/>
    <w:uiPriority w:val="0"/>
    <w:pPr>
      <w:spacing w:before="100" w:after="100"/>
      <w:jc w:val="left"/>
    </w:pPr>
    <w:rPr>
      <w:rFonts w:ascii="宋体"/>
      <w:color w:val="000000"/>
      <w:kern w:val="0"/>
      <w:sz w:val="22"/>
    </w:rPr>
  </w:style>
  <w:style w:type="paragraph" w:customStyle="1" w:styleId="507">
    <w:name w:val="UserStyle_399"/>
    <w:basedOn w:val="1"/>
    <w:qFormat/>
    <w:uiPriority w:val="0"/>
    <w:pPr>
      <w:spacing w:before="100" w:beforeAutospacing="1" w:after="100" w:afterAutospacing="1"/>
      <w:jc w:val="left"/>
    </w:pPr>
    <w:rPr>
      <w:rFonts w:ascii="宋体" w:hAnsi="宋体"/>
      <w:kern w:val="0"/>
    </w:rPr>
  </w:style>
  <w:style w:type="paragraph" w:customStyle="1" w:styleId="508">
    <w:name w:val="UserStyle_400"/>
    <w:basedOn w:val="1"/>
    <w:qFormat/>
    <w:uiPriority w:val="0"/>
    <w:pPr>
      <w:keepLines/>
      <w:topLinePunct/>
      <w:snapToGrid w:val="0"/>
      <w:spacing w:before="100" w:beforeAutospacing="1" w:after="100" w:afterAutospacing="1"/>
      <w:jc w:val="center"/>
    </w:pPr>
    <w:rPr>
      <w:rFonts w:ascii="宋体" w:hAnsi="宋体"/>
      <w:kern w:val="0"/>
      <w:sz w:val="28"/>
      <w:szCs w:val="21"/>
    </w:rPr>
  </w:style>
  <w:style w:type="paragraph" w:customStyle="1" w:styleId="509">
    <w:name w:val="UserStyle_40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Arial" w:hAnsi="Arial"/>
      <w:kern w:val="0"/>
      <w:sz w:val="20"/>
    </w:rPr>
  </w:style>
  <w:style w:type="paragraph" w:customStyle="1" w:styleId="510">
    <w:name w:val="UserStyle_402"/>
    <w:basedOn w:val="1"/>
    <w:qFormat/>
    <w:uiPriority w:val="0"/>
    <w:pPr>
      <w:spacing w:before="100" w:beforeAutospacing="1" w:after="100" w:afterAutospacing="1"/>
      <w:jc w:val="left"/>
    </w:pPr>
    <w:rPr>
      <w:rFonts w:ascii="宋体" w:hAnsi="宋体"/>
      <w:kern w:val="0"/>
      <w:szCs w:val="24"/>
    </w:rPr>
  </w:style>
  <w:style w:type="paragraph" w:customStyle="1" w:styleId="511">
    <w:name w:val="UserStyle_403"/>
    <w:basedOn w:val="1"/>
    <w:qFormat/>
    <w:uiPriority w:val="0"/>
    <w:pPr>
      <w:spacing w:before="100" w:beforeAutospacing="1" w:after="100" w:afterAutospacing="1"/>
      <w:jc w:val="left"/>
    </w:pPr>
    <w:rPr>
      <w:rFonts w:ascii="宋体" w:hAnsi="宋体"/>
      <w:kern w:val="0"/>
      <w:szCs w:val="24"/>
    </w:rPr>
  </w:style>
  <w:style w:type="paragraph" w:customStyle="1" w:styleId="512">
    <w:name w:val="UserStyle_40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1"/>
    </w:rPr>
  </w:style>
  <w:style w:type="paragraph" w:customStyle="1" w:styleId="513">
    <w:name w:val="UserStyle_405"/>
    <w:basedOn w:val="1"/>
    <w:qFormat/>
    <w:uiPriority w:val="0"/>
    <w:pPr>
      <w:tabs>
        <w:tab w:val="left" w:pos="720"/>
        <w:tab w:val="left" w:pos="900"/>
      </w:tabs>
      <w:spacing w:line="360" w:lineRule="auto"/>
      <w:ind w:left="900" w:hanging="420"/>
    </w:pPr>
  </w:style>
  <w:style w:type="paragraph" w:customStyle="1" w:styleId="514">
    <w:name w:val="UserStyle_406"/>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515">
    <w:name w:val="UserStyle_407"/>
    <w:basedOn w:val="1"/>
    <w:qFormat/>
    <w:uiPriority w:val="0"/>
    <w:pPr>
      <w:spacing w:before="100" w:beforeAutospacing="1" w:after="100" w:afterAutospacing="1"/>
      <w:jc w:val="center"/>
    </w:pPr>
    <w:rPr>
      <w:rFonts w:ascii="幼圆" w:hAnsi="宋体" w:eastAsia="幼圆"/>
      <w:kern w:val="0"/>
      <w:szCs w:val="24"/>
    </w:rPr>
  </w:style>
  <w:style w:type="paragraph" w:customStyle="1" w:styleId="516">
    <w:name w:val="UserStyle_408"/>
    <w:basedOn w:val="1"/>
    <w:next w:val="1"/>
    <w:qFormat/>
    <w:uiPriority w:val="0"/>
    <w:rPr>
      <w:rFonts w:ascii="宋体"/>
      <w:color w:val="000000"/>
      <w:sz w:val="21"/>
    </w:rPr>
  </w:style>
  <w:style w:type="paragraph" w:customStyle="1" w:styleId="517">
    <w:name w:val="UserStyle_409"/>
    <w:basedOn w:val="1"/>
    <w:qFormat/>
    <w:uiPriority w:val="0"/>
    <w:pPr>
      <w:spacing w:before="120" w:line="360" w:lineRule="auto"/>
      <w:ind w:firstLine="567"/>
    </w:pPr>
    <w:rPr>
      <w:rFonts w:ascii="Arial" w:hAnsi="Arial"/>
      <w:kern w:val="0"/>
    </w:rPr>
  </w:style>
  <w:style w:type="paragraph" w:customStyle="1" w:styleId="518">
    <w:name w:val="UserStyle_410"/>
    <w:basedOn w:val="1"/>
    <w:qFormat/>
    <w:uiPriority w:val="0"/>
    <w:rPr>
      <w:sz w:val="21"/>
      <w:szCs w:val="24"/>
    </w:rPr>
  </w:style>
  <w:style w:type="paragraph" w:customStyle="1" w:styleId="519">
    <w:name w:val="UserStyle_411"/>
    <w:basedOn w:val="1"/>
    <w:qFormat/>
    <w:uiPriority w:val="0"/>
    <w:pPr>
      <w:spacing w:before="100" w:beforeAutospacing="1" w:after="100" w:afterAutospacing="1"/>
      <w:jc w:val="left"/>
    </w:pPr>
    <w:rPr>
      <w:rFonts w:ascii="宋体" w:hAnsi="宋体"/>
      <w:color w:val="000000"/>
      <w:kern w:val="0"/>
      <w:szCs w:val="24"/>
    </w:rPr>
  </w:style>
  <w:style w:type="paragraph" w:customStyle="1" w:styleId="520">
    <w:name w:val="UserStyle_4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Calibri"/>
      <w:kern w:val="0"/>
      <w:sz w:val="20"/>
    </w:rPr>
  </w:style>
  <w:style w:type="paragraph" w:customStyle="1" w:styleId="521">
    <w:name w:val="UserStyle_413"/>
    <w:basedOn w:val="1"/>
    <w:qFormat/>
    <w:uiPriority w:val="0"/>
    <w:pPr>
      <w:spacing w:line="300" w:lineRule="auto"/>
      <w:jc w:val="center"/>
    </w:pPr>
    <w:rPr>
      <w:rFonts w:ascii="宋体" w:hAnsi="宋体"/>
    </w:rPr>
  </w:style>
  <w:style w:type="paragraph" w:customStyle="1" w:styleId="522">
    <w:name w:val="UserStyle_414"/>
    <w:basedOn w:val="1"/>
    <w:qFormat/>
    <w:uiPriority w:val="0"/>
    <w:pPr>
      <w:spacing w:before="100" w:beforeAutospacing="1" w:after="100" w:afterAutospacing="1" w:line="360" w:lineRule="auto"/>
      <w:ind w:firstLine="200" w:firstLineChars="200"/>
      <w:jc w:val="left"/>
    </w:pPr>
    <w:rPr>
      <w:rFonts w:ascii="宋体" w:hAnsi="宋体"/>
      <w:color w:val="FFFFFF"/>
      <w:kern w:val="0"/>
      <w:sz w:val="28"/>
      <w:szCs w:val="24"/>
    </w:rPr>
  </w:style>
  <w:style w:type="paragraph" w:customStyle="1" w:styleId="523">
    <w:name w:val="UserStyle_41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524">
    <w:name w:val="UserStyle_416"/>
    <w:basedOn w:val="1"/>
    <w:next w:val="1"/>
    <w:qFormat/>
    <w:uiPriority w:val="0"/>
    <w:pPr>
      <w:tabs>
        <w:tab w:val="left" w:pos="420"/>
        <w:tab w:val="left" w:pos="1697"/>
      </w:tabs>
      <w:spacing w:after="50"/>
      <w:ind w:left="1697" w:hanging="420"/>
      <w:jc w:val="left"/>
    </w:pPr>
    <w:rPr>
      <w:color w:val="000000"/>
      <w:kern w:val="0"/>
    </w:rPr>
  </w:style>
  <w:style w:type="paragraph" w:customStyle="1" w:styleId="525">
    <w:name w:val="UserStyle_417"/>
    <w:basedOn w:val="1"/>
    <w:qFormat/>
    <w:uiPriority w:val="0"/>
    <w:pPr>
      <w:shd w:val="clear" w:color="auto" w:fill="CCFFCC"/>
      <w:spacing w:before="100" w:beforeAutospacing="1" w:after="100" w:afterAutospacing="1"/>
      <w:jc w:val="left"/>
    </w:pPr>
    <w:rPr>
      <w:rFonts w:ascii="华文细黑" w:hAnsi="华文细黑" w:eastAsia="华文细黑" w:cs="宋体"/>
      <w:color w:val="000000"/>
      <w:kern w:val="0"/>
      <w:szCs w:val="24"/>
    </w:rPr>
  </w:style>
  <w:style w:type="paragraph" w:customStyle="1" w:styleId="526">
    <w:name w:val="UserStyle_418"/>
    <w:basedOn w:val="79"/>
    <w:next w:val="1"/>
    <w:qFormat/>
    <w:uiPriority w:val="0"/>
    <w:pPr>
      <w:ind w:firstLine="210"/>
    </w:pPr>
    <w:rPr>
      <w:color w:val="000000"/>
      <w:sz w:val="21"/>
    </w:rPr>
  </w:style>
  <w:style w:type="paragraph" w:customStyle="1" w:styleId="527">
    <w:name w:val="UserStyle_419"/>
    <w:basedOn w:val="1"/>
    <w:qFormat/>
    <w:uiPriority w:val="0"/>
    <w:rPr>
      <w:rFonts w:ascii="仿宋_GB2312" w:eastAsia="仿宋_GB2312"/>
      <w:sz w:val="32"/>
    </w:rPr>
  </w:style>
  <w:style w:type="paragraph" w:customStyle="1" w:styleId="528">
    <w:name w:val="UserStyle_420"/>
    <w:basedOn w:val="1"/>
    <w:next w:val="1"/>
    <w:qFormat/>
    <w:uiPriority w:val="0"/>
    <w:pPr>
      <w:spacing w:line="360" w:lineRule="auto"/>
      <w:ind w:firstLine="200" w:firstLineChars="200"/>
      <w:jc w:val="left"/>
    </w:pPr>
    <w:rPr>
      <w:rFonts w:ascii="宋体" w:hAnsi="宋体" w:cs="Calibri"/>
      <w:sz w:val="21"/>
      <w:szCs w:val="24"/>
    </w:rPr>
  </w:style>
  <w:style w:type="paragraph" w:customStyle="1" w:styleId="529">
    <w:name w:val="UserStyle_421"/>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0"/>
    </w:rPr>
  </w:style>
  <w:style w:type="paragraph" w:customStyle="1" w:styleId="530">
    <w:name w:val="UserStyle_422"/>
    <w:basedOn w:val="1"/>
    <w:qFormat/>
    <w:uiPriority w:val="0"/>
    <w:pPr>
      <w:spacing w:line="360" w:lineRule="auto"/>
      <w:ind w:firstLine="200" w:firstLineChars="200"/>
    </w:pPr>
    <w:rPr>
      <w:sz w:val="21"/>
    </w:rPr>
  </w:style>
  <w:style w:type="paragraph" w:customStyle="1" w:styleId="531">
    <w:name w:val="UserStyle_42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532">
    <w:name w:val="UserStyle_424"/>
    <w:basedOn w:val="1"/>
    <w:qFormat/>
    <w:uiPriority w:val="0"/>
    <w:rPr>
      <w:kern w:val="0"/>
      <w:sz w:val="21"/>
    </w:rPr>
  </w:style>
  <w:style w:type="paragraph" w:customStyle="1" w:styleId="533">
    <w:name w:val="UserStyle_425"/>
    <w:basedOn w:val="1"/>
    <w:qFormat/>
    <w:uiPriority w:val="0"/>
    <w:pPr>
      <w:tabs>
        <w:tab w:val="left" w:pos="992"/>
      </w:tabs>
      <w:ind w:left="992" w:hanging="992"/>
    </w:pPr>
  </w:style>
  <w:style w:type="paragraph" w:customStyle="1" w:styleId="534">
    <w:name w:val="UserStyle_426"/>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535">
    <w:name w:val="UserStyle_427"/>
    <w:basedOn w:val="1"/>
    <w:qFormat/>
    <w:uiPriority w:val="0"/>
    <w:pPr>
      <w:spacing w:line="400" w:lineRule="atLeast"/>
      <w:ind w:left="400" w:leftChars="400" w:firstLine="454"/>
    </w:pPr>
    <w:rPr>
      <w:kern w:val="0"/>
    </w:rPr>
  </w:style>
  <w:style w:type="paragraph" w:customStyle="1" w:styleId="536">
    <w:name w:val="UserStyle_428"/>
    <w:basedOn w:val="1"/>
    <w:qFormat/>
    <w:uiPriority w:val="0"/>
    <w:pPr>
      <w:pBdr>
        <w:bottom w:val="single" w:color="000000" w:sz="4" w:space="0"/>
      </w:pBdr>
      <w:spacing w:before="100" w:beforeAutospacing="1" w:after="100" w:afterAutospacing="1"/>
      <w:jc w:val="right"/>
    </w:pPr>
    <w:rPr>
      <w:rFonts w:ascii="华文宋体" w:hAnsi="宋体" w:eastAsia="华文宋体" w:cs="Calibri"/>
      <w:kern w:val="0"/>
      <w:sz w:val="20"/>
    </w:rPr>
  </w:style>
  <w:style w:type="paragraph" w:customStyle="1" w:styleId="537">
    <w:name w:val="UserStyle_429"/>
    <w:basedOn w:val="1"/>
    <w:qFormat/>
    <w:uiPriority w:val="0"/>
    <w:pPr>
      <w:topLinePunct/>
      <w:spacing w:line="360" w:lineRule="auto"/>
    </w:pPr>
    <w:rPr>
      <w:rFonts w:ascii="楷体_GB2312" w:eastAsia="楷体_GB2312"/>
      <w:kern w:val="0"/>
      <w:sz w:val="21"/>
      <w:szCs w:val="21"/>
    </w:rPr>
  </w:style>
  <w:style w:type="paragraph" w:customStyle="1" w:styleId="538">
    <w:name w:val="UserStyle_430"/>
    <w:basedOn w:val="1"/>
    <w:qFormat/>
    <w:uiPriority w:val="0"/>
    <w:pPr>
      <w:spacing w:after="160" w:line="240" w:lineRule="exact"/>
      <w:jc w:val="left"/>
    </w:pPr>
    <w:rPr>
      <w:sz w:val="21"/>
      <w:szCs w:val="24"/>
    </w:rPr>
  </w:style>
  <w:style w:type="paragraph" w:customStyle="1" w:styleId="539">
    <w:name w:val="UserStyle_431"/>
    <w:basedOn w:val="1"/>
    <w:qFormat/>
    <w:uiPriority w:val="0"/>
    <w:pPr>
      <w:pBdr>
        <w:top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540">
    <w:name w:val="UserStyle_432"/>
    <w:basedOn w:val="1"/>
    <w:qFormat/>
    <w:uiPriority w:val="0"/>
    <w:pPr>
      <w:spacing w:line="360" w:lineRule="auto"/>
      <w:ind w:firstLine="480" w:firstLineChars="200"/>
    </w:pPr>
    <w:rPr>
      <w:rFonts w:ascii="Arial" w:hAnsi="Arial"/>
      <w:szCs w:val="21"/>
    </w:rPr>
  </w:style>
  <w:style w:type="paragraph" w:customStyle="1" w:styleId="541">
    <w:name w:val="UserStyle_433"/>
    <w:basedOn w:val="1"/>
    <w:qFormat/>
    <w:uiPriority w:val="0"/>
    <w:pPr>
      <w:spacing w:line="480" w:lineRule="auto"/>
      <w:jc w:val="center"/>
    </w:pPr>
    <w:rPr>
      <w:rFonts w:ascii="宋体"/>
      <w:kern w:val="0"/>
    </w:rPr>
  </w:style>
  <w:style w:type="paragraph" w:customStyle="1" w:styleId="542">
    <w:name w:val="UserStyle_434"/>
    <w:basedOn w:val="1"/>
    <w:qFormat/>
    <w:uiPriority w:val="0"/>
    <w:pPr>
      <w:spacing w:line="480" w:lineRule="atLeast"/>
      <w:ind w:firstLine="567" w:firstLineChars="200"/>
    </w:pPr>
    <w:rPr>
      <w:rFonts w:ascii="宋体" w:hAnsi="宋体"/>
      <w:kern w:val="0"/>
      <w:sz w:val="28"/>
    </w:rPr>
  </w:style>
  <w:style w:type="paragraph" w:customStyle="1" w:styleId="543">
    <w:name w:val="UserStyle_435"/>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544">
    <w:name w:val="UserStyle_436"/>
    <w:basedOn w:val="1"/>
    <w:qFormat/>
    <w:uiPriority w:val="0"/>
    <w:pPr>
      <w:shd w:val="clear" w:color="auto" w:fill="C0C0C0"/>
      <w:spacing w:before="100" w:beforeAutospacing="1" w:after="100" w:afterAutospacing="1"/>
      <w:jc w:val="left"/>
    </w:pPr>
    <w:rPr>
      <w:rFonts w:ascii="华文细黑" w:hAnsi="华文细黑" w:eastAsia="华文细黑" w:cs="宋体"/>
      <w:color w:val="000000"/>
      <w:kern w:val="0"/>
      <w:szCs w:val="24"/>
    </w:rPr>
  </w:style>
  <w:style w:type="paragraph" w:customStyle="1" w:styleId="545">
    <w:name w:val="UserStyle_437"/>
    <w:basedOn w:val="1"/>
    <w:qFormat/>
    <w:uiPriority w:val="0"/>
    <w:pPr>
      <w:spacing w:before="100" w:beforeAutospacing="1" w:after="100" w:afterAutospacing="1"/>
      <w:jc w:val="center"/>
    </w:pPr>
    <w:rPr>
      <w:rFonts w:ascii="黑体" w:hAnsi="宋体" w:eastAsia="黑体"/>
      <w:kern w:val="0"/>
      <w:sz w:val="36"/>
      <w:szCs w:val="36"/>
    </w:rPr>
  </w:style>
  <w:style w:type="paragraph" w:customStyle="1" w:styleId="546">
    <w:name w:val="UserStyle_438"/>
    <w:basedOn w:val="1"/>
    <w:next w:val="32"/>
    <w:qFormat/>
    <w:uiPriority w:val="0"/>
    <w:pPr>
      <w:snapToGrid w:val="0"/>
      <w:spacing w:before="156" w:after="156" w:line="520" w:lineRule="atLeast"/>
      <w:ind w:firstLine="200" w:firstLineChars="200"/>
    </w:pPr>
  </w:style>
  <w:style w:type="paragraph" w:customStyle="1" w:styleId="547">
    <w:name w:val="UserStyle_439"/>
    <w:basedOn w:val="77"/>
    <w:qFormat/>
    <w:uiPriority w:val="0"/>
    <w:pPr>
      <w:spacing w:before="100" w:beforeAutospacing="1" w:after="100" w:afterAutospacing="1" w:line="400" w:lineRule="atLeast"/>
      <w:ind w:left="1276"/>
      <w:jc w:val="both"/>
    </w:pPr>
    <w:rPr>
      <w:rFonts w:ascii="Times New Roman"/>
      <w:color w:val="000000"/>
    </w:rPr>
  </w:style>
  <w:style w:type="paragraph" w:customStyle="1" w:styleId="548">
    <w:name w:val="纯文本1"/>
    <w:basedOn w:val="549"/>
    <w:qFormat/>
    <w:uiPriority w:val="0"/>
    <w:pPr>
      <w:widowControl/>
      <w:jc w:val="left"/>
    </w:pPr>
    <w:rPr>
      <w:rFonts w:ascii="宋体" w:hAnsi="Courier New"/>
    </w:rPr>
  </w:style>
  <w:style w:type="paragraph" w:customStyle="1" w:styleId="549">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550">
    <w:name w:val="List Paragraph"/>
    <w:basedOn w:val="1"/>
    <w:qFormat/>
    <w:uiPriority w:val="34"/>
    <w:pPr>
      <w:ind w:firstLine="420" w:firstLineChars="200"/>
    </w:pPr>
    <w:rPr>
      <w:rFonts w:ascii="Verdana" w:hAnsi="Verdana" w:eastAsia="微软雅黑"/>
      <w:sz w:val="21"/>
    </w:rPr>
  </w:style>
  <w:style w:type="paragraph" w:customStyle="1" w:styleId="551">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2">
    <w:name w:val="p0"/>
    <w:basedOn w:val="1"/>
    <w:qFormat/>
    <w:uiPriority w:val="99"/>
    <w:pPr>
      <w:spacing w:beforeAutospacing="1" w:afterAutospacing="1"/>
      <w:jc w:val="left"/>
    </w:pPr>
    <w:rPr>
      <w:rFonts w:ascii="宋体" w:hAnsi="宋体"/>
      <w:kern w:val="0"/>
    </w:rPr>
  </w:style>
  <w:style w:type="character" w:customStyle="1" w:styleId="553">
    <w:name w:val="font11"/>
    <w:basedOn w:val="27"/>
    <w:qFormat/>
    <w:uiPriority w:val="0"/>
    <w:rPr>
      <w:rFonts w:hint="eastAsia" w:ascii="宋体" w:hAnsi="宋体" w:eastAsia="宋体" w:cs="宋体"/>
      <w:color w:val="000000"/>
      <w:sz w:val="22"/>
      <w:szCs w:val="22"/>
      <w:u w:val="none"/>
    </w:rPr>
  </w:style>
  <w:style w:type="character" w:customStyle="1" w:styleId="554">
    <w:name w:val="font51"/>
    <w:basedOn w:val="27"/>
    <w:qFormat/>
    <w:uiPriority w:val="0"/>
    <w:rPr>
      <w:rFonts w:hint="eastAsia" w:ascii="宋体" w:hAnsi="宋体" w:eastAsia="宋体" w:cs="宋体"/>
      <w:color w:val="FF0000"/>
      <w:sz w:val="22"/>
      <w:szCs w:val="22"/>
      <w:u w:val="none"/>
    </w:rPr>
  </w:style>
  <w:style w:type="character" w:customStyle="1" w:styleId="555">
    <w:name w:val="font31"/>
    <w:basedOn w:val="27"/>
    <w:qFormat/>
    <w:uiPriority w:val="0"/>
    <w:rPr>
      <w:rFonts w:hint="eastAsia" w:ascii="宋体" w:hAnsi="宋体" w:eastAsia="宋体" w:cs="宋体"/>
      <w:color w:val="FF0000"/>
      <w:sz w:val="22"/>
      <w:szCs w:val="22"/>
      <w:u w:val="none"/>
    </w:rPr>
  </w:style>
  <w:style w:type="character" w:customStyle="1" w:styleId="556">
    <w:name w:val="font01"/>
    <w:basedOn w:val="27"/>
    <w:qFormat/>
    <w:uiPriority w:val="0"/>
    <w:rPr>
      <w:rFonts w:hint="eastAsia" w:ascii="宋体" w:hAnsi="宋体" w:eastAsia="宋体" w:cs="宋体"/>
      <w:color w:val="000000"/>
      <w:sz w:val="22"/>
      <w:szCs w:val="22"/>
      <w:u w:val="none"/>
    </w:rPr>
  </w:style>
  <w:style w:type="paragraph" w:customStyle="1" w:styleId="557">
    <w:name w:val="样式 标题 1h1H1Huvudrubrik章h:1h:1applevel 1Level 1 Headhead..."/>
    <w:basedOn w:val="3"/>
    <w:qFormat/>
    <w:uiPriority w:val="0"/>
    <w:pPr>
      <w:widowControl w:val="0"/>
      <w:spacing w:before="340" w:line="360" w:lineRule="auto"/>
      <w:jc w:val="both"/>
    </w:pPr>
    <w:rPr>
      <w:rFonts w:ascii="黑体" w:hAnsi="宋体" w:eastAsia="黑体" w:cs="宋体"/>
      <w:bCs/>
      <w:kern w:val="44"/>
      <w:sz w:val="28"/>
      <w:szCs w:val="28"/>
    </w:rPr>
  </w:style>
  <w:style w:type="paragraph" w:customStyle="1" w:styleId="558">
    <w:name w:val="！正文"/>
    <w:basedOn w:val="1"/>
    <w:qFormat/>
    <w:uiPriority w:val="0"/>
    <w:pPr>
      <w:widowControl w:val="0"/>
      <w:spacing w:line="360" w:lineRule="auto"/>
      <w:ind w:firstLine="200" w:firstLineChars="200"/>
    </w:pPr>
    <w:rPr>
      <w:sz w:val="28"/>
    </w:rPr>
  </w:style>
  <w:style w:type="paragraph" w:customStyle="1" w:styleId="559">
    <w:name w:val="List Paragraph1"/>
    <w:basedOn w:val="1"/>
    <w:qFormat/>
    <w:uiPriority w:val="34"/>
    <w:pPr>
      <w:widowControl w:val="0"/>
      <w:ind w:firstLine="420" w:firstLineChars="200"/>
    </w:pPr>
    <w:rPr>
      <w:sz w:val="21"/>
    </w:rPr>
  </w:style>
  <w:style w:type="paragraph" w:customStyle="1" w:styleId="560">
    <w:name w:val="列出段落2"/>
    <w:basedOn w:val="1"/>
    <w:qFormat/>
    <w:uiPriority w:val="34"/>
    <w:pPr>
      <w:ind w:firstLine="420" w:firstLineChars="200"/>
    </w:pPr>
  </w:style>
  <w:style w:type="paragraph" w:customStyle="1" w:styleId="561">
    <w:name w:val="列表段落1"/>
    <w:basedOn w:val="1"/>
    <w:qFormat/>
    <w:uiPriority w:val="34"/>
    <w:pPr>
      <w:widowControl w:val="0"/>
      <w:ind w:firstLine="420" w:firstLineChars="200"/>
    </w:pPr>
    <w:rPr>
      <w:sz w:val="21"/>
    </w:rPr>
  </w:style>
  <w:style w:type="paragraph" w:customStyle="1" w:styleId="562">
    <w:name w:val="WPSOffice手动目录 1"/>
    <w:qFormat/>
    <w:uiPriority w:val="0"/>
    <w:rPr>
      <w:rFonts w:ascii="Times New Roman" w:hAnsi="Times New Roman" w:eastAsia="宋体" w:cs="Times New Roman"/>
      <w:lang w:val="en-US" w:eastAsia="zh-CN" w:bidi="ar-SA"/>
    </w:rPr>
  </w:style>
  <w:style w:type="character" w:customStyle="1" w:styleId="563">
    <w:name w:val="批注框文本 Char"/>
    <w:basedOn w:val="27"/>
    <w:link w:val="16"/>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0" textRotate="1"/>
    <customShpInfo spid="_x0000_s1031" textRotate="1"/>
    <customShpInfo spid="_x0000_s1032"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65376</Words>
  <Characters>71207</Characters>
  <Lines>569</Lines>
  <Paragraphs>160</Paragraphs>
  <TotalTime>4</TotalTime>
  <ScaleCrop>false</ScaleCrop>
  <LinksUpToDate>false</LinksUpToDate>
  <CharactersWithSpaces>74617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2022-07-16T00:49:00Z</dcterms:created>
  <dc:creator>Administrator</dc:creator>
  <cp:lastModifiedBy>money</cp:lastModifiedBy>
  <cp:lastPrinted>2023-01-02T06:50:00Z</cp:lastPrinted>
  <dcterms:modified xsi:type="dcterms:W3CDTF">2023-01-18T13:12:20Z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2C56AB3D3D4040839B7D3B63312224DB</vt:lpwstr>
  </property>
</Properties>
</file>