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25CA3">
      <w:pPr>
        <w:adjustRightInd/>
        <w:spacing w:line="360" w:lineRule="auto"/>
        <w:rPr>
          <w:rFonts w:hint="default" w:ascii="宋体" w:hAnsi="宋体" w:eastAsia="宋体" w:cs="宋体"/>
          <w:b/>
          <w:sz w:val="48"/>
          <w:szCs w:val="48"/>
          <w:lang w:val="en-US" w:eastAsia="zh-CN"/>
        </w:rPr>
      </w:pPr>
      <w:r>
        <w:rPr>
          <w:rFonts w:hint="eastAsia" w:ascii="宋体" w:hAnsi="宋体" w:cs="宋体"/>
          <w:b/>
          <w:sz w:val="48"/>
          <w:szCs w:val="48"/>
          <w:lang w:val="en-US" w:eastAsia="zh-CN"/>
        </w:rPr>
        <w:t xml:space="preserve">   </w:t>
      </w:r>
    </w:p>
    <w:p w14:paraId="5C36BB0E">
      <w:pPr>
        <w:adjustRightInd/>
        <w:spacing w:line="360" w:lineRule="auto"/>
        <w:jc w:val="center"/>
        <w:rPr>
          <w:rFonts w:hint="eastAsia" w:ascii="宋体" w:hAnsi="宋体" w:cs="宋体"/>
          <w:b/>
          <w:sz w:val="48"/>
          <w:szCs w:val="48"/>
          <w:lang w:eastAsia="zh-CN"/>
        </w:rPr>
      </w:pPr>
      <w:r>
        <w:rPr>
          <w:rFonts w:hint="eastAsia" w:ascii="宋体" w:hAnsi="宋体" w:cs="宋体"/>
          <w:b/>
          <w:sz w:val="48"/>
          <w:szCs w:val="48"/>
          <w:lang w:eastAsia="zh-CN"/>
        </w:rPr>
        <w:t xml:space="preserve">建德市大同镇秸秆综合处理中心升级改造-生产车间设备采购 </w:t>
      </w:r>
    </w:p>
    <w:p w14:paraId="318CC1F0">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招标文件 </w:t>
      </w:r>
    </w:p>
    <w:p w14:paraId="4123628D">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2FF07BEE">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color w:val="auto"/>
          <w:sz w:val="30"/>
          <w:szCs w:val="30"/>
        </w:rPr>
        <w:t>编号:</w:t>
      </w:r>
      <w:r>
        <w:rPr>
          <w:rFonts w:hint="eastAsia" w:ascii="宋体" w:hAnsi="宋体" w:cs="宋体"/>
          <w:color w:val="auto"/>
          <w:sz w:val="30"/>
          <w:szCs w:val="30"/>
          <w:lang w:eastAsia="zh-CN"/>
        </w:rPr>
        <w:t xml:space="preserve">JD2025BF-061  </w:t>
      </w:r>
      <w:r>
        <w:rPr>
          <w:rFonts w:hint="eastAsia" w:ascii="宋体" w:hAnsi="宋体" w:eastAsia="宋体" w:cs="宋体"/>
          <w:sz w:val="30"/>
          <w:szCs w:val="30"/>
          <w:lang w:val="en-US" w:eastAsia="zh-CN"/>
        </w:rPr>
        <w:t xml:space="preserve"> </w:t>
      </w:r>
    </w:p>
    <w:p w14:paraId="41DA7AAE">
      <w:pPr>
        <w:adjustRightInd/>
        <w:spacing w:line="360" w:lineRule="auto"/>
        <w:rPr>
          <w:rFonts w:hint="eastAsia" w:ascii="宋体" w:hAnsi="宋体" w:eastAsia="宋体" w:cs="宋体"/>
          <w:sz w:val="28"/>
          <w:szCs w:val="20"/>
        </w:rPr>
      </w:pPr>
    </w:p>
    <w:p w14:paraId="719E45CF">
      <w:pPr>
        <w:spacing w:line="360" w:lineRule="auto"/>
        <w:jc w:val="center"/>
        <w:rPr>
          <w:rFonts w:hint="eastAsia" w:ascii="宋体" w:hAnsi="宋体" w:eastAsia="宋体" w:cs="宋体"/>
          <w:b/>
          <w:sz w:val="44"/>
          <w:szCs w:val="44"/>
        </w:rPr>
      </w:pPr>
    </w:p>
    <w:p w14:paraId="3B18462A">
      <w:pPr>
        <w:spacing w:line="360" w:lineRule="auto"/>
        <w:jc w:val="center"/>
        <w:rPr>
          <w:rFonts w:hint="eastAsia" w:ascii="宋体" w:hAnsi="宋体" w:eastAsia="宋体" w:cs="宋体"/>
          <w:b/>
          <w:sz w:val="44"/>
          <w:szCs w:val="44"/>
        </w:rPr>
      </w:pPr>
    </w:p>
    <w:p w14:paraId="409CA0A1">
      <w:pPr>
        <w:spacing w:line="360" w:lineRule="auto"/>
        <w:jc w:val="center"/>
        <w:rPr>
          <w:rFonts w:hint="eastAsia" w:ascii="宋体" w:hAnsi="宋体" w:eastAsia="宋体" w:cs="宋体"/>
          <w:sz w:val="24"/>
        </w:rPr>
      </w:pPr>
    </w:p>
    <w:p w14:paraId="30C88787">
      <w:pPr>
        <w:spacing w:line="360" w:lineRule="auto"/>
        <w:jc w:val="center"/>
        <w:rPr>
          <w:rFonts w:hint="eastAsia" w:ascii="宋体" w:hAnsi="宋体" w:eastAsia="宋体" w:cs="宋体"/>
          <w:sz w:val="24"/>
        </w:rPr>
      </w:pPr>
    </w:p>
    <w:p w14:paraId="49017F92">
      <w:pPr>
        <w:spacing w:line="360" w:lineRule="auto"/>
        <w:rPr>
          <w:rFonts w:hint="eastAsia" w:ascii="宋体" w:hAnsi="宋体" w:eastAsia="宋体" w:cs="宋体"/>
          <w:sz w:val="32"/>
          <w:szCs w:val="32"/>
        </w:rPr>
      </w:pPr>
    </w:p>
    <w:p w14:paraId="6240B7D3">
      <w:pPr>
        <w:snapToGrid w:val="0"/>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rPr>
        <w:t>采购人：</w:t>
      </w:r>
      <w:r>
        <w:rPr>
          <w:rFonts w:hint="eastAsia" w:ascii="宋体" w:hAnsi="宋体" w:cs="宋体"/>
          <w:bCs/>
          <w:sz w:val="32"/>
          <w:szCs w:val="32"/>
          <w:lang w:eastAsia="zh-CN"/>
        </w:rPr>
        <w:t>建德市大同镇人民政府</w:t>
      </w:r>
    </w:p>
    <w:p w14:paraId="6CB69756">
      <w:pPr>
        <w:snapToGrid w:val="0"/>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rPr>
        <w:t>采购代理机构：</w:t>
      </w:r>
      <w:r>
        <w:rPr>
          <w:rFonts w:hint="eastAsia" w:ascii="宋体" w:hAnsi="宋体" w:cs="宋体"/>
          <w:bCs/>
          <w:sz w:val="32"/>
          <w:szCs w:val="32"/>
          <w:lang w:eastAsia="zh-CN"/>
        </w:rPr>
        <w:t>耀华建设管理有限公司</w:t>
      </w:r>
    </w:p>
    <w:p w14:paraId="6A19AEDE">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eastAsia="宋体" w:cs="宋体"/>
          <w:bCs/>
          <w:color w:val="auto"/>
          <w:sz w:val="32"/>
          <w:szCs w:val="32"/>
        </w:rPr>
        <w:t>年</w:t>
      </w:r>
      <w:r>
        <w:rPr>
          <w:rFonts w:hint="eastAsia" w:ascii="宋体" w:hAnsi="宋体" w:cs="宋体"/>
          <w:bCs/>
          <w:color w:val="auto"/>
          <w:sz w:val="32"/>
          <w:szCs w:val="32"/>
          <w:lang w:val="en-US" w:eastAsia="zh-CN"/>
        </w:rPr>
        <w:t>七</w:t>
      </w:r>
      <w:r>
        <w:rPr>
          <w:rFonts w:hint="eastAsia" w:ascii="宋体" w:hAnsi="宋体" w:eastAsia="宋体" w:cs="宋体"/>
          <w:bCs/>
          <w:color w:val="auto"/>
          <w:sz w:val="32"/>
          <w:szCs w:val="32"/>
        </w:rPr>
        <w:t>月</w:t>
      </w:r>
      <w:r>
        <w:rPr>
          <w:rFonts w:hint="eastAsia" w:ascii="宋体" w:hAnsi="宋体" w:cs="宋体"/>
          <w:bCs/>
          <w:color w:val="auto"/>
          <w:sz w:val="32"/>
          <w:szCs w:val="32"/>
          <w:lang w:val="en-US" w:eastAsia="zh-CN"/>
        </w:rPr>
        <w:t>二</w:t>
      </w:r>
      <w:r>
        <w:rPr>
          <w:rFonts w:hint="eastAsia" w:ascii="宋体" w:hAnsi="宋体" w:eastAsia="宋体" w:cs="宋体"/>
          <w:bCs/>
          <w:color w:val="auto"/>
          <w:sz w:val="32"/>
          <w:szCs w:val="32"/>
        </w:rPr>
        <w:t>日</w:t>
      </w:r>
    </w:p>
    <w:p w14:paraId="1C7A37E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br w:type="page"/>
      </w:r>
      <w:bookmarkStart w:id="0" w:name="_Hlt67893495"/>
      <w:bookmarkEnd w:id="0"/>
    </w:p>
    <w:p w14:paraId="07A16D44">
      <w:pPr>
        <w:spacing w:line="360" w:lineRule="auto"/>
        <w:jc w:val="center"/>
        <w:rPr>
          <w:rFonts w:hint="eastAsia" w:ascii="宋体" w:hAnsi="宋体" w:eastAsia="宋体" w:cs="宋体"/>
          <w:color w:val="auto"/>
          <w:sz w:val="24"/>
        </w:rPr>
      </w:pPr>
    </w:p>
    <w:p w14:paraId="659C3797">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2D7F5442">
      <w:pPr>
        <w:spacing w:line="360" w:lineRule="auto"/>
        <w:rPr>
          <w:rFonts w:hint="eastAsia" w:ascii="宋体" w:hAnsi="宋体" w:eastAsia="宋体" w:cs="宋体"/>
          <w:color w:val="auto"/>
          <w:sz w:val="32"/>
          <w:szCs w:val="32"/>
        </w:rPr>
      </w:pPr>
    </w:p>
    <w:p w14:paraId="4458FA5A">
      <w:pPr>
        <w:spacing w:line="360" w:lineRule="auto"/>
        <w:rPr>
          <w:rFonts w:hint="eastAsia" w:ascii="宋体" w:hAnsi="宋体" w:eastAsia="宋体" w:cs="宋体"/>
          <w:color w:val="auto"/>
          <w:sz w:val="32"/>
          <w:szCs w:val="32"/>
        </w:rPr>
      </w:pPr>
    </w:p>
    <w:p w14:paraId="0CB13329">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14:paraId="3A376EB5">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14:paraId="7CCB743B">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14:paraId="2524B7CF">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14:paraId="17F4021E">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14:paraId="0E8A54DB">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14:paraId="0C2C261F">
      <w:pPr>
        <w:spacing w:line="360" w:lineRule="auto"/>
        <w:ind w:firstLine="549" w:firstLineChars="229"/>
        <w:rPr>
          <w:rFonts w:hint="eastAsia" w:ascii="宋体" w:hAnsi="宋体" w:eastAsia="宋体" w:cs="宋体"/>
          <w:color w:val="auto"/>
          <w:sz w:val="24"/>
        </w:rPr>
      </w:pPr>
      <w:bookmarkStart w:id="1" w:name="_Hlt91233176"/>
      <w:bookmarkEnd w:id="1"/>
      <w:bookmarkStart w:id="2" w:name="_Toc91899869"/>
    </w:p>
    <w:p w14:paraId="14387F62">
      <w:pPr>
        <w:spacing w:line="360" w:lineRule="auto"/>
        <w:ind w:firstLine="549" w:firstLineChars="229"/>
        <w:rPr>
          <w:rFonts w:hint="eastAsia" w:ascii="宋体" w:hAnsi="宋体" w:eastAsia="宋体" w:cs="宋体"/>
          <w:color w:val="auto"/>
          <w:sz w:val="24"/>
        </w:rPr>
      </w:pPr>
    </w:p>
    <w:p w14:paraId="314D64A2">
      <w:pPr>
        <w:spacing w:line="360" w:lineRule="auto"/>
        <w:ind w:firstLine="549" w:firstLineChars="229"/>
        <w:rPr>
          <w:rFonts w:hint="eastAsia" w:ascii="宋体" w:hAnsi="宋体" w:eastAsia="宋体" w:cs="宋体"/>
          <w:color w:val="auto"/>
          <w:sz w:val="24"/>
        </w:rPr>
      </w:pPr>
    </w:p>
    <w:p w14:paraId="666147ED">
      <w:pPr>
        <w:spacing w:line="360" w:lineRule="auto"/>
        <w:ind w:firstLine="549" w:firstLineChars="229"/>
        <w:rPr>
          <w:rFonts w:hint="eastAsia" w:ascii="宋体" w:hAnsi="宋体" w:eastAsia="宋体" w:cs="宋体"/>
          <w:color w:val="auto"/>
          <w:sz w:val="24"/>
        </w:rPr>
      </w:pPr>
    </w:p>
    <w:p w14:paraId="704182A0">
      <w:pPr>
        <w:spacing w:line="360" w:lineRule="auto"/>
        <w:ind w:firstLine="549" w:firstLineChars="229"/>
        <w:rPr>
          <w:rFonts w:hint="eastAsia" w:ascii="宋体" w:hAnsi="宋体" w:eastAsia="宋体" w:cs="宋体"/>
          <w:color w:val="auto"/>
          <w:sz w:val="24"/>
        </w:rPr>
      </w:pPr>
    </w:p>
    <w:p w14:paraId="3AD19CA4">
      <w:pPr>
        <w:spacing w:line="360" w:lineRule="auto"/>
        <w:ind w:firstLine="549" w:firstLineChars="229"/>
        <w:rPr>
          <w:rFonts w:hint="eastAsia" w:ascii="宋体" w:hAnsi="宋体" w:eastAsia="宋体" w:cs="宋体"/>
          <w:color w:val="auto"/>
          <w:sz w:val="24"/>
        </w:rPr>
      </w:pPr>
    </w:p>
    <w:p w14:paraId="096DAE1C">
      <w:pPr>
        <w:spacing w:line="360" w:lineRule="auto"/>
        <w:ind w:firstLine="549" w:firstLineChars="229"/>
        <w:rPr>
          <w:rFonts w:hint="eastAsia" w:ascii="宋体" w:hAnsi="宋体" w:eastAsia="宋体" w:cs="宋体"/>
          <w:color w:val="auto"/>
          <w:sz w:val="24"/>
        </w:rPr>
      </w:pPr>
    </w:p>
    <w:p w14:paraId="71A71073">
      <w:pPr>
        <w:spacing w:line="360" w:lineRule="auto"/>
        <w:ind w:firstLine="549" w:firstLineChars="229"/>
        <w:rPr>
          <w:rFonts w:hint="eastAsia" w:ascii="宋体" w:hAnsi="宋体" w:eastAsia="宋体" w:cs="宋体"/>
          <w:color w:val="auto"/>
          <w:sz w:val="24"/>
        </w:rPr>
      </w:pPr>
    </w:p>
    <w:p w14:paraId="6B94EC1C">
      <w:pPr>
        <w:spacing w:line="360" w:lineRule="auto"/>
        <w:ind w:firstLine="549" w:firstLineChars="229"/>
        <w:rPr>
          <w:rFonts w:hint="eastAsia" w:ascii="宋体" w:hAnsi="宋体" w:eastAsia="宋体" w:cs="宋体"/>
          <w:color w:val="auto"/>
          <w:sz w:val="24"/>
        </w:rPr>
      </w:pPr>
    </w:p>
    <w:p w14:paraId="48C7C8EF">
      <w:pPr>
        <w:spacing w:line="360" w:lineRule="auto"/>
        <w:ind w:firstLine="549" w:firstLineChars="229"/>
        <w:rPr>
          <w:rFonts w:hint="eastAsia" w:ascii="宋体" w:hAnsi="宋体" w:eastAsia="宋体" w:cs="宋体"/>
          <w:color w:val="auto"/>
          <w:sz w:val="24"/>
        </w:rPr>
      </w:pPr>
    </w:p>
    <w:p w14:paraId="34528E39">
      <w:pPr>
        <w:spacing w:line="360" w:lineRule="auto"/>
        <w:ind w:firstLine="549" w:firstLineChars="229"/>
        <w:rPr>
          <w:rFonts w:hint="eastAsia" w:ascii="宋体" w:hAnsi="宋体" w:eastAsia="宋体" w:cs="宋体"/>
          <w:color w:val="auto"/>
          <w:sz w:val="24"/>
        </w:rPr>
      </w:pPr>
    </w:p>
    <w:p w14:paraId="0A2171CA">
      <w:pPr>
        <w:spacing w:line="360" w:lineRule="auto"/>
        <w:ind w:firstLine="549" w:firstLineChars="229"/>
        <w:rPr>
          <w:rFonts w:hint="eastAsia" w:ascii="宋体" w:hAnsi="宋体" w:eastAsia="宋体" w:cs="宋体"/>
          <w:color w:val="auto"/>
          <w:sz w:val="24"/>
        </w:rPr>
      </w:pPr>
    </w:p>
    <w:p w14:paraId="42060AA7">
      <w:pPr>
        <w:spacing w:line="360" w:lineRule="auto"/>
        <w:ind w:firstLine="549" w:firstLineChars="229"/>
        <w:rPr>
          <w:rFonts w:hint="eastAsia" w:ascii="宋体" w:hAnsi="宋体" w:eastAsia="宋体" w:cs="宋体"/>
          <w:color w:val="auto"/>
          <w:sz w:val="24"/>
        </w:rPr>
      </w:pPr>
    </w:p>
    <w:p w14:paraId="485A4033">
      <w:pPr>
        <w:spacing w:line="360" w:lineRule="auto"/>
        <w:rPr>
          <w:rFonts w:hint="eastAsia" w:ascii="宋体" w:hAnsi="宋体" w:eastAsia="宋体" w:cs="宋体"/>
          <w:color w:val="auto"/>
          <w:sz w:val="24"/>
        </w:rPr>
      </w:pPr>
    </w:p>
    <w:p w14:paraId="1B33C991">
      <w:pPr>
        <w:adjustRightInd/>
        <w:spacing w:line="360" w:lineRule="auto"/>
        <w:jc w:val="center"/>
        <w:outlineLvl w:val="0"/>
        <w:rPr>
          <w:rFonts w:hint="eastAsia" w:ascii="宋体" w:hAnsi="宋体" w:eastAsia="宋体" w:cs="宋体"/>
          <w:b/>
          <w:color w:val="auto"/>
          <w:sz w:val="36"/>
          <w:szCs w:val="20"/>
        </w:rPr>
      </w:pPr>
      <w:bookmarkStart w:id="3" w:name="第一部分"/>
      <w:r>
        <w:rPr>
          <w:rFonts w:hint="eastAsia" w:ascii="宋体" w:hAnsi="宋体" w:eastAsia="宋体" w:cs="宋体"/>
          <w:b/>
          <w:color w:val="auto"/>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rPr>
        <w:t>第一部分 招标公告</w:t>
      </w:r>
    </w:p>
    <w:p w14:paraId="604DA8B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14:paraId="48D1236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u w:val="single"/>
          <w:lang w:eastAsia="zh-CN"/>
        </w:rPr>
        <w:t xml:space="preserve">建德市大同镇秸秆综合处理中心升级改造-生产车间设备采购 </w:t>
      </w:r>
      <w:r>
        <w:rPr>
          <w:rFonts w:hint="eastAsia" w:ascii="宋体" w:hAnsi="宋体" w:eastAsia="宋体" w:cs="宋体"/>
          <w:color w:val="auto"/>
          <w:sz w:val="24"/>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FF0000"/>
          <w:kern w:val="2"/>
          <w:sz w:val="24"/>
          <w:szCs w:val="24"/>
          <w:highlight w:val="none"/>
        </w:rPr>
        <w:t>202</w:t>
      </w:r>
      <w:r>
        <w:rPr>
          <w:rStyle w:val="76"/>
          <w:rFonts w:hint="eastAsia" w:ascii="宋体" w:hAnsi="宋体" w:cs="宋体"/>
          <w:snapToGrid/>
          <w:color w:val="FF0000"/>
          <w:kern w:val="2"/>
          <w:sz w:val="24"/>
          <w:szCs w:val="24"/>
          <w:highlight w:val="none"/>
          <w:lang w:val="en-US" w:eastAsia="zh-CN"/>
        </w:rPr>
        <w:t>5</w:t>
      </w:r>
      <w:r>
        <w:rPr>
          <w:rStyle w:val="76"/>
          <w:rFonts w:hint="eastAsia" w:ascii="宋体" w:hAnsi="宋体" w:eastAsia="宋体" w:cs="宋体"/>
          <w:snapToGrid/>
          <w:color w:val="FF0000"/>
          <w:kern w:val="2"/>
          <w:sz w:val="24"/>
          <w:szCs w:val="24"/>
          <w:highlight w:val="none"/>
        </w:rPr>
        <w:t>年</w:t>
      </w:r>
      <w:r>
        <w:rPr>
          <w:rStyle w:val="76"/>
          <w:rFonts w:hint="eastAsia" w:ascii="宋体" w:hAnsi="宋体" w:cs="宋体"/>
          <w:snapToGrid/>
          <w:color w:val="FF0000"/>
          <w:kern w:val="2"/>
          <w:sz w:val="24"/>
          <w:szCs w:val="24"/>
          <w:highlight w:val="none"/>
          <w:lang w:val="en-US" w:eastAsia="zh-CN"/>
        </w:rPr>
        <w:t>7</w:t>
      </w:r>
      <w:r>
        <w:rPr>
          <w:rStyle w:val="76"/>
          <w:rFonts w:hint="eastAsia" w:ascii="宋体" w:hAnsi="宋体" w:eastAsia="宋体" w:cs="宋体"/>
          <w:snapToGrid/>
          <w:color w:val="FF0000"/>
          <w:kern w:val="2"/>
          <w:sz w:val="24"/>
          <w:szCs w:val="24"/>
          <w:highlight w:val="none"/>
        </w:rPr>
        <w:t>月</w:t>
      </w:r>
      <w:r>
        <w:rPr>
          <w:rStyle w:val="76"/>
          <w:rFonts w:hint="eastAsia" w:ascii="宋体" w:hAnsi="宋体" w:cs="宋体"/>
          <w:snapToGrid/>
          <w:color w:val="FF0000"/>
          <w:kern w:val="2"/>
          <w:sz w:val="24"/>
          <w:szCs w:val="24"/>
          <w:highlight w:val="none"/>
          <w:lang w:val="en-US" w:eastAsia="zh-CN"/>
        </w:rPr>
        <w:t>23</w:t>
      </w:r>
      <w:r>
        <w:rPr>
          <w:rStyle w:val="76"/>
          <w:rFonts w:hint="eastAsia" w:ascii="宋体" w:hAnsi="宋体" w:eastAsia="宋体" w:cs="宋体"/>
          <w:snapToGrid/>
          <w:color w:val="FF0000"/>
          <w:kern w:val="2"/>
          <w:sz w:val="24"/>
          <w:szCs w:val="24"/>
          <w:highlight w:val="none"/>
        </w:rPr>
        <w:t>日</w:t>
      </w:r>
      <w:r>
        <w:rPr>
          <w:rStyle w:val="76"/>
          <w:rFonts w:hint="eastAsia" w:ascii="宋体" w:hAnsi="宋体" w:cs="宋体"/>
          <w:snapToGrid/>
          <w:color w:val="FF0000"/>
          <w:kern w:val="2"/>
          <w:sz w:val="24"/>
          <w:szCs w:val="24"/>
          <w:highlight w:val="none"/>
          <w:lang w:val="en-US" w:eastAsia="zh-CN"/>
        </w:rPr>
        <w:t>9</w:t>
      </w:r>
      <w:r>
        <w:rPr>
          <w:rStyle w:val="76"/>
          <w:rFonts w:hint="eastAsia" w:ascii="宋体" w:hAnsi="宋体" w:eastAsia="宋体" w:cs="宋体"/>
          <w:snapToGrid/>
          <w:color w:val="FF0000"/>
          <w:kern w:val="2"/>
          <w:sz w:val="24"/>
          <w:szCs w:val="24"/>
          <w:highlight w:val="none"/>
        </w:rPr>
        <w:t>点</w:t>
      </w:r>
      <w:r>
        <w:rPr>
          <w:rStyle w:val="76"/>
          <w:rFonts w:hint="eastAsia" w:ascii="宋体" w:hAnsi="宋体" w:cs="宋体"/>
          <w:snapToGrid/>
          <w:color w:val="FF0000"/>
          <w:kern w:val="2"/>
          <w:sz w:val="24"/>
          <w:szCs w:val="24"/>
          <w:highlight w:val="none"/>
          <w:lang w:val="en-US" w:eastAsia="zh-CN"/>
        </w:rPr>
        <w:t>30</w:t>
      </w:r>
      <w:r>
        <w:rPr>
          <w:rStyle w:val="76"/>
          <w:rFonts w:hint="eastAsia" w:ascii="宋体" w:hAnsi="宋体" w:eastAsia="宋体" w:cs="宋体"/>
          <w:snapToGrid/>
          <w:color w:val="FF0000"/>
          <w:kern w:val="2"/>
          <w:sz w:val="24"/>
          <w:szCs w:val="24"/>
          <w:highlight w:val="none"/>
        </w:rPr>
        <w:t>分</w:t>
      </w:r>
      <w:r>
        <w:rPr>
          <w:rStyle w:val="76"/>
          <w:rFonts w:hint="eastAsia" w:ascii="宋体" w:hAnsi="宋体" w:eastAsia="宋体" w:cs="宋体"/>
          <w:bCs/>
          <w:snapToGrid/>
          <w:color w:val="FF0000"/>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3AAAE6A">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一、项目基本情况                                            </w:t>
      </w:r>
    </w:p>
    <w:p w14:paraId="626C566C">
      <w:pPr>
        <w:spacing w:line="360" w:lineRule="auto"/>
        <w:rPr>
          <w:rFonts w:hint="default" w:ascii="宋体" w:hAnsi="宋体" w:eastAsia="宋体" w:cs="宋体"/>
          <w:color w:val="auto"/>
          <w:sz w:val="24"/>
          <w:lang w:val="en-US" w:eastAsia="zh-CN"/>
        </w:rPr>
      </w:pPr>
      <w:r>
        <w:rPr>
          <w:rFonts w:hint="eastAsia" w:ascii="宋体" w:hAnsi="宋体" w:eastAsia="宋体" w:cs="宋体"/>
          <w:b/>
          <w:color w:val="auto"/>
          <w:sz w:val="24"/>
        </w:rPr>
        <w:t xml:space="preserve">    项目编号：</w:t>
      </w:r>
      <w:r>
        <w:rPr>
          <w:rFonts w:hint="eastAsia" w:ascii="宋体" w:hAnsi="宋体" w:cs="宋体"/>
          <w:color w:val="auto"/>
          <w:sz w:val="24"/>
          <w:lang w:eastAsia="zh-CN"/>
        </w:rPr>
        <w:t>JD2025BF-061</w:t>
      </w:r>
      <w:r>
        <w:rPr>
          <w:rFonts w:hint="eastAsia" w:ascii="宋体" w:hAnsi="宋体" w:cs="宋体"/>
          <w:color w:val="auto"/>
          <w:sz w:val="24"/>
          <w:lang w:val="en-US" w:eastAsia="zh-CN"/>
        </w:rPr>
        <w:t xml:space="preserve"> </w:t>
      </w:r>
      <w:r>
        <w:rPr>
          <w:rFonts w:hint="eastAsia" w:ascii="宋体" w:hAnsi="宋体" w:cs="宋体"/>
          <w:color w:val="auto"/>
          <w:sz w:val="24"/>
          <w:lang w:eastAsia="zh-CN"/>
        </w:rPr>
        <w:t xml:space="preserve"> </w:t>
      </w:r>
    </w:p>
    <w:p w14:paraId="06A2293A">
      <w:pPr>
        <w:spacing w:line="360" w:lineRule="auto"/>
        <w:ind w:firstLine="482" w:firstLineChars="200"/>
        <w:rPr>
          <w:rFonts w:hint="eastAsia" w:ascii="宋体" w:hAnsi="宋体" w:cs="宋体"/>
          <w:color w:val="auto"/>
          <w:sz w:val="24"/>
          <w:lang w:eastAsia="zh-CN"/>
        </w:rPr>
      </w:pPr>
      <w:r>
        <w:rPr>
          <w:rFonts w:hint="eastAsia" w:ascii="宋体" w:hAnsi="宋体" w:eastAsia="宋体" w:cs="宋体"/>
          <w:b/>
          <w:color w:val="auto"/>
          <w:sz w:val="24"/>
        </w:rPr>
        <w:t>项目名称：</w:t>
      </w:r>
      <w:r>
        <w:rPr>
          <w:rFonts w:hint="eastAsia" w:ascii="宋体" w:hAnsi="宋体" w:cs="宋体"/>
          <w:color w:val="auto"/>
          <w:sz w:val="24"/>
          <w:lang w:eastAsia="zh-CN"/>
        </w:rPr>
        <w:t xml:space="preserve">建德市大同镇秸秆综合处理中心升级改造-生产车间设备采购 </w:t>
      </w:r>
    </w:p>
    <w:p w14:paraId="6143ACC2">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预算金额（元）：</w:t>
      </w:r>
      <w:r>
        <w:rPr>
          <w:rFonts w:hint="eastAsia" w:ascii="宋体" w:hAnsi="宋体" w:eastAsia="宋体" w:cs="宋体"/>
          <w:b w:val="0"/>
          <w:bCs/>
          <w:color w:val="auto"/>
          <w:sz w:val="24"/>
          <w:lang w:val="en-US" w:eastAsia="zh-CN"/>
        </w:rPr>
        <w:t xml:space="preserve">3000000.00  </w:t>
      </w:r>
      <w:r>
        <w:rPr>
          <w:rFonts w:hint="eastAsia" w:ascii="宋体" w:hAnsi="宋体" w:eastAsia="宋体" w:cs="宋体"/>
          <w:b/>
          <w:color w:val="auto"/>
          <w:sz w:val="24"/>
        </w:rPr>
        <w:t xml:space="preserve">  </w:t>
      </w:r>
    </w:p>
    <w:p w14:paraId="5A0051CE">
      <w:pPr>
        <w:spacing w:line="360" w:lineRule="auto"/>
        <w:ind w:firstLine="482" w:firstLineChars="200"/>
        <w:rPr>
          <w:rFonts w:hint="eastAsia" w:ascii="宋体" w:hAnsi="宋体" w:eastAsia="宋体" w:cs="宋体"/>
          <w:b w:val="0"/>
          <w:bCs w:val="0"/>
          <w:color w:val="auto"/>
          <w:sz w:val="24"/>
          <w:lang w:val="en-US" w:eastAsia="zh-CN"/>
        </w:rPr>
      </w:pPr>
      <w:r>
        <w:rPr>
          <w:rFonts w:hint="eastAsia" w:ascii="宋体" w:hAnsi="宋体" w:eastAsia="宋体" w:cs="宋体"/>
          <w:b/>
          <w:color w:val="auto"/>
          <w:sz w:val="24"/>
        </w:rPr>
        <w:t>最高限价（元）：</w:t>
      </w:r>
      <w:r>
        <w:rPr>
          <w:rFonts w:hint="eastAsia" w:ascii="宋体" w:hAnsi="宋体" w:eastAsia="宋体" w:cs="宋体"/>
          <w:b w:val="0"/>
          <w:bCs/>
          <w:color w:val="auto"/>
          <w:sz w:val="24"/>
          <w:lang w:val="en-US" w:eastAsia="zh-CN"/>
        </w:rPr>
        <w:t>3000000.00</w:t>
      </w:r>
      <w:r>
        <w:rPr>
          <w:rFonts w:hint="eastAsia" w:ascii="宋体" w:hAnsi="宋体" w:eastAsia="宋体" w:cs="宋体"/>
          <w:b w:val="0"/>
          <w:bCs/>
          <w:color w:val="auto"/>
          <w:sz w:val="24"/>
        </w:rPr>
        <w:t xml:space="preserve"> </w:t>
      </w:r>
    </w:p>
    <w:p w14:paraId="38CAFCB4">
      <w:pPr>
        <w:spacing w:line="360" w:lineRule="auto"/>
        <w:ind w:firstLine="482" w:firstLineChars="20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ascii="宋体" w:hAnsi="宋体" w:cs="宋体"/>
          <w:color w:val="auto"/>
          <w:sz w:val="24"/>
          <w:lang w:eastAsia="zh-CN"/>
        </w:rPr>
        <w:t>建德市大同镇</w:t>
      </w:r>
      <w:r>
        <w:rPr>
          <w:rFonts w:hint="eastAsia" w:ascii="宋体" w:hAnsi="宋体" w:cs="宋体"/>
          <w:color w:val="auto"/>
          <w:sz w:val="24"/>
          <w:lang w:val="en-US" w:eastAsia="zh-CN"/>
        </w:rPr>
        <w:t>采购</w:t>
      </w:r>
      <w:r>
        <w:rPr>
          <w:rFonts w:hint="eastAsia" w:ascii="宋体" w:hAnsi="宋体" w:cs="宋体"/>
          <w:color w:val="auto"/>
          <w:sz w:val="24"/>
          <w:lang w:eastAsia="zh-CN"/>
        </w:rPr>
        <w:t>秸秆综合处理中心升级改造-生产车间设备</w:t>
      </w:r>
      <w:r>
        <w:rPr>
          <w:rFonts w:hint="eastAsia" w:ascii="宋体" w:hAnsi="宋体" w:eastAsia="宋体" w:cs="宋体"/>
          <w:snapToGrid/>
          <w:color w:val="auto"/>
          <w:kern w:val="2"/>
          <w:sz w:val="24"/>
          <w:szCs w:val="24"/>
          <w:lang w:val="en-US" w:eastAsia="zh-CN"/>
        </w:rPr>
        <w:t>一批</w:t>
      </w:r>
      <w:r>
        <w:rPr>
          <w:rFonts w:hint="eastAsia" w:ascii="宋体" w:hAnsi="宋体" w:eastAsia="宋体" w:cs="宋体"/>
          <w:snapToGrid/>
          <w:color w:val="auto"/>
          <w:kern w:val="2"/>
          <w:sz w:val="24"/>
          <w:szCs w:val="24"/>
        </w:rPr>
        <w:t>，包括本项目设备的设计、制作、供货、包装、装卸运输、安装调试、备品备件、设备辅料、专用工具、保险、培训、税金、检测、验收、辅助工作及售后服务等完成本项目的所有费用</w:t>
      </w:r>
      <w:r>
        <w:rPr>
          <w:rFonts w:hint="eastAsia" w:ascii="宋体" w:hAnsi="宋体" w:eastAsia="宋体" w:cs="宋体"/>
          <w:snapToGrid/>
          <w:color w:val="auto"/>
          <w:kern w:val="2"/>
          <w:sz w:val="24"/>
          <w:szCs w:val="24"/>
          <w:lang w:eastAsia="zh-CN"/>
        </w:rPr>
        <w:t>，</w:t>
      </w:r>
      <w:r>
        <w:rPr>
          <w:rFonts w:hint="eastAsia" w:ascii="宋体" w:hAnsi="宋体" w:eastAsia="宋体" w:cs="宋体"/>
          <w:snapToGrid/>
          <w:color w:val="auto"/>
          <w:kern w:val="2"/>
          <w:sz w:val="24"/>
          <w:szCs w:val="24"/>
        </w:rPr>
        <w:t>具体以招标文件第三部分采购需求为准。</w:t>
      </w:r>
    </w:p>
    <w:p w14:paraId="6EB93A06">
      <w:pPr>
        <w:pStyle w:val="5"/>
        <w:spacing w:line="360" w:lineRule="auto"/>
        <w:ind w:firstLine="480"/>
        <w:rPr>
          <w:rFonts w:hint="eastAsia" w:ascii="宋体" w:hAnsi="宋体" w:eastAsia="宋体" w:cs="宋体"/>
          <w:snapToGrid/>
          <w:color w:val="auto"/>
          <w:kern w:val="2"/>
          <w:sz w:val="24"/>
          <w:szCs w:val="24"/>
          <w:lang w:val="en-US" w:eastAsia="zh-CN" w:bidi="ar-SA"/>
        </w:rPr>
      </w:pPr>
      <w:r>
        <w:rPr>
          <w:rFonts w:hint="eastAsia" w:ascii="宋体" w:hAnsi="宋体" w:eastAsia="宋体" w:cs="宋体"/>
          <w:b/>
          <w:snapToGrid/>
          <w:color w:val="auto"/>
          <w:kern w:val="2"/>
          <w:sz w:val="24"/>
          <w:szCs w:val="24"/>
          <w:lang w:val="en-US" w:eastAsia="zh-CN" w:bidi="ar-SA"/>
        </w:rPr>
        <w:t>合同履约期限：</w:t>
      </w:r>
      <w:r>
        <w:rPr>
          <w:rFonts w:hint="eastAsia" w:ascii="宋体" w:hAnsi="宋体" w:eastAsia="宋体" w:cs="宋体"/>
          <w:snapToGrid/>
          <w:color w:val="auto"/>
          <w:kern w:val="2"/>
          <w:sz w:val="24"/>
          <w:szCs w:val="24"/>
          <w:lang w:val="en-US" w:eastAsia="zh-CN" w:bidi="ar-SA"/>
        </w:rPr>
        <w:t>供应商中标签订合同后，采购人下达设备进场安装通知后80日历天内送达并安装调试完成（安装、调试期：10天，安装完成后，要负责培训业主至其能独立操作，并掌握相关的检修、维护要点）。</w:t>
      </w:r>
    </w:p>
    <w:p w14:paraId="634E9C4D">
      <w:pPr>
        <w:pStyle w:val="5"/>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203545383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b/>
          <w:color w:val="auto"/>
          <w:sz w:val="24"/>
        </w:rPr>
        <w:t>是</w:t>
      </w:r>
      <w:r>
        <w:rPr>
          <w:rFonts w:hint="eastAsia" w:ascii="宋体" w:hAnsi="宋体" w:eastAsia="宋体" w:cs="宋体"/>
          <w:b/>
          <w:snapToGrid/>
          <w:color w:val="auto"/>
          <w:kern w:val="2"/>
          <w:sz w:val="24"/>
        </w:rPr>
        <w:t>；</w:t>
      </w:r>
      <w:sdt>
        <w:sdtPr>
          <w:rPr>
            <w:rFonts w:hint="eastAsia" w:ascii="宋体" w:hAnsi="宋体" w:eastAsia="宋体" w:cs="宋体"/>
            <w:color w:val="auto"/>
            <w:kern w:val="0"/>
            <w:sz w:val="24"/>
          </w:rPr>
          <w:id w:val="-176552672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14:paraId="027507C8">
      <w:pPr>
        <w:spacing w:line="360" w:lineRule="auto"/>
        <w:rPr>
          <w:rFonts w:hint="eastAsia" w:ascii="宋体" w:hAnsi="宋体" w:eastAsia="宋体" w:cs="宋体"/>
          <w:b/>
          <w:color w:val="auto"/>
          <w:sz w:val="24"/>
        </w:rPr>
      </w:pPr>
      <w:r>
        <w:rPr>
          <w:rFonts w:hint="eastAsia" w:ascii="宋体" w:hAnsi="宋体" w:eastAsia="宋体" w:cs="宋体"/>
          <w:b/>
          <w:color w:val="auto"/>
          <w:sz w:val="24"/>
        </w:rPr>
        <w:t>二、</w:t>
      </w:r>
      <w:bookmarkStart w:id="11" w:name="_Hlk101132948"/>
      <w:r>
        <w:rPr>
          <w:rFonts w:hint="eastAsia" w:ascii="宋体" w:hAnsi="宋体" w:eastAsia="宋体" w:cs="宋体"/>
          <w:b/>
          <w:color w:val="auto"/>
          <w:sz w:val="24"/>
        </w:rPr>
        <w:t>申请人的资格要求</w:t>
      </w:r>
      <w:bookmarkEnd w:id="11"/>
      <w:r>
        <w:rPr>
          <w:rFonts w:hint="eastAsia" w:ascii="宋体" w:hAnsi="宋体" w:eastAsia="宋体" w:cs="宋体"/>
          <w:b/>
          <w:color w:val="auto"/>
          <w:sz w:val="24"/>
        </w:rPr>
        <w:t>：</w:t>
      </w:r>
    </w:p>
    <w:p w14:paraId="35B35D5A">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24B3EFE4">
      <w:pPr>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    2.以联合体形式投标的，提供联合协议(本项目不接受联合体投标或者投标人不以联合体形式投标的，则不需要提供) ；</w:t>
      </w:r>
    </w:p>
    <w:p w14:paraId="0DDC7AD7">
      <w:pPr>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14:paraId="6CBB97E2">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28616923"/>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r>
        <w:rPr>
          <w:rFonts w:hint="eastAsia" w:ascii="宋体" w:hAnsi="宋体" w:eastAsia="宋体" w:cs="宋体"/>
          <w:color w:val="auto"/>
          <w:sz w:val="24"/>
        </w:rPr>
        <w:t>；</w:t>
      </w:r>
    </w:p>
    <w:p w14:paraId="5D314A2C">
      <w:pPr>
        <w:tabs>
          <w:tab w:val="left" w:pos="3769"/>
        </w:tabs>
        <w:spacing w:line="360" w:lineRule="auto"/>
        <w:ind w:firstLine="480" w:firstLineChars="200"/>
        <w:rPr>
          <w:rFonts w:hint="eastAsia" w:ascii="宋体" w:hAnsi="宋体" w:eastAsia="宋体" w:cs="宋体"/>
          <w:color w:val="auto"/>
          <w:sz w:val="24"/>
          <w:lang w:eastAsia="zh-CN"/>
        </w:rPr>
      </w:pPr>
      <w:sdt>
        <w:sdtPr>
          <w:rPr>
            <w:rFonts w:hint="eastAsia" w:ascii="宋体" w:hAnsi="宋体" w:eastAsia="宋体" w:cs="宋体"/>
            <w:color w:val="auto"/>
            <w:kern w:val="0"/>
            <w:sz w:val="24"/>
          </w:rPr>
          <w:id w:val="14747440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
            <w:sdtPr>
              <w:rPr>
                <w:rFonts w:hint="eastAsia" w:ascii="宋体" w:hAnsi="宋体" w:eastAsia="宋体" w:cs="宋体"/>
                <w:color w:val="auto"/>
                <w:kern w:val="0"/>
                <w:sz w:val="24"/>
              </w:rPr>
              <w:id w:val="-1024704304"/>
            </w:sdtPr>
            <w:sdtEndPr>
              <w:rPr>
                <w:rFonts w:hint="eastAsia" w:ascii="宋体" w:hAnsi="宋体" w:eastAsia="宋体" w:cs="宋体"/>
                <w:color w:val="auto"/>
                <w:kern w:val="0"/>
                <w:sz w:val="24"/>
              </w:rPr>
            </w:sdtEndPr>
            <w:sdtContent>
              <w:r>
                <w:rPr>
                  <w:rFonts w:hint="eastAsia" w:ascii="宋体" w:hAnsi="宋体" w:eastAsia="宋体" w:cs="宋体"/>
                  <w:snapToGrid w:val="0"/>
                  <w:color w:val="auto"/>
                  <w:kern w:val="0"/>
                  <w:sz w:val="24"/>
                  <w:szCs w:val="20"/>
                </w:rPr>
                <w:sym w:font="Wingdings 2" w:char="0052"/>
              </w:r>
            </w:sdtContent>
          </w:sdt>
        </w:sdtContent>
      </w:sdt>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r>
        <w:rPr>
          <w:rFonts w:hint="eastAsia" w:ascii="宋体" w:hAnsi="宋体" w:eastAsia="宋体" w:cs="宋体"/>
          <w:color w:val="auto"/>
          <w:sz w:val="24"/>
          <w:lang w:eastAsia="zh-CN"/>
        </w:rPr>
        <w:tab/>
      </w:r>
    </w:p>
    <w:p w14:paraId="53BD0030">
      <w:pPr>
        <w:spacing w:line="360" w:lineRule="auto"/>
        <w:ind w:firstLine="897" w:firstLineChars="374"/>
        <w:rPr>
          <w:rFonts w:hint="eastAsia" w:ascii="宋体" w:hAnsi="宋体" w:eastAsia="宋体" w:cs="宋体"/>
          <w:color w:val="auto"/>
          <w:sz w:val="24"/>
          <w:u w:val="single"/>
        </w:rPr>
      </w:pPr>
      <w:sdt>
        <w:sdtPr>
          <w:rPr>
            <w:rFonts w:hint="eastAsia" w:ascii="宋体" w:hAnsi="宋体" w:eastAsia="宋体" w:cs="宋体"/>
            <w:color w:val="auto"/>
            <w:kern w:val="0"/>
            <w:sz w:val="24"/>
          </w:rPr>
          <w:id w:val="-924730588"/>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82842570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sz w:val="24"/>
        </w:rPr>
        <w:t>货物全部由符合政策要求的中小企业制造，提供中小企业声明函；</w:t>
      </w:r>
    </w:p>
    <w:p w14:paraId="33C9F2B5">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115260493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货物全部由符合政策要求的小微企业制造，提供中小企业声明函；</w:t>
      </w:r>
    </w:p>
    <w:p w14:paraId="45B50A0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397033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73BDBE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4.本项目的特定资格要求：无；</w:t>
      </w:r>
    </w:p>
    <w:p w14:paraId="21FA4E6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79F8BA">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14:paraId="542C7D0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rPr>
        <w:t>时间：</w:t>
      </w:r>
      <w:r>
        <w:rPr>
          <w:rFonts w:hint="eastAsia" w:ascii="宋体" w:hAnsi="宋体" w:eastAsia="宋体" w:cs="宋体"/>
          <w:color w:val="auto"/>
          <w:sz w:val="24"/>
        </w:rPr>
        <w:t>/至</w:t>
      </w:r>
      <w:r>
        <w:rPr>
          <w:rFonts w:hint="eastAsia" w:ascii="宋体" w:hAnsi="宋体" w:eastAsia="宋体" w:cs="宋体"/>
          <w:color w:val="FF0000"/>
          <w:sz w:val="24"/>
          <w:highlight w:val="none"/>
          <w:u w:val="single"/>
        </w:rPr>
        <w:t>202</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eastAsia="宋体" w:cs="宋体"/>
          <w:color w:val="FF0000"/>
          <w:sz w:val="24"/>
          <w:highlight w:val="none"/>
          <w:u w:val="single"/>
        </w:rPr>
        <w:t>月</w:t>
      </w:r>
      <w:r>
        <w:rPr>
          <w:rFonts w:hint="eastAsia" w:ascii="宋体" w:hAnsi="宋体" w:cs="宋体"/>
          <w:color w:val="FF0000"/>
          <w:sz w:val="24"/>
          <w:highlight w:val="none"/>
          <w:u w:val="single"/>
          <w:lang w:val="en-US" w:eastAsia="zh-CN"/>
        </w:rPr>
        <w:t>23</w:t>
      </w:r>
      <w:r>
        <w:rPr>
          <w:rFonts w:hint="eastAsia" w:ascii="宋体" w:hAnsi="宋体" w:eastAsia="宋体" w:cs="宋体"/>
          <w:color w:val="FF0000"/>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329737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B0C999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7AB64FB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929E10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1B0564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FF0000"/>
          <w:sz w:val="24"/>
          <w:highlight w:val="none"/>
          <w:u w:val="single"/>
        </w:rPr>
        <w:t>202</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eastAsia="宋体" w:cs="宋体"/>
          <w:color w:val="FF0000"/>
          <w:sz w:val="24"/>
          <w:highlight w:val="none"/>
          <w:u w:val="single"/>
        </w:rPr>
        <w:t>月</w:t>
      </w:r>
      <w:r>
        <w:rPr>
          <w:rFonts w:hint="eastAsia" w:ascii="宋体" w:hAnsi="宋体" w:cs="宋体"/>
          <w:color w:val="FF0000"/>
          <w:sz w:val="24"/>
          <w:highlight w:val="none"/>
          <w:u w:val="single"/>
          <w:lang w:val="en-US" w:eastAsia="zh-CN"/>
        </w:rPr>
        <w:t>23</w:t>
      </w:r>
      <w:r>
        <w:rPr>
          <w:rFonts w:hint="eastAsia" w:ascii="宋体" w:hAnsi="宋体" w:eastAsia="宋体" w:cs="宋体"/>
          <w:color w:val="FF0000"/>
          <w:sz w:val="24"/>
          <w:highlight w:val="none"/>
          <w:u w:val="single"/>
        </w:rPr>
        <w:t>日</w:t>
      </w:r>
      <w:r>
        <w:rPr>
          <w:rFonts w:hint="eastAsia" w:ascii="宋体" w:hAnsi="宋体" w:cs="宋体"/>
          <w:color w:val="FF0000"/>
          <w:sz w:val="24"/>
          <w:highlight w:val="none"/>
          <w:u w:val="single"/>
          <w:lang w:val="en-US" w:eastAsia="zh-CN"/>
        </w:rPr>
        <w:t>9</w:t>
      </w:r>
      <w:r>
        <w:rPr>
          <w:rFonts w:hint="eastAsia" w:ascii="宋体" w:hAnsi="宋体" w:eastAsia="宋体" w:cs="宋体"/>
          <w:color w:val="FF0000"/>
          <w:sz w:val="24"/>
          <w:highlight w:val="none"/>
          <w:u w:val="single"/>
        </w:rPr>
        <w:t>点</w:t>
      </w:r>
      <w:r>
        <w:rPr>
          <w:rFonts w:hint="eastAsia" w:ascii="宋体" w:hAnsi="宋体" w:cs="宋体"/>
          <w:color w:val="FF0000"/>
          <w:sz w:val="24"/>
          <w:highlight w:val="none"/>
          <w:u w:val="single"/>
          <w:lang w:val="en-US" w:eastAsia="zh-CN"/>
        </w:rPr>
        <w:t>30</w:t>
      </w:r>
      <w:r>
        <w:rPr>
          <w:rFonts w:hint="eastAsia" w:ascii="宋体" w:hAnsi="宋体" w:eastAsia="宋体" w:cs="宋体"/>
          <w:color w:val="FF0000"/>
          <w:sz w:val="24"/>
          <w:highlight w:val="none"/>
          <w:u w:val="single"/>
        </w:rPr>
        <w:t>分00秒</w:t>
      </w:r>
      <w:r>
        <w:rPr>
          <w:rFonts w:hint="eastAsia" w:ascii="宋体" w:hAnsi="宋体" w:eastAsia="宋体" w:cs="宋体"/>
          <w:color w:val="auto"/>
          <w:sz w:val="24"/>
          <w:highlight w:val="none"/>
        </w:rPr>
        <w:t>（北京时间）</w:t>
      </w:r>
    </w:p>
    <w:p w14:paraId="126DFA43">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08D95338">
      <w:pPr>
        <w:spacing w:line="360" w:lineRule="auto"/>
        <w:ind w:firstLine="482" w:firstLineChars="200"/>
        <w:rPr>
          <w:rFonts w:hint="eastAsia" w:ascii="宋体" w:hAnsi="宋体" w:eastAsia="宋体" w:cs="宋体"/>
          <w:b w:val="0"/>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b w:val="0"/>
          <w:bCs/>
          <w:color w:val="FF0000"/>
          <w:sz w:val="24"/>
          <w:highlight w:val="none"/>
          <w:u w:val="single"/>
        </w:rPr>
        <w:t>202</w:t>
      </w:r>
      <w:r>
        <w:rPr>
          <w:rFonts w:hint="eastAsia" w:ascii="宋体" w:hAnsi="宋体" w:cs="宋体"/>
          <w:b w:val="0"/>
          <w:bCs/>
          <w:color w:val="FF0000"/>
          <w:sz w:val="24"/>
          <w:highlight w:val="none"/>
          <w:u w:val="single"/>
          <w:lang w:val="en-US" w:eastAsia="zh-CN"/>
        </w:rPr>
        <w:t>5</w:t>
      </w:r>
      <w:r>
        <w:rPr>
          <w:rFonts w:hint="eastAsia" w:ascii="宋体" w:hAnsi="宋体" w:eastAsia="宋体" w:cs="宋体"/>
          <w:b w:val="0"/>
          <w:bCs/>
          <w:color w:val="FF0000"/>
          <w:sz w:val="24"/>
          <w:highlight w:val="none"/>
          <w:u w:val="single"/>
        </w:rPr>
        <w:t>年</w:t>
      </w:r>
      <w:r>
        <w:rPr>
          <w:rFonts w:hint="eastAsia" w:ascii="宋体" w:hAnsi="宋体" w:cs="宋体"/>
          <w:b w:val="0"/>
          <w:bCs/>
          <w:color w:val="FF0000"/>
          <w:sz w:val="24"/>
          <w:highlight w:val="none"/>
          <w:u w:val="single"/>
          <w:lang w:val="en-US" w:eastAsia="zh-CN"/>
        </w:rPr>
        <w:t>7</w:t>
      </w:r>
      <w:r>
        <w:rPr>
          <w:rFonts w:hint="eastAsia" w:ascii="宋体" w:hAnsi="宋体" w:eastAsia="宋体" w:cs="宋体"/>
          <w:b w:val="0"/>
          <w:bCs/>
          <w:color w:val="FF0000"/>
          <w:sz w:val="24"/>
          <w:highlight w:val="none"/>
          <w:u w:val="single"/>
        </w:rPr>
        <w:t>月</w:t>
      </w:r>
      <w:r>
        <w:rPr>
          <w:rFonts w:hint="eastAsia" w:ascii="宋体" w:hAnsi="宋体" w:cs="宋体"/>
          <w:b w:val="0"/>
          <w:bCs/>
          <w:color w:val="FF0000"/>
          <w:sz w:val="24"/>
          <w:highlight w:val="none"/>
          <w:u w:val="single"/>
          <w:lang w:val="en-US" w:eastAsia="zh-CN"/>
        </w:rPr>
        <w:t>23</w:t>
      </w:r>
      <w:r>
        <w:rPr>
          <w:rFonts w:hint="eastAsia" w:ascii="宋体" w:hAnsi="宋体" w:eastAsia="宋体" w:cs="宋体"/>
          <w:b w:val="0"/>
          <w:bCs/>
          <w:color w:val="FF0000"/>
          <w:sz w:val="24"/>
          <w:highlight w:val="none"/>
          <w:u w:val="single"/>
        </w:rPr>
        <w:t>日9点</w:t>
      </w:r>
      <w:r>
        <w:rPr>
          <w:rFonts w:hint="eastAsia" w:ascii="宋体" w:hAnsi="宋体" w:cs="宋体"/>
          <w:b w:val="0"/>
          <w:bCs/>
          <w:color w:val="FF0000"/>
          <w:sz w:val="24"/>
          <w:highlight w:val="none"/>
          <w:u w:val="single"/>
          <w:lang w:val="en-US" w:eastAsia="zh-CN"/>
        </w:rPr>
        <w:t>3</w:t>
      </w:r>
      <w:r>
        <w:rPr>
          <w:rFonts w:hint="eastAsia" w:ascii="宋体" w:hAnsi="宋体" w:eastAsia="宋体" w:cs="宋体"/>
          <w:b w:val="0"/>
          <w:bCs/>
          <w:color w:val="FF0000"/>
          <w:sz w:val="24"/>
          <w:highlight w:val="none"/>
          <w:u w:val="single"/>
        </w:rPr>
        <w:t>0分</w:t>
      </w:r>
      <w:r>
        <w:rPr>
          <w:rFonts w:hint="eastAsia" w:ascii="宋体" w:hAnsi="宋体" w:eastAsia="宋体" w:cs="宋体"/>
          <w:color w:val="FF0000"/>
          <w:sz w:val="24"/>
          <w:highlight w:val="none"/>
          <w:u w:val="single"/>
        </w:rPr>
        <w:t>00秒</w:t>
      </w:r>
    </w:p>
    <w:p w14:paraId="3F0DE0D7">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w:t>
      </w:r>
    </w:p>
    <w:p w14:paraId="4CABFFA2">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p>
    <w:p w14:paraId="1BBEA38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14:paraId="7B14ACF9">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14:paraId="278041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《关于进一步加大政府采购支持中小企业力度的通知》（财库〔2022〕19号）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eastAsia="宋体" w:cs="宋体"/>
          <w:color w:val="auto"/>
          <w:sz w:val="24"/>
        </w:rPr>
        <w:t>。</w:t>
      </w:r>
    </w:p>
    <w:p w14:paraId="5024D41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FD4E1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0315F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4.其他事项：</w:t>
      </w:r>
      <w:r>
        <w:rPr>
          <w:rFonts w:hint="eastAsia" w:ascii="宋体" w:hAnsi="宋体" w:cs="宋体"/>
          <w:color w:val="auto"/>
          <w:sz w:val="24"/>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55CCAD2">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14:paraId="2CCB1FC9">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b/>
          <w:bCs/>
          <w:color w:val="auto"/>
          <w:sz w:val="24"/>
          <w:lang w:val="en-US" w:eastAsia="zh-CN"/>
        </w:rPr>
        <w:t>1.采购人信息</w:t>
      </w:r>
      <w:r>
        <w:rPr>
          <w:rFonts w:hint="eastAsia" w:ascii="宋体" w:hAnsi="宋体" w:eastAsia="宋体" w:cs="宋体"/>
          <w:color w:val="auto"/>
          <w:sz w:val="24"/>
          <w:lang w:val="en-US" w:eastAsia="zh-CN"/>
        </w:rPr>
        <w:t>           </w:t>
      </w:r>
    </w:p>
    <w:p w14:paraId="2D3DA8F6">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w:t>
      </w:r>
      <w:r>
        <w:rPr>
          <w:rFonts w:hint="eastAsia" w:ascii="宋体" w:hAnsi="宋体" w:cs="宋体"/>
          <w:color w:val="auto"/>
          <w:sz w:val="24"/>
          <w:highlight w:val="none"/>
          <w:lang w:val="en-US" w:eastAsia="zh-CN"/>
        </w:rPr>
        <w:t>建德市大同镇人民政府</w:t>
      </w:r>
      <w:r>
        <w:rPr>
          <w:rFonts w:hint="eastAsia" w:ascii="宋体" w:hAnsi="宋体" w:eastAsia="宋体" w:cs="宋体"/>
          <w:color w:val="auto"/>
          <w:sz w:val="24"/>
          <w:highlight w:val="none"/>
          <w:lang w:val="en-US" w:eastAsia="zh-CN"/>
        </w:rPr>
        <w:t>              </w:t>
      </w:r>
    </w:p>
    <w:p w14:paraId="4856BAA5">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w:t>
      </w:r>
      <w:r>
        <w:rPr>
          <w:rFonts w:hint="eastAsia" w:ascii="宋体" w:hAnsi="宋体" w:cs="宋体"/>
          <w:color w:val="auto"/>
          <w:sz w:val="24"/>
          <w:highlight w:val="none"/>
          <w:lang w:val="en-US" w:eastAsia="zh-CN"/>
        </w:rPr>
        <w:t>建德市大同镇</w:t>
      </w:r>
      <w:r>
        <w:rPr>
          <w:rFonts w:hint="eastAsia" w:ascii="宋体" w:hAnsi="宋体" w:eastAsia="宋体" w:cs="宋体"/>
          <w:color w:val="auto"/>
          <w:sz w:val="24"/>
          <w:highlight w:val="none"/>
          <w:lang w:val="en-US" w:eastAsia="zh-CN"/>
        </w:rPr>
        <w:t>          </w:t>
      </w:r>
    </w:p>
    <w:p w14:paraId="2BA2181C">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             </w:t>
      </w:r>
    </w:p>
    <w:p w14:paraId="1CEF6F15">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项目联系人（询问）：陈易伦       </w:t>
      </w:r>
    </w:p>
    <w:p w14:paraId="28A5E7D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项目联系方式（询问）：18069836203       </w:t>
      </w:r>
    </w:p>
    <w:p w14:paraId="73A2C59E">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质疑联系人：</w:t>
      </w:r>
      <w:r>
        <w:rPr>
          <w:rFonts w:hint="eastAsia" w:ascii="宋体" w:hAnsi="宋体" w:cs="宋体"/>
          <w:color w:val="auto"/>
          <w:sz w:val="24"/>
          <w:highlight w:val="none"/>
          <w:lang w:val="en-US" w:eastAsia="zh-CN"/>
        </w:rPr>
        <w:t>罗平</w:t>
      </w:r>
      <w:r>
        <w:rPr>
          <w:rFonts w:hint="eastAsia" w:ascii="宋体" w:hAnsi="宋体" w:eastAsia="宋体" w:cs="宋体"/>
          <w:color w:val="auto"/>
          <w:sz w:val="24"/>
          <w:highlight w:val="none"/>
          <w:lang w:val="en-US" w:eastAsia="zh-CN"/>
        </w:rPr>
        <w:t>           </w:t>
      </w:r>
    </w:p>
    <w:p w14:paraId="75D4312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w:t>
      </w:r>
      <w:r>
        <w:rPr>
          <w:rFonts w:hint="eastAsia" w:ascii="宋体" w:hAnsi="宋体" w:cs="宋体"/>
          <w:color w:val="auto"/>
          <w:sz w:val="24"/>
          <w:highlight w:val="none"/>
          <w:lang w:val="en-US" w:eastAsia="zh-CN"/>
        </w:rPr>
        <w:t>：18158140183</w:t>
      </w:r>
    </w:p>
    <w:p w14:paraId="0B16ADF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rPr>
        <w:t xml:space="preserve">2.采购代理机构信息 </w:t>
      </w:r>
      <w:r>
        <w:rPr>
          <w:rFonts w:hint="eastAsia" w:ascii="宋体" w:hAnsi="宋体" w:eastAsia="宋体" w:cs="宋体"/>
          <w:color w:val="auto"/>
          <w:sz w:val="24"/>
        </w:rPr>
        <w:t xml:space="preserve">           </w:t>
      </w:r>
    </w:p>
    <w:p w14:paraId="42CE8A0E">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名    称：</w:t>
      </w:r>
      <w:r>
        <w:rPr>
          <w:rFonts w:hint="eastAsia" w:ascii="宋体" w:hAnsi="宋体" w:cs="宋体"/>
          <w:color w:val="auto"/>
          <w:sz w:val="24"/>
          <w:lang w:val="en-US" w:eastAsia="zh-CN"/>
        </w:rPr>
        <w:t>耀华建设管理有限公司</w:t>
      </w:r>
    </w:p>
    <w:p w14:paraId="5C952A97">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地    址：建德市新安江街道</w:t>
      </w:r>
      <w:r>
        <w:rPr>
          <w:rFonts w:hint="eastAsia" w:ascii="宋体" w:hAnsi="宋体" w:cs="宋体"/>
          <w:color w:val="auto"/>
          <w:sz w:val="24"/>
          <w:lang w:val="en-US" w:eastAsia="zh-CN"/>
        </w:rPr>
        <w:t>财富城B座1501室</w:t>
      </w:r>
    </w:p>
    <w:p w14:paraId="3FE259B4">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传    真：</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 xml:space="preserve">             </w:t>
      </w:r>
    </w:p>
    <w:p w14:paraId="5DAB1AC1">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项目联系人（询问）：</w:t>
      </w:r>
      <w:r>
        <w:rPr>
          <w:rFonts w:hint="eastAsia" w:ascii="宋体" w:hAnsi="宋体" w:cs="宋体"/>
          <w:color w:val="auto"/>
          <w:sz w:val="24"/>
          <w:lang w:val="en-US" w:eastAsia="zh-CN"/>
        </w:rPr>
        <w:t>柴文琪</w:t>
      </w:r>
    </w:p>
    <w:p w14:paraId="4C4ED81E">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项目联系方式（询问）：</w:t>
      </w:r>
      <w:r>
        <w:rPr>
          <w:rFonts w:hint="eastAsia" w:ascii="宋体" w:hAnsi="宋体" w:cs="宋体"/>
          <w:color w:val="auto"/>
          <w:sz w:val="24"/>
          <w:lang w:val="en-US" w:eastAsia="zh-CN"/>
        </w:rPr>
        <w:t>19957823508</w:t>
      </w:r>
    </w:p>
    <w:p w14:paraId="38CA540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质疑联系人：</w:t>
      </w:r>
      <w:r>
        <w:rPr>
          <w:rFonts w:hint="eastAsia" w:ascii="宋体" w:hAnsi="宋体" w:cs="宋体"/>
          <w:color w:val="auto"/>
          <w:sz w:val="24"/>
          <w:lang w:val="en-US" w:eastAsia="zh-CN"/>
        </w:rPr>
        <w:t>王萍</w:t>
      </w:r>
    </w:p>
    <w:p w14:paraId="5FE352E7">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质疑联系方式：</w:t>
      </w:r>
      <w:r>
        <w:rPr>
          <w:rFonts w:hint="eastAsia" w:ascii="宋体" w:hAnsi="宋体" w:cs="宋体"/>
          <w:color w:val="auto"/>
          <w:sz w:val="24"/>
          <w:lang w:val="en-US" w:eastAsia="zh-CN"/>
        </w:rPr>
        <w:t xml:space="preserve">13867460750 </w:t>
      </w:r>
    </w:p>
    <w:p w14:paraId="7FBAFB2F">
      <w:pPr>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rPr>
        <w:t>3.同级政府采购监督管理部门</w:t>
      </w:r>
      <w:r>
        <w:rPr>
          <w:rFonts w:hint="eastAsia" w:ascii="宋体" w:hAnsi="宋体" w:eastAsia="宋体" w:cs="宋体"/>
          <w:color w:val="auto"/>
          <w:sz w:val="24"/>
        </w:rPr>
        <w:t xml:space="preserve">            </w:t>
      </w:r>
    </w:p>
    <w:p w14:paraId="3B0625A8">
      <w:pPr>
        <w:spacing w:line="360" w:lineRule="auto"/>
        <w:ind w:firstLine="480" w:firstLineChars="200"/>
        <w:rPr>
          <w:rFonts w:hint="eastAsia" w:ascii="宋体" w:hAnsi="宋体" w:cs="宋体"/>
          <w:i w:val="0"/>
          <w:iCs w:val="0"/>
          <w:sz w:val="24"/>
        </w:rPr>
      </w:pPr>
      <w:r>
        <w:rPr>
          <w:rFonts w:hint="eastAsia" w:ascii="宋体" w:hAnsi="宋体" w:cs="宋体"/>
          <w:i w:val="0"/>
          <w:iCs w:val="0"/>
          <w:sz w:val="24"/>
        </w:rPr>
        <w:t>名称：建德市财政局、浙江省政府采购行政裁决服务中心（杭州）</w:t>
      </w:r>
    </w:p>
    <w:p w14:paraId="54589C1E">
      <w:pPr>
        <w:spacing w:line="360" w:lineRule="auto"/>
        <w:rPr>
          <w:rFonts w:hint="eastAsia" w:ascii="宋体" w:hAnsi="宋体" w:cs="宋体"/>
          <w:i w:val="0"/>
          <w:iCs w:val="0"/>
          <w:sz w:val="24"/>
        </w:rPr>
      </w:pPr>
      <w:r>
        <w:rPr>
          <w:rFonts w:hint="eastAsia" w:ascii="宋体" w:hAnsi="宋体" w:cs="宋体"/>
          <w:i w:val="0"/>
          <w:iCs w:val="0"/>
          <w:sz w:val="24"/>
        </w:rPr>
        <w:t xml:space="preserve">    地址：</w:t>
      </w:r>
      <w:r>
        <w:rPr>
          <w:rFonts w:hint="default" w:ascii="宋体" w:hAnsi="宋体" w:cs="宋体"/>
          <w:sz w:val="24"/>
          <w:szCs w:val="24"/>
          <w:lang w:val="en-US" w:eastAsia="zh-CN"/>
        </w:rPr>
        <w:t>杭州市上城区清泰街549号城建综合大楼11楼（快递仅限ems或顺丰）</w:t>
      </w:r>
    </w:p>
    <w:p w14:paraId="65427C54">
      <w:pPr>
        <w:spacing w:line="360" w:lineRule="auto"/>
        <w:rPr>
          <w:rFonts w:hint="eastAsia" w:ascii="宋体" w:hAnsi="宋体" w:cs="宋体"/>
          <w:i w:val="0"/>
          <w:iCs w:val="0"/>
          <w:sz w:val="24"/>
          <w:lang w:val="en-US" w:eastAsia="zh-CN"/>
        </w:rPr>
      </w:pPr>
      <w:r>
        <w:rPr>
          <w:rFonts w:hint="eastAsia" w:ascii="宋体" w:hAnsi="宋体" w:cs="宋体"/>
          <w:i w:val="0"/>
          <w:iCs w:val="0"/>
          <w:sz w:val="24"/>
        </w:rPr>
        <w:t xml:space="preserve">    传真：</w:t>
      </w:r>
      <w:r>
        <w:rPr>
          <w:rFonts w:hint="eastAsia" w:ascii="宋体" w:hAnsi="宋体" w:cs="宋体"/>
          <w:i w:val="0"/>
          <w:iCs w:val="0"/>
          <w:sz w:val="24"/>
          <w:lang w:val="en-US" w:eastAsia="zh-CN"/>
        </w:rPr>
        <w:t>/</w:t>
      </w:r>
    </w:p>
    <w:p w14:paraId="733D3FF6">
      <w:pPr>
        <w:spacing w:line="360" w:lineRule="auto"/>
        <w:rPr>
          <w:rFonts w:hint="eastAsia" w:ascii="宋体" w:hAnsi="宋体" w:cs="宋体"/>
          <w:i w:val="0"/>
          <w:iCs w:val="0"/>
          <w:sz w:val="24"/>
        </w:rPr>
      </w:pPr>
      <w:r>
        <w:rPr>
          <w:rFonts w:hint="eastAsia" w:ascii="宋体" w:hAnsi="宋体" w:cs="宋体"/>
          <w:i w:val="0"/>
          <w:iCs w:val="0"/>
          <w:sz w:val="24"/>
        </w:rPr>
        <w:t xml:space="preserve">    联 系 人：</w:t>
      </w:r>
      <w:r>
        <w:rPr>
          <w:rFonts w:hint="default" w:ascii="宋体" w:hAnsi="宋体" w:cs="宋体"/>
          <w:sz w:val="24"/>
          <w:szCs w:val="24"/>
          <w:lang w:val="en-US" w:eastAsia="zh-CN"/>
        </w:rPr>
        <w:t>朱女士/王女士</w:t>
      </w:r>
    </w:p>
    <w:p w14:paraId="6D467149">
      <w:pPr>
        <w:spacing w:line="360" w:lineRule="auto"/>
        <w:rPr>
          <w:rFonts w:hint="eastAsia" w:ascii="宋体" w:hAnsi="宋体" w:eastAsia="宋体" w:cs="宋体"/>
          <w:color w:val="auto"/>
          <w:sz w:val="24"/>
        </w:rPr>
      </w:pPr>
      <w:r>
        <w:rPr>
          <w:rFonts w:hint="eastAsia" w:ascii="宋体" w:hAnsi="宋体" w:cs="宋体"/>
          <w:i w:val="0"/>
          <w:iCs w:val="0"/>
          <w:sz w:val="24"/>
        </w:rPr>
        <w:t xml:space="preserve">    监督投诉电话：</w:t>
      </w:r>
      <w:r>
        <w:rPr>
          <w:rFonts w:hint="default" w:ascii="宋体" w:hAnsi="宋体" w:cs="宋体"/>
          <w:sz w:val="24"/>
          <w:szCs w:val="24"/>
          <w:lang w:val="en-US" w:eastAsia="zh-CN"/>
        </w:rPr>
        <w:t>0571-87227671,0571-87800218</w:t>
      </w:r>
    </w:p>
    <w:p w14:paraId="0E7DF9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若对项目采购电子交易系统操作有疑问，可登录政采云（https://www.zcygov.cn/），点击右侧咨询小采，获取采小蜜智能服务管家帮助，或拨打政采云服务热线95763获取热线服务帮助。</w:t>
      </w:r>
    </w:p>
    <w:p w14:paraId="2CBDF7D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357BF265">
      <w:pPr>
        <w:pStyle w:val="32"/>
        <w:spacing w:line="360" w:lineRule="auto"/>
        <w:rPr>
          <w:rFonts w:hint="eastAsia" w:ascii="宋体" w:hAnsi="宋体" w:eastAsia="宋体" w:cs="宋体"/>
          <w:b/>
          <w:color w:val="auto"/>
          <w:sz w:val="36"/>
          <w:szCs w:val="20"/>
        </w:rPr>
      </w:pPr>
    </w:p>
    <w:p w14:paraId="58C28740">
      <w:pPr>
        <w:pStyle w:val="3"/>
        <w:rPr>
          <w:rFonts w:hint="eastAsia" w:ascii="宋体" w:hAnsi="宋体" w:eastAsia="宋体" w:cs="宋体"/>
          <w:snapToGrid w:val="0"/>
          <w:color w:val="auto"/>
        </w:rPr>
      </w:pPr>
      <w:r>
        <w:rPr>
          <w:rFonts w:hint="eastAsia" w:ascii="宋体" w:hAnsi="宋体" w:eastAsia="宋体" w:cs="宋体"/>
          <w:color w:val="auto"/>
        </w:rPr>
        <w:br w:type="page"/>
      </w:r>
    </w:p>
    <w:p w14:paraId="5A78C474">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第二部分</w:t>
      </w:r>
      <w:bookmarkEnd w:id="8"/>
      <w:r>
        <w:rPr>
          <w:rFonts w:hint="eastAsia" w:ascii="宋体" w:hAnsi="宋体" w:eastAsia="宋体" w:cs="宋体"/>
          <w:b/>
          <w:color w:val="auto"/>
          <w:sz w:val="36"/>
          <w:szCs w:val="20"/>
        </w:rPr>
        <w:t xml:space="preserve"> 投标人须知</w:t>
      </w:r>
      <w:bookmarkEnd w:id="9"/>
    </w:p>
    <w:p w14:paraId="7BCABD54">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2"/>
        <w:tblW w:w="9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618"/>
        <w:gridCol w:w="7068"/>
      </w:tblGrid>
      <w:tr w14:paraId="6440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 w:hRule="atLeast"/>
          <w:tblHeader/>
        </w:trPr>
        <w:tc>
          <w:tcPr>
            <w:tcW w:w="629" w:type="dxa"/>
          </w:tcPr>
          <w:p w14:paraId="0246888D">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618" w:type="dxa"/>
            <w:vAlign w:val="center"/>
          </w:tcPr>
          <w:p w14:paraId="5695A437">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7068" w:type="dxa"/>
            <w:vAlign w:val="center"/>
          </w:tcPr>
          <w:p w14:paraId="661E4647">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14:paraId="036A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34317F65">
            <w:pPr>
              <w:snapToGrid w:val="0"/>
              <w:spacing w:line="360" w:lineRule="auto"/>
              <w:jc w:val="center"/>
              <w:rPr>
                <w:rFonts w:hint="eastAsia" w:ascii="宋体" w:hAnsi="宋体" w:eastAsia="宋体" w:cs="宋体"/>
                <w:color w:val="auto"/>
                <w:sz w:val="24"/>
              </w:rPr>
            </w:pPr>
          </w:p>
          <w:p w14:paraId="5A5049D8">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618" w:type="dxa"/>
            <w:vAlign w:val="center"/>
          </w:tcPr>
          <w:p w14:paraId="00E9392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7068" w:type="dxa"/>
            <w:vAlign w:val="center"/>
          </w:tcPr>
          <w:p w14:paraId="73A3FBBC">
            <w:pPr>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kern w:val="0"/>
                <w:sz w:val="24"/>
                <w:highlight w:val="none"/>
                <w:u w:val="none"/>
                <w:lang w:eastAsia="zh-CN"/>
              </w:rPr>
              <w:t>：</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sz w:val="24"/>
                <w:highlight w:val="none"/>
                <w:u w:val="single"/>
                <w:lang w:val="en-US" w:eastAsia="zh-CN"/>
              </w:rPr>
              <w:t xml:space="preserve"> </w:t>
            </w:r>
          </w:p>
        </w:tc>
      </w:tr>
      <w:tr w14:paraId="7C18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05" w:hRule="atLeast"/>
          <w:tblHeader/>
        </w:trPr>
        <w:tc>
          <w:tcPr>
            <w:tcW w:w="629" w:type="dxa"/>
            <w:vAlign w:val="center"/>
          </w:tcPr>
          <w:p w14:paraId="7627BF05">
            <w:pPr>
              <w:snapToGrid w:val="0"/>
              <w:spacing w:line="360" w:lineRule="auto"/>
              <w:jc w:val="center"/>
              <w:rPr>
                <w:rFonts w:hint="eastAsia" w:ascii="宋体" w:hAnsi="宋体" w:eastAsia="宋体" w:cs="宋体"/>
                <w:color w:val="auto"/>
                <w:sz w:val="24"/>
                <w:highlight w:val="none"/>
              </w:rPr>
            </w:pPr>
          </w:p>
          <w:p w14:paraId="3436FD5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18" w:type="dxa"/>
            <w:vAlign w:val="center"/>
          </w:tcPr>
          <w:p w14:paraId="3160ADC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7068" w:type="dxa"/>
            <w:vAlign w:val="center"/>
          </w:tcPr>
          <w:p w14:paraId="73EF8CA4">
            <w:pPr>
              <w:rPr>
                <w:rFonts w:hint="eastAsia"/>
                <w:lang w:val="en-US" w:eastAsia="zh-CN"/>
              </w:rPr>
            </w:pPr>
            <w:r>
              <w:rPr>
                <w:rFonts w:hint="eastAsia" w:ascii="宋体" w:hAnsi="宋体" w:cs="宋体"/>
                <w:color w:val="auto"/>
                <w:kern w:val="0"/>
                <w:sz w:val="24"/>
                <w:szCs w:val="24"/>
                <w:highlight w:val="none"/>
              </w:rPr>
              <w:t>（1）</w:t>
            </w:r>
            <w:r>
              <w:rPr>
                <w:rFonts w:hint="eastAsia" w:ascii="宋体" w:hAnsi="宋体" w:eastAsia="宋体" w:cs="宋体"/>
                <w:color w:val="auto"/>
                <w:kern w:val="0"/>
                <w:sz w:val="24"/>
                <w:highlight w:val="none"/>
                <w:lang w:val="en-US"/>
              </w:rPr>
              <w:t>标的：</w:t>
            </w:r>
            <w:r>
              <w:rPr>
                <w:rFonts w:hint="eastAsia" w:ascii="宋体" w:hAnsi="宋体" w:eastAsia="宋体" w:cs="宋体"/>
                <w:b/>
                <w:bCs/>
                <w:color w:val="auto"/>
                <w:kern w:val="0"/>
                <w:sz w:val="24"/>
                <w:szCs w:val="24"/>
                <w:highlight w:val="none"/>
                <w:u w:val="single"/>
                <w:lang w:val="en-US" w:eastAsia="zh-CN"/>
              </w:rPr>
              <w:t>生产车间设备</w:t>
            </w:r>
            <w:r>
              <w:rPr>
                <w:rFonts w:hint="eastAsia" w:ascii="宋体" w:hAnsi="宋体" w:eastAsia="宋体" w:cs="宋体"/>
                <w:color w:val="auto"/>
                <w:kern w:val="0"/>
                <w:sz w:val="24"/>
                <w:highlight w:val="none"/>
                <w:lang w:val="en-US"/>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工业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highlight w:val="none"/>
                <w:lang w:val="en-US"/>
              </w:rPr>
              <w:t>行业；</w:t>
            </w:r>
          </w:p>
        </w:tc>
      </w:tr>
      <w:tr w14:paraId="6BC6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ABAA8DD">
            <w:pPr>
              <w:snapToGrid w:val="0"/>
              <w:spacing w:line="360" w:lineRule="auto"/>
              <w:jc w:val="center"/>
              <w:rPr>
                <w:rFonts w:hint="eastAsia" w:ascii="宋体" w:hAnsi="宋体" w:eastAsia="宋体" w:cs="宋体"/>
                <w:color w:val="auto"/>
                <w:sz w:val="24"/>
              </w:rPr>
            </w:pPr>
          </w:p>
          <w:p w14:paraId="1D3DE4BA">
            <w:pPr>
              <w:snapToGrid w:val="0"/>
              <w:spacing w:line="360" w:lineRule="auto"/>
              <w:jc w:val="center"/>
              <w:rPr>
                <w:rFonts w:hint="eastAsia" w:ascii="宋体" w:hAnsi="宋体" w:eastAsia="宋体" w:cs="宋体"/>
                <w:color w:val="auto"/>
                <w:sz w:val="24"/>
              </w:rPr>
            </w:pPr>
          </w:p>
          <w:p w14:paraId="4DF1E5C0">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618" w:type="dxa"/>
            <w:vAlign w:val="center"/>
          </w:tcPr>
          <w:p w14:paraId="4ED6E648">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7068" w:type="dxa"/>
            <w:vAlign w:val="center"/>
          </w:tcPr>
          <w:p w14:paraId="4E12F754">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4747410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本项目不允许采购进口产品。</w:t>
            </w:r>
          </w:p>
          <w:p w14:paraId="55A28D8E">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4746279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可以就采购进口产品。</w:t>
            </w:r>
          </w:p>
        </w:tc>
      </w:tr>
      <w:tr w14:paraId="536C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37AB635">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618" w:type="dxa"/>
            <w:vAlign w:val="center"/>
          </w:tcPr>
          <w:p w14:paraId="63C28B2D">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分包</w:t>
            </w:r>
          </w:p>
        </w:tc>
        <w:tc>
          <w:tcPr>
            <w:tcW w:w="7068" w:type="dxa"/>
            <w:vAlign w:val="center"/>
          </w:tcPr>
          <w:p w14:paraId="60E5947C">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477286927"/>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27633135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r>
                  <w:rPr>
                    <w:rFonts w:hint="eastAsia" w:ascii="宋体" w:hAnsi="宋体" w:eastAsia="宋体" w:cs="宋体"/>
                    <w:color w:val="auto"/>
                    <w:kern w:val="0"/>
                    <w:sz w:val="24"/>
                  </w:rPr>
                  <w:t xml:space="preserve"> </w:t>
                </w:r>
              </w:sdtContent>
            </w:sdt>
            <w:r>
              <w:rPr>
                <w:rFonts w:hint="eastAsia" w:ascii="宋体" w:hAnsi="宋体" w:eastAsia="宋体" w:cs="宋体"/>
                <w:color w:val="auto"/>
                <w:kern w:val="0"/>
                <w:sz w:val="24"/>
              </w:rPr>
              <w:t>A</w:t>
            </w:r>
            <w:r>
              <w:rPr>
                <w:rFonts w:hint="eastAsia" w:ascii="宋体" w:hAnsi="宋体" w:eastAsia="宋体" w:cs="宋体"/>
                <w:color w:val="auto"/>
                <w:sz w:val="24"/>
              </w:rPr>
              <w:t>同意将非主体、非关键性的</w:t>
            </w:r>
            <w:r>
              <w:rPr>
                <w:rFonts w:hint="eastAsia" w:ascii="宋体" w:hAnsi="宋体" w:eastAsia="宋体" w:cs="宋体"/>
                <w:color w:val="auto"/>
                <w:sz w:val="24"/>
                <w:u w:val="single"/>
                <w:lang w:val="en-US" w:eastAsia="zh-CN"/>
              </w:rPr>
              <w:t xml:space="preserve"> 设备</w:t>
            </w:r>
            <w:r>
              <w:rPr>
                <w:rFonts w:hint="eastAsia" w:ascii="宋体" w:hAnsi="宋体" w:eastAsia="宋体" w:cs="宋体"/>
                <w:color w:val="auto"/>
                <w:sz w:val="24"/>
                <w:highlight w:val="none"/>
                <w:u w:val="single"/>
                <w:lang w:val="en-US" w:eastAsia="zh-CN"/>
              </w:rPr>
              <w:t>运输</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rPr>
              <w:t>工作分包。</w:t>
            </w:r>
          </w:p>
          <w:p w14:paraId="38D8BB23">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47465553"/>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A8"/>
                </w:r>
              </w:sdtContent>
            </w:sdt>
            <w:r>
              <w:rPr>
                <w:rFonts w:hint="eastAsia" w:ascii="宋体" w:hAnsi="宋体" w:eastAsia="宋体" w:cs="宋体"/>
                <w:color w:val="auto"/>
                <w:kern w:val="0"/>
                <w:sz w:val="24"/>
              </w:rPr>
              <w:t xml:space="preserve"> B</w:t>
            </w:r>
            <w:r>
              <w:rPr>
                <w:rFonts w:hint="eastAsia" w:ascii="宋体" w:hAnsi="宋体" w:eastAsia="宋体" w:cs="宋体"/>
                <w:color w:val="auto"/>
                <w:sz w:val="24"/>
              </w:rPr>
              <w:t>不同意分包。</w:t>
            </w:r>
          </w:p>
          <w:p w14:paraId="2152445B">
            <w:pPr>
              <w:spacing w:line="360" w:lineRule="auto"/>
              <w:rPr>
                <w:rFonts w:hint="eastAsia" w:ascii="宋体" w:hAnsi="宋体" w:eastAsia="宋体" w:cs="宋体"/>
                <w:color w:val="auto"/>
                <w:sz w:val="24"/>
              </w:rPr>
            </w:pPr>
            <w:r>
              <w:rPr>
                <w:rFonts w:hint="eastAsia" w:ascii="宋体" w:hAnsi="宋体" w:eastAsia="宋体" w:cs="宋体"/>
                <w:color w:val="auto"/>
                <w:sz w:val="24"/>
              </w:rPr>
              <w:t>注：不得限制大中型企业向小微企业合理分包。</w:t>
            </w:r>
          </w:p>
        </w:tc>
      </w:tr>
      <w:tr w14:paraId="6DF4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2F464819">
            <w:pPr>
              <w:snapToGrid w:val="0"/>
              <w:spacing w:line="360" w:lineRule="auto"/>
              <w:jc w:val="center"/>
              <w:rPr>
                <w:rFonts w:hint="eastAsia" w:ascii="宋体" w:hAnsi="宋体" w:eastAsia="宋体" w:cs="宋体"/>
                <w:color w:val="auto"/>
                <w:sz w:val="24"/>
              </w:rPr>
            </w:pPr>
          </w:p>
          <w:p w14:paraId="67604FF3">
            <w:pPr>
              <w:snapToGrid w:val="0"/>
              <w:spacing w:line="360" w:lineRule="auto"/>
              <w:jc w:val="center"/>
              <w:rPr>
                <w:rFonts w:hint="eastAsia" w:ascii="宋体" w:hAnsi="宋体" w:eastAsia="宋体" w:cs="宋体"/>
                <w:color w:val="auto"/>
                <w:sz w:val="24"/>
              </w:rPr>
            </w:pPr>
          </w:p>
          <w:p w14:paraId="21FA1E01">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618" w:type="dxa"/>
            <w:vAlign w:val="center"/>
          </w:tcPr>
          <w:p w14:paraId="4B0A4E5F">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7068" w:type="dxa"/>
            <w:vAlign w:val="center"/>
          </w:tcPr>
          <w:p w14:paraId="2B4A8CA7">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212966419"/>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56662"/>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r>
                  <w:rPr>
                    <w:rFonts w:hint="eastAsia" w:ascii="宋体" w:hAnsi="宋体" w:eastAsia="宋体" w:cs="宋体"/>
                    <w:color w:val="auto"/>
                    <w:kern w:val="0"/>
                    <w:sz w:val="24"/>
                  </w:rPr>
                  <w:t xml:space="preserve"> </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14:paraId="263E65F9">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999802974"/>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时间：,地点：，联系人：，联系方式：</w:t>
            </w:r>
            <w:r>
              <w:rPr>
                <w:rFonts w:hint="eastAsia" w:ascii="宋体" w:hAnsi="宋体" w:eastAsia="宋体" w:cs="宋体"/>
                <w:color w:val="auto"/>
                <w:sz w:val="24"/>
                <w:szCs w:val="20"/>
              </w:rPr>
              <w:t>。</w:t>
            </w:r>
          </w:p>
        </w:tc>
      </w:tr>
      <w:tr w14:paraId="0C84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0F167C92">
            <w:pPr>
              <w:snapToGrid w:val="0"/>
              <w:spacing w:line="360" w:lineRule="auto"/>
              <w:jc w:val="center"/>
              <w:rPr>
                <w:rFonts w:hint="eastAsia" w:ascii="宋体" w:hAnsi="宋体" w:eastAsia="宋体" w:cs="宋体"/>
                <w:color w:val="auto"/>
                <w:sz w:val="24"/>
              </w:rPr>
            </w:pPr>
          </w:p>
          <w:p w14:paraId="642773C8">
            <w:pPr>
              <w:snapToGrid w:val="0"/>
              <w:spacing w:line="360" w:lineRule="auto"/>
              <w:jc w:val="center"/>
              <w:rPr>
                <w:rFonts w:hint="eastAsia" w:ascii="宋体" w:hAnsi="宋体" w:eastAsia="宋体" w:cs="宋体"/>
                <w:color w:val="auto"/>
                <w:sz w:val="24"/>
              </w:rPr>
            </w:pPr>
          </w:p>
          <w:p w14:paraId="4E84D957">
            <w:pPr>
              <w:snapToGrid w:val="0"/>
              <w:spacing w:line="360" w:lineRule="auto"/>
              <w:jc w:val="center"/>
              <w:rPr>
                <w:rFonts w:hint="eastAsia" w:ascii="宋体" w:hAnsi="宋体" w:eastAsia="宋体" w:cs="宋体"/>
                <w:color w:val="auto"/>
                <w:sz w:val="24"/>
              </w:rPr>
            </w:pPr>
          </w:p>
          <w:p w14:paraId="237DA1AA">
            <w:pPr>
              <w:snapToGrid w:val="0"/>
              <w:spacing w:line="360" w:lineRule="auto"/>
              <w:jc w:val="center"/>
              <w:rPr>
                <w:rFonts w:hint="eastAsia" w:ascii="宋体" w:hAnsi="宋体" w:eastAsia="宋体" w:cs="宋体"/>
                <w:color w:val="auto"/>
                <w:sz w:val="24"/>
              </w:rPr>
            </w:pPr>
          </w:p>
          <w:p w14:paraId="4B4E5E2D">
            <w:pPr>
              <w:snapToGrid w:val="0"/>
              <w:spacing w:line="360" w:lineRule="auto"/>
              <w:jc w:val="center"/>
              <w:rPr>
                <w:rFonts w:hint="eastAsia" w:ascii="宋体" w:hAnsi="宋体" w:eastAsia="宋体" w:cs="宋体"/>
                <w:color w:val="auto"/>
                <w:sz w:val="24"/>
              </w:rPr>
            </w:pPr>
          </w:p>
          <w:p w14:paraId="0C2D05CA">
            <w:pPr>
              <w:snapToGrid w:val="0"/>
              <w:spacing w:line="360" w:lineRule="auto"/>
              <w:jc w:val="center"/>
              <w:rPr>
                <w:rFonts w:hint="eastAsia" w:ascii="宋体" w:hAnsi="宋体" w:eastAsia="宋体" w:cs="宋体"/>
                <w:color w:val="auto"/>
                <w:sz w:val="24"/>
              </w:rPr>
            </w:pPr>
          </w:p>
          <w:p w14:paraId="2A250CC5">
            <w:pPr>
              <w:snapToGrid w:val="0"/>
              <w:spacing w:line="360" w:lineRule="auto"/>
              <w:jc w:val="center"/>
              <w:rPr>
                <w:rFonts w:hint="eastAsia" w:ascii="宋体" w:hAnsi="宋体" w:eastAsia="宋体" w:cs="宋体"/>
                <w:color w:val="auto"/>
                <w:sz w:val="24"/>
              </w:rPr>
            </w:pPr>
          </w:p>
          <w:p w14:paraId="1F17B2B8">
            <w:pPr>
              <w:snapToGrid w:val="0"/>
              <w:spacing w:line="360" w:lineRule="auto"/>
              <w:jc w:val="center"/>
              <w:rPr>
                <w:rFonts w:hint="eastAsia" w:ascii="宋体" w:hAnsi="宋体" w:eastAsia="宋体" w:cs="宋体"/>
                <w:color w:val="auto"/>
                <w:sz w:val="24"/>
              </w:rPr>
            </w:pPr>
          </w:p>
          <w:p w14:paraId="60C7FBC1">
            <w:pPr>
              <w:snapToGrid w:val="0"/>
              <w:spacing w:line="360" w:lineRule="auto"/>
              <w:jc w:val="center"/>
              <w:rPr>
                <w:rFonts w:hint="eastAsia" w:ascii="宋体" w:hAnsi="宋体" w:eastAsia="宋体" w:cs="宋体"/>
                <w:color w:val="auto"/>
                <w:sz w:val="24"/>
              </w:rPr>
            </w:pPr>
          </w:p>
          <w:p w14:paraId="70E2CBFB">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618" w:type="dxa"/>
            <w:vAlign w:val="center"/>
          </w:tcPr>
          <w:p w14:paraId="7ED438C0">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7068" w:type="dxa"/>
            <w:vAlign w:val="center"/>
          </w:tcPr>
          <w:p w14:paraId="01BE78F0">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63994648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
                  <w:sdtPr>
                    <w:rPr>
                      <w:rFonts w:hint="eastAsia" w:ascii="宋体" w:hAnsi="宋体" w:eastAsia="宋体" w:cs="宋体"/>
                      <w:color w:val="auto"/>
                      <w:kern w:val="0"/>
                      <w:sz w:val="24"/>
                    </w:rPr>
                    <w:id w:val="14746444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r>
                  <w:rPr>
                    <w:rFonts w:hint="eastAsia" w:ascii="宋体" w:hAnsi="宋体" w:eastAsia="宋体" w:cs="宋体"/>
                    <w:color w:val="auto"/>
                    <w:kern w:val="0"/>
                    <w:sz w:val="24"/>
                  </w:rPr>
                  <w:t xml:space="preserve"> </w:t>
                </w:r>
              </w:sdtContent>
            </w:sdt>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14:paraId="5632B3D9">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02683198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B要求提供，</w:t>
            </w:r>
          </w:p>
          <w:p w14:paraId="12943CF1">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snapToGrid w:val="0"/>
                <w:color w:val="auto"/>
                <w:kern w:val="28"/>
                <w:sz w:val="24"/>
              </w:rPr>
              <w:t>样品：</w:t>
            </w:r>
            <w:r>
              <w:rPr>
                <w:rFonts w:hint="eastAsia" w:ascii="宋体" w:hAnsi="宋体" w:eastAsia="宋体" w:cs="宋体"/>
                <w:color w:val="auto"/>
                <w:kern w:val="0"/>
                <w:sz w:val="24"/>
              </w:rPr>
              <w:t>；</w:t>
            </w:r>
          </w:p>
          <w:p w14:paraId="1458BB0A">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snapToGrid w:val="0"/>
                <w:color w:val="auto"/>
                <w:kern w:val="28"/>
                <w:sz w:val="24"/>
              </w:rPr>
              <w:t>样品制作的标准和要求：</w:t>
            </w:r>
            <w:r>
              <w:rPr>
                <w:rFonts w:hint="eastAsia" w:ascii="宋体" w:hAnsi="宋体" w:eastAsia="宋体" w:cs="宋体"/>
                <w:color w:val="auto"/>
                <w:kern w:val="0"/>
                <w:sz w:val="24"/>
              </w:rPr>
              <w:t>；</w:t>
            </w:r>
          </w:p>
          <w:p w14:paraId="40C6275B">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（3）样品的评审方法以及评审标准</w:t>
            </w:r>
            <w:r>
              <w:rPr>
                <w:rFonts w:hint="eastAsia" w:ascii="宋体" w:hAnsi="宋体" w:eastAsia="宋体" w:cs="宋体"/>
                <w:snapToGrid w:val="0"/>
                <w:color w:val="auto"/>
                <w:kern w:val="28"/>
                <w:sz w:val="24"/>
              </w:rPr>
              <w:t>：详见</w:t>
            </w:r>
            <w:r>
              <w:rPr>
                <w:rFonts w:hint="eastAsia" w:ascii="宋体" w:hAnsi="宋体" w:eastAsia="宋体" w:cs="宋体"/>
                <w:color w:val="auto"/>
                <w:sz w:val="24"/>
                <w:u w:val="single"/>
              </w:rPr>
              <w:t>评标办法</w:t>
            </w:r>
            <w:r>
              <w:rPr>
                <w:rFonts w:hint="eastAsia" w:ascii="宋体" w:hAnsi="宋体" w:eastAsia="宋体" w:cs="宋体"/>
                <w:color w:val="auto"/>
                <w:kern w:val="0"/>
                <w:sz w:val="24"/>
              </w:rPr>
              <w:t>；</w:t>
            </w:r>
          </w:p>
          <w:p w14:paraId="6F22F48F">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（4）是否需要随样品提交检测报告：</w:t>
            </w:r>
            <w:sdt>
              <w:sdtPr>
                <w:rPr>
                  <w:rFonts w:hint="eastAsia" w:ascii="宋体" w:hAnsi="宋体" w:eastAsia="宋体" w:cs="宋体"/>
                  <w:color w:val="auto"/>
                  <w:kern w:val="0"/>
                  <w:sz w:val="24"/>
                </w:rPr>
                <w:id w:val="1303421454"/>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否；</w:t>
            </w:r>
            <w:sdt>
              <w:sdtPr>
                <w:rPr>
                  <w:rFonts w:hint="eastAsia" w:ascii="宋体" w:hAnsi="宋体" w:eastAsia="宋体" w:cs="宋体"/>
                  <w:color w:val="auto"/>
                  <w:kern w:val="0"/>
                  <w:sz w:val="24"/>
                </w:rPr>
                <w:id w:val="1621728433"/>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是，检测机构的要求</w:t>
            </w:r>
            <w:r>
              <w:rPr>
                <w:rFonts w:hint="eastAsia" w:ascii="宋体" w:hAnsi="宋体" w:eastAsia="宋体" w:cs="宋体"/>
                <w:color w:val="auto"/>
                <w:sz w:val="24"/>
              </w:rPr>
              <w:t>：</w:t>
            </w:r>
            <w:r>
              <w:rPr>
                <w:rFonts w:hint="eastAsia" w:ascii="宋体" w:hAnsi="宋体" w:eastAsia="宋体" w:cs="宋体"/>
                <w:color w:val="auto"/>
                <w:kern w:val="0"/>
                <w:sz w:val="24"/>
              </w:rPr>
              <w:t>；检测内容</w:t>
            </w:r>
            <w:r>
              <w:rPr>
                <w:rFonts w:hint="eastAsia" w:ascii="宋体" w:hAnsi="宋体" w:eastAsia="宋体" w:cs="宋体"/>
                <w:color w:val="auto"/>
                <w:sz w:val="24"/>
              </w:rPr>
              <w:t>：</w:t>
            </w:r>
            <w:r>
              <w:rPr>
                <w:rFonts w:hint="eastAsia" w:ascii="宋体" w:hAnsi="宋体" w:eastAsia="宋体" w:cs="宋体"/>
                <w:color w:val="auto"/>
                <w:kern w:val="0"/>
                <w:sz w:val="24"/>
              </w:rPr>
              <w:t>。</w:t>
            </w:r>
          </w:p>
          <w:p w14:paraId="43B97244">
            <w:pPr>
              <w:spacing w:line="360" w:lineRule="auto"/>
              <w:rPr>
                <w:rFonts w:hint="eastAsia" w:ascii="宋体" w:hAnsi="宋体" w:eastAsia="宋体" w:cs="宋体"/>
                <w:color w:val="auto"/>
                <w:sz w:val="24"/>
              </w:rPr>
            </w:pPr>
            <w:r>
              <w:rPr>
                <w:rFonts w:hint="eastAsia" w:ascii="宋体" w:hAnsi="宋体" w:eastAsia="宋体" w:cs="宋体"/>
                <w:color w:val="auto"/>
                <w:sz w:val="24"/>
              </w:rPr>
              <w:t>（5）提供样品的时间：</w:t>
            </w:r>
            <w:r>
              <w:rPr>
                <w:rFonts w:hint="eastAsia" w:ascii="宋体" w:hAnsi="宋体" w:eastAsia="宋体" w:cs="宋体"/>
                <w:color w:val="auto"/>
                <w:kern w:val="0"/>
                <w:sz w:val="24"/>
              </w:rPr>
              <w:t>；地点：；联系人</w:t>
            </w:r>
            <w:r>
              <w:rPr>
                <w:rFonts w:hint="eastAsia" w:ascii="宋体" w:hAnsi="宋体" w:eastAsia="宋体" w:cs="宋体"/>
                <w:color w:val="auto"/>
                <w:sz w:val="24"/>
              </w:rPr>
              <w:t>：，</w:t>
            </w:r>
            <w:r>
              <w:rPr>
                <w:rFonts w:hint="eastAsia" w:ascii="宋体" w:hAnsi="宋体" w:eastAsia="宋体" w:cs="宋体"/>
                <w:color w:val="auto"/>
                <w:kern w:val="28"/>
                <w:sz w:val="24"/>
              </w:rPr>
              <w:t>联系电话：</w:t>
            </w:r>
            <w:r>
              <w:rPr>
                <w:rFonts w:hint="eastAsia" w:ascii="宋体" w:hAnsi="宋体" w:eastAsia="宋体" w:cs="宋体"/>
                <w:color w:val="auto"/>
                <w:sz w:val="24"/>
              </w:rPr>
              <w:t>。请投标人在上述时间内提供样品并按规定位置安装完毕。超过截止时间的，采购人或采购代理机构将不予接收，并将清场并封闭样品现场。</w:t>
            </w:r>
          </w:p>
          <w:p w14:paraId="613B6BC5">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65E9EBF">
            <w:pPr>
              <w:spacing w:line="360" w:lineRule="auto"/>
              <w:rPr>
                <w:rFonts w:hint="eastAsia" w:ascii="宋体" w:hAnsi="宋体" w:eastAsia="宋体" w:cs="宋体"/>
                <w:b/>
                <w:color w:val="auto"/>
                <w:sz w:val="24"/>
              </w:rPr>
            </w:pPr>
            <w:r>
              <w:rPr>
                <w:rFonts w:hint="eastAsia" w:ascii="宋体" w:hAnsi="宋体" w:eastAsia="宋体" w:cs="宋体"/>
                <w:color w:val="auto"/>
                <w:sz w:val="24"/>
              </w:rPr>
              <w:t>（7）制作、运输、安装和保管样品所发生的一切费用由投标人自理。</w:t>
            </w:r>
          </w:p>
        </w:tc>
      </w:tr>
      <w:tr w14:paraId="1774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317C5B40">
            <w:pPr>
              <w:snapToGrid w:val="0"/>
              <w:spacing w:line="360" w:lineRule="auto"/>
              <w:jc w:val="center"/>
              <w:rPr>
                <w:rFonts w:hint="eastAsia" w:ascii="宋体" w:hAnsi="宋体" w:eastAsia="宋体" w:cs="宋体"/>
                <w:color w:val="auto"/>
                <w:sz w:val="24"/>
              </w:rPr>
            </w:pPr>
          </w:p>
          <w:p w14:paraId="56B70E1E">
            <w:pPr>
              <w:snapToGrid w:val="0"/>
              <w:spacing w:line="360" w:lineRule="auto"/>
              <w:jc w:val="center"/>
              <w:rPr>
                <w:rFonts w:hint="eastAsia" w:ascii="宋体" w:hAnsi="宋体" w:eastAsia="宋体" w:cs="宋体"/>
                <w:color w:val="auto"/>
                <w:sz w:val="24"/>
              </w:rPr>
            </w:pPr>
          </w:p>
          <w:p w14:paraId="440B0AA0">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618" w:type="dxa"/>
            <w:vAlign w:val="center"/>
          </w:tcPr>
          <w:p w14:paraId="45A9A6D0">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方案讲解演示</w:t>
            </w:r>
          </w:p>
        </w:tc>
        <w:tc>
          <w:tcPr>
            <w:tcW w:w="7068" w:type="dxa"/>
            <w:vAlign w:val="center"/>
          </w:tcPr>
          <w:p w14:paraId="79DD6874">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47470702"/>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r>
              <w:rPr>
                <w:rFonts w:hint="eastAsia" w:ascii="宋体" w:hAnsi="宋体" w:eastAsia="宋体" w:cs="宋体"/>
                <w:color w:val="auto"/>
                <w:kern w:val="0"/>
                <w:sz w:val="24"/>
              </w:rPr>
              <w:t xml:space="preserve"> A</w:t>
            </w:r>
            <w:r>
              <w:rPr>
                <w:rFonts w:hint="eastAsia" w:ascii="宋体" w:hAnsi="宋体" w:eastAsia="宋体" w:cs="宋体"/>
                <w:color w:val="auto"/>
                <w:sz w:val="24"/>
              </w:rPr>
              <w:t>不组织。</w:t>
            </w:r>
          </w:p>
          <w:p w14:paraId="512FFC4E">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4746405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A8"/>
                </w:r>
              </w:sdtContent>
            </w:sdt>
            <w:sdt>
              <w:sdtPr>
                <w:rPr>
                  <w:rFonts w:hint="eastAsia" w:ascii="宋体" w:hAnsi="宋体" w:eastAsia="宋体" w:cs="宋体"/>
                  <w:color w:val="auto"/>
                  <w:kern w:val="0"/>
                  <w:sz w:val="24"/>
                </w:rPr>
                <w:id w:val="147481281"/>
                <w:showingPlcHdr/>
              </w:sdtPr>
              <w:sdtEndPr>
                <w:rPr>
                  <w:rFonts w:hint="eastAsia" w:ascii="宋体" w:hAnsi="宋体" w:eastAsia="宋体" w:cs="宋体"/>
                  <w:color w:val="auto"/>
                  <w:kern w:val="0"/>
                  <w:sz w:val="24"/>
                </w:rPr>
              </w:sdtEndPr>
              <w:sdtContent/>
            </w:sdt>
            <w:r>
              <w:rPr>
                <w:rFonts w:hint="eastAsia" w:ascii="宋体" w:hAnsi="宋体" w:eastAsia="宋体" w:cs="宋体"/>
                <w:color w:val="auto"/>
                <w:kern w:val="0"/>
                <w:sz w:val="24"/>
              </w:rPr>
              <w:t>B组织。</w:t>
            </w:r>
          </w:p>
          <w:p w14:paraId="489962A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（1）在评标时安排每个投标人进行方案讲解演示。每个投标人时间不超过</w:t>
            </w:r>
            <w:r>
              <w:rPr>
                <w:rFonts w:hint="eastAsia" w:ascii="宋体" w:hAnsi="宋体" w:eastAsia="宋体" w:cs="宋体"/>
                <w:color w:val="auto"/>
                <w:kern w:val="0"/>
                <w:sz w:val="24"/>
                <w:u w:val="single"/>
              </w:rPr>
              <w:t>20（编制时可根据项目情况进行调整）</w:t>
            </w:r>
            <w:r>
              <w:rPr>
                <w:rFonts w:hint="eastAsia" w:ascii="宋体" w:hAnsi="宋体" w:eastAsia="宋体" w:cs="宋体"/>
                <w:color w:val="auto"/>
                <w:kern w:val="0"/>
                <w:sz w:val="24"/>
              </w:rPr>
              <w:t>分钟，讲解次序以投标文件解密时间先后次序为准，讲解演示人员不超过</w:t>
            </w:r>
            <w:r>
              <w:rPr>
                <w:rFonts w:hint="eastAsia" w:ascii="宋体" w:hAnsi="宋体" w:eastAsia="宋体" w:cs="宋体"/>
                <w:color w:val="auto"/>
                <w:kern w:val="0"/>
                <w:sz w:val="24"/>
                <w:u w:val="single"/>
              </w:rPr>
              <w:t>3（编制时可根据项目情况进行调整）</w:t>
            </w:r>
            <w:r>
              <w:rPr>
                <w:rFonts w:hint="eastAsia" w:ascii="宋体" w:hAnsi="宋体" w:eastAsia="宋体" w:cs="宋体"/>
                <w:color w:val="auto"/>
                <w:kern w:val="0"/>
                <w:sz w:val="24"/>
              </w:rPr>
              <w:t>人。讲解演示结束后按要求解答评标委员会提问。</w:t>
            </w:r>
          </w:p>
          <w:p w14:paraId="7E32EF4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（2）方案讲解演示可选择以下其中一种方式：</w:t>
            </w:r>
          </w:p>
          <w:p w14:paraId="1F1F635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方式一：政采云平台在线讲解演示。政采云平台在线讲解需投标人根据政采云平台操作要求做好准备工作，提前完善软硬件配置环境。</w:t>
            </w:r>
          </w:p>
          <w:p w14:paraId="235390EE">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6DE31E95">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398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50EFC3CE">
            <w:pPr>
              <w:snapToGrid w:val="0"/>
              <w:spacing w:line="360" w:lineRule="auto"/>
              <w:jc w:val="center"/>
              <w:rPr>
                <w:rFonts w:hint="eastAsia" w:ascii="宋体" w:hAnsi="宋体" w:eastAsia="宋体" w:cs="宋体"/>
                <w:color w:val="auto"/>
                <w:sz w:val="24"/>
              </w:rPr>
            </w:pPr>
          </w:p>
          <w:p w14:paraId="10372129">
            <w:pPr>
              <w:snapToGrid w:val="0"/>
              <w:spacing w:line="360" w:lineRule="auto"/>
              <w:jc w:val="center"/>
              <w:rPr>
                <w:rFonts w:hint="eastAsia" w:ascii="宋体" w:hAnsi="宋体" w:eastAsia="宋体" w:cs="宋体"/>
                <w:color w:val="auto"/>
                <w:sz w:val="24"/>
              </w:rPr>
            </w:pPr>
          </w:p>
          <w:p w14:paraId="2E7248E2">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618" w:type="dxa"/>
            <w:vMerge w:val="restart"/>
            <w:vAlign w:val="center"/>
          </w:tcPr>
          <w:p w14:paraId="17A26FC1">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7068" w:type="dxa"/>
            <w:vAlign w:val="center"/>
          </w:tcPr>
          <w:p w14:paraId="52AD836C">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14:paraId="3259A3B6">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14:paraId="4AFF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14:paraId="136CD2DC">
            <w:pPr>
              <w:snapToGrid w:val="0"/>
              <w:spacing w:line="360" w:lineRule="auto"/>
              <w:jc w:val="center"/>
              <w:rPr>
                <w:rFonts w:hint="eastAsia" w:ascii="宋体" w:hAnsi="宋体" w:eastAsia="宋体" w:cs="宋体"/>
                <w:color w:val="auto"/>
                <w:sz w:val="24"/>
              </w:rPr>
            </w:pPr>
          </w:p>
        </w:tc>
        <w:tc>
          <w:tcPr>
            <w:tcW w:w="1618" w:type="dxa"/>
            <w:vMerge w:val="continue"/>
            <w:vAlign w:val="center"/>
          </w:tcPr>
          <w:p w14:paraId="476C9D38">
            <w:pPr>
              <w:snapToGrid w:val="0"/>
              <w:spacing w:line="360" w:lineRule="auto"/>
              <w:jc w:val="center"/>
              <w:rPr>
                <w:rFonts w:hint="eastAsia" w:ascii="宋体" w:hAnsi="宋体" w:eastAsia="宋体" w:cs="宋体"/>
                <w:b/>
                <w:color w:val="auto"/>
                <w:sz w:val="24"/>
              </w:rPr>
            </w:pPr>
          </w:p>
        </w:tc>
        <w:tc>
          <w:tcPr>
            <w:tcW w:w="7068" w:type="dxa"/>
            <w:vAlign w:val="center"/>
          </w:tcPr>
          <w:p w14:paraId="4F9D88C6">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14:paraId="754D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3573F3AB">
            <w:pPr>
              <w:snapToGrid w:val="0"/>
              <w:spacing w:line="360" w:lineRule="auto"/>
              <w:jc w:val="both"/>
              <w:rPr>
                <w:rFonts w:hint="eastAsia" w:ascii="宋体" w:hAnsi="宋体" w:eastAsia="宋体" w:cs="宋体"/>
                <w:color w:val="auto"/>
                <w:sz w:val="24"/>
              </w:rPr>
            </w:pPr>
          </w:p>
          <w:p w14:paraId="629F880B">
            <w:pPr>
              <w:snapToGrid w:val="0"/>
              <w:spacing w:line="360" w:lineRule="auto"/>
              <w:jc w:val="both"/>
              <w:rPr>
                <w:rFonts w:hint="eastAsia" w:ascii="宋体" w:hAnsi="宋体" w:eastAsia="宋体" w:cs="宋体"/>
                <w:color w:val="auto"/>
                <w:sz w:val="24"/>
              </w:rPr>
            </w:pPr>
          </w:p>
          <w:p w14:paraId="4264ADDC">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618" w:type="dxa"/>
            <w:vAlign w:val="center"/>
          </w:tcPr>
          <w:p w14:paraId="70805E6F">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7068" w:type="dxa"/>
            <w:vAlign w:val="center"/>
          </w:tcPr>
          <w:p w14:paraId="4191ED3B">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CAE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6" w:hRule="atLeast"/>
          <w:tblHeader/>
        </w:trPr>
        <w:tc>
          <w:tcPr>
            <w:tcW w:w="629" w:type="dxa"/>
            <w:vAlign w:val="center"/>
          </w:tcPr>
          <w:p w14:paraId="49F282D1">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618" w:type="dxa"/>
            <w:vAlign w:val="center"/>
          </w:tcPr>
          <w:p w14:paraId="01F0A261">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7068" w:type="dxa"/>
            <w:vAlign w:val="center"/>
          </w:tcPr>
          <w:p w14:paraId="54FA0DDD">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r>
              <w:rPr>
                <w:rFonts w:hint="eastAsia" w:ascii="宋体" w:hAnsi="宋体" w:eastAsia="宋体" w:cs="宋体"/>
                <w:b/>
                <w:color w:val="auto"/>
                <w:kern w:val="0"/>
                <w:sz w:val="24"/>
                <w:lang w:val="zh-CN"/>
              </w:rPr>
              <w:t>提醒：验收时检测费用由</w:t>
            </w:r>
            <w:r>
              <w:rPr>
                <w:rFonts w:hint="eastAsia" w:ascii="宋体" w:hAnsi="宋体" w:eastAsia="宋体" w:cs="宋体"/>
                <w:b/>
                <w:color w:val="auto"/>
                <w:kern w:val="0"/>
                <w:sz w:val="24"/>
              </w:rPr>
              <w:t>中标</w:t>
            </w:r>
            <w:r>
              <w:rPr>
                <w:rFonts w:hint="eastAsia" w:ascii="宋体" w:hAnsi="宋体" w:eastAsia="宋体" w:cs="宋体"/>
                <w:b/>
                <w:color w:val="auto"/>
                <w:kern w:val="0"/>
                <w:sz w:val="24"/>
                <w:lang w:val="zh-CN"/>
              </w:rPr>
              <w:t>人承担，包含在投标总价中。</w:t>
            </w:r>
          </w:p>
          <w:p w14:paraId="650067A2">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14:paraId="4A59322A">
            <w:pPr>
              <w:snapToGrid w:val="0"/>
              <w:spacing w:line="360" w:lineRule="auto"/>
              <w:ind w:firstLine="240" w:firstLineChars="100"/>
              <w:jc w:val="left"/>
              <w:rPr>
                <w:rFonts w:hint="eastAsia" w:ascii="宋体" w:hAnsi="宋体" w:eastAsia="宋体" w:cs="宋体"/>
                <w:b/>
                <w:color w:val="auto"/>
                <w:kern w:val="0"/>
                <w:sz w:val="24"/>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lang w:val="zh-CN"/>
              </w:rPr>
              <w:t>投标文件出现不是唯一的、有选择性投标报价的；</w:t>
            </w:r>
          </w:p>
          <w:p w14:paraId="3D55C588">
            <w:pPr>
              <w:snapToGrid w:val="0"/>
              <w:spacing w:line="360" w:lineRule="auto"/>
              <w:ind w:firstLine="240" w:firstLineChars="100"/>
              <w:jc w:val="left"/>
              <w:rPr>
                <w:rFonts w:hint="eastAsia" w:ascii="宋体" w:hAnsi="宋体" w:eastAsia="宋体" w:cs="宋体"/>
                <w:b/>
                <w:color w:val="auto"/>
                <w:kern w:val="0"/>
                <w:sz w:val="24"/>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lang w:val="zh-CN"/>
              </w:rPr>
              <w:t>投标报价超过招标文件中规定的预算金额或者最高限价的；</w:t>
            </w:r>
          </w:p>
          <w:p w14:paraId="5861B404">
            <w:pPr>
              <w:spacing w:line="360" w:lineRule="auto"/>
              <w:ind w:firstLine="240" w:firstLineChars="100"/>
              <w:rPr>
                <w:rFonts w:hint="eastAsia" w:ascii="宋体" w:hAnsi="宋体" w:eastAsia="宋体" w:cs="宋体"/>
                <w:b/>
                <w:color w:val="auto"/>
                <w:sz w:val="24"/>
              </w:rPr>
            </w:pPr>
            <w:r>
              <w:rPr>
                <w:rFonts w:hint="eastAsia" w:ascii="宋体" w:hAnsi="宋体" w:eastAsia="宋体" w:cs="宋体"/>
                <w:color w:val="auto"/>
                <w:sz w:val="24"/>
                <w:highlight w:val="none"/>
              </w:rPr>
              <w:t>▲</w:t>
            </w: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14:paraId="3786DC25">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tc>
      </w:tr>
      <w:tr w14:paraId="7E5F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6" w:hRule="atLeast"/>
          <w:tblHeader/>
        </w:trPr>
        <w:tc>
          <w:tcPr>
            <w:tcW w:w="629" w:type="dxa"/>
            <w:vAlign w:val="center"/>
          </w:tcPr>
          <w:p w14:paraId="0B1649FE">
            <w:pPr>
              <w:snapToGrid w:val="0"/>
              <w:spacing w:line="360" w:lineRule="auto"/>
              <w:jc w:val="center"/>
              <w:rPr>
                <w:rFonts w:hint="default"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11</w:t>
            </w:r>
          </w:p>
        </w:tc>
        <w:tc>
          <w:tcPr>
            <w:tcW w:w="1618" w:type="dxa"/>
            <w:vAlign w:val="center"/>
          </w:tcPr>
          <w:p w14:paraId="1BFFFCFC">
            <w:pPr>
              <w:snapToGrid w:val="0"/>
              <w:spacing w:line="360" w:lineRule="auto"/>
              <w:jc w:val="center"/>
              <w:rPr>
                <w:rFonts w:hint="eastAsia" w:ascii="宋体" w:hAnsi="宋体" w:eastAsia="宋体" w:cs="宋体"/>
                <w:b/>
                <w:color w:val="auto"/>
                <w:sz w:val="24"/>
              </w:rPr>
            </w:pPr>
            <w:r>
              <w:rPr>
                <w:rFonts w:hint="eastAsia" w:ascii="宋体" w:hAnsi="宋体" w:cs="宋体"/>
                <w:b/>
                <w:color w:val="auto"/>
                <w:sz w:val="24"/>
                <w:highlight w:val="none"/>
              </w:rPr>
              <w:t>中小企业信用融资</w:t>
            </w:r>
          </w:p>
        </w:tc>
        <w:tc>
          <w:tcPr>
            <w:tcW w:w="7068" w:type="dxa"/>
            <w:vAlign w:val="center"/>
          </w:tcPr>
          <w:p w14:paraId="696100B2">
            <w:pPr>
              <w:spacing w:line="360" w:lineRule="auto"/>
              <w:ind w:firstLine="480" w:firstLineChars="200"/>
              <w:rPr>
                <w:rFonts w:hint="eastAsia" w:ascii="宋体" w:hAnsi="宋体" w:eastAsia="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具体可咨询建德市财政局采购办，联系电话：</w:t>
            </w:r>
            <w:r>
              <w:rPr>
                <w:rFonts w:hint="eastAsia" w:ascii="宋体" w:hAnsi="宋体" w:eastAsia="宋体" w:cs="宋体"/>
                <w:snapToGrid w:val="0"/>
                <w:color w:val="auto"/>
                <w:kern w:val="28"/>
                <w:sz w:val="24"/>
                <w:highlight w:val="none"/>
              </w:rPr>
              <w:t>0571-89606885</w:t>
            </w:r>
            <w:r>
              <w:rPr>
                <w:rFonts w:hint="eastAsia" w:cs="宋体" w:asciiTheme="minorEastAsia" w:hAnsiTheme="minorEastAsia" w:eastAsiaTheme="minorEastAsia"/>
                <w:snapToGrid w:val="0"/>
                <w:color w:val="auto"/>
                <w:kern w:val="28"/>
                <w:sz w:val="24"/>
                <w:highlight w:val="none"/>
              </w:rPr>
              <w:t>.</w:t>
            </w:r>
          </w:p>
        </w:tc>
      </w:tr>
      <w:tr w14:paraId="0261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2305567F">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12</w:t>
            </w:r>
          </w:p>
        </w:tc>
        <w:tc>
          <w:tcPr>
            <w:tcW w:w="1618" w:type="dxa"/>
            <w:vAlign w:val="center"/>
          </w:tcPr>
          <w:p w14:paraId="7BCE3462">
            <w:pPr>
              <w:snapToGrid w:val="0"/>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rPr>
              <w:t xml:space="preserve">备份投标文件送达地点和签收人员 </w:t>
            </w:r>
          </w:p>
        </w:tc>
        <w:tc>
          <w:tcPr>
            <w:tcW w:w="7068" w:type="dxa"/>
            <w:vAlign w:val="center"/>
          </w:tcPr>
          <w:p w14:paraId="27DBAD13">
            <w:pPr>
              <w:pStyle w:val="32"/>
              <w:spacing w:line="360" w:lineRule="auto"/>
              <w:rPr>
                <w:rFonts w:hint="eastAsia" w:ascii="宋体" w:hAnsi="宋体" w:eastAsia="宋体" w:cs="宋体"/>
                <w:snapToGrid w:val="0"/>
                <w:color w:val="auto"/>
                <w:kern w:val="28"/>
                <w:sz w:val="24"/>
                <w:szCs w:val="21"/>
                <w:lang w:val="en-US" w:eastAsia="zh-CN" w:bidi="ar-SA"/>
              </w:rPr>
            </w:pPr>
            <w:r>
              <w:rPr>
                <w:rFonts w:hint="eastAsia" w:ascii="宋体" w:hAnsi="宋体" w:eastAsia="宋体" w:cs="宋体"/>
                <w:b/>
                <w:bCs/>
                <w:color w:val="auto"/>
                <w:kern w:val="28"/>
                <w:sz w:val="24"/>
                <w:szCs w:val="24"/>
              </w:rPr>
              <w:t>备份投标文件送达地点：</w:t>
            </w:r>
            <w:r>
              <w:rPr>
                <w:rFonts w:hint="eastAsia" w:ascii="宋体" w:hAnsi="宋体" w:eastAsia="宋体" w:cs="宋体"/>
                <w:color w:val="auto"/>
                <w:sz w:val="24"/>
                <w:lang w:val="en-US" w:eastAsia="zh-CN"/>
              </w:rPr>
              <w:t>建德市新安江街道</w:t>
            </w:r>
            <w:r>
              <w:rPr>
                <w:rFonts w:hint="eastAsia" w:ascii="宋体" w:hAnsi="宋体" w:cs="宋体"/>
                <w:color w:val="auto"/>
                <w:sz w:val="24"/>
                <w:lang w:val="en-US" w:eastAsia="zh-CN"/>
              </w:rPr>
              <w:t>财富城B座1501室</w:t>
            </w:r>
            <w:r>
              <w:rPr>
                <w:rFonts w:hint="eastAsia" w:ascii="宋体" w:hAnsi="宋体" w:eastAsia="宋体" w:cs="宋体"/>
                <w:b w:val="0"/>
                <w:bCs w:val="0"/>
                <w:color w:val="auto"/>
                <w:kern w:val="28"/>
                <w:sz w:val="24"/>
                <w:szCs w:val="24"/>
              </w:rPr>
              <w:t>；备份投标文件签收人员联系电话：</w:t>
            </w:r>
            <w:r>
              <w:rPr>
                <w:rFonts w:hint="eastAsia" w:hAnsi="宋体" w:cs="宋体"/>
                <w:b w:val="0"/>
                <w:bCs w:val="0"/>
                <w:color w:val="auto"/>
                <w:kern w:val="28"/>
                <w:sz w:val="24"/>
                <w:szCs w:val="24"/>
                <w:u w:val="single"/>
                <w:lang w:val="en-US" w:eastAsia="zh-CN"/>
              </w:rPr>
              <w:t>柴文琪、19957823508</w:t>
            </w:r>
            <w:r>
              <w:rPr>
                <w:rFonts w:hint="eastAsia" w:ascii="宋体" w:hAnsi="宋体" w:eastAsia="宋体" w:cs="宋体"/>
                <w:b w:val="0"/>
                <w:bCs w:val="0"/>
                <w:color w:val="auto"/>
                <w:kern w:val="28"/>
                <w:sz w:val="24"/>
                <w:szCs w:val="24"/>
              </w:rPr>
              <w:t>。</w:t>
            </w:r>
            <w:r>
              <w:rPr>
                <w:rFonts w:hint="eastAsia" w:ascii="宋体" w:hAnsi="宋体" w:eastAsia="宋体" w:cs="宋体"/>
                <w:b/>
                <w:color w:val="auto"/>
                <w:sz w:val="24"/>
                <w:szCs w:val="24"/>
              </w:rPr>
              <w:t>采购人、采购代理机构不强制或变相强制投标人提交备份投标文件。</w:t>
            </w:r>
          </w:p>
        </w:tc>
      </w:tr>
      <w:tr w14:paraId="7433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0" w:hRule="atLeast"/>
          <w:tblHeader/>
        </w:trPr>
        <w:tc>
          <w:tcPr>
            <w:tcW w:w="629" w:type="dxa"/>
            <w:vAlign w:val="center"/>
          </w:tcPr>
          <w:p w14:paraId="555AD977">
            <w:pPr>
              <w:snapToGrid w:val="0"/>
              <w:spacing w:line="360" w:lineRule="auto"/>
              <w:jc w:val="center"/>
              <w:rPr>
                <w:rFonts w:hint="eastAsia" w:ascii="宋体" w:hAnsi="宋体" w:eastAsia="宋体" w:cs="宋体"/>
                <w:color w:val="auto"/>
                <w:sz w:val="24"/>
              </w:rPr>
            </w:pPr>
          </w:p>
          <w:p w14:paraId="5A981195">
            <w:pPr>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3</w:t>
            </w:r>
          </w:p>
        </w:tc>
        <w:tc>
          <w:tcPr>
            <w:tcW w:w="1618" w:type="dxa"/>
            <w:vAlign w:val="center"/>
          </w:tcPr>
          <w:p w14:paraId="011CDAB8">
            <w:pPr>
              <w:snapToGrid w:val="0"/>
              <w:jc w:val="center"/>
              <w:rPr>
                <w:rFonts w:hint="eastAsia" w:ascii="宋体" w:hAnsi="宋体" w:eastAsia="宋体" w:cs="宋体"/>
                <w:b/>
                <w:color w:val="auto"/>
                <w:sz w:val="24"/>
              </w:rPr>
            </w:pPr>
            <w:r>
              <w:rPr>
                <w:rFonts w:hint="eastAsia" w:ascii="宋体" w:hAnsi="宋体" w:eastAsia="宋体" w:cs="宋体"/>
                <w:b/>
                <w:color w:val="auto"/>
                <w:sz w:val="24"/>
              </w:rPr>
              <w:t>采购代理机构</w:t>
            </w:r>
          </w:p>
          <w:p w14:paraId="0DA3B37B">
            <w:pPr>
              <w:snapToGrid w:val="0"/>
              <w:jc w:val="center"/>
              <w:rPr>
                <w:rFonts w:hint="eastAsia" w:ascii="宋体" w:hAnsi="宋体" w:eastAsia="宋体" w:cs="宋体"/>
                <w:b/>
                <w:color w:val="auto"/>
                <w:sz w:val="24"/>
              </w:rPr>
            </w:pPr>
            <w:r>
              <w:rPr>
                <w:rFonts w:hint="eastAsia" w:ascii="宋体" w:hAnsi="宋体" w:eastAsia="宋体" w:cs="宋体"/>
                <w:b/>
                <w:color w:val="auto"/>
                <w:sz w:val="24"/>
              </w:rPr>
              <w:t>代理费用</w:t>
            </w:r>
          </w:p>
        </w:tc>
        <w:tc>
          <w:tcPr>
            <w:tcW w:w="7068" w:type="dxa"/>
            <w:vAlign w:val="center"/>
          </w:tcPr>
          <w:p w14:paraId="58E37EAE">
            <w:pPr>
              <w:spacing w:line="360" w:lineRule="auto"/>
              <w:rPr>
                <w:rFonts w:ascii="宋体" w:hAnsi="宋体" w:cs="宋体"/>
                <w:sz w:val="24"/>
                <w:highlight w:val="none"/>
              </w:rPr>
            </w:pPr>
            <w:sdt>
              <w:sdtPr>
                <w:rPr>
                  <w:rFonts w:hint="eastAsia" w:ascii="宋体" w:hAnsi="宋体" w:cs="宋体"/>
                  <w:kern w:val="0"/>
                  <w:sz w:val="24"/>
                  <w:highlight w:val="none"/>
                </w:rPr>
                <w:id w:val="876584110"/>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本项目不收取采购代理服务费。</w:t>
            </w:r>
          </w:p>
          <w:p w14:paraId="4228AD12">
            <w:pPr>
              <w:spacing w:line="360" w:lineRule="auto"/>
              <w:jc w:val="left"/>
              <w:rPr>
                <w:rFonts w:hint="eastAsia" w:ascii="宋体" w:hAnsi="宋体" w:eastAsia="宋体" w:cs="宋体"/>
                <w:color w:val="auto"/>
                <w:sz w:val="24"/>
              </w:rPr>
            </w:pPr>
            <w:sdt>
              <w:sdtPr>
                <w:rPr>
                  <w:rFonts w:hint="eastAsia" w:ascii="宋体" w:hAnsi="宋体" w:cs="宋体"/>
                  <w:kern w:val="0"/>
                  <w:sz w:val="24"/>
                  <w:highlight w:val="none"/>
                </w:rPr>
                <w:id w:val="876584111"/>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495733405"/>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sdt>
                  <w:sdtPr>
                    <w:rPr>
                      <w:rFonts w:hint="eastAsia" w:ascii="宋体" w:hAnsi="宋体" w:cs="宋体"/>
                      <w:kern w:val="0"/>
                      <w:sz w:val="24"/>
                      <w:highlight w:val="none"/>
                    </w:rPr>
                    <w:id w:val="60"/>
                    <w:showingPlcHdr/>
                  </w:sdtPr>
                  <w:sdtEndPr>
                    <w:rPr>
                      <w:rFonts w:hint="eastAsia" w:ascii="宋体" w:hAnsi="宋体" w:cs="宋体"/>
                      <w:kern w:val="0"/>
                      <w:sz w:val="24"/>
                      <w:highlight w:val="none"/>
                    </w:rPr>
                  </w:sdtEndPr>
                  <w:sdtContent/>
                </w:sdt>
              </w:sdtContent>
            </w:sdt>
            <w:r>
              <w:rPr>
                <w:rFonts w:hint="eastAsia" w:ascii="宋体" w:hAnsi="宋体" w:cs="宋体"/>
                <w:kern w:val="0"/>
                <w:sz w:val="24"/>
                <w:highlight w:val="none"/>
              </w:rPr>
              <w:t>B</w:t>
            </w:r>
            <w:r>
              <w:rPr>
                <w:rFonts w:hint="eastAsia" w:ascii="宋体" w:hAnsi="宋体" w:cs="宋体"/>
                <w:sz w:val="24"/>
                <w:highlight w:val="none"/>
              </w:rPr>
              <w:t>本项目收取采购代理服务费。</w:t>
            </w:r>
            <w:r>
              <w:rPr>
                <w:rFonts w:hint="eastAsia" w:ascii="宋体" w:hAnsi="宋体" w:cs="宋体"/>
                <w:snapToGrid w:val="0"/>
                <w:kern w:val="28"/>
                <w:sz w:val="24"/>
                <w:highlight w:val="none"/>
              </w:rPr>
              <w:t>响应总报价应包含采购服务费，采购服务费按照国家发展计划委员会计价格[2002]1980 号文《招标代理服务费管理暂行办法》及发改办价格[2003]857号文的收费标准（货物类）计取，人民币</w:t>
            </w:r>
            <w:r>
              <w:rPr>
                <w:rFonts w:hint="eastAsia" w:ascii="宋体" w:hAnsi="宋体" w:cs="宋体"/>
                <w:snapToGrid w:val="0"/>
                <w:kern w:val="28"/>
                <w:sz w:val="24"/>
                <w:highlight w:val="none"/>
                <w:u w:val="single"/>
              </w:rPr>
              <w:fldChar w:fldCharType="begin"/>
            </w:r>
            <w:r>
              <w:rPr>
                <w:rFonts w:hint="eastAsia" w:ascii="宋体" w:hAnsi="宋体" w:cs="宋体"/>
                <w:snapToGrid w:val="0"/>
                <w:kern w:val="28"/>
                <w:sz w:val="24"/>
                <w:highlight w:val="none"/>
                <w:u w:val="single"/>
              </w:rPr>
              <w:instrText xml:space="preserve"> = 8820 \* CHINESENUM4 \* MERGEFORMAT </w:instrText>
            </w:r>
            <w:r>
              <w:rPr>
                <w:rFonts w:hint="eastAsia" w:ascii="宋体" w:hAnsi="宋体" w:cs="宋体"/>
                <w:snapToGrid w:val="0"/>
                <w:kern w:val="28"/>
                <w:sz w:val="24"/>
                <w:highlight w:val="none"/>
                <w:u w:val="single"/>
              </w:rPr>
              <w:fldChar w:fldCharType="separate"/>
            </w:r>
            <w:r>
              <w:rPr>
                <w:rFonts w:hint="eastAsia" w:ascii="宋体" w:hAnsi="宋体" w:cs="宋体"/>
                <w:snapToGrid w:val="0"/>
                <w:kern w:val="28"/>
                <w:sz w:val="24"/>
                <w:highlight w:val="none"/>
                <w:u w:val="single"/>
                <w:lang w:val="en-US" w:eastAsia="zh-CN"/>
              </w:rPr>
              <w:t>贰万壹仟肆佰肆拾伍</w:t>
            </w:r>
            <w:r>
              <w:rPr>
                <w:rFonts w:hint="eastAsia" w:ascii="宋体" w:hAnsi="宋体" w:cs="宋体"/>
                <w:snapToGrid w:val="0"/>
                <w:kern w:val="28"/>
                <w:sz w:val="24"/>
                <w:highlight w:val="none"/>
                <w:u w:val="single"/>
              </w:rPr>
              <w:t>元整</w:t>
            </w:r>
            <w:r>
              <w:rPr>
                <w:rFonts w:hint="eastAsia" w:ascii="宋体" w:hAnsi="宋体" w:cs="宋体"/>
                <w:snapToGrid w:val="0"/>
                <w:kern w:val="28"/>
                <w:sz w:val="24"/>
                <w:highlight w:val="none"/>
                <w:u w:val="single"/>
              </w:rPr>
              <w:fldChar w:fldCharType="end"/>
            </w:r>
            <w:r>
              <w:rPr>
                <w:rFonts w:hint="eastAsia" w:ascii="宋体" w:hAnsi="宋体" w:cs="宋体"/>
                <w:snapToGrid w:val="0"/>
                <w:kern w:val="28"/>
                <w:sz w:val="24"/>
                <w:highlight w:val="none"/>
                <w:u w:val="single"/>
              </w:rPr>
              <w:t>（¥：</w:t>
            </w:r>
            <w:r>
              <w:rPr>
                <w:rFonts w:hint="eastAsia" w:ascii="宋体" w:hAnsi="宋体" w:cs="宋体"/>
                <w:snapToGrid w:val="0"/>
                <w:kern w:val="28"/>
                <w:sz w:val="24"/>
                <w:highlight w:val="none"/>
                <w:u w:val="single"/>
                <w:lang w:val="en-US" w:eastAsia="zh-CN"/>
              </w:rPr>
              <w:t>21445</w:t>
            </w:r>
            <w:r>
              <w:rPr>
                <w:rFonts w:hint="eastAsia" w:ascii="宋体" w:hAnsi="宋体" w:cs="宋体"/>
                <w:snapToGrid w:val="0"/>
                <w:kern w:val="28"/>
                <w:sz w:val="24"/>
                <w:highlight w:val="none"/>
                <w:u w:val="single"/>
              </w:rPr>
              <w:t>.00元）</w:t>
            </w:r>
            <w:r>
              <w:rPr>
                <w:rFonts w:hint="eastAsia" w:ascii="宋体" w:hAnsi="宋体" w:cs="宋体"/>
                <w:snapToGrid w:val="0"/>
                <w:kern w:val="28"/>
                <w:sz w:val="24"/>
                <w:highlight w:val="none"/>
              </w:rPr>
              <w:t>，由</w:t>
            </w:r>
            <w:r>
              <w:rPr>
                <w:rFonts w:hint="eastAsia" w:ascii="宋体" w:hAnsi="宋体" w:cs="宋体"/>
                <w:snapToGrid w:val="0"/>
                <w:kern w:val="28"/>
                <w:sz w:val="24"/>
                <w:highlight w:val="none"/>
                <w:lang w:eastAsia="zh-CN"/>
              </w:rPr>
              <w:t>中标</w:t>
            </w:r>
            <w:r>
              <w:rPr>
                <w:rFonts w:hint="eastAsia" w:ascii="宋体" w:hAnsi="宋体" w:cs="宋体"/>
                <w:snapToGrid w:val="0"/>
                <w:kern w:val="28"/>
                <w:sz w:val="24"/>
                <w:highlight w:val="none"/>
              </w:rPr>
              <w:t>供应商在领取</w:t>
            </w:r>
            <w:r>
              <w:rPr>
                <w:rFonts w:hint="eastAsia" w:ascii="宋体" w:hAnsi="宋体" w:cs="宋体"/>
                <w:snapToGrid w:val="0"/>
                <w:kern w:val="28"/>
                <w:sz w:val="24"/>
                <w:highlight w:val="none"/>
                <w:lang w:eastAsia="zh-CN"/>
              </w:rPr>
              <w:t>中标</w:t>
            </w:r>
            <w:r>
              <w:rPr>
                <w:rFonts w:hint="eastAsia" w:ascii="宋体" w:hAnsi="宋体" w:cs="宋体"/>
                <w:snapToGrid w:val="0"/>
                <w:kern w:val="28"/>
                <w:sz w:val="24"/>
                <w:highlight w:val="none"/>
              </w:rPr>
              <w:t>通知书时支付给采购代理公司。</w:t>
            </w:r>
          </w:p>
        </w:tc>
      </w:tr>
      <w:tr w14:paraId="26DA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742DE454">
            <w:pPr>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p>
        </w:tc>
        <w:tc>
          <w:tcPr>
            <w:tcW w:w="1618" w:type="dxa"/>
            <w:vMerge w:val="restart"/>
            <w:vAlign w:val="center"/>
          </w:tcPr>
          <w:p w14:paraId="646A027D">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7068" w:type="dxa"/>
            <w:vAlign w:val="center"/>
          </w:tcPr>
          <w:p w14:paraId="4851F90D">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联合体投标的，联合体各方分别提供与联合体协议中规定的分工内容相应的业绩证明材料，业绩数量以提供材料较少的一方为准。</w:t>
            </w:r>
          </w:p>
        </w:tc>
      </w:tr>
      <w:tr w14:paraId="25C2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29BD6B78">
            <w:pPr>
              <w:snapToGrid w:val="0"/>
              <w:spacing w:line="360" w:lineRule="auto"/>
              <w:jc w:val="center"/>
              <w:rPr>
                <w:rFonts w:hint="eastAsia" w:ascii="宋体" w:hAnsi="宋体" w:eastAsia="宋体" w:cs="宋体"/>
                <w:color w:val="auto"/>
                <w:sz w:val="24"/>
              </w:rPr>
            </w:pPr>
          </w:p>
        </w:tc>
        <w:tc>
          <w:tcPr>
            <w:tcW w:w="1618" w:type="dxa"/>
            <w:vMerge w:val="continue"/>
            <w:vAlign w:val="center"/>
          </w:tcPr>
          <w:p w14:paraId="4B3FF370">
            <w:pPr>
              <w:snapToGrid w:val="0"/>
              <w:spacing w:line="360" w:lineRule="auto"/>
              <w:jc w:val="center"/>
              <w:rPr>
                <w:rFonts w:hint="eastAsia" w:ascii="宋体" w:hAnsi="宋体" w:eastAsia="宋体" w:cs="宋体"/>
                <w:b/>
                <w:color w:val="auto"/>
                <w:sz w:val="24"/>
              </w:rPr>
            </w:pPr>
          </w:p>
        </w:tc>
        <w:tc>
          <w:tcPr>
            <w:tcW w:w="7068" w:type="dxa"/>
            <w:vAlign w:val="center"/>
          </w:tcPr>
          <w:p w14:paraId="6D365DB7">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36976655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snapToGrid w:val="0"/>
                <w:color w:val="auto"/>
                <w:kern w:val="28"/>
                <w:sz w:val="24"/>
              </w:rPr>
              <w:t>联合体投标的，联合体各方均需按招标文件第四部分评标标准要求提供资信证明文件，否则视为不符合相关要求。</w:t>
            </w:r>
          </w:p>
          <w:p w14:paraId="72422DB4">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105257013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snapToGrid w:val="0"/>
                <w:color w:val="auto"/>
                <w:kern w:val="28"/>
                <w:sz w:val="24"/>
              </w:rPr>
              <w:t>联合体投标的，联合体中有一方或者联合体成员根据分工按招标文件第四部分评标标准要求提供资信证明文件的，视为符合了相关要求。</w:t>
            </w:r>
          </w:p>
        </w:tc>
      </w:tr>
    </w:tbl>
    <w:p w14:paraId="2B44942E">
      <w:pPr>
        <w:snapToGrid w:val="0"/>
        <w:spacing w:line="360" w:lineRule="auto"/>
        <w:jc w:val="center"/>
        <w:rPr>
          <w:rFonts w:hint="eastAsia" w:ascii="宋体" w:hAnsi="宋体" w:eastAsia="宋体" w:cs="宋体"/>
          <w:b/>
          <w:color w:val="auto"/>
          <w:sz w:val="32"/>
          <w:szCs w:val="20"/>
        </w:rPr>
      </w:pPr>
    </w:p>
    <w:bookmarkEnd w:id="10"/>
    <w:p w14:paraId="171FC8B4">
      <w:pPr>
        <w:adjustRightInd/>
        <w:spacing w:line="360" w:lineRule="auto"/>
        <w:ind w:firstLine="3845" w:firstLineChars="1197"/>
        <w:outlineLvl w:val="0"/>
        <w:rPr>
          <w:rFonts w:hint="eastAsia" w:ascii="宋体" w:hAnsi="宋体" w:eastAsia="宋体" w:cs="宋体"/>
          <w:b/>
          <w:color w:val="auto"/>
          <w:sz w:val="32"/>
          <w:szCs w:val="20"/>
        </w:rPr>
      </w:pPr>
      <w:bookmarkStart w:id="12" w:name="_Toc164416483"/>
      <w:bookmarkStart w:id="13" w:name="第三部分"/>
      <w:r>
        <w:rPr>
          <w:rFonts w:hint="eastAsia" w:ascii="宋体" w:hAnsi="宋体" w:eastAsia="宋体" w:cs="宋体"/>
          <w:b/>
          <w:color w:val="auto"/>
          <w:sz w:val="32"/>
          <w:szCs w:val="20"/>
        </w:rPr>
        <w:t>一、总则</w:t>
      </w:r>
    </w:p>
    <w:p w14:paraId="1D51D4A4">
      <w:pPr>
        <w:snapToGrid w:val="0"/>
        <w:spacing w:line="360" w:lineRule="auto"/>
        <w:ind w:firstLine="361" w:firstLineChars="150"/>
        <w:jc w:val="left"/>
        <w:outlineLvl w:val="1"/>
        <w:rPr>
          <w:rFonts w:hint="eastAsia" w:ascii="宋体" w:hAnsi="宋体" w:eastAsia="宋体" w:cs="宋体"/>
          <w:b/>
          <w:color w:val="auto"/>
          <w:sz w:val="24"/>
        </w:rPr>
      </w:pPr>
      <w:r>
        <w:rPr>
          <w:rFonts w:hint="eastAsia" w:ascii="宋体" w:hAnsi="宋体" w:eastAsia="宋体" w:cs="宋体"/>
          <w:b/>
          <w:color w:val="auto"/>
          <w:sz w:val="24"/>
        </w:rPr>
        <w:t>1. 适用范围</w:t>
      </w:r>
    </w:p>
    <w:p w14:paraId="77D1A891">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14:paraId="17030E4B">
      <w:pPr>
        <w:adjustRightInd/>
        <w:spacing w:line="360" w:lineRule="auto"/>
        <w:outlineLvl w:val="0"/>
        <w:rPr>
          <w:rFonts w:hint="eastAsia" w:ascii="宋体" w:hAnsi="宋体" w:eastAsia="宋体" w:cs="宋体"/>
          <w:b/>
          <w:color w:val="auto"/>
          <w:sz w:val="24"/>
        </w:rPr>
      </w:pPr>
      <w:r>
        <w:rPr>
          <w:rFonts w:hint="eastAsia" w:ascii="宋体" w:hAnsi="宋体" w:eastAsia="宋体" w:cs="宋体"/>
          <w:b/>
          <w:color w:val="auto"/>
          <w:sz w:val="24"/>
        </w:rPr>
        <w:t xml:space="preserve">   2.定义</w:t>
      </w:r>
    </w:p>
    <w:p w14:paraId="4C306B9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14:paraId="20E8A9D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“采购代理机构”系指招标公告中载明的本项目的采购代理机构。</w:t>
      </w:r>
    </w:p>
    <w:p w14:paraId="18B8D13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14:paraId="26C25D9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14:paraId="4E1C876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99AA2D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2.6“电子交易平台”系指本项目政府采购活动所依托的政府采购云平台（https://www.zcygov.cn/）。</w:t>
      </w:r>
    </w:p>
    <w:p w14:paraId="301C324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 系指实质性要求条款，“</w:t>
      </w:r>
      <w:sdt>
        <w:sdtPr>
          <w:rPr>
            <w:rFonts w:hint="eastAsia" w:ascii="宋体" w:hAnsi="宋体" w:eastAsia="宋体" w:cs="宋体"/>
            <w:color w:val="auto"/>
            <w:kern w:val="0"/>
            <w:sz w:val="24"/>
          </w:rPr>
          <w:id w:val="147461768"/>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512970236"/>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71162"/>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w:t>
              </w:r>
            </w:sdtContent>
          </w:sdt>
        </w:sdtContent>
      </w:sdt>
      <w:r>
        <w:rPr>
          <w:rFonts w:hint="eastAsia" w:ascii="宋体" w:hAnsi="宋体" w:eastAsia="宋体" w:cs="宋体"/>
          <w:color w:val="auto"/>
          <w:sz w:val="24"/>
        </w:rPr>
        <w:t>” 系指适用本项目的要求，“</w:t>
      </w:r>
      <w:sdt>
        <w:sdtPr>
          <w:rPr>
            <w:rFonts w:hint="eastAsia" w:ascii="宋体" w:hAnsi="宋体" w:eastAsia="宋体" w:cs="宋体"/>
            <w:color w:val="auto"/>
            <w:kern w:val="0"/>
            <w:sz w:val="24"/>
          </w:rPr>
          <w:id w:val="40488885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系指不适用本项目的要求。</w:t>
      </w:r>
    </w:p>
    <w:p w14:paraId="20989FD8">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sz w:val="24"/>
        </w:rPr>
        <w:t>3.采购项目需要落实的政府采购政策</w:t>
      </w:r>
    </w:p>
    <w:p w14:paraId="78A6CAFB">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14:paraId="502D2C9E">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14:paraId="6F59187A">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73A72F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147C9CD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eastAsia="宋体" w:cs="宋体"/>
          <w:color w:val="auto"/>
          <w:sz w:val="24"/>
        </w:rPr>
        <w:t>鼓励采购单位优先采购秸秆环保板材等资源综合利用产品。鼓励采购单位优先采购绿色物流配送服务、提供新能源交通工具的租赁服务。</w:t>
      </w:r>
    </w:p>
    <w:p w14:paraId="39DF0BB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363EAC3D">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3.3支持中小企业发展</w:t>
      </w:r>
    </w:p>
    <w:p w14:paraId="31A0B24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7089B4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14:paraId="13BEC3C8">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55EE02A">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14:paraId="1DF94EA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eastAsia="宋体" w:cs="宋体"/>
          <w:color w:val="auto"/>
          <w:sz w:val="24"/>
        </w:rPr>
        <w:t>联合协议或者分包意向协议约定小微企业的合同份额占到合同总金额30%以上的</w:t>
      </w:r>
      <w:bookmarkEnd w:id="15"/>
      <w:r>
        <w:rPr>
          <w:rFonts w:hint="eastAsia" w:ascii="宋体" w:hAnsi="宋体" w:eastAsia="宋体" w:cs="宋体"/>
          <w:color w:val="auto"/>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14:paraId="28CA03E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14:paraId="3B9FC49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CD9B5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24A4A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14:paraId="407D613B">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3.4</w:t>
      </w:r>
      <w:r>
        <w:rPr>
          <w:rFonts w:hint="eastAsia" w:ascii="宋体" w:hAnsi="宋体" w:eastAsia="宋体" w:cs="宋体"/>
          <w:bCs/>
          <w:color w:val="auto"/>
          <w:sz w:val="24"/>
        </w:rPr>
        <w:t>支持创新发展</w:t>
      </w:r>
    </w:p>
    <w:p w14:paraId="1B7F32F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14:paraId="2278504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FB91EB5">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14:paraId="5BB61E33">
      <w:pPr>
        <w:spacing w:line="360" w:lineRule="auto"/>
        <w:ind w:firstLine="480" w:firstLineChars="200"/>
        <w:rPr>
          <w:rFonts w:hint="eastAsia" w:ascii="宋体" w:hAnsi="宋体" w:eastAsia="宋体" w:cs="宋体"/>
          <w:b/>
          <w:color w:val="auto"/>
        </w:rPr>
      </w:pPr>
      <w:r>
        <w:rPr>
          <w:rFonts w:hint="eastAsia" w:ascii="宋体" w:hAnsi="宋体" w:eastAsia="宋体" w:cs="宋体"/>
          <w:color w:val="auto"/>
          <w:sz w:val="24"/>
        </w:rPr>
        <w:t>平等对待内外资企业和符合条件的破产重整企业，切实保障企业公平竞争，平等维护企业的合法利益。</w:t>
      </w:r>
      <w:r>
        <w:rPr>
          <w:rFonts w:hint="eastAsia" w:ascii="宋体" w:hAnsi="宋体" w:eastAsia="宋体" w:cs="宋体"/>
          <w:color w:val="auto"/>
          <w:sz w:val="24"/>
        </w:rPr>
        <w:cr/>
      </w:r>
      <w:r>
        <w:rPr>
          <w:rFonts w:hint="eastAsia" w:ascii="宋体" w:hAnsi="宋体" w:eastAsia="宋体" w:cs="宋体"/>
          <w:b/>
          <w:color w:val="auto"/>
        </w:rPr>
        <w:t>4. 询问、质疑、投诉</w:t>
      </w:r>
    </w:p>
    <w:p w14:paraId="5AB8E41C">
      <w:pPr>
        <w:pStyle w:val="888"/>
        <w:shd w:val="clear" w:color="auto" w:fill="FFFFFF"/>
        <w:snapToGrid w:val="0"/>
        <w:spacing w:after="240" w:afterAutospacing="0" w:line="360" w:lineRule="auto"/>
        <w:ind w:firstLine="400"/>
        <w:contextualSpacing/>
        <w:rPr>
          <w:rFonts w:hint="eastAsia" w:ascii="宋体" w:hAnsi="宋体" w:eastAsia="宋体" w:cs="宋体"/>
          <w:color w:val="auto"/>
          <w:lang w:val="zh-CN"/>
        </w:rPr>
      </w:pPr>
      <w:r>
        <w:rPr>
          <w:rFonts w:hint="eastAsia" w:ascii="宋体" w:hAnsi="宋体" w:eastAsia="宋体" w:cs="宋体"/>
          <w:color w:val="auto"/>
          <w:lang w:val="zh-CN"/>
        </w:rPr>
        <w:t>4.1在线询问、质疑、投诉</w:t>
      </w:r>
    </w:p>
    <w:p w14:paraId="33ACAF48">
      <w:pPr>
        <w:pStyle w:val="888"/>
        <w:shd w:val="clear" w:color="auto" w:fill="FFFFFF"/>
        <w:snapToGrid w:val="0"/>
        <w:spacing w:after="240" w:afterAutospacing="0" w:line="360" w:lineRule="auto"/>
        <w:ind w:firstLine="400"/>
        <w:contextualSpacing/>
        <w:rPr>
          <w:rFonts w:hint="eastAsia" w:ascii="宋体" w:hAnsi="宋体" w:eastAsia="宋体" w:cs="宋体"/>
          <w:color w:val="auto"/>
          <w:lang w:val="zh-CN"/>
        </w:rPr>
      </w:pPr>
      <w:r>
        <w:rPr>
          <w:rFonts w:hint="eastAsia" w:ascii="宋体" w:hAnsi="宋体" w:eastAsia="宋体" w:cs="宋体"/>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E591B8">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4.2供应商询问</w:t>
      </w:r>
    </w:p>
    <w:p w14:paraId="53970B52">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41E86E">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4.3供应商质疑</w:t>
      </w:r>
    </w:p>
    <w:p w14:paraId="7A06589C">
      <w:pPr>
        <w:pStyle w:val="32"/>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14:paraId="79A0EB45">
      <w:pPr>
        <w:pStyle w:val="32"/>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383D95B">
      <w:pPr>
        <w:pStyle w:val="5"/>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14:paraId="61313E96">
      <w:pPr>
        <w:pStyle w:val="32"/>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14:paraId="5410F0EF">
      <w:pPr>
        <w:pStyle w:val="32"/>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w:t>
      </w:r>
      <w:r>
        <w:rPr>
          <w:rFonts w:hint="eastAsia" w:ascii="宋体" w:hAnsi="宋体" w:eastAsia="宋体" w:cs="宋体"/>
          <w:color w:val="auto"/>
          <w:sz w:val="24"/>
        </w:rPr>
        <w:t>供应商提出质疑应当提交质疑函和必要的证明材料。质疑函应当包括下列内容：</w:t>
      </w:r>
    </w:p>
    <w:p w14:paraId="5C354826">
      <w:pPr>
        <w:pStyle w:val="32"/>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4.3.3.1供应商的姓名或者名称、地址、邮编、联系人及联系电话；</w:t>
      </w:r>
    </w:p>
    <w:p w14:paraId="13599D4B">
      <w:pPr>
        <w:pStyle w:val="32"/>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4.3.3.2质疑项目的名称、编号；</w:t>
      </w:r>
    </w:p>
    <w:p w14:paraId="2466BEA8">
      <w:pPr>
        <w:pStyle w:val="32"/>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4.3.3.3具体、明确的质疑事项和与质疑事项相关的请求；</w:t>
      </w:r>
    </w:p>
    <w:p w14:paraId="07E685CD">
      <w:pPr>
        <w:pStyle w:val="32"/>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4.3.3.4事实依据；</w:t>
      </w:r>
    </w:p>
    <w:p w14:paraId="1FDB6EFA">
      <w:pPr>
        <w:pStyle w:val="32"/>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4.3.3.5必要的法律依据；</w:t>
      </w:r>
    </w:p>
    <w:p w14:paraId="378D4CC9">
      <w:pPr>
        <w:pStyle w:val="32"/>
        <w:spacing w:line="360" w:lineRule="auto"/>
        <w:ind w:firstLine="960" w:firstLineChars="4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4.3.3.6提出质疑的日期。</w:t>
      </w:r>
    </w:p>
    <w:p w14:paraId="52D4F5C5">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供应商提交的质疑函需一式三份。供应商为自然人的，应当由本人签字；供应商为法人或者其他组织的，应当由法定代表人、主要负责人，或者其授权代表签字或者盖章，并加盖公章。</w:t>
      </w:r>
    </w:p>
    <w:p w14:paraId="1F1FB74E">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质疑函范本及制作说明详见附件2。</w:t>
      </w:r>
    </w:p>
    <w:p w14:paraId="26360369">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4.3.4对同一采购程序环节的质疑，供应商须在法定质疑期内一次性提出。</w:t>
      </w:r>
    </w:p>
    <w:p w14:paraId="10A5A423">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lang w:val="zh-CN"/>
        </w:rPr>
        <w:t>4.3</w:t>
      </w:r>
      <w:r>
        <w:rPr>
          <w:rFonts w:hint="eastAsia" w:ascii="宋体" w:hAnsi="宋体" w:eastAsia="宋体" w:cs="宋体"/>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2B9646A">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lang w:val="zh-CN"/>
        </w:rPr>
        <w:t>4.3</w:t>
      </w:r>
      <w:r>
        <w:rPr>
          <w:rFonts w:hint="eastAsia" w:ascii="宋体" w:hAnsi="宋体" w:eastAsia="宋体" w:cs="宋体"/>
          <w:color w:val="auto"/>
        </w:rPr>
        <w:t>.6询问或者质疑事项可能影响采购结果的，采购人应当暂停签订合同，已经签订合同的，应当中止履行合同。</w:t>
      </w:r>
    </w:p>
    <w:p w14:paraId="41FE331A">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lang w:val="zh-CN"/>
        </w:rPr>
      </w:pPr>
      <w:r>
        <w:rPr>
          <w:rFonts w:hint="eastAsia" w:ascii="宋体" w:hAnsi="宋体" w:eastAsia="宋体" w:cs="宋体"/>
          <w:color w:val="auto"/>
          <w:lang w:val="zh-CN"/>
        </w:rPr>
        <w:t>4.4供应商投诉</w:t>
      </w:r>
    </w:p>
    <w:p w14:paraId="156D3920">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4.4.1质疑供应商对采购人、采购代理机构的答复不满意或者采购人、采购代理机构未在规定的时间内作出答复的，可以在答复期满后十五个工作日内向同级政府采购监督管理部门提出投诉。</w:t>
      </w:r>
    </w:p>
    <w:p w14:paraId="49873B1A">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w:t>
      </w:r>
      <w:r>
        <w:rPr>
          <w:rFonts w:hint="eastAsia" w:ascii="宋体" w:hAnsi="宋体" w:eastAsia="宋体" w:cs="宋体"/>
          <w:color w:val="auto"/>
          <w:lang w:val="zh-CN"/>
        </w:rPr>
        <w:t>2</w:t>
      </w:r>
      <w:r>
        <w:rPr>
          <w:rFonts w:hint="eastAsia" w:ascii="宋体" w:hAnsi="宋体" w:eastAsia="宋体" w:cs="宋体"/>
          <w:color w:val="auto"/>
        </w:rPr>
        <w:t>供应商投诉的事项不得超出已质疑事项的范围，基于质疑答复内容提出的投诉事项除外。</w:t>
      </w:r>
    </w:p>
    <w:p w14:paraId="5FBED148">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4.4.3供应商投诉应当有明确的请求和必要的证明材料。</w:t>
      </w:r>
    </w:p>
    <w:p w14:paraId="4EF4CCAB">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4.4.4 以联合体形式参加政府采购活动的，其投诉应当由组成联合体的所有供应商共同提出。</w:t>
      </w:r>
    </w:p>
    <w:p w14:paraId="4B4577C2">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投诉书范本及制作说明详见附件3。</w:t>
      </w:r>
    </w:p>
    <w:p w14:paraId="67D6DFD1">
      <w:pPr>
        <w:adjustRightInd/>
        <w:spacing w:line="360" w:lineRule="auto"/>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 xml:space="preserve">      二、招标文件的构成、澄清、修改</w:t>
      </w:r>
    </w:p>
    <w:p w14:paraId="723E1D47">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5．招标文件的构成</w:t>
      </w:r>
    </w:p>
    <w:p w14:paraId="312372C4">
      <w:pPr>
        <w:pStyle w:val="3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招标文件包括下列文件及附件：</w:t>
      </w:r>
    </w:p>
    <w:p w14:paraId="2F0CA61F">
      <w:pPr>
        <w:pStyle w:val="32"/>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5.1.1招标公告；</w:t>
      </w:r>
    </w:p>
    <w:p w14:paraId="781C1AF4">
      <w:pPr>
        <w:pStyle w:val="32"/>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5.1.2投标人须知；</w:t>
      </w:r>
    </w:p>
    <w:p w14:paraId="28329B87">
      <w:pPr>
        <w:pStyle w:val="32"/>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14:paraId="021CB5BA">
      <w:pPr>
        <w:pStyle w:val="32"/>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14:paraId="5C4E5D60">
      <w:pPr>
        <w:pStyle w:val="32"/>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14:paraId="016C938C">
      <w:pPr>
        <w:pStyle w:val="32"/>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14:paraId="486FA66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14:paraId="4F28B305">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14:paraId="292389AE">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6.1已获取招标文件的潜在投标人，若有问题需要澄清，应于投标截止时间前，以书面形式向采购代理机构提出。</w:t>
      </w:r>
    </w:p>
    <w:p w14:paraId="524D3CB3">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BC46D3E">
      <w:pPr>
        <w:pStyle w:val="23"/>
        <w:rPr>
          <w:rFonts w:hint="eastAsia" w:ascii="宋体" w:hAnsi="宋体" w:eastAsia="宋体" w:cs="宋体"/>
          <w:color w:val="auto"/>
          <w:sz w:val="18"/>
          <w:szCs w:val="18"/>
          <w:lang w:val="en-US"/>
        </w:rPr>
      </w:pPr>
    </w:p>
    <w:p w14:paraId="4B158BC4">
      <w:pPr>
        <w:adjustRightInd/>
        <w:spacing w:line="360" w:lineRule="auto"/>
        <w:jc w:val="center"/>
        <w:outlineLvl w:val="0"/>
        <w:rPr>
          <w:rFonts w:hint="eastAsia" w:ascii="宋体" w:hAnsi="宋体" w:eastAsia="宋体" w:cs="宋体"/>
          <w:b/>
          <w:color w:val="auto"/>
          <w:sz w:val="30"/>
          <w:szCs w:val="20"/>
        </w:rPr>
      </w:pPr>
      <w:r>
        <w:rPr>
          <w:rFonts w:hint="eastAsia" w:ascii="宋体" w:hAnsi="宋体" w:eastAsia="宋体" w:cs="宋体"/>
          <w:b/>
          <w:color w:val="auto"/>
          <w:sz w:val="30"/>
          <w:szCs w:val="20"/>
        </w:rPr>
        <w:t>三、投标</w:t>
      </w:r>
    </w:p>
    <w:p w14:paraId="4BBD11EE">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14:paraId="4452766C">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14:paraId="3D4CF99A">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14:paraId="29D01903">
      <w:pPr>
        <w:pStyle w:val="3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14:paraId="3F3CE13F">
      <w:pPr>
        <w:pStyle w:val="32"/>
        <w:spacing w:line="360" w:lineRule="auto"/>
        <w:rPr>
          <w:rFonts w:hint="eastAsia" w:ascii="宋体" w:hAnsi="宋体" w:eastAsia="宋体" w:cs="宋体"/>
          <w:b/>
          <w:color w:val="auto"/>
          <w:szCs w:val="24"/>
        </w:rPr>
      </w:pPr>
      <w:r>
        <w:rPr>
          <w:rFonts w:hint="eastAsia" w:ascii="宋体" w:hAnsi="宋体" w:eastAsia="宋体" w:cs="宋体"/>
          <w:b/>
          <w:color w:val="auto"/>
          <w:kern w:val="28"/>
          <w:sz w:val="24"/>
          <w:szCs w:val="24"/>
        </w:rPr>
        <w:t>9.投标保证金</w:t>
      </w:r>
    </w:p>
    <w:p w14:paraId="421632AA">
      <w:pPr>
        <w:pStyle w:val="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5ED1E552">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14:paraId="6BE40D00">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14:paraId="0D346865">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14:paraId="299934D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b/>
          <w:color w:val="auto"/>
          <w:sz w:val="24"/>
        </w:rPr>
        <w:t>资格文件</w:t>
      </w:r>
      <w:r>
        <w:rPr>
          <w:rFonts w:hint="eastAsia" w:ascii="宋体" w:hAnsi="宋体" w:eastAsia="宋体" w:cs="宋体"/>
          <w:color w:val="auto"/>
          <w:sz w:val="24"/>
        </w:rPr>
        <w:t>：</w:t>
      </w:r>
    </w:p>
    <w:p w14:paraId="0CEFD5BA">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14:paraId="2E37B4E4">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w:t>
      </w:r>
      <w:bookmarkStart w:id="16" w:name="_Hlk101259339"/>
      <w:r>
        <w:rPr>
          <w:rFonts w:hint="eastAsia" w:ascii="宋体" w:hAnsi="宋体" w:eastAsia="宋体" w:cs="宋体"/>
          <w:snapToGrid w:val="0"/>
          <w:color w:val="auto"/>
          <w:kern w:val="28"/>
          <w:sz w:val="24"/>
          <w:szCs w:val="20"/>
        </w:rPr>
        <w:t>联合协议</w:t>
      </w:r>
      <w:bookmarkEnd w:id="16"/>
      <w:r>
        <w:rPr>
          <w:rFonts w:hint="eastAsia" w:ascii="宋体" w:hAnsi="宋体" w:eastAsia="宋体" w:cs="宋体"/>
          <w:snapToGrid w:val="0"/>
          <w:color w:val="auto"/>
          <w:kern w:val="28"/>
          <w:sz w:val="24"/>
          <w:szCs w:val="20"/>
        </w:rPr>
        <w:t>（如果有)；</w:t>
      </w:r>
    </w:p>
    <w:p w14:paraId="6B5834C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0"/>
        </w:rPr>
        <w:t>：</w:t>
      </w:r>
      <w:r>
        <w:rPr>
          <w:rFonts w:hint="eastAsia" w:ascii="宋体" w:hAnsi="宋体" w:eastAsia="宋体" w:cs="宋体"/>
          <w:color w:val="auto"/>
          <w:sz w:val="24"/>
        </w:rPr>
        <w:t>提供《中小企业声明函》或《残疾人福利性单位声明函》或由省级以上监狱管理局、戒毒管理局（含新疆生产建设兵团）出具的属于监狱企业的证明文件；</w:t>
      </w:r>
    </w:p>
    <w:p w14:paraId="54CBF979">
      <w:pPr>
        <w:snapToGrid w:val="0"/>
        <w:spacing w:line="360" w:lineRule="auto"/>
        <w:ind w:firstLine="960" w:firstLineChars="400"/>
        <w:rPr>
          <w:rFonts w:hint="eastAsia"/>
        </w:rPr>
      </w:pPr>
      <w:r>
        <w:rPr>
          <w:rFonts w:hint="eastAsia" w:asciiTheme="majorEastAsia" w:hAnsiTheme="majorEastAsia" w:eastAsiaTheme="majorEastAsia" w:cstheme="majorEastAsia"/>
          <w:color w:val="auto"/>
          <w:sz w:val="24"/>
          <w:highlight w:val="none"/>
        </w:rPr>
        <w:t>11.1.4本项目的特定资格要求</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30247963">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b/>
          <w:bCs/>
          <w:color w:val="auto"/>
          <w:sz w:val="24"/>
        </w:rPr>
        <w:t>商务技术</w:t>
      </w:r>
      <w:r>
        <w:rPr>
          <w:rFonts w:hint="eastAsia" w:ascii="宋体" w:hAnsi="宋体" w:eastAsia="宋体" w:cs="宋体"/>
          <w:b/>
          <w:bCs/>
          <w:color w:val="auto"/>
          <w:sz w:val="24"/>
          <w:lang w:val="zh-CN"/>
        </w:rPr>
        <w:t>文件</w:t>
      </w:r>
      <w:r>
        <w:rPr>
          <w:rFonts w:hint="eastAsia" w:ascii="宋体" w:hAnsi="宋体" w:eastAsia="宋体" w:cs="宋体"/>
          <w:color w:val="auto"/>
          <w:sz w:val="24"/>
          <w:lang w:val="zh-CN"/>
        </w:rPr>
        <w:t>：</w:t>
      </w:r>
    </w:p>
    <w:p w14:paraId="2A1A6A6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11.2.1投标函；</w:t>
      </w:r>
    </w:p>
    <w:p w14:paraId="027F2034">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11.2.2授权委托书或法定代表人（单位负责人、自然人本人）身份证明；</w:t>
      </w:r>
    </w:p>
    <w:p w14:paraId="50BDC68E">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161DEF25">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11.2.4符合性审查资料；</w:t>
      </w:r>
    </w:p>
    <w:p w14:paraId="458494BF">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438C2648">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11.2.6投标标的清单；</w:t>
      </w:r>
    </w:p>
    <w:p w14:paraId="7ACE4286">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14:paraId="00AE88FF">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15CC7EEA">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p>
    <w:p w14:paraId="022E741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14:paraId="262C782B">
      <w:pPr>
        <w:snapToGrid w:val="0"/>
        <w:spacing w:line="360" w:lineRule="auto"/>
        <w:ind w:firstLine="960" w:firstLineChars="4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11.3.2中小企业声明函（如果有）。</w:t>
      </w:r>
    </w:p>
    <w:p w14:paraId="21D795AD">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14:paraId="66859720">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14:paraId="2D7327A7">
      <w:pPr>
        <w:pStyle w:val="133"/>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p>
    <w:p w14:paraId="0761FA55">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ED6C39">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671D7F">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56C9AAB">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13.投标文件的签署、盖章</w:t>
      </w:r>
    </w:p>
    <w:p w14:paraId="3FB5CD39">
      <w:pPr>
        <w:pStyle w:val="133"/>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14:paraId="049E38EA">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BC41C98">
      <w:pPr>
        <w:pStyle w:val="133"/>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14:paraId="4A284BFB">
      <w:pPr>
        <w:pStyle w:val="13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14:paraId="2DA1BA89">
      <w:pPr>
        <w:pStyle w:val="133"/>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81E48D7">
      <w:pPr>
        <w:pStyle w:val="133"/>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44B3762">
      <w:pPr>
        <w:pStyle w:val="133"/>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07CBD803">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15.备份投标文件</w:t>
      </w:r>
    </w:p>
    <w:p w14:paraId="6306FA84">
      <w:pPr>
        <w:pStyle w:val="32"/>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但采购人、采购代理机构不强制或变相强制投标人提交备份投标文件。</w:t>
      </w:r>
    </w:p>
    <w:p w14:paraId="5546D41F">
      <w:pPr>
        <w:pStyle w:val="32"/>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14:paraId="53FEDA4F">
      <w:pPr>
        <w:pStyle w:val="3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23C28EDD">
      <w:pPr>
        <w:pStyle w:val="3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044B6F0F">
      <w:pPr>
        <w:pStyle w:val="32"/>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14:paraId="52BC4A10">
      <w:pPr>
        <w:pStyle w:val="13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16.投标文件的无效处理</w:t>
      </w:r>
    </w:p>
    <w:p w14:paraId="518DD897">
      <w:pPr>
        <w:pStyle w:val="24"/>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w:t>
      </w:r>
      <w:r>
        <w:rPr>
          <w:rFonts w:hint="eastAsia" w:cs="宋体"/>
          <w:color w:val="auto"/>
          <w:szCs w:val="21"/>
          <w:lang w:val="en-US" w:eastAsia="zh-CN"/>
        </w:rPr>
        <w:t>1</w:t>
      </w:r>
      <w:r>
        <w:rPr>
          <w:rFonts w:hint="eastAsia" w:ascii="宋体" w:hAnsi="宋体" w:eastAsia="宋体" w:cs="宋体"/>
          <w:color w:val="auto"/>
        </w:rPr>
        <w:t>4.2规定</w:t>
      </w:r>
      <w:r>
        <w:rPr>
          <w:rFonts w:hint="eastAsia" w:ascii="宋体" w:hAnsi="宋体" w:eastAsia="宋体" w:cs="宋体"/>
          <w:color w:val="auto"/>
          <w:szCs w:val="21"/>
        </w:rPr>
        <w:t>的情形之一的，投标无效：</w:t>
      </w:r>
    </w:p>
    <w:p w14:paraId="094BC96B">
      <w:pPr>
        <w:pStyle w:val="13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17.投标有效期</w:t>
      </w:r>
    </w:p>
    <w:p w14:paraId="55CE38C5">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14:paraId="2B1B418A">
      <w:pPr>
        <w:pStyle w:val="133"/>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14:paraId="059A8185">
      <w:pPr>
        <w:pStyle w:val="133"/>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3C524FFC">
      <w:pPr>
        <w:pStyle w:val="133"/>
        <w:spacing w:before="0"/>
        <w:ind w:firstLine="643"/>
        <w:rPr>
          <w:rFonts w:hint="eastAsia" w:ascii="宋体" w:hAnsi="宋体" w:eastAsia="宋体" w:cs="宋体"/>
          <w:b/>
          <w:color w:val="auto"/>
          <w:sz w:val="32"/>
        </w:rPr>
      </w:pPr>
    </w:p>
    <w:p w14:paraId="67E32B20">
      <w:pPr>
        <w:pStyle w:val="133"/>
        <w:spacing w:before="0"/>
        <w:ind w:firstLine="1928" w:firstLineChars="600"/>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14:paraId="78DE8E90">
      <w:pPr>
        <w:pStyle w:val="558"/>
        <w:spacing w:before="0" w:line="360" w:lineRule="auto"/>
        <w:ind w:left="0" w:firstLine="241" w:firstLineChars="100"/>
        <w:contextualSpacing/>
        <w:rPr>
          <w:rFonts w:hint="eastAsia" w:ascii="宋体" w:hAnsi="宋体" w:eastAsia="宋体" w:cs="宋体"/>
          <w:color w:val="auto"/>
          <w:sz w:val="24"/>
        </w:rPr>
      </w:pPr>
      <w:r>
        <w:rPr>
          <w:rFonts w:hint="eastAsia" w:ascii="宋体" w:hAnsi="宋体" w:eastAsia="宋体" w:cs="宋体"/>
          <w:b/>
          <w:color w:val="auto"/>
          <w:sz w:val="24"/>
          <w:szCs w:val="24"/>
        </w:rPr>
        <w:t>18.开标</w:t>
      </w:r>
    </w:p>
    <w:p w14:paraId="4C59E88A">
      <w:pPr>
        <w:pStyle w:val="558"/>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18.1采购代理机构按照招标文件规定的时间通过电子交易平台组织开标，所有投标人均应当准时在线参加。投标人不足3家的，不得开标。</w:t>
      </w:r>
    </w:p>
    <w:p w14:paraId="69406B87">
      <w:pPr>
        <w:pStyle w:val="558"/>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41267823">
      <w:pPr>
        <w:pStyle w:val="558"/>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投标文件未按时解密，投标人提供了备份投标文件的，以备份投标文件作为依据，否则视为投标文件撤回。投标文件已按时解密的，备份投标文件自动失效。</w:t>
      </w:r>
    </w:p>
    <w:p w14:paraId="4585BCDA">
      <w:pPr>
        <w:widowControl/>
        <w:spacing w:before="100" w:beforeAutospacing="1" w:after="240" w:line="360" w:lineRule="auto"/>
        <w:jc w:val="left"/>
        <w:rPr>
          <w:rFonts w:hint="eastAsia" w:ascii="宋体" w:hAnsi="宋体" w:eastAsia="宋体" w:cs="宋体"/>
          <w:b/>
          <w:color w:val="auto"/>
          <w:sz w:val="24"/>
          <w:szCs w:val="20"/>
        </w:rPr>
      </w:pPr>
      <w:r>
        <w:rPr>
          <w:rFonts w:hint="eastAsia" w:ascii="宋体" w:hAnsi="宋体" w:eastAsia="宋体" w:cs="宋体"/>
          <w:b/>
          <w:color w:val="auto"/>
          <w:sz w:val="24"/>
          <w:szCs w:val="20"/>
        </w:rPr>
        <w:t>　19、资格审查</w:t>
      </w:r>
    </w:p>
    <w:p w14:paraId="2BF7B5B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19.1</w:t>
      </w:r>
      <w:r>
        <w:rPr>
          <w:rFonts w:hint="eastAsia" w:ascii="宋体" w:hAnsi="宋体" w:eastAsia="宋体" w:cs="宋体"/>
          <w:color w:val="auto"/>
          <w:sz w:val="24"/>
        </w:rPr>
        <w:t>采购人或采购代理机构依据法律法规和招标文件的规定，对投标人的资格进行审查。</w:t>
      </w:r>
    </w:p>
    <w:p w14:paraId="00CF4C7F">
      <w:pPr>
        <w:pStyle w:val="133"/>
        <w:spacing w:before="0"/>
        <w:ind w:firstLine="480"/>
        <w:rPr>
          <w:rFonts w:hint="eastAsia" w:ascii="宋体" w:hAnsi="宋体" w:eastAsia="宋体" w:cs="宋体"/>
          <w:color w:val="auto"/>
        </w:rPr>
      </w:pPr>
      <w:r>
        <w:rPr>
          <w:rFonts w:hint="eastAsia" w:ascii="宋体" w:hAnsi="宋体" w:eastAsia="宋体" w:cs="宋体"/>
          <w:color w:val="auto"/>
          <w:kern w:val="0"/>
          <w:szCs w:val="24"/>
        </w:rPr>
        <w:t>19.2投标人未按照招标文件要求提供与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14:paraId="68E50BFE">
      <w:pPr>
        <w:pStyle w:val="133"/>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3对未通过资格审查的投标人，采购人或采购代理机构告知其未通过的原因。</w:t>
      </w:r>
    </w:p>
    <w:p w14:paraId="76521FAF">
      <w:pPr>
        <w:pStyle w:val="133"/>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4合格投标人不足3家的，不再评标。</w:t>
      </w:r>
    </w:p>
    <w:p w14:paraId="5A05C358">
      <w:pPr>
        <w:pStyle w:val="13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20、信用信息查询</w:t>
      </w:r>
    </w:p>
    <w:p w14:paraId="5356D99D">
      <w:pPr>
        <w:pStyle w:val="133"/>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14:paraId="02BC28E9">
      <w:pPr>
        <w:pStyle w:val="133"/>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14:paraId="6D42640B">
      <w:pPr>
        <w:pStyle w:val="133"/>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20.3信用信息的使用规则：经查询列入失信被执行人名单、重大税收违法失信主体、政府采购严重违法失信行为记录名单的投标人将被拒绝参与政府采购活动。</w:t>
      </w:r>
    </w:p>
    <w:p w14:paraId="6123A138">
      <w:pPr>
        <w:pStyle w:val="133"/>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14:paraId="319E0AED">
      <w:pPr>
        <w:pStyle w:val="133"/>
        <w:spacing w:before="0"/>
        <w:ind w:firstLine="0" w:firstLineChars="0"/>
        <w:rPr>
          <w:rFonts w:hint="eastAsia" w:ascii="宋体" w:hAnsi="宋体" w:eastAsia="宋体" w:cs="宋体"/>
          <w:color w:val="auto"/>
          <w:kern w:val="0"/>
          <w:szCs w:val="24"/>
        </w:rPr>
      </w:pPr>
    </w:p>
    <w:p w14:paraId="35028C88">
      <w:pPr>
        <w:snapToGrid w:val="0"/>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五、评标</w:t>
      </w:r>
    </w:p>
    <w:p w14:paraId="3785C838">
      <w:pPr>
        <w:spacing w:line="360" w:lineRule="auto"/>
        <w:rPr>
          <w:rFonts w:hint="eastAsia" w:ascii="宋体" w:hAnsi="宋体" w:eastAsia="宋体" w:cs="宋体"/>
          <w:b/>
          <w:color w:val="auto"/>
          <w:sz w:val="24"/>
        </w:rPr>
      </w:pPr>
      <w:bookmarkStart w:id="17" w:name="_Toc91899903"/>
      <w:r>
        <w:rPr>
          <w:rFonts w:hint="eastAsia" w:ascii="宋体" w:hAnsi="宋体" w:eastAsia="宋体" w:cs="宋体"/>
          <w:b/>
          <w:color w:val="auto"/>
          <w:sz w:val="24"/>
        </w:rPr>
        <w:t>21.</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14:paraId="6D050C0C">
      <w:pPr>
        <w:spacing w:line="360" w:lineRule="auto"/>
        <w:rPr>
          <w:rFonts w:hint="eastAsia" w:ascii="宋体" w:hAnsi="宋体" w:eastAsia="宋体" w:cs="宋体"/>
          <w:b/>
          <w:color w:val="auto"/>
          <w:sz w:val="24"/>
        </w:rPr>
      </w:pPr>
    </w:p>
    <w:p w14:paraId="23BA25E5">
      <w:pPr>
        <w:snapToGrid w:val="0"/>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六、定 标</w:t>
      </w:r>
    </w:p>
    <w:p w14:paraId="6E5CC4D9">
      <w:pPr>
        <w:pStyle w:val="24"/>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14:paraId="319A13B3">
      <w:pPr>
        <w:pStyle w:val="133"/>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2397D83">
      <w:pPr>
        <w:pStyle w:val="133"/>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14:paraId="4FD6363F">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010407D2">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86EF643">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23.3公告期限为1个工作日。</w:t>
      </w:r>
    </w:p>
    <w:p w14:paraId="66FB7061">
      <w:pPr>
        <w:snapToGrid w:val="0"/>
        <w:spacing w:line="360" w:lineRule="auto"/>
        <w:ind w:left="120" w:leftChars="57" w:firstLine="482" w:firstLineChars="150"/>
        <w:jc w:val="center"/>
        <w:rPr>
          <w:rFonts w:hint="eastAsia" w:ascii="宋体" w:hAnsi="宋体" w:eastAsia="宋体" w:cs="宋体"/>
          <w:b/>
          <w:color w:val="auto"/>
          <w:sz w:val="32"/>
        </w:rPr>
      </w:pPr>
    </w:p>
    <w:p w14:paraId="561DBC7D">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七、合同授予</w:t>
      </w:r>
    </w:p>
    <w:p w14:paraId="46116BCD">
      <w:pPr>
        <w:pStyle w:val="24"/>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 xml:space="preserve">24. </w:t>
      </w:r>
      <w:r>
        <w:rPr>
          <w:rFonts w:hint="eastAsia" w:ascii="宋体" w:hAnsi="宋体" w:eastAsia="宋体" w:cs="宋体"/>
          <w:color w:val="auto"/>
        </w:rPr>
        <w:t>合同主要条款详见第五部分拟签订的合同文本。</w:t>
      </w:r>
    </w:p>
    <w:p w14:paraId="5CD663CF">
      <w:pPr>
        <w:pStyle w:val="24"/>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25. 合同的签订</w:t>
      </w:r>
    </w:p>
    <w:p w14:paraId="6F99516D">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sz w:val="24"/>
        </w:rPr>
        <w:t>25.1</w:t>
      </w:r>
      <w:r>
        <w:rPr>
          <w:rFonts w:hint="eastAsia" w:ascii="宋体" w:hAnsi="宋体" w:eastAsia="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DE51FC8">
      <w:pPr>
        <w:pStyle w:val="133"/>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9D659A">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25.3如签订合同并生效后，供应商无故拒绝或延期，除按照合同条款处理外，列入不良行为记录一次，并给予通报。</w:t>
      </w:r>
    </w:p>
    <w:p w14:paraId="3B53620A">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25.4中标供应商拒绝与采购人签订合同的，采购人可以按照评审报告推荐的中标或者成交候选人名单排序，确定下一候选人为中标供应商，也可以重新开展政府采购活动。</w:t>
      </w:r>
    </w:p>
    <w:p w14:paraId="22ED2A2A">
      <w:pPr>
        <w:pStyle w:val="133"/>
        <w:snapToGrid w:val="0"/>
        <w:spacing w:before="0" w:after="120"/>
        <w:ind w:firstLine="480"/>
        <w:rPr>
          <w:rFonts w:hint="eastAsia" w:ascii="宋体" w:hAnsi="宋体" w:eastAsia="宋体" w:cs="宋体"/>
          <w:color w:val="auto"/>
        </w:rPr>
      </w:pPr>
      <w:r>
        <w:rPr>
          <w:rFonts w:hint="eastAsia" w:ascii="宋体" w:hAnsi="宋体" w:eastAsia="宋体" w:cs="宋体"/>
          <w:color w:val="auto"/>
        </w:rPr>
        <w:t>25.5采购合同由采购人与中标供应商根据招标文件、投标文件等内容通过政府采购电子交易平台在线签订，自动备案。</w:t>
      </w:r>
    </w:p>
    <w:p w14:paraId="3B7C79E6">
      <w:pPr>
        <w:pStyle w:val="24"/>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26. 履约保证金</w:t>
      </w:r>
    </w:p>
    <w:p w14:paraId="4D1644E3">
      <w:pPr>
        <w:tabs>
          <w:tab w:val="left" w:pos="0"/>
        </w:tabs>
        <w:spacing w:line="360" w:lineRule="auto"/>
        <w:ind w:firstLine="482"/>
        <w:rPr>
          <w:rFonts w:hint="eastAsia" w:ascii="宋体" w:hAnsi="宋体" w:eastAsia="宋体" w:cs="宋体"/>
          <w:color w:val="auto"/>
          <w:sz w:val="24"/>
        </w:rPr>
      </w:pPr>
      <w:r>
        <w:rPr>
          <w:rFonts w:hint="eastAsia" w:ascii="宋体" w:hAnsi="宋体" w:eastAsia="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1694E3F">
      <w:pPr>
        <w:pStyle w:val="3"/>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674D7E">
      <w:pPr>
        <w:pStyle w:val="3"/>
        <w:rPr>
          <w:rFonts w:hint="eastAsia" w:ascii="宋体" w:hAnsi="宋体" w:eastAsia="宋体" w:cs="宋体"/>
          <w:color w:val="auto"/>
        </w:rPr>
      </w:pPr>
      <w:r>
        <w:rPr>
          <w:rFonts w:hint="eastAsia" w:ascii="宋体" w:hAnsi="宋体" w:eastAsia="宋体" w:cs="宋体"/>
          <w:color w:val="auto"/>
          <w:sz w:val="24"/>
          <w:lang w:val="en-US"/>
        </w:rPr>
        <w:t>27.预付款</w:t>
      </w:r>
    </w:p>
    <w:p w14:paraId="56E0E0EB">
      <w:pPr>
        <w:adjustRightInd/>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5012198">
      <w:pPr>
        <w:rPr>
          <w:rFonts w:hint="eastAsia" w:ascii="宋体" w:hAnsi="宋体" w:eastAsia="宋体" w:cs="宋体"/>
          <w:color w:val="auto"/>
        </w:rPr>
      </w:pPr>
    </w:p>
    <w:p w14:paraId="6765725F">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14:paraId="2B2009F2">
      <w:pPr>
        <w:pStyle w:val="133"/>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rPr>
        <w:t>2</w:t>
      </w:r>
      <w:r>
        <w:rPr>
          <w:rFonts w:hint="eastAsia" w:ascii="宋体" w:hAnsi="宋体" w:eastAsia="宋体" w:cs="宋体"/>
          <w:b/>
          <w:bCs/>
          <w:color w:val="auto"/>
          <w:szCs w:val="24"/>
        </w:rPr>
        <w:t>8</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采购过程中出现以下情形，导致电子交易平台无法正常运行，或者无法保证电子交易的公平、公正和安全时，采购代理机构可中止电子交易活动：</w:t>
      </w:r>
    </w:p>
    <w:p w14:paraId="491D7C89">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28.1电子交易平台发生故障而无法登录访问的； </w:t>
      </w:r>
    </w:p>
    <w:p w14:paraId="1FA88A8F">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28.2电子交易平台应用或数据库出现错误，不能进行正常操作的；</w:t>
      </w:r>
    </w:p>
    <w:p w14:paraId="22679556">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28.3电子交易平台发现严重安全漏洞，有潜在泄密危险的；</w:t>
      </w:r>
    </w:p>
    <w:p w14:paraId="090C41E8">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28.4病毒发作导致不能进行正常操作的； </w:t>
      </w:r>
    </w:p>
    <w:p w14:paraId="66E16910">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28.5其他无法保证电子交易的公平、公正和安全的情况。</w:t>
      </w:r>
    </w:p>
    <w:p w14:paraId="1795D8D2">
      <w:pPr>
        <w:pStyle w:val="133"/>
        <w:snapToGrid w:val="0"/>
        <w:spacing w:before="0"/>
        <w:ind w:firstLine="0" w:firstLineChars="0"/>
        <w:rPr>
          <w:rFonts w:hint="eastAsia" w:ascii="宋体" w:hAnsi="宋体" w:eastAsia="宋体" w:cs="宋体"/>
          <w:color w:val="auto"/>
        </w:rPr>
      </w:pPr>
      <w:r>
        <w:rPr>
          <w:rFonts w:hint="eastAsia" w:ascii="宋体" w:hAnsi="宋体" w:eastAsia="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220CC80">
      <w:pPr>
        <w:tabs>
          <w:tab w:val="left" w:pos="0"/>
        </w:tabs>
        <w:spacing w:line="360" w:lineRule="auto"/>
        <w:ind w:firstLine="480"/>
        <w:rPr>
          <w:rFonts w:hint="eastAsia" w:ascii="宋体" w:hAnsi="宋体" w:eastAsia="宋体" w:cs="宋体"/>
          <w:color w:val="auto"/>
          <w:sz w:val="24"/>
        </w:rPr>
      </w:pPr>
    </w:p>
    <w:p w14:paraId="5F88F1FD">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九、验收</w:t>
      </w:r>
    </w:p>
    <w:p w14:paraId="0E4F204A">
      <w:pPr>
        <w:pStyle w:val="24"/>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30.验收</w:t>
      </w:r>
    </w:p>
    <w:p w14:paraId="61EADB23">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DBBBE26">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30.2采购人可以邀请参加本项目的其他投标人或者第三方机构参与验收。参与验收的投标人或者第三方机构的意见作为验收书的参考资料一并存档。</w:t>
      </w:r>
    </w:p>
    <w:p w14:paraId="5D5C7DCA">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8F3B93">
      <w:pPr>
        <w:tabs>
          <w:tab w:val="left" w:pos="0"/>
        </w:tabs>
        <w:spacing w:line="360" w:lineRule="auto"/>
        <w:ind w:firstLine="480"/>
        <w:rPr>
          <w:rFonts w:hint="eastAsia" w:ascii="宋体" w:hAnsi="宋体" w:eastAsia="宋体" w:cs="宋体"/>
          <w:color w:val="auto"/>
          <w:sz w:val="18"/>
          <w:szCs w:val="18"/>
        </w:rPr>
      </w:pPr>
      <w:r>
        <w:rPr>
          <w:rFonts w:hint="eastAsia" w:ascii="宋体" w:hAnsi="宋体" w:eastAsia="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0CE04FA8">
      <w:pPr>
        <w:tabs>
          <w:tab w:val="left" w:pos="0"/>
        </w:tabs>
        <w:spacing w:line="360" w:lineRule="auto"/>
        <w:ind w:firstLine="480"/>
        <w:rPr>
          <w:rFonts w:hint="eastAsia" w:ascii="宋体" w:hAnsi="宋体" w:eastAsia="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75236101"/>
      <w:bookmarkEnd w:id="18"/>
      <w:bookmarkStart w:id="19" w:name="_Hlt68072990"/>
      <w:bookmarkEnd w:id="19"/>
      <w:bookmarkStart w:id="20" w:name="_Hlt74730295"/>
      <w:bookmarkEnd w:id="20"/>
      <w:bookmarkStart w:id="21" w:name="_Hlt74714665"/>
      <w:bookmarkEnd w:id="21"/>
      <w:bookmarkStart w:id="22" w:name="_Hlt74729768"/>
      <w:bookmarkEnd w:id="22"/>
      <w:bookmarkStart w:id="23" w:name="_Hlt75236011"/>
      <w:bookmarkEnd w:id="23"/>
      <w:bookmarkStart w:id="24" w:name="_Hlt68403820"/>
      <w:bookmarkEnd w:id="24"/>
      <w:bookmarkStart w:id="25" w:name="_Hlt68073093"/>
      <w:bookmarkEnd w:id="25"/>
      <w:bookmarkStart w:id="26" w:name="_Hlt68072998"/>
      <w:bookmarkEnd w:id="26"/>
      <w:bookmarkStart w:id="27" w:name="_Hlt74707468"/>
      <w:bookmarkEnd w:id="27"/>
      <w:bookmarkStart w:id="28" w:name="_Hlt75236290"/>
      <w:bookmarkEnd w:id="28"/>
      <w:bookmarkStart w:id="29" w:name="_Hlt68057669"/>
      <w:bookmarkEnd w:id="29"/>
    </w:p>
    <w:bookmarkEnd w:id="12"/>
    <w:bookmarkEnd w:id="13"/>
    <w:p w14:paraId="3179B399">
      <w:pPr>
        <w:spacing w:line="360" w:lineRule="auto"/>
        <w:jc w:val="center"/>
        <w:outlineLvl w:val="0"/>
        <w:rPr>
          <w:rFonts w:hint="eastAsia" w:ascii="宋体" w:hAnsi="宋体" w:eastAsia="宋体" w:cs="宋体"/>
          <w:b/>
          <w:color w:val="auto"/>
          <w:sz w:val="36"/>
          <w:szCs w:val="36"/>
        </w:rPr>
      </w:pPr>
      <w:bookmarkStart w:id="30" w:name="第四部分"/>
      <w:r>
        <w:rPr>
          <w:rFonts w:hint="eastAsia" w:ascii="宋体" w:hAnsi="宋体" w:eastAsia="宋体" w:cs="宋体"/>
          <w:b/>
          <w:color w:val="auto"/>
          <w:sz w:val="36"/>
          <w:szCs w:val="36"/>
        </w:rPr>
        <w:t>第三部分   采购需求</w:t>
      </w:r>
    </w:p>
    <w:p w14:paraId="5C93B39E">
      <w:pPr>
        <w:spacing w:line="360" w:lineRule="auto"/>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一、</w:t>
      </w:r>
      <w:r>
        <w:rPr>
          <w:rFonts w:hint="eastAsia" w:ascii="宋体" w:hAnsi="宋体" w:eastAsia="宋体" w:cs="宋体"/>
          <w:b/>
          <w:color w:val="auto"/>
          <w:sz w:val="28"/>
          <w:szCs w:val="28"/>
        </w:rPr>
        <w:t>采购内容及数量</w:t>
      </w:r>
    </w:p>
    <w:tbl>
      <w:tblPr>
        <w:tblStyle w:val="62"/>
        <w:tblpPr w:leftFromText="180" w:rightFromText="180" w:vertAnchor="text" w:horzAnchor="page" w:tblpXSpec="center" w:tblpY="396"/>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553"/>
        <w:gridCol w:w="1527"/>
        <w:gridCol w:w="991"/>
        <w:gridCol w:w="704"/>
        <w:gridCol w:w="1416"/>
        <w:gridCol w:w="735"/>
      </w:tblGrid>
      <w:tr w14:paraId="2F20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52" w:type="pct"/>
            <w:vAlign w:val="center"/>
          </w:tcPr>
          <w:p w14:paraId="3326753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序号</w:t>
            </w:r>
          </w:p>
        </w:tc>
        <w:tc>
          <w:tcPr>
            <w:tcW w:w="1525" w:type="pct"/>
            <w:vAlign w:val="center"/>
          </w:tcPr>
          <w:p w14:paraId="2B08974F">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项目名称</w:t>
            </w:r>
          </w:p>
        </w:tc>
        <w:tc>
          <w:tcPr>
            <w:tcW w:w="921" w:type="pct"/>
            <w:vAlign w:val="center"/>
          </w:tcPr>
          <w:p w14:paraId="6CCCC180">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主要</w:t>
            </w:r>
            <w:r>
              <w:rPr>
                <w:rFonts w:hint="eastAsia" w:ascii="宋体" w:hAnsi="宋体" w:eastAsia="宋体" w:cs="宋体"/>
                <w:b/>
                <w:color w:val="auto"/>
                <w:sz w:val="24"/>
                <w:lang w:val="en-US" w:eastAsia="zh-CN"/>
              </w:rPr>
              <w:t>技术参数</w:t>
            </w:r>
            <w:r>
              <w:rPr>
                <w:rFonts w:hint="eastAsia" w:ascii="宋体" w:hAnsi="宋体" w:eastAsia="宋体" w:cs="宋体"/>
                <w:b/>
                <w:color w:val="auto"/>
                <w:sz w:val="24"/>
              </w:rPr>
              <w:t>要求</w:t>
            </w:r>
          </w:p>
        </w:tc>
        <w:tc>
          <w:tcPr>
            <w:tcW w:w="605" w:type="pct"/>
            <w:vAlign w:val="center"/>
          </w:tcPr>
          <w:p w14:paraId="2587A0F9">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单位</w:t>
            </w:r>
          </w:p>
        </w:tc>
        <w:tc>
          <w:tcPr>
            <w:tcW w:w="436" w:type="pct"/>
            <w:vAlign w:val="center"/>
          </w:tcPr>
          <w:p w14:paraId="3444DF1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数量</w:t>
            </w:r>
          </w:p>
        </w:tc>
        <w:tc>
          <w:tcPr>
            <w:tcW w:w="707" w:type="pct"/>
            <w:vAlign w:val="center"/>
          </w:tcPr>
          <w:p w14:paraId="7A6FB2A8">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预算总价</w:t>
            </w:r>
          </w:p>
          <w:p w14:paraId="38CD7923">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（元）</w:t>
            </w:r>
          </w:p>
        </w:tc>
        <w:tc>
          <w:tcPr>
            <w:tcW w:w="450" w:type="pct"/>
            <w:vAlign w:val="center"/>
          </w:tcPr>
          <w:p w14:paraId="58EC08A8">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备注</w:t>
            </w:r>
          </w:p>
        </w:tc>
      </w:tr>
      <w:tr w14:paraId="37F5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52" w:type="pct"/>
            <w:vAlign w:val="center"/>
          </w:tcPr>
          <w:p w14:paraId="1B18E71D">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rPr>
            </w:pPr>
            <w:r>
              <w:rPr>
                <w:rFonts w:hint="eastAsia" w:ascii="宋体" w:hAnsi="宋体" w:eastAsia="宋体" w:cs="宋体"/>
                <w:color w:val="auto"/>
                <w:sz w:val="24"/>
              </w:rPr>
              <w:t>1</w:t>
            </w:r>
          </w:p>
        </w:tc>
        <w:tc>
          <w:tcPr>
            <w:tcW w:w="1525" w:type="pct"/>
            <w:vAlign w:val="center"/>
          </w:tcPr>
          <w:p w14:paraId="12C36369">
            <w:pPr>
              <w:keepNext w:val="0"/>
              <w:keepLines w:val="0"/>
              <w:pageBreakBefore w:val="0"/>
              <w:widowControl/>
              <w:tabs>
                <w:tab w:val="left" w:pos="360"/>
              </w:tabs>
              <w:kinsoku/>
              <w:wordWrap/>
              <w:overflowPunct/>
              <w:topLinePunct w:val="0"/>
              <w:autoSpaceDE/>
              <w:autoSpaceDN/>
              <w:bidi w:val="0"/>
              <w:snapToGrid/>
              <w:spacing w:line="0" w:lineRule="atLeast"/>
              <w:jc w:val="left"/>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 xml:space="preserve">建德市大同镇秸秆综合处理中心升级改造-生产车间设备采购 </w:t>
            </w:r>
          </w:p>
        </w:tc>
        <w:tc>
          <w:tcPr>
            <w:tcW w:w="921" w:type="pct"/>
            <w:vAlign w:val="center"/>
          </w:tcPr>
          <w:p w14:paraId="6C90B2C3">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rPr>
            </w:pPr>
            <w:r>
              <w:rPr>
                <w:rFonts w:hint="eastAsia" w:ascii="宋体" w:hAnsi="宋体" w:eastAsia="宋体" w:cs="宋体"/>
                <w:color w:val="auto"/>
                <w:sz w:val="24"/>
              </w:rPr>
              <w:t>详见“二.采购需求”</w:t>
            </w:r>
          </w:p>
        </w:tc>
        <w:tc>
          <w:tcPr>
            <w:tcW w:w="605" w:type="pct"/>
            <w:vAlign w:val="center"/>
          </w:tcPr>
          <w:p w14:paraId="570983E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批</w:t>
            </w:r>
          </w:p>
        </w:tc>
        <w:tc>
          <w:tcPr>
            <w:tcW w:w="436" w:type="pct"/>
            <w:vAlign w:val="center"/>
          </w:tcPr>
          <w:p w14:paraId="7D0B1B1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707" w:type="pct"/>
            <w:vAlign w:val="center"/>
          </w:tcPr>
          <w:p w14:paraId="5F75DAC4">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3000000</w:t>
            </w:r>
            <w:r>
              <w:rPr>
                <w:rFonts w:hint="eastAsia" w:ascii="宋体" w:hAnsi="宋体" w:eastAsia="宋体" w:cs="宋体"/>
                <w:color w:val="auto"/>
                <w:sz w:val="24"/>
                <w:lang w:val="en-US" w:eastAsia="zh-CN"/>
              </w:rPr>
              <w:t>.00</w:t>
            </w:r>
          </w:p>
        </w:tc>
        <w:tc>
          <w:tcPr>
            <w:tcW w:w="450" w:type="pct"/>
            <w:vAlign w:val="center"/>
          </w:tcPr>
          <w:p w14:paraId="741A4E92">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rPr>
            </w:pPr>
          </w:p>
        </w:tc>
      </w:tr>
      <w:tr w14:paraId="7492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000" w:type="pct"/>
            <w:gridSpan w:val="7"/>
            <w:vAlign w:val="center"/>
          </w:tcPr>
          <w:p w14:paraId="1E44E48D">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u w:val="single"/>
              </w:rPr>
            </w:pPr>
            <w:r>
              <w:rPr>
                <w:rFonts w:hint="eastAsia" w:ascii="宋体" w:hAnsi="宋体" w:cs="宋体"/>
                <w:b/>
                <w:color w:val="auto"/>
                <w:sz w:val="24"/>
                <w:lang w:eastAsia="zh-CN"/>
              </w:rPr>
              <w:t>最高限价</w:t>
            </w:r>
            <w:r>
              <w:rPr>
                <w:rFonts w:hint="eastAsia" w:ascii="宋体" w:hAnsi="宋体" w:eastAsia="宋体" w:cs="宋体"/>
                <w:b/>
                <w:color w:val="auto"/>
                <w:sz w:val="24"/>
                <w:u w:val="none"/>
              </w:rPr>
              <w:t>：人民币（大写）：</w:t>
            </w:r>
            <w:r>
              <w:rPr>
                <w:rFonts w:hint="eastAsia" w:ascii="宋体" w:hAnsi="宋体" w:cs="宋体"/>
                <w:b/>
                <w:color w:val="auto"/>
                <w:sz w:val="24"/>
                <w:u w:val="none"/>
                <w:lang w:val="en-US" w:eastAsia="zh-CN"/>
              </w:rPr>
              <w:t>叁佰万</w:t>
            </w:r>
            <w:r>
              <w:rPr>
                <w:rFonts w:hint="eastAsia" w:ascii="宋体" w:hAnsi="宋体" w:eastAsia="宋体" w:cs="宋体"/>
                <w:b/>
                <w:color w:val="auto"/>
                <w:sz w:val="24"/>
                <w:u w:val="none"/>
              </w:rPr>
              <w:t>元整</w:t>
            </w:r>
            <w:r>
              <w:rPr>
                <w:rFonts w:hint="eastAsia" w:ascii="宋体" w:hAnsi="宋体" w:eastAsia="宋体" w:cs="宋体"/>
                <w:color w:val="auto"/>
                <w:sz w:val="24"/>
                <w:u w:val="none"/>
              </w:rPr>
              <w:t>（</w:t>
            </w:r>
            <w:r>
              <w:rPr>
                <w:rFonts w:hint="eastAsia" w:ascii="宋体" w:hAnsi="宋体" w:eastAsia="宋体" w:cs="宋体"/>
                <w:b/>
                <w:bCs/>
                <w:color w:val="auto"/>
                <w:kern w:val="0"/>
                <w:sz w:val="24"/>
                <w:u w:val="none"/>
              </w:rPr>
              <w:t>￥</w:t>
            </w:r>
            <w:r>
              <w:rPr>
                <w:rFonts w:hint="eastAsia" w:ascii="宋体" w:hAnsi="宋体" w:cs="宋体"/>
                <w:b/>
                <w:bCs/>
                <w:color w:val="auto"/>
                <w:kern w:val="0"/>
                <w:sz w:val="24"/>
                <w:u w:val="none"/>
                <w:lang w:val="en-US" w:eastAsia="zh-CN"/>
              </w:rPr>
              <w:t>3000000</w:t>
            </w:r>
            <w:r>
              <w:rPr>
                <w:rFonts w:hint="eastAsia" w:ascii="宋体" w:hAnsi="宋体" w:eastAsia="宋体" w:cs="宋体"/>
                <w:b/>
                <w:bCs/>
                <w:color w:val="auto"/>
                <w:kern w:val="0"/>
                <w:sz w:val="24"/>
                <w:u w:val="none"/>
                <w:lang w:eastAsia="zh-CN"/>
              </w:rPr>
              <w:t>.00</w:t>
            </w:r>
            <w:r>
              <w:rPr>
                <w:rFonts w:hint="eastAsia" w:ascii="宋体" w:hAnsi="宋体" w:eastAsia="宋体" w:cs="宋体"/>
                <w:b/>
                <w:bCs/>
                <w:color w:val="auto"/>
                <w:kern w:val="0"/>
                <w:sz w:val="24"/>
                <w:u w:val="none"/>
              </w:rPr>
              <w:t>元</w:t>
            </w:r>
            <w:r>
              <w:rPr>
                <w:rFonts w:hint="eastAsia" w:ascii="宋体" w:hAnsi="宋体" w:eastAsia="宋体" w:cs="宋体"/>
                <w:color w:val="auto"/>
                <w:sz w:val="24"/>
                <w:u w:val="none"/>
              </w:rPr>
              <w:t>）</w:t>
            </w:r>
          </w:p>
        </w:tc>
      </w:tr>
    </w:tbl>
    <w:p w14:paraId="3DA967F9">
      <w:pPr>
        <w:keepNext w:val="0"/>
        <w:keepLines w:val="0"/>
        <w:pageBreakBefore w:val="0"/>
        <w:widowControl w:val="0"/>
        <w:kinsoku/>
        <w:wordWrap/>
        <w:overflowPunct/>
        <w:topLinePunct w:val="0"/>
        <w:autoSpaceDE/>
        <w:autoSpaceDN/>
        <w:bidi w:val="0"/>
        <w:adjustRightInd w:val="0"/>
        <w:snapToGrid/>
        <w:spacing w:line="460" w:lineRule="exact"/>
        <w:ind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注：</w:t>
      </w:r>
      <w:r>
        <w:rPr>
          <w:rFonts w:hint="eastAsia" w:ascii="宋体" w:hAnsi="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本项目为交钥匙工程，包括本项目设备的设计、制作、供货、包装、装卸运输、安装调试、备品备件、设备辅料、专用工具、保险、培训、税金、检测、验收、辅助工作及售后服务等完成本项目的所有费用。招标文件中如因考虑不周有遗漏、缺项之处且是保证完成本项目全套系统正常安全运行不可缺少的，视为该遗漏、缺项已包含在总报价中，中标</w:t>
      </w:r>
      <w:r>
        <w:rPr>
          <w:rFonts w:hint="eastAsia" w:ascii="宋体" w:hAnsi="宋体" w:eastAsia="宋体" w:cs="宋体"/>
          <w:b/>
          <w:bCs w:val="0"/>
          <w:color w:val="auto"/>
          <w:sz w:val="21"/>
          <w:szCs w:val="21"/>
          <w:highlight w:val="none"/>
          <w:lang w:val="en-US" w:eastAsia="zh-CN"/>
        </w:rPr>
        <w:t>供应商</w:t>
      </w:r>
      <w:r>
        <w:rPr>
          <w:rFonts w:hint="eastAsia" w:ascii="宋体" w:hAnsi="宋体" w:eastAsia="宋体" w:cs="宋体"/>
          <w:b/>
          <w:bCs w:val="0"/>
          <w:color w:val="auto"/>
          <w:sz w:val="21"/>
          <w:szCs w:val="21"/>
          <w:highlight w:val="none"/>
        </w:rPr>
        <w:t>均应免费提供遗漏、缺项的设备货物及配套件。</w:t>
      </w:r>
    </w:p>
    <w:p w14:paraId="03122F44">
      <w:pPr>
        <w:pStyle w:val="79"/>
        <w:numPr>
          <w:ilvl w:val="0"/>
          <w:numId w:val="0"/>
        </w:numPr>
        <w:rPr>
          <w:rFonts w:hint="eastAsia" w:ascii="宋体" w:hAnsi="宋体" w:eastAsia="宋体" w:cs="宋体"/>
          <w:b/>
          <w:color w:val="auto"/>
          <w:sz w:val="28"/>
          <w:szCs w:val="28"/>
        </w:rPr>
      </w:pPr>
    </w:p>
    <w:p w14:paraId="75AEEEC8">
      <w:pPr>
        <w:pStyle w:val="79"/>
        <w:numPr>
          <w:ilvl w:val="0"/>
          <w:numId w:val="0"/>
        </w:numPr>
        <w:rPr>
          <w:rFonts w:hint="eastAsia" w:ascii="宋体" w:hAnsi="宋体" w:eastAsia="宋体" w:cs="宋体"/>
          <w:b/>
          <w:color w:val="auto"/>
          <w:sz w:val="28"/>
          <w:szCs w:val="28"/>
        </w:rPr>
      </w:pPr>
    </w:p>
    <w:p w14:paraId="7563B4F6">
      <w:pPr>
        <w:pStyle w:val="975"/>
        <w:rPr>
          <w:rFonts w:ascii="Times New Roman" w:hAnsi="Times New Roman" w:eastAsia="宋体"/>
          <w:sz w:val="24"/>
        </w:rPr>
      </w:pPr>
      <w:r>
        <w:rPr>
          <w:rFonts w:hint="eastAsia" w:ascii="宋体" w:hAnsi="宋体" w:cs="宋体"/>
          <w:b/>
          <w:color w:val="auto"/>
          <w:sz w:val="28"/>
          <w:szCs w:val="28"/>
          <w:lang w:val="en-US" w:eastAsia="zh-CN"/>
        </w:rPr>
        <w:t>二、项目内容：</w:t>
      </w:r>
      <w:bookmarkStart w:id="31" w:name="_Toc171000417"/>
      <w:bookmarkStart w:id="32" w:name="_Toc198733871"/>
      <w:r>
        <w:rPr>
          <w:rFonts w:ascii="Times New Roman" w:hAnsi="Times New Roman" w:eastAsia="宋体"/>
          <w:sz w:val="24"/>
        </w:rPr>
        <w:t>（一）</w:t>
      </w:r>
      <w:bookmarkEnd w:id="31"/>
      <w:r>
        <w:rPr>
          <w:rFonts w:hint="eastAsia" w:ascii="Times New Roman" w:hAnsi="Times New Roman" w:eastAsia="宋体"/>
          <w:sz w:val="24"/>
        </w:rPr>
        <w:t>新增扩培生化反应系统</w:t>
      </w:r>
      <w:bookmarkEnd w:id="32"/>
    </w:p>
    <w:p w14:paraId="64016EC0">
      <w:pPr>
        <w:pStyle w:val="974"/>
        <w:spacing w:after="120"/>
        <w:rPr>
          <w:rFonts w:ascii="Times New Roman" w:hAnsi="Times New Roman" w:eastAsia="宋体"/>
          <w:b/>
          <w:color w:val="auto"/>
          <w:kern w:val="2"/>
          <w:sz w:val="24"/>
          <w:szCs w:val="24"/>
          <w:u w:val="single"/>
        </w:rPr>
      </w:pPr>
      <w:r>
        <w:rPr>
          <w:rFonts w:ascii="Times New Roman" w:hAnsi="Times New Roman" w:eastAsia="宋体"/>
          <w:sz w:val="24"/>
          <w:szCs w:val="24"/>
        </w:rPr>
        <w:t>厂区现有</w:t>
      </w:r>
      <w:r>
        <w:rPr>
          <w:rFonts w:hint="eastAsia" w:ascii="Times New Roman" w:hAnsi="Times New Roman" w:eastAsia="宋体"/>
          <w:sz w:val="24"/>
          <w:szCs w:val="24"/>
        </w:rPr>
        <w:t>扩培反应器</w:t>
      </w:r>
      <w:r>
        <w:rPr>
          <w:rFonts w:ascii="Times New Roman" w:hAnsi="Times New Roman" w:eastAsia="宋体"/>
          <w:sz w:val="24"/>
          <w:szCs w:val="24"/>
        </w:rPr>
        <w:t>设备产能较低、自动化程度低，造成旺季产量供应量不足和人工成本较高。升级现有生产设备，优化生产工艺，过引入自动化、智能化设备，减少人工操作，提高市场竞争力。</w:t>
      </w:r>
      <w:r>
        <w:rPr>
          <w:rFonts w:hint="eastAsia" w:ascii="Times New Roman" w:hAnsi="Times New Roman" w:eastAsia="宋体"/>
          <w:sz w:val="24"/>
          <w:szCs w:val="24"/>
        </w:rPr>
        <w:t>升级微生物制剂扩培反应器</w:t>
      </w:r>
      <w:r>
        <w:rPr>
          <w:rFonts w:ascii="Times New Roman" w:hAnsi="Times New Roman" w:eastAsia="宋体"/>
          <w:sz w:val="24"/>
          <w:szCs w:val="24"/>
        </w:rPr>
        <w:t>生产线项目，使得原起大同秸秆处理中心在微生物制剂的研发和生产上迈出了重要一步</w:t>
      </w:r>
      <w:r>
        <w:rPr>
          <w:rFonts w:hint="eastAsia" w:ascii="Times New Roman" w:hAnsi="Times New Roman" w:eastAsia="宋体"/>
          <w:sz w:val="24"/>
          <w:szCs w:val="24"/>
        </w:rPr>
        <w:t>。</w:t>
      </w:r>
      <w:r>
        <w:rPr>
          <w:rFonts w:hint="eastAsia" w:ascii="Times New Roman" w:hAnsi="Times New Roman" w:eastAsia="宋体"/>
          <w:b/>
          <w:color w:val="auto"/>
          <w:sz w:val="24"/>
          <w:szCs w:val="24"/>
          <w:u w:val="single"/>
        </w:rPr>
        <w:t>▲</w:t>
      </w:r>
      <w:r>
        <w:rPr>
          <w:rFonts w:hint="eastAsia" w:ascii="Times New Roman" w:hAnsi="Times New Roman" w:eastAsia="宋体"/>
          <w:b/>
          <w:bCs w:val="0"/>
          <w:color w:val="auto"/>
          <w:sz w:val="24"/>
          <w:szCs w:val="24"/>
          <w:u w:val="single"/>
        </w:rPr>
        <w:t>升</w:t>
      </w:r>
      <w:r>
        <w:rPr>
          <w:rFonts w:hint="eastAsia" w:ascii="Times New Roman" w:hAnsi="Times New Roman" w:eastAsia="宋体"/>
          <w:b/>
          <w:color w:val="auto"/>
          <w:sz w:val="24"/>
          <w:szCs w:val="24"/>
          <w:u w:val="single"/>
        </w:rPr>
        <w:t>级的扩培生化反应生产线要求能够与现有的50-500L生产线联调对接</w:t>
      </w:r>
      <w:r>
        <w:rPr>
          <w:rFonts w:hint="eastAsia" w:ascii="Times New Roman" w:hAnsi="Times New Roman" w:eastAsia="宋体"/>
          <w:b/>
          <w:color w:val="auto"/>
          <w:kern w:val="2"/>
          <w:sz w:val="24"/>
          <w:szCs w:val="24"/>
          <w:u w:val="single"/>
        </w:rPr>
        <w:t>（现有生产设备参数见附件）</w:t>
      </w:r>
      <w:r>
        <w:rPr>
          <w:rFonts w:hint="eastAsia" w:ascii="Times New Roman" w:hAnsi="Times New Roman" w:eastAsia="宋体"/>
          <w:bCs w:val="0"/>
          <w:color w:val="auto"/>
          <w:kern w:val="2"/>
          <w:sz w:val="24"/>
          <w:szCs w:val="24"/>
        </w:rPr>
        <w:t>。</w:t>
      </w:r>
    </w:p>
    <w:p w14:paraId="3D3D53C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微生物制剂，包括但不限于针对畜禽粪污</w:t>
      </w:r>
      <w:r>
        <w:rPr>
          <w:rFonts w:hint="eastAsia" w:ascii="Times New Roman" w:hAnsi="Times New Roman" w:eastAsia="宋体" w:cs="Times New Roman"/>
          <w:sz w:val="24"/>
          <w:szCs w:val="24"/>
        </w:rPr>
        <w:t>和离田秸秆</w:t>
      </w:r>
      <w:r>
        <w:rPr>
          <w:rFonts w:ascii="Times New Roman" w:hAnsi="Times New Roman" w:eastAsia="宋体" w:cs="Times New Roman"/>
          <w:sz w:val="24"/>
          <w:szCs w:val="24"/>
        </w:rPr>
        <w:t>处理的特定菌种</w:t>
      </w:r>
      <w:r>
        <w:rPr>
          <w:rFonts w:hint="eastAsia" w:ascii="Times New Roman" w:hAnsi="Times New Roman" w:eastAsia="宋体" w:cs="Times New Roman"/>
          <w:sz w:val="24"/>
          <w:szCs w:val="24"/>
        </w:rPr>
        <w:t>（原起秸秆腐熟剂、堆垛发酵专研菌剂）、针对不同农作物的原起专研农用菌种（水稻壮秧剂、茶叶专研菌剂等）</w:t>
      </w:r>
      <w:r>
        <w:rPr>
          <w:rFonts w:ascii="Times New Roman" w:hAnsi="Times New Roman" w:eastAsia="宋体" w:cs="Times New Roman"/>
          <w:sz w:val="24"/>
          <w:szCs w:val="24"/>
        </w:rPr>
        <w:t>，能够有效促进粪污的分解、除臭、抑菌等过程，有助于解决传统处理方法中存在的效率低、成本高、二次污染等问题</w:t>
      </w:r>
      <w:r>
        <w:rPr>
          <w:rFonts w:hint="eastAsia" w:ascii="Times New Roman" w:hAnsi="Times New Roman" w:eastAsia="宋体" w:cs="Times New Roman"/>
          <w:sz w:val="24"/>
          <w:szCs w:val="24"/>
        </w:rPr>
        <w:t>，促进建德当地农业绿色健康发展</w:t>
      </w:r>
      <w:r>
        <w:rPr>
          <w:rFonts w:ascii="Times New Roman" w:hAnsi="Times New Roman" w:eastAsia="宋体" w:cs="Times New Roman"/>
          <w:sz w:val="24"/>
          <w:szCs w:val="24"/>
        </w:rPr>
        <w:t>。</w:t>
      </w:r>
    </w:p>
    <w:p w14:paraId="220AA07D">
      <w:pPr>
        <w:spacing w:line="360" w:lineRule="auto"/>
        <w:rPr>
          <w:rFonts w:ascii="Times New Roman" w:hAnsi="Times New Roman" w:eastAsia="宋体" w:cs="Times New Roman"/>
          <w:sz w:val="24"/>
          <w:szCs w:val="24"/>
        </w:rPr>
      </w:pPr>
    </w:p>
    <w:p w14:paraId="7563EA32">
      <w:pPr>
        <w:pStyle w:val="975"/>
        <w:rPr>
          <w:rFonts w:ascii="Times New Roman" w:hAnsi="Times New Roman" w:eastAsia="宋体"/>
          <w:sz w:val="24"/>
        </w:rPr>
      </w:pPr>
      <w:bookmarkStart w:id="33" w:name="_Toc171000419"/>
      <w:bookmarkStart w:id="34" w:name="_Toc198733872"/>
      <w:r>
        <w:rPr>
          <w:rFonts w:ascii="Times New Roman" w:hAnsi="Times New Roman" w:eastAsia="宋体"/>
          <w:sz w:val="24"/>
        </w:rPr>
        <w:t>（</w:t>
      </w:r>
      <w:r>
        <w:rPr>
          <w:rFonts w:hint="eastAsia" w:ascii="Times New Roman" w:hAnsi="Times New Roman" w:eastAsia="宋体"/>
          <w:sz w:val="24"/>
        </w:rPr>
        <w:t>二</w:t>
      </w:r>
      <w:r>
        <w:rPr>
          <w:rFonts w:ascii="Times New Roman" w:hAnsi="Times New Roman" w:eastAsia="宋体"/>
          <w:sz w:val="24"/>
        </w:rPr>
        <w:t>）</w:t>
      </w:r>
      <w:bookmarkEnd w:id="33"/>
      <w:r>
        <w:rPr>
          <w:rFonts w:hint="eastAsia" w:ascii="Times New Roman" w:hAnsi="Times New Roman" w:eastAsia="宋体"/>
          <w:sz w:val="24"/>
        </w:rPr>
        <w:t>生物肥发酵生产设备系统升级改造</w:t>
      </w:r>
      <w:bookmarkEnd w:id="34"/>
    </w:p>
    <w:p w14:paraId="1A0D58CE">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基于大同当地秸秆等农业有机废弃物的产生量较大的现状，</w:t>
      </w:r>
      <w:r>
        <w:rPr>
          <w:rFonts w:ascii="Times New Roman" w:hAnsi="Times New Roman" w:eastAsia="宋体" w:cs="Times New Roman"/>
          <w:sz w:val="24"/>
          <w:szCs w:val="24"/>
        </w:rPr>
        <w:t>厂区现有设备</w:t>
      </w:r>
      <w:r>
        <w:rPr>
          <w:rFonts w:hint="eastAsia" w:ascii="Times New Roman" w:hAnsi="Times New Roman" w:eastAsia="宋体" w:cs="Times New Roman"/>
          <w:sz w:val="24"/>
          <w:szCs w:val="24"/>
        </w:rPr>
        <w:t>处理能力地、</w:t>
      </w:r>
      <w:r>
        <w:rPr>
          <w:rFonts w:ascii="Times New Roman" w:hAnsi="Times New Roman" w:eastAsia="宋体" w:cs="Times New Roman"/>
          <w:sz w:val="24"/>
          <w:szCs w:val="24"/>
        </w:rPr>
        <w:t>产能较低、自动化程度低，造成旺季产量供应量不足和人工成本较高。升级现有生产设备，优化生产工艺，过引入自动化、智能化设备，减少人工操作，提高市场竞争力。</w:t>
      </w:r>
    </w:p>
    <w:p w14:paraId="0431ADC4">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引进先进的秸秆处理工艺、各类有机物料快速降解及生产技术，通过技术升级和设备更新，提高秸秆的转化率和有机肥料的品质。</w:t>
      </w:r>
      <w:r>
        <w:rPr>
          <w:rFonts w:hint="eastAsia" w:ascii="Times New Roman" w:hAnsi="Times New Roman" w:eastAsia="宋体"/>
          <w:b/>
          <w:sz w:val="24"/>
          <w:szCs w:val="24"/>
          <w:u w:val="single"/>
        </w:rPr>
        <w:t>▲</w:t>
      </w:r>
      <w:r>
        <w:rPr>
          <w:rFonts w:hint="eastAsia" w:ascii="Times New Roman" w:hAnsi="Times New Roman" w:eastAsia="宋体" w:cs="Times New Roman"/>
          <w:b/>
          <w:bCs/>
          <w:sz w:val="24"/>
          <w:szCs w:val="24"/>
          <w:u w:val="single"/>
        </w:rPr>
        <w:t>升级改造现有链板式翻抛机（现有发酵槽宽10m，高2m），新增包括秸秆粉碎机、智能逆变翻抛系统、自动包装机等设备，并使其能与现有的设备系统联调联通</w:t>
      </w:r>
      <w:r>
        <w:rPr>
          <w:rFonts w:hint="eastAsia" w:ascii="Times New Roman" w:hAnsi="Times New Roman" w:eastAsia="宋体" w:cs="Times New Roman"/>
          <w:sz w:val="24"/>
          <w:szCs w:val="24"/>
        </w:rPr>
        <w:t>，提高设备的自动化程度和生产效率，满足市场对有机肥料日益增长的需求，满足本地绿色农业的发展。</w:t>
      </w:r>
    </w:p>
    <w:p w14:paraId="07494E2F">
      <w:pPr>
        <w:spacing w:line="360" w:lineRule="auto"/>
        <w:rPr>
          <w:rFonts w:ascii="Times New Roman" w:hAnsi="Times New Roman" w:eastAsia="宋体" w:cs="Times New Roman"/>
          <w:sz w:val="24"/>
          <w:szCs w:val="24"/>
        </w:rPr>
      </w:pPr>
    </w:p>
    <w:p w14:paraId="78CBBEDF">
      <w:pPr>
        <w:pStyle w:val="975"/>
        <w:rPr>
          <w:rFonts w:ascii="Times New Roman" w:hAnsi="Times New Roman" w:eastAsia="宋体"/>
          <w:sz w:val="24"/>
        </w:rPr>
      </w:pPr>
      <w:bookmarkStart w:id="35" w:name="_Toc175753377"/>
      <w:bookmarkStart w:id="36" w:name="_Toc198733873"/>
      <w:r>
        <w:rPr>
          <w:rFonts w:ascii="Times New Roman" w:hAnsi="Times New Roman" w:eastAsia="宋体"/>
          <w:sz w:val="24"/>
        </w:rPr>
        <w:t>（</w:t>
      </w:r>
      <w:r>
        <w:rPr>
          <w:rFonts w:hint="eastAsia" w:ascii="Times New Roman" w:hAnsi="Times New Roman" w:eastAsia="宋体"/>
          <w:sz w:val="24"/>
        </w:rPr>
        <w:t>三</w:t>
      </w:r>
      <w:r>
        <w:rPr>
          <w:rFonts w:ascii="Times New Roman" w:hAnsi="Times New Roman" w:eastAsia="宋体"/>
          <w:sz w:val="24"/>
        </w:rPr>
        <w:t>）</w:t>
      </w:r>
      <w:bookmarkEnd w:id="35"/>
      <w:bookmarkStart w:id="37" w:name="_Toc171000420"/>
      <w:r>
        <w:rPr>
          <w:rFonts w:ascii="Times New Roman" w:hAnsi="Times New Roman" w:eastAsia="宋体"/>
          <w:sz w:val="24"/>
        </w:rPr>
        <w:t>质检实验室和研发中心</w:t>
      </w:r>
      <w:bookmarkEnd w:id="36"/>
      <w:bookmarkEnd w:id="37"/>
    </w:p>
    <w:p w14:paraId="753B08A1">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质检实验室配备先进的检测设备和专业技术人员，能够对原料、半成品及成品进行精确检测，确保有机肥料的各项指标符合国家标准和企业要求，从而提高产品的整体质量。研发中心对秸秆处理和有机肥料生产技术进行持续研发和创新，结合大同当地农业特色，研发适合当地环境条件的专用肥。</w:t>
      </w:r>
    </w:p>
    <w:p w14:paraId="30E1B589">
      <w:pPr>
        <w:spacing w:line="360" w:lineRule="auto"/>
        <w:ind w:firstLine="480" w:firstLineChars="200"/>
        <w:rPr>
          <w:rFonts w:ascii="Times New Roman" w:hAnsi="Times New Roman" w:eastAsia="宋体" w:cs="Times New Roman"/>
          <w:sz w:val="24"/>
          <w:szCs w:val="24"/>
        </w:rPr>
      </w:pPr>
    </w:p>
    <w:p w14:paraId="173ED3E8">
      <w:pPr>
        <w:pStyle w:val="79"/>
        <w:numPr>
          <w:ilvl w:val="0"/>
          <w:numId w:val="0"/>
        </w:numPr>
        <w:rPr>
          <w:rFonts w:hint="default" w:ascii="宋体" w:hAnsi="宋体" w:eastAsia="宋体" w:cs="宋体"/>
          <w:b/>
          <w:color w:val="auto"/>
          <w:sz w:val="28"/>
          <w:szCs w:val="28"/>
          <w:lang w:val="en-US" w:eastAsia="zh-CN"/>
        </w:rPr>
      </w:pPr>
    </w:p>
    <w:p w14:paraId="7C4C247A">
      <w:pPr>
        <w:pStyle w:val="79"/>
        <w:numPr>
          <w:ilvl w:val="0"/>
          <w:numId w:val="0"/>
        </w:numPr>
        <w:rPr>
          <w:rFonts w:hint="eastAsia" w:ascii="宋体" w:hAnsi="宋体" w:eastAsia="宋体" w:cs="宋体"/>
          <w:b/>
          <w:color w:val="auto"/>
          <w:sz w:val="28"/>
          <w:szCs w:val="28"/>
        </w:rPr>
      </w:pPr>
    </w:p>
    <w:p w14:paraId="18723C64">
      <w:pPr>
        <w:pStyle w:val="79"/>
        <w:numPr>
          <w:ilvl w:val="0"/>
          <w:numId w:val="0"/>
        </w:numPr>
        <w:rPr>
          <w:rFonts w:hint="eastAsia" w:ascii="宋体" w:hAnsi="宋体" w:eastAsia="宋体" w:cs="宋体"/>
          <w:b/>
          <w:color w:val="auto"/>
          <w:sz w:val="28"/>
          <w:szCs w:val="28"/>
        </w:rPr>
      </w:pPr>
    </w:p>
    <w:p w14:paraId="21BB737C">
      <w:pPr>
        <w:pStyle w:val="79"/>
        <w:numPr>
          <w:ilvl w:val="0"/>
          <w:numId w:val="0"/>
        </w:numPr>
        <w:rPr>
          <w:rFonts w:hint="eastAsia" w:ascii="宋体" w:hAnsi="宋体" w:eastAsia="宋体" w:cs="宋体"/>
          <w:b/>
          <w:color w:val="auto"/>
          <w:sz w:val="28"/>
          <w:szCs w:val="28"/>
        </w:rPr>
      </w:pPr>
    </w:p>
    <w:p w14:paraId="7F2F0ABC">
      <w:pPr>
        <w:pStyle w:val="79"/>
        <w:numPr>
          <w:ilvl w:val="0"/>
          <w:numId w:val="0"/>
        </w:numPr>
        <w:rPr>
          <w:rFonts w:hint="eastAsia" w:ascii="宋体" w:hAnsi="宋体" w:eastAsia="宋体" w:cs="宋体"/>
          <w:b/>
          <w:color w:val="auto"/>
          <w:sz w:val="28"/>
          <w:szCs w:val="28"/>
        </w:rPr>
      </w:pPr>
    </w:p>
    <w:p w14:paraId="04339359">
      <w:pPr>
        <w:pStyle w:val="79"/>
        <w:numPr>
          <w:ilvl w:val="0"/>
          <w:numId w:val="0"/>
        </w:numPr>
        <w:rPr>
          <w:rFonts w:hint="eastAsia" w:ascii="宋体" w:hAnsi="宋体" w:eastAsia="宋体" w:cs="宋体"/>
          <w:b/>
          <w:color w:val="auto"/>
          <w:sz w:val="28"/>
          <w:szCs w:val="28"/>
        </w:rPr>
      </w:pPr>
    </w:p>
    <w:p w14:paraId="451411E1">
      <w:pPr>
        <w:pStyle w:val="79"/>
        <w:numPr>
          <w:ilvl w:val="0"/>
          <w:numId w:val="0"/>
        </w:numPr>
        <w:rPr>
          <w:rFonts w:hint="eastAsia" w:ascii="宋体" w:hAnsi="宋体" w:eastAsia="宋体" w:cs="宋体"/>
          <w:b/>
          <w:color w:val="auto"/>
          <w:sz w:val="28"/>
          <w:szCs w:val="28"/>
        </w:rPr>
      </w:pPr>
    </w:p>
    <w:p w14:paraId="3794D026">
      <w:pPr>
        <w:pStyle w:val="79"/>
        <w:numPr>
          <w:ilvl w:val="0"/>
          <w:numId w:val="0"/>
        </w:numPr>
        <w:rPr>
          <w:rFonts w:hint="eastAsia" w:ascii="宋体" w:hAnsi="宋体" w:eastAsia="宋体" w:cs="宋体"/>
          <w:b/>
          <w:color w:val="auto"/>
          <w:sz w:val="28"/>
          <w:szCs w:val="28"/>
        </w:rPr>
      </w:pPr>
    </w:p>
    <w:p w14:paraId="4712697F">
      <w:pPr>
        <w:pStyle w:val="79"/>
        <w:numPr>
          <w:ilvl w:val="0"/>
          <w:numId w:val="0"/>
        </w:numPr>
        <w:rPr>
          <w:rFonts w:hint="eastAsia" w:ascii="宋体" w:hAnsi="宋体" w:eastAsia="宋体" w:cs="宋体"/>
          <w:b/>
          <w:color w:val="auto"/>
          <w:sz w:val="28"/>
          <w:szCs w:val="28"/>
        </w:rPr>
      </w:pPr>
    </w:p>
    <w:p w14:paraId="0B8CE113">
      <w:pPr>
        <w:pStyle w:val="79"/>
        <w:numPr>
          <w:ilvl w:val="0"/>
          <w:numId w:val="0"/>
        </w:numPr>
        <w:rPr>
          <w:rFonts w:hint="eastAsia" w:ascii="宋体" w:hAnsi="宋体" w:eastAsia="宋体" w:cs="宋体"/>
          <w:b/>
          <w:color w:val="auto"/>
          <w:sz w:val="28"/>
          <w:szCs w:val="28"/>
        </w:rPr>
      </w:pPr>
    </w:p>
    <w:p w14:paraId="0067FC60">
      <w:pPr>
        <w:pStyle w:val="79"/>
        <w:numPr>
          <w:ilvl w:val="0"/>
          <w:numId w:val="0"/>
        </w:numPr>
        <w:rPr>
          <w:rFonts w:hint="eastAsia" w:ascii="宋体" w:hAnsi="宋体" w:eastAsia="宋体" w:cs="宋体"/>
          <w:b/>
          <w:color w:val="auto"/>
          <w:sz w:val="28"/>
          <w:szCs w:val="28"/>
        </w:rPr>
      </w:pPr>
    </w:p>
    <w:p w14:paraId="7477EC76">
      <w:pPr>
        <w:pStyle w:val="79"/>
        <w:numPr>
          <w:ilvl w:val="0"/>
          <w:numId w:val="0"/>
        </w:numPr>
        <w:rPr>
          <w:rFonts w:hint="eastAsia" w:ascii="宋体" w:hAnsi="宋体" w:eastAsia="宋体" w:cs="宋体"/>
          <w:b/>
          <w:color w:val="auto"/>
          <w:sz w:val="28"/>
          <w:szCs w:val="28"/>
        </w:rPr>
      </w:pPr>
    </w:p>
    <w:p w14:paraId="7DF363C8">
      <w:pPr>
        <w:pStyle w:val="79"/>
        <w:numPr>
          <w:ilvl w:val="0"/>
          <w:numId w:val="0"/>
        </w:numPr>
        <w:rPr>
          <w:rFonts w:hint="eastAsia" w:ascii="宋体" w:hAnsi="宋体" w:eastAsia="宋体" w:cs="宋体"/>
          <w:b/>
          <w:color w:val="auto"/>
          <w:sz w:val="28"/>
          <w:szCs w:val="28"/>
        </w:rPr>
      </w:pPr>
    </w:p>
    <w:p w14:paraId="70A9DF18">
      <w:pPr>
        <w:pStyle w:val="79"/>
        <w:numPr>
          <w:ilvl w:val="0"/>
          <w:numId w:val="0"/>
        </w:numPr>
        <w:rPr>
          <w:rFonts w:hint="eastAsia" w:ascii="宋体" w:hAnsi="宋体" w:eastAsia="宋体" w:cs="宋体"/>
          <w:b/>
          <w:color w:val="auto"/>
          <w:sz w:val="28"/>
          <w:szCs w:val="28"/>
        </w:rPr>
      </w:pPr>
    </w:p>
    <w:p w14:paraId="2BB6F796">
      <w:pPr>
        <w:pStyle w:val="79"/>
        <w:numPr>
          <w:ilvl w:val="0"/>
          <w:numId w:val="0"/>
        </w:numPr>
        <w:rPr>
          <w:rFonts w:hint="eastAsia" w:ascii="宋体" w:hAnsi="宋体" w:eastAsia="宋体" w:cs="宋体"/>
          <w:b/>
          <w:color w:val="auto"/>
          <w:sz w:val="28"/>
          <w:szCs w:val="28"/>
        </w:rPr>
      </w:pPr>
    </w:p>
    <w:p w14:paraId="704706D4">
      <w:pPr>
        <w:pStyle w:val="79"/>
        <w:numPr>
          <w:ilvl w:val="0"/>
          <w:numId w:val="0"/>
        </w:numPr>
        <w:rPr>
          <w:rFonts w:hint="eastAsia" w:ascii="宋体" w:hAnsi="宋体" w:eastAsia="宋体" w:cs="宋体"/>
          <w:b/>
          <w:color w:val="auto"/>
          <w:sz w:val="28"/>
          <w:szCs w:val="28"/>
        </w:rPr>
      </w:pPr>
    </w:p>
    <w:p w14:paraId="5548FE3E">
      <w:pPr>
        <w:pStyle w:val="79"/>
        <w:numPr>
          <w:ilvl w:val="0"/>
          <w:numId w:val="0"/>
        </w:numPr>
        <w:rPr>
          <w:rFonts w:hint="eastAsia" w:ascii="宋体" w:hAnsi="宋体" w:eastAsia="宋体" w:cs="宋体"/>
          <w:b/>
          <w:color w:val="auto"/>
          <w:sz w:val="28"/>
          <w:szCs w:val="28"/>
        </w:rPr>
      </w:pPr>
    </w:p>
    <w:p w14:paraId="1D2C761D">
      <w:pPr>
        <w:spacing w:line="360" w:lineRule="auto"/>
        <w:jc w:val="both"/>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   </w:t>
      </w:r>
    </w:p>
    <w:p w14:paraId="348075E2">
      <w:pPr>
        <w:spacing w:line="360" w:lineRule="auto"/>
        <w:jc w:val="center"/>
        <w:rPr>
          <w:rFonts w:hint="eastAsia" w:ascii="Times New Roman" w:hAnsi="Times New Roman" w:eastAsia="宋体" w:cs="Times New Roman"/>
          <w:b/>
          <w:bCs/>
          <w:sz w:val="28"/>
          <w:szCs w:val="28"/>
        </w:rPr>
      </w:pPr>
    </w:p>
    <w:p w14:paraId="71580913">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设备清单、参数及</w:t>
      </w:r>
      <w:r>
        <w:rPr>
          <w:rFonts w:hint="eastAsia" w:cs="Times New Roman"/>
          <w:b/>
          <w:bCs/>
          <w:sz w:val="28"/>
          <w:szCs w:val="28"/>
          <w:lang w:val="en-US" w:eastAsia="zh-CN"/>
        </w:rPr>
        <w:t>预算</w:t>
      </w:r>
      <w:r>
        <w:rPr>
          <w:rFonts w:hint="eastAsia" w:ascii="Times New Roman" w:hAnsi="Times New Roman" w:eastAsia="宋体" w:cs="Times New Roman"/>
          <w:b/>
          <w:bCs/>
          <w:sz w:val="28"/>
          <w:szCs w:val="28"/>
        </w:rPr>
        <w:t>价格</w:t>
      </w:r>
    </w:p>
    <w:tbl>
      <w:tblPr>
        <w:tblStyle w:val="63"/>
        <w:tblW w:w="9139" w:type="dxa"/>
        <w:jc w:val="center"/>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275"/>
        <w:gridCol w:w="4111"/>
        <w:gridCol w:w="780"/>
        <w:gridCol w:w="709"/>
        <w:gridCol w:w="709"/>
      </w:tblGrid>
      <w:tr w14:paraId="3ABA659D">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704" w:type="dxa"/>
            <w:tcBorders>
              <w:bottom w:val="single" w:color="auto" w:sz="4" w:space="0"/>
            </w:tcBorders>
            <w:noWrap/>
            <w:vAlign w:val="center"/>
          </w:tcPr>
          <w:p w14:paraId="094F2411">
            <w:pPr>
              <w:pStyle w:val="974"/>
              <w:jc w:val="center"/>
              <w:rPr>
                <w:rFonts w:ascii="Times New Roman" w:hAnsi="Times New Roman" w:eastAsia="宋体"/>
                <w:b/>
                <w:color w:val="auto"/>
                <w:sz w:val="24"/>
                <w:szCs w:val="24"/>
              </w:rPr>
            </w:pPr>
            <w:bookmarkStart w:id="38" w:name="_Hlk195884100"/>
            <w:r>
              <w:rPr>
                <w:rFonts w:ascii="Times New Roman" w:hAnsi="Times New Roman" w:eastAsia="宋体"/>
                <w:b/>
                <w:color w:val="auto"/>
                <w:sz w:val="24"/>
                <w:szCs w:val="24"/>
              </w:rPr>
              <w:t>序号</w:t>
            </w:r>
          </w:p>
        </w:tc>
        <w:tc>
          <w:tcPr>
            <w:tcW w:w="851" w:type="dxa"/>
            <w:tcBorders>
              <w:bottom w:val="single" w:color="auto" w:sz="4" w:space="0"/>
            </w:tcBorders>
            <w:noWrap/>
            <w:vAlign w:val="center"/>
          </w:tcPr>
          <w:p w14:paraId="7F9405ED">
            <w:pPr>
              <w:pStyle w:val="974"/>
              <w:jc w:val="center"/>
              <w:rPr>
                <w:rFonts w:ascii="Times New Roman" w:hAnsi="Times New Roman" w:eastAsia="宋体"/>
                <w:b/>
                <w:color w:val="auto"/>
                <w:sz w:val="24"/>
                <w:szCs w:val="24"/>
              </w:rPr>
            </w:pPr>
            <w:r>
              <w:rPr>
                <w:rFonts w:hint="eastAsia" w:ascii="Times New Roman" w:hAnsi="Times New Roman" w:eastAsia="宋体"/>
                <w:b/>
                <w:color w:val="auto"/>
                <w:sz w:val="24"/>
                <w:szCs w:val="24"/>
              </w:rPr>
              <w:t>项目</w:t>
            </w:r>
          </w:p>
        </w:tc>
        <w:tc>
          <w:tcPr>
            <w:tcW w:w="1275" w:type="dxa"/>
            <w:tcBorders>
              <w:bottom w:val="single" w:color="auto" w:sz="4" w:space="0"/>
            </w:tcBorders>
            <w:noWrap/>
            <w:vAlign w:val="center"/>
          </w:tcPr>
          <w:p w14:paraId="609919D4">
            <w:pPr>
              <w:pStyle w:val="974"/>
              <w:jc w:val="center"/>
              <w:rPr>
                <w:rFonts w:ascii="Times New Roman" w:hAnsi="Times New Roman" w:eastAsia="宋体"/>
                <w:b/>
                <w:color w:val="auto"/>
                <w:sz w:val="24"/>
                <w:szCs w:val="24"/>
              </w:rPr>
            </w:pPr>
            <w:r>
              <w:rPr>
                <w:rFonts w:hint="eastAsia" w:ascii="Times New Roman" w:hAnsi="Times New Roman" w:eastAsia="宋体"/>
                <w:b/>
                <w:color w:val="auto"/>
                <w:sz w:val="24"/>
                <w:szCs w:val="24"/>
              </w:rPr>
              <w:t>内容</w:t>
            </w:r>
          </w:p>
        </w:tc>
        <w:tc>
          <w:tcPr>
            <w:tcW w:w="4111" w:type="dxa"/>
            <w:tcBorders>
              <w:bottom w:val="single" w:color="auto" w:sz="4" w:space="0"/>
            </w:tcBorders>
            <w:vAlign w:val="center"/>
          </w:tcPr>
          <w:p w14:paraId="575860B5">
            <w:pPr>
              <w:pStyle w:val="974"/>
              <w:jc w:val="center"/>
              <w:rPr>
                <w:rFonts w:ascii="Times New Roman" w:hAnsi="Times New Roman" w:eastAsia="宋体"/>
                <w:b/>
                <w:color w:val="auto"/>
                <w:sz w:val="24"/>
                <w:szCs w:val="24"/>
              </w:rPr>
            </w:pPr>
            <w:r>
              <w:rPr>
                <w:rFonts w:hint="eastAsia" w:ascii="Times New Roman" w:hAnsi="Times New Roman" w:eastAsia="宋体"/>
                <w:b/>
                <w:color w:val="auto"/>
                <w:sz w:val="24"/>
                <w:szCs w:val="24"/>
              </w:rPr>
              <w:t>参数</w:t>
            </w:r>
          </w:p>
        </w:tc>
        <w:tc>
          <w:tcPr>
            <w:tcW w:w="780" w:type="dxa"/>
            <w:tcBorders>
              <w:bottom w:val="single" w:color="auto" w:sz="4" w:space="0"/>
            </w:tcBorders>
            <w:noWrap/>
            <w:vAlign w:val="center"/>
          </w:tcPr>
          <w:p w14:paraId="2B7E47E5">
            <w:pPr>
              <w:pStyle w:val="974"/>
              <w:jc w:val="center"/>
              <w:rPr>
                <w:rFonts w:ascii="Times New Roman" w:hAnsi="Times New Roman" w:eastAsia="宋体"/>
                <w:b/>
                <w:color w:val="auto"/>
                <w:sz w:val="24"/>
                <w:szCs w:val="24"/>
              </w:rPr>
            </w:pPr>
            <w:r>
              <w:rPr>
                <w:rFonts w:ascii="Times New Roman" w:hAnsi="Times New Roman" w:eastAsia="宋体"/>
                <w:b/>
                <w:color w:val="auto"/>
                <w:sz w:val="24"/>
                <w:szCs w:val="24"/>
              </w:rPr>
              <w:t>数量</w:t>
            </w:r>
          </w:p>
        </w:tc>
        <w:tc>
          <w:tcPr>
            <w:tcW w:w="709" w:type="dxa"/>
            <w:tcBorders>
              <w:bottom w:val="single" w:color="auto" w:sz="4" w:space="0"/>
            </w:tcBorders>
            <w:noWrap/>
            <w:vAlign w:val="center"/>
          </w:tcPr>
          <w:p w14:paraId="573A8876">
            <w:pPr>
              <w:pStyle w:val="974"/>
              <w:jc w:val="center"/>
              <w:rPr>
                <w:rFonts w:ascii="Times New Roman" w:hAnsi="Times New Roman" w:eastAsia="宋体"/>
                <w:b/>
                <w:color w:val="auto"/>
                <w:sz w:val="24"/>
                <w:szCs w:val="24"/>
              </w:rPr>
            </w:pPr>
            <w:r>
              <w:rPr>
                <w:rFonts w:ascii="Times New Roman" w:hAnsi="Times New Roman" w:eastAsia="宋体"/>
                <w:b/>
                <w:color w:val="auto"/>
                <w:sz w:val="24"/>
                <w:szCs w:val="24"/>
              </w:rPr>
              <w:t>单位</w:t>
            </w:r>
          </w:p>
        </w:tc>
        <w:tc>
          <w:tcPr>
            <w:tcW w:w="709" w:type="dxa"/>
            <w:tcBorders>
              <w:bottom w:val="single" w:color="auto" w:sz="4" w:space="0"/>
            </w:tcBorders>
            <w:vAlign w:val="center"/>
          </w:tcPr>
          <w:p w14:paraId="09A1E0D0">
            <w:pPr>
              <w:pStyle w:val="974"/>
              <w:jc w:val="center"/>
              <w:rPr>
                <w:rFonts w:hint="eastAsia" w:ascii="Times New Roman" w:hAnsi="Times New Roman" w:eastAsia="宋体"/>
                <w:b/>
                <w:color w:val="auto"/>
                <w:sz w:val="24"/>
                <w:szCs w:val="24"/>
              </w:rPr>
            </w:pPr>
            <w:r>
              <w:rPr>
                <w:rFonts w:hint="eastAsia" w:ascii="Times New Roman" w:hAnsi="Times New Roman" w:eastAsia="宋体"/>
                <w:b/>
                <w:color w:val="auto"/>
                <w:sz w:val="24"/>
                <w:szCs w:val="24"/>
                <w:lang w:val="en-US" w:eastAsia="zh-CN"/>
              </w:rPr>
              <w:t>预算</w:t>
            </w:r>
            <w:r>
              <w:rPr>
                <w:rFonts w:hint="eastAsia" w:ascii="Times New Roman" w:hAnsi="Times New Roman" w:eastAsia="宋体"/>
                <w:b/>
                <w:color w:val="auto"/>
                <w:sz w:val="24"/>
                <w:szCs w:val="24"/>
              </w:rPr>
              <w:t>价格（万元）</w:t>
            </w:r>
          </w:p>
        </w:tc>
      </w:tr>
      <w:tr w14:paraId="25793157">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704" w:type="dxa"/>
            <w:vMerge w:val="restart"/>
            <w:vAlign w:val="center"/>
          </w:tcPr>
          <w:p w14:paraId="5DA3D834">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851" w:type="dxa"/>
            <w:vMerge w:val="restart"/>
            <w:vAlign w:val="center"/>
          </w:tcPr>
          <w:p w14:paraId="4CCE0499">
            <w:pPr>
              <w:pStyle w:val="974"/>
              <w:jc w:val="center"/>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扩培生化反应器、包装系统</w:t>
            </w:r>
          </w:p>
        </w:tc>
        <w:tc>
          <w:tcPr>
            <w:tcW w:w="1275" w:type="dxa"/>
            <w:tcBorders>
              <w:bottom w:val="single" w:color="auto" w:sz="4" w:space="0"/>
            </w:tcBorders>
            <w:vAlign w:val="center"/>
          </w:tcPr>
          <w:p w14:paraId="3E53E12D">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200L液体扩培生化反应器</w:t>
            </w:r>
          </w:p>
        </w:tc>
        <w:tc>
          <w:tcPr>
            <w:tcW w:w="4111" w:type="dxa"/>
            <w:tcBorders>
              <w:bottom w:val="single" w:color="auto" w:sz="4" w:space="0"/>
            </w:tcBorders>
            <w:vAlign w:val="center"/>
          </w:tcPr>
          <w:p w14:paraId="0A5FD5A8">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w:t>
            </w:r>
            <w:r>
              <w:rPr>
                <w:rFonts w:ascii="Times New Roman" w:hAnsi="Times New Roman" w:eastAsia="宋体"/>
                <w:bCs w:val="0"/>
                <w:color w:val="auto"/>
                <w:sz w:val="24"/>
                <w:szCs w:val="24"/>
              </w:rPr>
              <w:t>体积：总容200L，最大工作容积</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75%</w:t>
            </w:r>
          </w:p>
          <w:p w14:paraId="608BA0A3">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2、</w:t>
            </w:r>
            <w:r>
              <w:rPr>
                <w:rFonts w:ascii="Times New Roman" w:hAnsi="Times New Roman" w:eastAsia="宋体"/>
                <w:bCs w:val="0"/>
                <w:color w:val="auto"/>
                <w:sz w:val="24"/>
                <w:szCs w:val="24"/>
              </w:rPr>
              <w:t>材质：</w:t>
            </w:r>
            <w:r>
              <w:rPr>
                <w:rFonts w:hint="eastAsia" w:ascii="Times New Roman" w:hAnsi="Times New Roman" w:eastAsia="宋体"/>
                <w:bCs w:val="0"/>
                <w:color w:val="auto"/>
                <w:sz w:val="24"/>
                <w:szCs w:val="24"/>
              </w:rPr>
              <w:t>内筒</w:t>
            </w:r>
            <w:r>
              <w:rPr>
                <w:rFonts w:ascii="Times New Roman" w:hAnsi="Times New Roman" w:eastAsia="宋体"/>
                <w:bCs w:val="0"/>
                <w:color w:val="auto"/>
                <w:sz w:val="24"/>
                <w:szCs w:val="24"/>
              </w:rPr>
              <w:t>SUS3</w:t>
            </w:r>
            <w:r>
              <w:rPr>
                <w:rFonts w:hint="eastAsia" w:ascii="Times New Roman" w:hAnsi="Times New Roman" w:eastAsia="宋体"/>
                <w:bCs w:val="0"/>
                <w:color w:val="auto"/>
                <w:sz w:val="24"/>
                <w:szCs w:val="24"/>
              </w:rPr>
              <w:t>16L</w:t>
            </w:r>
            <w:r>
              <w:rPr>
                <w:rFonts w:ascii="Times New Roman" w:hAnsi="Times New Roman" w:eastAsia="宋体"/>
                <w:bCs w:val="0"/>
                <w:color w:val="auto"/>
                <w:sz w:val="24"/>
                <w:szCs w:val="24"/>
              </w:rPr>
              <w:t>，</w:t>
            </w:r>
            <w:r>
              <w:rPr>
                <w:rFonts w:hint="eastAsia" w:ascii="Times New Roman" w:hAnsi="Times New Roman" w:eastAsia="宋体"/>
                <w:bCs w:val="0"/>
                <w:color w:val="auto"/>
                <w:sz w:val="24"/>
                <w:szCs w:val="24"/>
              </w:rPr>
              <w:t>外套</w:t>
            </w:r>
            <w:r>
              <w:rPr>
                <w:rFonts w:ascii="Times New Roman" w:hAnsi="Times New Roman" w:eastAsia="宋体"/>
                <w:bCs w:val="0"/>
                <w:color w:val="auto"/>
                <w:sz w:val="24"/>
                <w:szCs w:val="24"/>
              </w:rPr>
              <w:t>SUS3</w:t>
            </w:r>
            <w:r>
              <w:rPr>
                <w:rFonts w:hint="eastAsia" w:ascii="Times New Roman" w:hAnsi="Times New Roman" w:eastAsia="宋体"/>
                <w:bCs w:val="0"/>
                <w:color w:val="auto"/>
                <w:sz w:val="24"/>
                <w:szCs w:val="24"/>
              </w:rPr>
              <w:t>16L</w:t>
            </w:r>
            <w:r>
              <w:rPr>
                <w:rFonts w:ascii="Times New Roman" w:hAnsi="Times New Roman" w:eastAsia="宋体"/>
                <w:bCs w:val="0"/>
                <w:color w:val="auto"/>
                <w:sz w:val="24"/>
                <w:szCs w:val="24"/>
              </w:rPr>
              <w:t>（</w:t>
            </w:r>
            <w:r>
              <w:rPr>
                <w:rFonts w:hint="eastAsia" w:ascii="Times New Roman" w:hAnsi="Times New Roman" w:eastAsia="宋体"/>
                <w:bCs w:val="0"/>
                <w:color w:val="auto"/>
                <w:sz w:val="24"/>
                <w:szCs w:val="24"/>
              </w:rPr>
              <w:t>外套</w:t>
            </w:r>
            <w:r>
              <w:rPr>
                <w:rFonts w:ascii="Times New Roman" w:hAnsi="Times New Roman" w:eastAsia="宋体"/>
                <w:bCs w:val="0"/>
                <w:color w:val="auto"/>
                <w:sz w:val="24"/>
                <w:szCs w:val="24"/>
              </w:rPr>
              <w:t>覆盖率≥75%，内部优化导流结构）</w:t>
            </w:r>
          </w:p>
          <w:p w14:paraId="2098C713">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3、</w:t>
            </w:r>
            <w:r>
              <w:rPr>
                <w:rFonts w:ascii="Times New Roman" w:hAnsi="Times New Roman" w:eastAsia="宋体"/>
                <w:bCs w:val="0"/>
                <w:color w:val="auto"/>
                <w:sz w:val="24"/>
                <w:szCs w:val="24"/>
              </w:rPr>
              <w:t>径高比：1：2.2</w:t>
            </w:r>
          </w:p>
          <w:p w14:paraId="08A95FE2">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4、</w:t>
            </w:r>
            <w:r>
              <w:rPr>
                <w:rFonts w:ascii="Times New Roman" w:hAnsi="Times New Roman" w:eastAsia="宋体"/>
                <w:bCs w:val="0"/>
                <w:color w:val="auto"/>
                <w:sz w:val="24"/>
                <w:szCs w:val="24"/>
              </w:rPr>
              <w:t xml:space="preserve">表面处理：内外镜面抛光，罐内精度≤0.4 </w:t>
            </w:r>
            <w:r>
              <w:rPr>
                <w:rFonts w:hint="eastAsia" w:ascii="Times New Roman" w:hAnsi="Times New Roman" w:eastAsia="宋体"/>
                <w:bCs w:val="0"/>
                <w:color w:val="auto"/>
                <w:sz w:val="24"/>
                <w:szCs w:val="24"/>
              </w:rPr>
              <w:t>μ</w:t>
            </w:r>
            <w:r>
              <w:rPr>
                <w:rFonts w:ascii="Times New Roman" w:hAnsi="Times New Roman" w:eastAsia="宋体"/>
                <w:bCs w:val="0"/>
                <w:color w:val="auto"/>
                <w:sz w:val="24"/>
                <w:szCs w:val="24"/>
              </w:rPr>
              <w:t>m</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减少染菌机会，外表面精度＜0.4</w:t>
            </w:r>
            <w:r>
              <w:rPr>
                <w:rFonts w:hint="eastAsia" w:ascii="Times New Roman" w:hAnsi="Times New Roman" w:eastAsia="宋体"/>
                <w:bCs w:val="0"/>
                <w:color w:val="auto"/>
                <w:sz w:val="24"/>
                <w:szCs w:val="24"/>
              </w:rPr>
              <w:t>μ</w:t>
            </w:r>
            <w:r>
              <w:rPr>
                <w:rFonts w:ascii="Times New Roman" w:hAnsi="Times New Roman" w:eastAsia="宋体"/>
                <w:bCs w:val="0"/>
                <w:color w:val="auto"/>
                <w:sz w:val="24"/>
                <w:szCs w:val="24"/>
              </w:rPr>
              <w:t>m。</w:t>
            </w:r>
          </w:p>
          <w:p w14:paraId="23FC8CD1">
            <w:pPr>
              <w:pStyle w:val="974"/>
              <w:jc w:val="both"/>
              <w:rPr>
                <w:rFonts w:ascii="Times New Roman" w:hAnsi="Times New Roman" w:eastAsia="宋体"/>
                <w:b/>
                <w:color w:val="auto"/>
                <w:sz w:val="24"/>
                <w:szCs w:val="24"/>
                <w:u w:val="single"/>
              </w:rPr>
            </w:pPr>
            <w:r>
              <w:rPr>
                <w:rFonts w:hint="eastAsia" w:ascii="Times New Roman" w:hAnsi="Times New Roman" w:eastAsia="宋体"/>
                <w:bCs w:val="0"/>
                <w:color w:val="auto"/>
                <w:sz w:val="24"/>
                <w:szCs w:val="24"/>
              </w:rPr>
              <w:t>5、</w:t>
            </w:r>
            <w:r>
              <w:rPr>
                <w:rFonts w:ascii="Times New Roman" w:hAnsi="Times New Roman" w:eastAsia="宋体"/>
                <w:bCs w:val="0"/>
                <w:color w:val="auto"/>
                <w:sz w:val="24"/>
                <w:szCs w:val="24"/>
              </w:rPr>
              <w:t>全不锈钢</w:t>
            </w:r>
            <w:r>
              <w:rPr>
                <w:rFonts w:hint="eastAsia" w:ascii="Times New Roman" w:hAnsi="Times New Roman" w:eastAsia="宋体"/>
                <w:bCs w:val="0"/>
                <w:color w:val="auto"/>
                <w:sz w:val="24"/>
                <w:szCs w:val="24"/>
              </w:rPr>
              <w:t>筒</w:t>
            </w:r>
            <w:r>
              <w:rPr>
                <w:rFonts w:ascii="Times New Roman" w:hAnsi="Times New Roman" w:eastAsia="宋体"/>
                <w:bCs w:val="0"/>
                <w:color w:val="auto"/>
                <w:sz w:val="24"/>
                <w:szCs w:val="24"/>
              </w:rPr>
              <w:t>内无死角</w:t>
            </w:r>
            <w:r>
              <w:rPr>
                <w:rFonts w:hint="eastAsia" w:ascii="Times New Roman" w:hAnsi="Times New Roman" w:eastAsia="宋体"/>
                <w:bCs w:val="0"/>
                <w:color w:val="auto"/>
                <w:sz w:val="24"/>
                <w:szCs w:val="24"/>
              </w:rPr>
              <w:t>。内筒</w:t>
            </w:r>
            <w:r>
              <w:rPr>
                <w:rFonts w:ascii="Times New Roman" w:hAnsi="Times New Roman" w:eastAsia="宋体"/>
                <w:bCs w:val="0"/>
                <w:color w:val="auto"/>
                <w:sz w:val="24"/>
                <w:szCs w:val="24"/>
              </w:rPr>
              <w:t>：设计压力0.4Mpa</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工作压力：0.3Mpa</w:t>
            </w:r>
            <w:r>
              <w:rPr>
                <w:rFonts w:hint="eastAsia" w:ascii="Times New Roman" w:hAnsi="Times New Roman" w:eastAsia="宋体"/>
                <w:bCs w:val="0"/>
                <w:color w:val="auto"/>
                <w:sz w:val="24"/>
                <w:szCs w:val="24"/>
              </w:rPr>
              <w:t>；外套</w:t>
            </w:r>
            <w:r>
              <w:rPr>
                <w:rFonts w:ascii="Times New Roman" w:hAnsi="Times New Roman" w:eastAsia="宋体"/>
                <w:bCs w:val="0"/>
                <w:color w:val="auto"/>
                <w:sz w:val="24"/>
                <w:szCs w:val="24"/>
              </w:rPr>
              <w:t>：设计压力0.4Mpa 工作压力：0.3Mpa</w:t>
            </w:r>
            <w:r>
              <w:rPr>
                <w:rFonts w:hint="eastAsia" w:ascii="Times New Roman" w:hAnsi="Times New Roman" w:eastAsia="宋体"/>
                <w:bCs w:val="0"/>
                <w:color w:val="auto"/>
                <w:sz w:val="24"/>
                <w:szCs w:val="24"/>
              </w:rPr>
              <w:t>。内筒</w:t>
            </w:r>
            <w:r>
              <w:rPr>
                <w:rFonts w:ascii="Times New Roman" w:hAnsi="Times New Roman" w:eastAsia="宋体"/>
                <w:bCs w:val="0"/>
                <w:color w:val="auto"/>
                <w:sz w:val="24"/>
                <w:szCs w:val="24"/>
              </w:rPr>
              <w:t>有玻璃视镜</w:t>
            </w:r>
            <w:r>
              <w:rPr>
                <w:rFonts w:hint="eastAsia" w:ascii="Times New Roman" w:hAnsi="Times New Roman" w:eastAsia="宋体"/>
                <w:bCs w:val="0"/>
                <w:color w:val="auto"/>
                <w:sz w:val="24"/>
                <w:szCs w:val="24"/>
              </w:rPr>
              <w:t>。</w:t>
            </w:r>
          </w:p>
          <w:p w14:paraId="0DF55FE4">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6、内筒</w:t>
            </w:r>
            <w:r>
              <w:rPr>
                <w:rFonts w:ascii="Times New Roman" w:hAnsi="Times New Roman" w:eastAsia="宋体"/>
                <w:bCs w:val="0"/>
                <w:color w:val="auto"/>
                <w:sz w:val="24"/>
                <w:szCs w:val="24"/>
              </w:rPr>
              <w:t>接口</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内筒侧面采用大视角罐内液位观察视镜，耐腐蚀、耐高温（不低于130℃）、耐高压（不低于0.3Mpa）、方便观察不同高度的扩培液位并有刻度。</w:t>
            </w:r>
            <w:r>
              <w:rPr>
                <w:rFonts w:hint="eastAsia" w:ascii="Times New Roman" w:hAnsi="Times New Roman" w:eastAsia="宋体"/>
                <w:bCs w:val="0"/>
                <w:color w:val="auto"/>
                <w:sz w:val="24"/>
                <w:szCs w:val="24"/>
              </w:rPr>
              <w:t>可扩展</w:t>
            </w:r>
            <w:r>
              <w:rPr>
                <w:rFonts w:ascii="Times New Roman" w:hAnsi="Times New Roman" w:eastAsia="宋体"/>
                <w:bCs w:val="0"/>
                <w:color w:val="auto"/>
                <w:sz w:val="24"/>
                <w:szCs w:val="24"/>
              </w:rPr>
              <w:t>侧面温度电极接口、pH电极接口、DO电极接口、中部取样阀</w:t>
            </w:r>
            <w:r>
              <w:rPr>
                <w:rFonts w:hint="eastAsia" w:ascii="Times New Roman" w:hAnsi="Times New Roman" w:eastAsia="宋体"/>
                <w:bCs w:val="0"/>
                <w:color w:val="auto"/>
                <w:sz w:val="24"/>
                <w:szCs w:val="24"/>
              </w:rPr>
              <w:t>。</w:t>
            </w:r>
          </w:p>
          <w:p w14:paraId="7D750AFB">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7、顶部</w:t>
            </w:r>
            <w:r>
              <w:rPr>
                <w:rFonts w:ascii="Times New Roman" w:hAnsi="Times New Roman" w:eastAsia="宋体"/>
                <w:bCs w:val="0"/>
                <w:color w:val="auto"/>
                <w:sz w:val="24"/>
                <w:szCs w:val="24"/>
              </w:rPr>
              <w:t>接口</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有消泡、接种口、多个补料口、排气口等，12V</w:t>
            </w:r>
            <w:r>
              <w:rPr>
                <w:rFonts w:hint="eastAsia" w:ascii="Times New Roman" w:hAnsi="Times New Roman" w:eastAsia="宋体"/>
                <w:bCs w:val="0"/>
                <w:color w:val="auto"/>
                <w:sz w:val="24"/>
                <w:szCs w:val="24"/>
              </w:rPr>
              <w:t xml:space="preserve"> </w:t>
            </w:r>
            <w:r>
              <w:rPr>
                <w:rFonts w:ascii="Times New Roman" w:hAnsi="Times New Roman" w:eastAsia="宋体"/>
                <w:bCs w:val="0"/>
                <w:color w:val="auto"/>
                <w:sz w:val="24"/>
                <w:szCs w:val="24"/>
              </w:rPr>
              <w:t>LED安全视</w:t>
            </w:r>
            <w:r>
              <w:rPr>
                <w:rFonts w:hint="eastAsia" w:ascii="Times New Roman" w:hAnsi="Times New Roman" w:eastAsia="宋体"/>
                <w:bCs w:val="0"/>
                <w:color w:val="auto"/>
                <w:sz w:val="24"/>
                <w:szCs w:val="24"/>
              </w:rPr>
              <w:t>灯。</w:t>
            </w:r>
          </w:p>
          <w:p w14:paraId="5E2C401B">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8、底部</w:t>
            </w:r>
            <w:r>
              <w:rPr>
                <w:rFonts w:ascii="Times New Roman" w:hAnsi="Times New Roman" w:eastAsia="宋体"/>
                <w:bCs w:val="0"/>
                <w:color w:val="auto"/>
                <w:sz w:val="24"/>
                <w:szCs w:val="24"/>
              </w:rPr>
              <w:t>接口</w:t>
            </w:r>
            <w:r>
              <w:rPr>
                <w:rFonts w:hint="eastAsia" w:ascii="Times New Roman" w:hAnsi="Times New Roman" w:eastAsia="宋体"/>
                <w:bCs w:val="0"/>
                <w:color w:val="auto"/>
                <w:sz w:val="24"/>
                <w:szCs w:val="24"/>
              </w:rPr>
              <w:t>：内筒带</w:t>
            </w:r>
            <w:r>
              <w:rPr>
                <w:rFonts w:ascii="Times New Roman" w:hAnsi="Times New Roman" w:eastAsia="宋体"/>
                <w:bCs w:val="0"/>
                <w:color w:val="auto"/>
                <w:sz w:val="24"/>
                <w:szCs w:val="24"/>
              </w:rPr>
              <w:t>底阀和放料阀，移种口（快接方式），特制设计，无死角、不积液</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可蒸汽消毒，隔膜式底阀。</w:t>
            </w:r>
          </w:p>
          <w:p w14:paraId="08972496">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9、</w:t>
            </w:r>
            <w:r>
              <w:rPr>
                <w:rFonts w:ascii="Times New Roman" w:hAnsi="Times New Roman" w:eastAsia="宋体"/>
                <w:bCs w:val="0"/>
                <w:color w:val="auto"/>
                <w:sz w:val="24"/>
                <w:szCs w:val="24"/>
              </w:rPr>
              <w:t>灭菌方式</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在线蒸汽灭菌</w:t>
            </w:r>
            <w:r>
              <w:rPr>
                <w:rFonts w:hint="eastAsia" w:ascii="Times New Roman" w:hAnsi="Times New Roman" w:eastAsia="宋体"/>
                <w:bCs w:val="0"/>
                <w:color w:val="auto"/>
                <w:sz w:val="24"/>
                <w:szCs w:val="24"/>
              </w:rPr>
              <w:t>。</w:t>
            </w:r>
          </w:p>
          <w:p w14:paraId="2DB6597E">
            <w:pPr>
              <w:pStyle w:val="974"/>
              <w:jc w:val="both"/>
              <w:rPr>
                <w:rFonts w:ascii="Times New Roman" w:hAnsi="Times New Roman" w:eastAsia="宋体"/>
                <w:b/>
                <w:color w:val="auto"/>
                <w:sz w:val="24"/>
                <w:szCs w:val="24"/>
              </w:rPr>
            </w:pPr>
            <w:r>
              <w:rPr>
                <w:rFonts w:ascii="Times New Roman" w:hAnsi="Times New Roman" w:eastAsia="宋体"/>
                <w:bCs w:val="0"/>
                <w:color w:val="auto"/>
                <w:sz w:val="24"/>
                <w:szCs w:val="24"/>
              </w:rPr>
              <w:t>灭菌温度：121℃</w:t>
            </w:r>
            <w:r>
              <w:rPr>
                <w:rFonts w:hint="eastAsia" w:ascii="Times New Roman" w:hAnsi="Times New Roman" w:eastAsia="宋体"/>
                <w:bCs w:val="0"/>
                <w:color w:val="auto"/>
                <w:sz w:val="24"/>
                <w:szCs w:val="24"/>
              </w:rPr>
              <w:t>。</w:t>
            </w:r>
          </w:p>
          <w:p w14:paraId="5328EE95">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灭菌时间：升温至达到121℃后保压，整个过程约30分钟</w:t>
            </w:r>
            <w:r>
              <w:rPr>
                <w:rFonts w:hint="eastAsia" w:ascii="Times New Roman" w:hAnsi="Times New Roman" w:eastAsia="宋体"/>
                <w:bCs w:val="0"/>
                <w:color w:val="auto"/>
                <w:sz w:val="24"/>
                <w:szCs w:val="24"/>
              </w:rPr>
              <w:t>。</w:t>
            </w:r>
          </w:p>
          <w:p w14:paraId="49249C95">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最高温度：131℃</w:t>
            </w:r>
            <w:r>
              <w:rPr>
                <w:rFonts w:hint="eastAsia" w:ascii="Times New Roman" w:hAnsi="Times New Roman" w:eastAsia="宋体"/>
                <w:bCs w:val="0"/>
                <w:color w:val="auto"/>
                <w:sz w:val="24"/>
                <w:szCs w:val="24"/>
              </w:rPr>
              <w:t>。</w:t>
            </w:r>
          </w:p>
          <w:p w14:paraId="2893EF63">
            <w:pPr>
              <w:pStyle w:val="974"/>
              <w:jc w:val="both"/>
              <w:rPr>
                <w:rFonts w:ascii="Times New Roman" w:hAnsi="Times New Roman" w:eastAsia="宋体"/>
                <w:bCs w:val="0"/>
                <w:color w:val="auto"/>
                <w:sz w:val="24"/>
                <w:szCs w:val="24"/>
                <w:u w:val="single"/>
              </w:rPr>
            </w:pPr>
            <w:r>
              <w:rPr>
                <w:rFonts w:hint="eastAsia" w:ascii="Times New Roman" w:hAnsi="Times New Roman" w:eastAsia="宋体"/>
                <w:bCs w:val="0"/>
                <w:color w:val="auto"/>
                <w:sz w:val="24"/>
                <w:szCs w:val="24"/>
                <w:u w:val="single"/>
              </w:rPr>
              <w:t>自动</w:t>
            </w:r>
            <w:r>
              <w:rPr>
                <w:rFonts w:ascii="Times New Roman" w:hAnsi="Times New Roman" w:eastAsia="宋体"/>
                <w:bCs w:val="0"/>
                <w:color w:val="auto"/>
                <w:sz w:val="24"/>
                <w:szCs w:val="24"/>
                <w:u w:val="single"/>
              </w:rPr>
              <w:t>灭菌，灭菌温度 100-130℃</w:t>
            </w:r>
            <w:r>
              <w:rPr>
                <w:rFonts w:hint="eastAsia" w:ascii="Times New Roman" w:hAnsi="Times New Roman" w:eastAsia="宋体"/>
                <w:bCs w:val="0"/>
                <w:color w:val="auto"/>
                <w:sz w:val="24"/>
                <w:szCs w:val="24"/>
                <w:u w:val="single"/>
              </w:rPr>
              <w:t>，</w:t>
            </w:r>
            <w:r>
              <w:rPr>
                <w:rFonts w:ascii="Times New Roman" w:hAnsi="Times New Roman" w:eastAsia="宋体"/>
                <w:bCs w:val="0"/>
                <w:color w:val="auto"/>
                <w:sz w:val="24"/>
                <w:szCs w:val="24"/>
                <w:u w:val="single"/>
              </w:rPr>
              <w:t>所有操作阀门设计在正面操作。灭菌的同时可以搅拌，可以彻底的对</w:t>
            </w:r>
            <w:r>
              <w:rPr>
                <w:rFonts w:hint="eastAsia" w:ascii="Times New Roman" w:hAnsi="Times New Roman" w:eastAsia="宋体"/>
                <w:bCs w:val="0"/>
                <w:color w:val="auto"/>
                <w:sz w:val="24"/>
                <w:szCs w:val="24"/>
                <w:u w:val="single"/>
              </w:rPr>
              <w:t>扩培底基</w:t>
            </w:r>
            <w:r>
              <w:rPr>
                <w:rFonts w:ascii="Times New Roman" w:hAnsi="Times New Roman" w:eastAsia="宋体"/>
                <w:bCs w:val="0"/>
                <w:color w:val="auto"/>
                <w:sz w:val="24"/>
                <w:szCs w:val="24"/>
                <w:u w:val="single"/>
              </w:rPr>
              <w:t>进行消毒。</w:t>
            </w:r>
          </w:p>
          <w:p w14:paraId="5F99C83F">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与</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接触部件按照GMP标准设计，使用卫生级隔膜阀。</w:t>
            </w:r>
          </w:p>
          <w:p w14:paraId="1217726F">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取样、补料（接种）等通入蒸汽灭菌，接种口有火焰保护环</w:t>
            </w:r>
            <w:r>
              <w:rPr>
                <w:rFonts w:hint="eastAsia" w:ascii="Times New Roman" w:hAnsi="Times New Roman" w:eastAsia="宋体"/>
                <w:bCs w:val="0"/>
                <w:color w:val="auto"/>
                <w:sz w:val="24"/>
                <w:szCs w:val="24"/>
              </w:rPr>
              <w:t>。</w:t>
            </w:r>
          </w:p>
          <w:p w14:paraId="5456F06F">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内筒</w:t>
            </w:r>
            <w:r>
              <w:rPr>
                <w:rFonts w:ascii="Times New Roman" w:hAnsi="Times New Roman" w:eastAsia="宋体"/>
                <w:bCs w:val="0"/>
                <w:color w:val="auto"/>
                <w:sz w:val="24"/>
                <w:szCs w:val="24"/>
              </w:rPr>
              <w:t>底阀、</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管路等通入纯蒸汽灭菌，底阀采用无死角卫生级隔膜阀（带旁通阀的一体式零死角阀），膜片材质 EPDM/PTFE，为卡盘链接</w:t>
            </w:r>
            <w:r>
              <w:rPr>
                <w:rFonts w:hint="eastAsia" w:ascii="Times New Roman" w:hAnsi="Times New Roman" w:eastAsia="宋体"/>
                <w:bCs w:val="0"/>
                <w:color w:val="auto"/>
                <w:sz w:val="24"/>
                <w:szCs w:val="24"/>
              </w:rPr>
              <w:t>。</w:t>
            </w:r>
          </w:p>
          <w:p w14:paraId="0C68C487">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10、</w:t>
            </w:r>
            <w:r>
              <w:rPr>
                <w:rFonts w:ascii="Times New Roman" w:hAnsi="Times New Roman" w:eastAsia="宋体"/>
                <w:bCs w:val="0"/>
                <w:color w:val="auto"/>
                <w:sz w:val="24"/>
                <w:szCs w:val="24"/>
              </w:rPr>
              <w:t>进气系统</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由转子流量计、除菌精过滤器、止逆阀等组成。</w:t>
            </w:r>
          </w:p>
          <w:p w14:paraId="582261F3">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进气控制：采用转子流量计手动控制进气。</w:t>
            </w:r>
          </w:p>
          <w:p w14:paraId="63AC894C">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流量控制：手动转子流量计控制。</w:t>
            </w:r>
          </w:p>
          <w:p w14:paraId="760CCB98">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空气过滤器外壳采用304不锈钢，滤芯精度：0.01</w:t>
            </w:r>
            <w:r>
              <w:rPr>
                <w:rFonts w:hint="eastAsia" w:ascii="Times New Roman" w:hAnsi="Times New Roman" w:eastAsia="宋体"/>
                <w:bCs w:val="0"/>
                <w:color w:val="auto"/>
                <w:sz w:val="24"/>
                <w:szCs w:val="24"/>
              </w:rPr>
              <w:t>μ</w:t>
            </w:r>
            <w:r>
              <w:rPr>
                <w:rFonts w:ascii="Times New Roman" w:hAnsi="Times New Roman" w:eastAsia="宋体"/>
                <w:bCs w:val="0"/>
                <w:color w:val="auto"/>
                <w:sz w:val="24"/>
                <w:szCs w:val="24"/>
              </w:rPr>
              <w:t>m，二级过滤，确保空气</w:t>
            </w:r>
          </w:p>
          <w:p w14:paraId="32BE788D">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进</w:t>
            </w:r>
            <w:r>
              <w:rPr>
                <w:rFonts w:hint="eastAsia" w:ascii="Times New Roman" w:hAnsi="Times New Roman" w:eastAsia="宋体"/>
                <w:bCs w:val="0"/>
                <w:color w:val="auto"/>
                <w:sz w:val="24"/>
                <w:szCs w:val="24"/>
              </w:rPr>
              <w:t>筒内</w:t>
            </w:r>
            <w:r>
              <w:rPr>
                <w:rFonts w:ascii="Times New Roman" w:hAnsi="Times New Roman" w:eastAsia="宋体"/>
                <w:bCs w:val="0"/>
                <w:color w:val="auto"/>
                <w:sz w:val="24"/>
                <w:szCs w:val="24"/>
              </w:rPr>
              <w:t>无菌，滤芯材质为耐高温、疏水性好的聚四氟乙烯或其他合适</w:t>
            </w:r>
            <w:r>
              <w:rPr>
                <w:rFonts w:hint="eastAsia" w:ascii="Times New Roman" w:hAnsi="Times New Roman" w:eastAsia="宋体"/>
                <w:bCs w:val="0"/>
                <w:color w:val="auto"/>
                <w:sz w:val="24"/>
                <w:szCs w:val="24"/>
              </w:rPr>
              <w:t>的</w:t>
            </w:r>
            <w:r>
              <w:rPr>
                <w:rFonts w:ascii="Times New Roman" w:hAnsi="Times New Roman" w:eastAsia="宋体"/>
                <w:bCs w:val="0"/>
                <w:color w:val="auto"/>
                <w:sz w:val="24"/>
                <w:szCs w:val="24"/>
              </w:rPr>
              <w:t>材质。</w:t>
            </w:r>
          </w:p>
          <w:p w14:paraId="21602FF7">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灭菌需求：过滤器、进气管路可在线蒸汽灭菌。</w:t>
            </w:r>
          </w:p>
          <w:p w14:paraId="6EF4A98B">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装有止逆阀，防止</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的倒吸。</w:t>
            </w:r>
          </w:p>
          <w:p w14:paraId="1A421C48">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进气方式：卫生级</w:t>
            </w:r>
            <w:r>
              <w:rPr>
                <w:rFonts w:hint="eastAsia" w:ascii="Times New Roman" w:hAnsi="Times New Roman" w:eastAsia="宋体"/>
                <w:bCs w:val="0"/>
                <w:color w:val="auto"/>
                <w:sz w:val="24"/>
                <w:szCs w:val="24"/>
              </w:rPr>
              <w:t>304</w:t>
            </w:r>
            <w:r>
              <w:rPr>
                <w:rFonts w:ascii="Times New Roman" w:hAnsi="Times New Roman" w:eastAsia="宋体"/>
                <w:bCs w:val="0"/>
                <w:color w:val="auto"/>
                <w:sz w:val="24"/>
                <w:szCs w:val="24"/>
              </w:rPr>
              <w:t>不锈钢底部环形气体分布器，专业设计，气泡分布均匀，气孔不易堵塞。</w:t>
            </w:r>
          </w:p>
          <w:p w14:paraId="46CCFC3A">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11、</w:t>
            </w:r>
            <w:r>
              <w:rPr>
                <w:rFonts w:ascii="Times New Roman" w:hAnsi="Times New Roman" w:eastAsia="宋体"/>
                <w:bCs w:val="0"/>
                <w:color w:val="auto"/>
                <w:sz w:val="24"/>
                <w:szCs w:val="24"/>
              </w:rPr>
              <w:t>排气系统</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带尾气排放冷凝器，经过特殊设计的尾气排放管路无积液不染菌，排气冷凝水阀门手动控制。不锈钢压力表显示</w:t>
            </w:r>
            <w:r>
              <w:rPr>
                <w:rFonts w:hint="eastAsia" w:ascii="Times New Roman" w:hAnsi="Times New Roman" w:eastAsia="宋体"/>
                <w:bCs w:val="0"/>
                <w:color w:val="auto"/>
                <w:sz w:val="24"/>
                <w:szCs w:val="24"/>
              </w:rPr>
              <w:t>扩培器内</w:t>
            </w:r>
            <w:r>
              <w:rPr>
                <w:rFonts w:ascii="Times New Roman" w:hAnsi="Times New Roman" w:eastAsia="宋体"/>
                <w:bCs w:val="0"/>
                <w:color w:val="auto"/>
                <w:sz w:val="24"/>
                <w:szCs w:val="24"/>
              </w:rPr>
              <w:t>压，优质隔膜阀调节排气流量，控制</w:t>
            </w:r>
            <w:r>
              <w:rPr>
                <w:rFonts w:hint="eastAsia" w:ascii="Times New Roman" w:hAnsi="Times New Roman" w:eastAsia="宋体"/>
                <w:bCs w:val="0"/>
                <w:color w:val="auto"/>
                <w:sz w:val="24"/>
                <w:szCs w:val="24"/>
              </w:rPr>
              <w:t>扩培器内压</w:t>
            </w:r>
            <w:r>
              <w:rPr>
                <w:rFonts w:ascii="Times New Roman" w:hAnsi="Times New Roman" w:eastAsia="宋体"/>
                <w:bCs w:val="0"/>
                <w:color w:val="auto"/>
                <w:sz w:val="24"/>
                <w:szCs w:val="24"/>
              </w:rPr>
              <w:t>。</w:t>
            </w:r>
          </w:p>
          <w:p w14:paraId="1EB7C8C1">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12、</w:t>
            </w:r>
            <w:r>
              <w:rPr>
                <w:rFonts w:ascii="Times New Roman" w:hAnsi="Times New Roman" w:eastAsia="宋体"/>
                <w:bCs w:val="0"/>
                <w:color w:val="auto"/>
                <w:sz w:val="24"/>
                <w:szCs w:val="24"/>
              </w:rPr>
              <w:t>搅拌系统</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顶部式机械搅拌，采用</w:t>
            </w:r>
            <w:r>
              <w:rPr>
                <w:rFonts w:hint="eastAsia" w:ascii="Times New Roman" w:hAnsi="Times New Roman" w:eastAsia="宋体"/>
                <w:bCs w:val="0"/>
                <w:color w:val="auto"/>
                <w:sz w:val="24"/>
                <w:szCs w:val="24"/>
              </w:rPr>
              <w:t>316L</w:t>
            </w:r>
            <w:r>
              <w:rPr>
                <w:rFonts w:ascii="Times New Roman" w:hAnsi="Times New Roman" w:eastAsia="宋体"/>
                <w:bCs w:val="0"/>
                <w:color w:val="auto"/>
                <w:sz w:val="24"/>
                <w:szCs w:val="24"/>
              </w:rPr>
              <w:t>不锈钢专用搅拌轴材料，精密加工，具有理想的动平衡性能，上下轴比例适当，保证转速平稳且不偏离，刚性好，长期使用不变形；整套系统安全稳定且寿命长</w:t>
            </w:r>
            <w:r>
              <w:rPr>
                <w:rFonts w:hint="eastAsia" w:ascii="Times New Roman" w:hAnsi="Times New Roman" w:eastAsia="宋体"/>
                <w:bCs w:val="0"/>
                <w:color w:val="auto"/>
                <w:sz w:val="24"/>
                <w:szCs w:val="24"/>
              </w:rPr>
              <w:t>。</w:t>
            </w:r>
          </w:p>
          <w:p w14:paraId="4A2642F9">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进口单端面机械密封，密封性能好，拆卸方便。</w:t>
            </w:r>
          </w:p>
          <w:p w14:paraId="0F152A89">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扩培</w:t>
            </w:r>
            <w:r>
              <w:rPr>
                <w:rFonts w:ascii="Times New Roman" w:hAnsi="Times New Roman" w:eastAsia="宋体"/>
                <w:bCs w:val="0"/>
                <w:color w:val="auto"/>
                <w:sz w:val="24"/>
                <w:szCs w:val="24"/>
              </w:rPr>
              <w:t>专用桨叶，搅拌形式</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底部六平叶桨，中上部二层四宽叶斜</w:t>
            </w:r>
            <w:r>
              <w:rPr>
                <w:rFonts w:hint="eastAsia" w:ascii="Times New Roman" w:hAnsi="Times New Roman" w:eastAsia="宋体"/>
                <w:bCs w:val="0"/>
                <w:color w:val="auto"/>
                <w:sz w:val="24"/>
                <w:szCs w:val="24"/>
              </w:rPr>
              <w:t>桨</w:t>
            </w:r>
            <w:r>
              <w:rPr>
                <w:rFonts w:ascii="Times New Roman" w:hAnsi="Times New Roman" w:eastAsia="宋体"/>
                <w:bCs w:val="0"/>
                <w:color w:val="auto"/>
                <w:sz w:val="24"/>
                <w:szCs w:val="24"/>
              </w:rPr>
              <w:t>，组成三级桨叶系统，桨片高度可调，搅拌时</w:t>
            </w:r>
            <w:r>
              <w:rPr>
                <w:rFonts w:hint="eastAsia" w:ascii="Times New Roman" w:hAnsi="Times New Roman" w:eastAsia="宋体"/>
                <w:bCs w:val="0"/>
                <w:color w:val="auto"/>
                <w:sz w:val="24"/>
                <w:szCs w:val="24"/>
              </w:rPr>
              <w:t>筒内</w:t>
            </w:r>
            <w:r>
              <w:rPr>
                <w:rFonts w:ascii="Times New Roman" w:hAnsi="Times New Roman" w:eastAsia="宋体"/>
                <w:bCs w:val="0"/>
                <w:color w:val="auto"/>
                <w:sz w:val="24"/>
                <w:szCs w:val="24"/>
              </w:rPr>
              <w:t>可形成良好对流条件，机械压迫式消泡桨（一级）、每</w:t>
            </w:r>
            <w:r>
              <w:rPr>
                <w:rFonts w:hint="eastAsia" w:ascii="Times New Roman" w:hAnsi="Times New Roman" w:eastAsia="宋体"/>
                <w:bCs w:val="0"/>
                <w:color w:val="auto"/>
                <w:sz w:val="24"/>
                <w:szCs w:val="24"/>
              </w:rPr>
              <w:t>容器4</w:t>
            </w:r>
            <w:r>
              <w:rPr>
                <w:rFonts w:ascii="Times New Roman" w:hAnsi="Times New Roman" w:eastAsia="宋体"/>
                <w:bCs w:val="0"/>
                <w:color w:val="auto"/>
                <w:sz w:val="24"/>
                <w:szCs w:val="24"/>
              </w:rPr>
              <w:t>档折流板；亦可根据</w:t>
            </w:r>
            <w:r>
              <w:rPr>
                <w:rFonts w:hint="eastAsia" w:ascii="Times New Roman" w:hAnsi="Times New Roman" w:eastAsia="宋体"/>
                <w:bCs w:val="0"/>
                <w:color w:val="auto"/>
                <w:sz w:val="24"/>
                <w:szCs w:val="24"/>
              </w:rPr>
              <w:t>扩培</w:t>
            </w:r>
            <w:r>
              <w:rPr>
                <w:rFonts w:ascii="Times New Roman" w:hAnsi="Times New Roman" w:eastAsia="宋体"/>
                <w:bCs w:val="0"/>
                <w:color w:val="auto"/>
                <w:sz w:val="24"/>
                <w:szCs w:val="24"/>
              </w:rPr>
              <w:t>工艺的特殊要求更换不同类型的搅拌桨。</w:t>
            </w:r>
          </w:p>
          <w:p w14:paraId="36441012">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PID 自动控制，无极调速，控制转速：50-</w:t>
            </w:r>
            <w:r>
              <w:rPr>
                <w:rFonts w:hint="eastAsia" w:ascii="Times New Roman" w:hAnsi="Times New Roman" w:eastAsia="宋体"/>
                <w:bCs w:val="0"/>
                <w:color w:val="auto"/>
                <w:sz w:val="24"/>
                <w:szCs w:val="24"/>
              </w:rPr>
              <w:t>550</w:t>
            </w:r>
            <w:r>
              <w:rPr>
                <w:rFonts w:ascii="Times New Roman" w:hAnsi="Times New Roman" w:eastAsia="宋体"/>
                <w:bCs w:val="0"/>
                <w:color w:val="auto"/>
                <w:sz w:val="24"/>
                <w:szCs w:val="24"/>
              </w:rPr>
              <w:t>rpm</w:t>
            </w:r>
            <w:r>
              <w:rPr>
                <w:rFonts w:hint="eastAsia" w:ascii="Times New Roman" w:hAnsi="Times New Roman" w:eastAsia="宋体"/>
                <w:bCs w:val="0"/>
                <w:color w:val="auto"/>
                <w:sz w:val="24"/>
                <w:szCs w:val="24"/>
              </w:rPr>
              <w:t>，≥5</w:t>
            </w:r>
            <w:r>
              <w:rPr>
                <w:rFonts w:ascii="Times New Roman" w:hAnsi="Times New Roman" w:eastAsia="宋体"/>
                <w:bCs w:val="0"/>
                <w:color w:val="auto"/>
                <w:sz w:val="24"/>
                <w:szCs w:val="24"/>
              </w:rPr>
              <w:t>.5KW</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控制精度：±0.5%</w:t>
            </w:r>
            <w:r>
              <w:rPr>
                <w:rFonts w:hint="eastAsia" w:ascii="Times New Roman" w:hAnsi="Times New Roman" w:eastAsia="宋体"/>
                <w:bCs w:val="0"/>
                <w:color w:val="auto"/>
                <w:sz w:val="24"/>
                <w:szCs w:val="24"/>
              </w:rPr>
              <w:t>。</w:t>
            </w:r>
          </w:p>
          <w:p w14:paraId="4BD55027">
            <w:pPr>
              <w:pStyle w:val="974"/>
              <w:jc w:val="both"/>
              <w:rPr>
                <w:rFonts w:ascii="Times New Roman" w:hAnsi="Times New Roman" w:eastAsia="宋体"/>
                <w:b/>
                <w:color w:val="auto"/>
                <w:sz w:val="24"/>
                <w:szCs w:val="24"/>
                <w:u w:val="single"/>
              </w:rPr>
            </w:pPr>
            <w:r>
              <w:rPr>
                <w:rFonts w:hint="eastAsia" w:ascii="Segoe UI Symbol" w:hAnsi="Segoe UI Symbol" w:eastAsia="宋体" w:cs="Segoe UI Symbol"/>
                <w:b/>
                <w:color w:val="auto"/>
                <w:sz w:val="24"/>
                <w:szCs w:val="24"/>
                <w:u w:val="single"/>
              </w:rPr>
              <w:t>13、</w:t>
            </w:r>
            <w:r>
              <w:rPr>
                <w:rFonts w:ascii="Segoe UI Symbol" w:hAnsi="Segoe UI Symbol" w:eastAsia="宋体" w:cs="Segoe UI Symbol"/>
                <w:b/>
                <w:color w:val="auto"/>
                <w:sz w:val="24"/>
                <w:szCs w:val="24"/>
                <w:u w:val="single"/>
              </w:rPr>
              <w:t>★</w:t>
            </w:r>
            <w:r>
              <w:rPr>
                <w:rFonts w:hint="eastAsia" w:ascii="Times New Roman" w:hAnsi="Times New Roman" w:eastAsia="宋体"/>
                <w:b/>
                <w:color w:val="auto"/>
                <w:sz w:val="24"/>
                <w:szCs w:val="24"/>
                <w:u w:val="single"/>
              </w:rPr>
              <w:t>自动开盖：</w:t>
            </w:r>
            <w:r>
              <w:rPr>
                <w:rFonts w:ascii="Times New Roman" w:hAnsi="Times New Roman" w:eastAsia="宋体"/>
                <w:b/>
                <w:color w:val="auto"/>
                <w:sz w:val="24"/>
                <w:szCs w:val="24"/>
                <w:u w:val="single"/>
              </w:rPr>
              <w:t>带气动/电动提升装置，提升0-300m</w:t>
            </w:r>
            <w:r>
              <w:rPr>
                <w:rFonts w:hint="eastAsia" w:ascii="Times New Roman" w:hAnsi="Times New Roman" w:eastAsia="宋体"/>
                <w:b/>
                <w:color w:val="auto"/>
                <w:sz w:val="24"/>
                <w:szCs w:val="24"/>
                <w:u w:val="single"/>
              </w:rPr>
              <w:t>m，</w:t>
            </w:r>
            <w:r>
              <w:rPr>
                <w:rFonts w:ascii="Times New Roman" w:hAnsi="Times New Roman" w:eastAsia="宋体"/>
                <w:b/>
                <w:color w:val="auto"/>
                <w:sz w:val="24"/>
                <w:szCs w:val="24"/>
                <w:u w:val="single"/>
              </w:rPr>
              <w:t>方便</w:t>
            </w:r>
            <w:r>
              <w:rPr>
                <w:rFonts w:hint="eastAsia" w:ascii="Times New Roman" w:hAnsi="Times New Roman" w:eastAsia="宋体"/>
                <w:b/>
                <w:color w:val="auto"/>
                <w:sz w:val="24"/>
                <w:szCs w:val="24"/>
                <w:u w:val="single"/>
              </w:rPr>
              <w:t>清洗</w:t>
            </w:r>
            <w:r>
              <w:rPr>
                <w:rFonts w:ascii="Times New Roman" w:hAnsi="Times New Roman" w:eastAsia="宋体"/>
                <w:b/>
                <w:color w:val="auto"/>
                <w:sz w:val="24"/>
                <w:szCs w:val="24"/>
                <w:u w:val="single"/>
              </w:rPr>
              <w:t>、检修。</w:t>
            </w:r>
          </w:p>
          <w:p w14:paraId="6FBA1EB7">
            <w:pPr>
              <w:pStyle w:val="974"/>
              <w:jc w:val="both"/>
              <w:rPr>
                <w:rFonts w:ascii="Times New Roman" w:hAnsi="Times New Roman" w:eastAsia="宋体"/>
                <w:b/>
                <w:color w:val="auto"/>
                <w:sz w:val="24"/>
                <w:szCs w:val="24"/>
                <w:u w:val="single"/>
              </w:rPr>
            </w:pPr>
            <w:r>
              <w:rPr>
                <w:rFonts w:hint="eastAsia" w:ascii="Segoe UI Symbol" w:hAnsi="Segoe UI Symbol" w:eastAsia="宋体" w:cs="Segoe UI Symbol"/>
                <w:b/>
                <w:color w:val="auto"/>
                <w:sz w:val="24"/>
                <w:szCs w:val="24"/>
                <w:u w:val="single"/>
              </w:rPr>
              <w:t>14、</w:t>
            </w:r>
            <w:r>
              <w:rPr>
                <w:rFonts w:ascii="Segoe UI Symbol" w:hAnsi="Segoe UI Symbol" w:eastAsia="宋体" w:cs="Segoe UI Symbol"/>
                <w:b/>
                <w:color w:val="auto"/>
                <w:sz w:val="24"/>
                <w:szCs w:val="24"/>
                <w:u w:val="single"/>
              </w:rPr>
              <w:t>★</w:t>
            </w:r>
            <w:r>
              <w:rPr>
                <w:rFonts w:hint="eastAsia" w:ascii="Times New Roman" w:hAnsi="Times New Roman" w:eastAsia="宋体"/>
                <w:b/>
                <w:color w:val="auto"/>
                <w:sz w:val="24"/>
                <w:szCs w:val="24"/>
                <w:u w:val="single"/>
              </w:rPr>
              <w:t>自动灭菌：一键式自动灭菌，可自定义灭菌时间，减少人工操作，取样阀及放料阀需要自动灭菌。</w:t>
            </w:r>
          </w:p>
          <w:p w14:paraId="54D1757B">
            <w:pPr>
              <w:pStyle w:val="974"/>
              <w:jc w:val="both"/>
              <w:rPr>
                <w:rFonts w:ascii="Times New Roman" w:hAnsi="Times New Roman" w:eastAsia="宋体"/>
                <w:b/>
                <w:color w:val="auto"/>
                <w:sz w:val="24"/>
                <w:szCs w:val="24"/>
                <w:u w:val="single"/>
              </w:rPr>
            </w:pPr>
            <w:r>
              <w:rPr>
                <w:rFonts w:ascii="Times New Roman" w:hAnsi="Times New Roman" w:eastAsia="宋体"/>
                <w:b/>
                <w:color w:val="auto"/>
                <w:sz w:val="24"/>
                <w:szCs w:val="24"/>
                <w:u w:val="single"/>
              </w:rPr>
              <w:t>空气过滤器可单独SIP,也可以和扩培器同时灭菌。</w:t>
            </w:r>
          </w:p>
          <w:p w14:paraId="2BDD5A7A">
            <w:pPr>
              <w:pStyle w:val="974"/>
              <w:jc w:val="both"/>
              <w:rPr>
                <w:rFonts w:ascii="Times New Roman" w:hAnsi="Times New Roman" w:eastAsia="宋体"/>
                <w:b/>
                <w:color w:val="auto"/>
                <w:sz w:val="24"/>
                <w:szCs w:val="24"/>
                <w:u w:val="single"/>
              </w:rPr>
            </w:pPr>
            <w:r>
              <w:rPr>
                <w:rFonts w:ascii="Times New Roman" w:hAnsi="Times New Roman" w:eastAsia="宋体"/>
                <w:b/>
                <w:color w:val="auto"/>
                <w:sz w:val="24"/>
                <w:szCs w:val="24"/>
                <w:u w:val="single"/>
              </w:rPr>
              <w:t>连接内筒管路都可CIP 自动清洗。</w:t>
            </w:r>
          </w:p>
          <w:p w14:paraId="7F11FF6A">
            <w:pPr>
              <w:pStyle w:val="974"/>
              <w:jc w:val="both"/>
              <w:rPr>
                <w:rFonts w:ascii="Times New Roman" w:hAnsi="Times New Roman" w:eastAsia="宋体"/>
                <w:b/>
                <w:color w:val="auto"/>
                <w:sz w:val="24"/>
                <w:szCs w:val="24"/>
                <w:u w:val="single"/>
              </w:rPr>
            </w:pPr>
            <w:r>
              <w:rPr>
                <w:rFonts w:hint="eastAsia" w:ascii="Segoe UI Symbol" w:hAnsi="Segoe UI Symbol" w:eastAsia="宋体" w:cs="Segoe UI Symbol"/>
                <w:b/>
                <w:color w:val="auto"/>
                <w:sz w:val="24"/>
                <w:szCs w:val="24"/>
                <w:u w:val="single"/>
              </w:rPr>
              <w:t>15、</w:t>
            </w:r>
            <w:r>
              <w:rPr>
                <w:rFonts w:ascii="Segoe UI Symbol" w:hAnsi="Segoe UI Symbol" w:eastAsia="宋体" w:cs="Segoe UI Symbol"/>
                <w:b/>
                <w:color w:val="auto"/>
                <w:sz w:val="24"/>
                <w:szCs w:val="24"/>
                <w:u w:val="single"/>
              </w:rPr>
              <w:t>★</w:t>
            </w:r>
            <w:r>
              <w:rPr>
                <w:rFonts w:hint="eastAsia" w:ascii="Times New Roman" w:hAnsi="Times New Roman" w:eastAsia="宋体"/>
                <w:b/>
                <w:color w:val="auto"/>
                <w:sz w:val="24"/>
                <w:szCs w:val="24"/>
                <w:u w:val="single"/>
              </w:rPr>
              <w:t>空气流量自动检测与控制：质量流量控制器：采用质量流量控制器精确控制空气进气流量，并可以根据溶氧值自动调节空气流量。最大设计流量大约2VVM, 控制精度±0.5%。</w:t>
            </w:r>
          </w:p>
          <w:p w14:paraId="737E7FA0">
            <w:pPr>
              <w:pStyle w:val="974"/>
              <w:jc w:val="both"/>
              <w:rPr>
                <w:rFonts w:ascii="Times New Roman" w:hAnsi="Times New Roman" w:eastAsia="宋体"/>
                <w:b/>
                <w:color w:val="auto"/>
                <w:sz w:val="24"/>
                <w:szCs w:val="24"/>
                <w:u w:val="single"/>
              </w:rPr>
            </w:pPr>
            <w:r>
              <w:rPr>
                <w:rFonts w:hint="eastAsia" w:ascii="Segoe UI Symbol" w:hAnsi="Segoe UI Symbol" w:eastAsia="宋体" w:cs="Segoe UI Symbol"/>
                <w:b/>
                <w:color w:val="auto"/>
                <w:sz w:val="24"/>
                <w:szCs w:val="24"/>
                <w:u w:val="single"/>
              </w:rPr>
              <w:t>16、</w:t>
            </w:r>
            <w:r>
              <w:rPr>
                <w:rFonts w:ascii="Segoe UI Symbol" w:hAnsi="Segoe UI Symbol" w:eastAsia="宋体" w:cs="Segoe UI Symbol"/>
                <w:b/>
                <w:color w:val="auto"/>
                <w:sz w:val="24"/>
                <w:szCs w:val="24"/>
                <w:u w:val="single"/>
              </w:rPr>
              <w:t>★</w:t>
            </w:r>
            <w:r>
              <w:rPr>
                <w:rFonts w:hint="eastAsia" w:ascii="Times New Roman" w:hAnsi="Times New Roman" w:eastAsia="宋体"/>
                <w:b/>
                <w:color w:val="auto"/>
                <w:sz w:val="24"/>
                <w:szCs w:val="24"/>
                <w:u w:val="single"/>
              </w:rPr>
              <w:t>内筒压力监测与自动控制：采用耐高温高精度压力传感器精确检测扩培反应器压力，宝德比例调节阀自动调节扩培器内压力，测量范围：-0.1-0.3Mpa,±0.3%，控制精度：±0.5%。</w:t>
            </w:r>
          </w:p>
          <w:p w14:paraId="6AA710B6">
            <w:pPr>
              <w:pStyle w:val="974"/>
              <w:jc w:val="both"/>
              <w:rPr>
                <w:rFonts w:ascii="Times New Roman" w:hAnsi="Times New Roman" w:eastAsia="宋体"/>
                <w:b/>
                <w:color w:val="auto"/>
                <w:sz w:val="24"/>
                <w:szCs w:val="24"/>
                <w:u w:val="single"/>
              </w:rPr>
            </w:pPr>
            <w:r>
              <w:rPr>
                <w:rFonts w:hint="eastAsia" w:ascii="Segoe UI Symbol" w:hAnsi="Segoe UI Symbol" w:eastAsia="宋体" w:cs="Segoe UI Symbol"/>
                <w:b/>
                <w:color w:val="auto"/>
                <w:sz w:val="24"/>
                <w:szCs w:val="24"/>
                <w:u w:val="single"/>
              </w:rPr>
              <w:t>17、</w:t>
            </w:r>
            <w:r>
              <w:rPr>
                <w:rFonts w:ascii="Segoe UI Symbol" w:hAnsi="Segoe UI Symbol" w:eastAsia="宋体" w:cs="Segoe UI Symbol"/>
                <w:b/>
                <w:color w:val="auto"/>
                <w:sz w:val="24"/>
                <w:szCs w:val="24"/>
                <w:u w:val="single"/>
              </w:rPr>
              <w:t>★</w:t>
            </w:r>
            <w:r>
              <w:rPr>
                <w:rFonts w:hint="eastAsia" w:ascii="Times New Roman" w:hAnsi="Times New Roman" w:eastAsia="宋体"/>
                <w:b/>
                <w:color w:val="auto"/>
                <w:sz w:val="24"/>
                <w:szCs w:val="24"/>
                <w:u w:val="single"/>
              </w:rPr>
              <w:t>扩培器称重：采用Load Cell 称重模块对内筒液体精确计量，精度高达0.1%，</w:t>
            </w:r>
            <w:r>
              <w:rPr>
                <w:rFonts w:ascii="Times New Roman" w:hAnsi="Times New Roman" w:eastAsia="宋体"/>
                <w:b/>
                <w:color w:val="auto"/>
                <w:sz w:val="24"/>
                <w:szCs w:val="24"/>
                <w:u w:val="single"/>
              </w:rPr>
              <w:t>梅特勒-托利多MTB 系列三足称重传感器，范围0-300kg。扩培器称重联动自动补水阀，到达重量自动停止。</w:t>
            </w:r>
          </w:p>
          <w:p w14:paraId="3168D942">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18、</w:t>
            </w:r>
            <w:r>
              <w:rPr>
                <w:rFonts w:ascii="Times New Roman" w:hAnsi="Times New Roman" w:eastAsia="宋体"/>
                <w:bCs w:val="0"/>
                <w:color w:val="auto"/>
                <w:sz w:val="24"/>
                <w:szCs w:val="24"/>
              </w:rPr>
              <w:t>温度检测控制</w:t>
            </w:r>
            <w:r>
              <w:rPr>
                <w:rFonts w:hint="eastAsia" w:ascii="Times New Roman" w:hAnsi="Times New Roman" w:eastAsia="宋体"/>
                <w:bCs w:val="0"/>
                <w:color w:val="auto"/>
                <w:sz w:val="24"/>
                <w:szCs w:val="24"/>
              </w:rPr>
              <w:t>：外套</w:t>
            </w:r>
            <w:r>
              <w:rPr>
                <w:rFonts w:ascii="Times New Roman" w:hAnsi="Times New Roman" w:eastAsia="宋体"/>
                <w:bCs w:val="0"/>
                <w:color w:val="auto"/>
                <w:sz w:val="24"/>
                <w:szCs w:val="24"/>
              </w:rPr>
              <w:t>电加热，温度控制采用</w:t>
            </w:r>
            <w:r>
              <w:rPr>
                <w:rFonts w:hint="eastAsia" w:ascii="Times New Roman" w:hAnsi="Times New Roman" w:eastAsia="宋体"/>
                <w:bCs w:val="0"/>
                <w:color w:val="auto"/>
                <w:sz w:val="24"/>
                <w:szCs w:val="24"/>
              </w:rPr>
              <w:t>PID</w:t>
            </w:r>
            <w:r>
              <w:rPr>
                <w:rFonts w:ascii="Times New Roman" w:hAnsi="Times New Roman" w:eastAsia="宋体"/>
                <w:bCs w:val="0"/>
                <w:color w:val="auto"/>
                <w:sz w:val="24"/>
                <w:szCs w:val="24"/>
              </w:rPr>
              <w:t>自动控制模式，控制软件上可实现PID参数调节。Pt100电极可重复灭菌，电极校正功能可完全由系统软件校正。</w:t>
            </w:r>
          </w:p>
          <w:p w14:paraId="6F861055">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19、</w:t>
            </w:r>
            <w:r>
              <w:rPr>
                <w:rFonts w:ascii="Times New Roman" w:hAnsi="Times New Roman" w:eastAsia="宋体"/>
                <w:bCs w:val="0"/>
                <w:color w:val="auto"/>
                <w:sz w:val="24"/>
                <w:szCs w:val="24"/>
              </w:rPr>
              <w:t>温度控制：冷却水温度+5℃-65℃±0.2℃，显示温度：0-150℃±0.1℃</w:t>
            </w:r>
          </w:p>
          <w:p w14:paraId="0C742773">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扩培过程顺序控制（根据扩培时间区段设定，温度自动变量控制，至少 10段）</w:t>
            </w:r>
          </w:p>
          <w:p w14:paraId="1DF1DBE5">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20、</w:t>
            </w:r>
            <w:r>
              <w:rPr>
                <w:rFonts w:ascii="Times New Roman" w:hAnsi="Times New Roman" w:eastAsia="宋体"/>
                <w:bCs w:val="0"/>
                <w:color w:val="auto"/>
                <w:sz w:val="24"/>
                <w:szCs w:val="24"/>
              </w:rPr>
              <w:t>pH 控制</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采用智能PID自动控制，控制精度高，不容易产生波动，</w:t>
            </w:r>
            <w:r>
              <w:rPr>
                <w:rFonts w:hint="eastAsia" w:ascii="Times New Roman" w:hAnsi="Times New Roman" w:eastAsia="宋体"/>
                <w:bCs w:val="0"/>
                <w:color w:val="auto"/>
                <w:sz w:val="24"/>
                <w:szCs w:val="24"/>
              </w:rPr>
              <w:t>405-DPAS-SC-K8S/120</w:t>
            </w:r>
            <w:r>
              <w:rPr>
                <w:rFonts w:ascii="Times New Roman" w:hAnsi="Times New Roman" w:eastAsia="宋体"/>
                <w:bCs w:val="0"/>
                <w:color w:val="auto"/>
                <w:sz w:val="24"/>
                <w:szCs w:val="24"/>
              </w:rPr>
              <w:t>电极及屏蔽导线检测，蠕动泵开关控制流加酸碱，自动控制，自动计量。电极可重复灭菌，校正功能完全由系统软件校正。</w:t>
            </w:r>
          </w:p>
          <w:p w14:paraId="7CCA45C3">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1</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可耐高温消毒的玻璃凝胶电极和导线</w:t>
            </w:r>
            <w:r>
              <w:rPr>
                <w:rFonts w:hint="eastAsia" w:ascii="Times New Roman" w:hAnsi="Times New Roman" w:eastAsia="宋体"/>
                <w:bCs w:val="0"/>
                <w:color w:val="auto"/>
                <w:sz w:val="24"/>
                <w:szCs w:val="24"/>
              </w:rPr>
              <w:t>。</w:t>
            </w:r>
          </w:p>
          <w:p w14:paraId="41472BB9">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2</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显示范围：0.00~14.00±0.01，全自动控制范围：2.00~12.00±0.02</w:t>
            </w:r>
            <w:r>
              <w:rPr>
                <w:rFonts w:hint="eastAsia" w:ascii="Times New Roman" w:hAnsi="Times New Roman" w:eastAsia="宋体"/>
                <w:bCs w:val="0"/>
                <w:color w:val="auto"/>
                <w:sz w:val="24"/>
                <w:szCs w:val="24"/>
              </w:rPr>
              <w:t>。</w:t>
            </w:r>
          </w:p>
          <w:p w14:paraId="2B2F180C">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3</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在线检测，自动报警，蠕动泵自动添加酸碱液</w:t>
            </w:r>
            <w:r>
              <w:rPr>
                <w:rFonts w:hint="eastAsia" w:ascii="Times New Roman" w:hAnsi="Times New Roman" w:eastAsia="宋体"/>
                <w:bCs w:val="0"/>
                <w:color w:val="auto"/>
                <w:sz w:val="24"/>
                <w:szCs w:val="24"/>
              </w:rPr>
              <w:t>。</w:t>
            </w:r>
          </w:p>
          <w:p w14:paraId="23CE9E4C">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4</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PID智能模糊控制。</w:t>
            </w:r>
          </w:p>
          <w:p w14:paraId="6B46150D">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21、</w:t>
            </w:r>
            <w:r>
              <w:rPr>
                <w:rFonts w:ascii="Times New Roman" w:hAnsi="Times New Roman" w:eastAsia="宋体"/>
                <w:bCs w:val="0"/>
                <w:color w:val="auto"/>
                <w:sz w:val="24"/>
                <w:szCs w:val="24"/>
              </w:rPr>
              <w:t>DO 控制</w:t>
            </w:r>
            <w:r>
              <w:rPr>
                <w:rFonts w:hint="eastAsia" w:ascii="Times New Roman" w:hAnsi="Times New Roman" w:eastAsia="宋体"/>
                <w:bCs w:val="0"/>
                <w:color w:val="auto"/>
                <w:sz w:val="24"/>
                <w:szCs w:val="24"/>
              </w:rPr>
              <w:t>：Inpro6800/120mA</w:t>
            </w:r>
            <w:r>
              <w:rPr>
                <w:rFonts w:ascii="Times New Roman" w:hAnsi="Times New Roman" w:eastAsia="宋体"/>
                <w:bCs w:val="0"/>
                <w:color w:val="auto"/>
                <w:sz w:val="24"/>
                <w:szCs w:val="24"/>
              </w:rPr>
              <w:t>电极及屏蔽导线检测，DO值与转速、补料、空气流量（如配置）、</w:t>
            </w:r>
            <w:r>
              <w:rPr>
                <w:rFonts w:hint="eastAsia" w:ascii="Times New Roman" w:hAnsi="Times New Roman" w:eastAsia="宋体"/>
                <w:bCs w:val="0"/>
                <w:color w:val="auto"/>
                <w:sz w:val="24"/>
                <w:szCs w:val="24"/>
              </w:rPr>
              <w:t>扩培器内压</w:t>
            </w:r>
            <w:r>
              <w:rPr>
                <w:rFonts w:ascii="Times New Roman" w:hAnsi="Times New Roman" w:eastAsia="宋体"/>
                <w:bCs w:val="0"/>
                <w:color w:val="auto"/>
                <w:sz w:val="24"/>
                <w:szCs w:val="24"/>
              </w:rPr>
              <w:t>（如配置）等参数进行关联控制。</w:t>
            </w:r>
          </w:p>
          <w:p w14:paraId="2B8FACF3">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控制范围0~150%，±3%扩培过程顺序控制（根据扩培时间，DO自动变量控制，至少</w:t>
            </w:r>
            <w:r>
              <w:rPr>
                <w:rFonts w:hint="eastAsia" w:ascii="Times New Roman" w:hAnsi="Times New Roman" w:eastAsia="宋体"/>
                <w:bCs w:val="0"/>
                <w:color w:val="auto"/>
                <w:sz w:val="24"/>
                <w:szCs w:val="24"/>
              </w:rPr>
              <w:t>10</w:t>
            </w:r>
            <w:r>
              <w:rPr>
                <w:rFonts w:ascii="Times New Roman" w:hAnsi="Times New Roman" w:eastAsia="宋体"/>
                <w:bCs w:val="0"/>
                <w:color w:val="auto"/>
                <w:sz w:val="24"/>
                <w:szCs w:val="24"/>
              </w:rPr>
              <w:t>段）</w:t>
            </w:r>
          </w:p>
          <w:p w14:paraId="2F30665A">
            <w:pPr>
              <w:pStyle w:val="974"/>
              <w:jc w:val="both"/>
              <w:rPr>
                <w:rFonts w:ascii="Times New Roman" w:hAnsi="Times New Roman" w:eastAsia="宋体"/>
                <w:b/>
                <w:color w:val="auto"/>
                <w:sz w:val="24"/>
                <w:szCs w:val="24"/>
                <w:u w:val="single"/>
              </w:rPr>
            </w:pPr>
            <w:r>
              <w:rPr>
                <w:rFonts w:hint="eastAsia" w:ascii="Times New Roman" w:hAnsi="Times New Roman" w:eastAsia="宋体"/>
                <w:bCs w:val="0"/>
                <w:color w:val="auto"/>
                <w:sz w:val="24"/>
                <w:szCs w:val="24"/>
              </w:rPr>
              <w:t>22、</w:t>
            </w:r>
            <w:r>
              <w:rPr>
                <w:rFonts w:ascii="Times New Roman" w:hAnsi="Times New Roman" w:eastAsia="宋体"/>
                <w:bCs w:val="0"/>
                <w:color w:val="auto"/>
                <w:sz w:val="24"/>
                <w:szCs w:val="24"/>
              </w:rPr>
              <w:t>补料控制</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四路可自定义功能的蠕动泵，实现补料、关联控制、分段控制、4台泵之间通道自定义，可以互换备用，蠕动泵最大速度不低于3L/h。</w:t>
            </w:r>
          </w:p>
          <w:p w14:paraId="46A68905">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采用数字化定时定量分段设置控制，蠕动泵补料自动控制，控制器可设定补料泵的开关周期，可根据液位要求设定控制补料，补料可与 pH 和 DO 相关联</w:t>
            </w:r>
            <w:r>
              <w:rPr>
                <w:rFonts w:hint="eastAsia" w:ascii="Times New Roman" w:hAnsi="Times New Roman" w:eastAsia="宋体"/>
                <w:bCs w:val="0"/>
                <w:color w:val="auto"/>
                <w:sz w:val="24"/>
                <w:szCs w:val="24"/>
              </w:rPr>
              <w:t>。</w:t>
            </w:r>
          </w:p>
          <w:p w14:paraId="613DC04B">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蠕动泵开关控制（有手动、自动、关闭三档），自动流加并计量（根据扩培时间，补料自动变量控制，至少 10 段）</w:t>
            </w:r>
            <w:r>
              <w:rPr>
                <w:rFonts w:hint="eastAsia" w:ascii="Times New Roman" w:hAnsi="Times New Roman" w:eastAsia="宋体"/>
                <w:bCs w:val="0"/>
                <w:color w:val="auto"/>
                <w:sz w:val="24"/>
                <w:szCs w:val="24"/>
              </w:rPr>
              <w:t>。</w:t>
            </w:r>
          </w:p>
          <w:p w14:paraId="0BAA7577">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23、</w:t>
            </w:r>
            <w:r>
              <w:rPr>
                <w:rFonts w:ascii="Times New Roman" w:hAnsi="Times New Roman" w:eastAsia="宋体"/>
                <w:bCs w:val="0"/>
                <w:color w:val="auto"/>
                <w:sz w:val="24"/>
                <w:szCs w:val="24"/>
              </w:rPr>
              <w:t>泡沫控制</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配备机械压迫式消泡桨叶/耙式消泡桨叶（一级），简单、快速、有效的打碎泡沫；</w:t>
            </w:r>
          </w:p>
          <w:p w14:paraId="340E091B">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如若泡沫大量产生，带消泡电极，自动检测泡沫，蠕动泵时间比例自动添加消泡剂。</w:t>
            </w:r>
          </w:p>
          <w:p w14:paraId="2D7BFE04">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蠕动泵的作用可在控制界面上选择设定，用户在实际使用时更为方便灵活。配有特别设计的补料插针，以确保补料的安全操作。</w:t>
            </w:r>
          </w:p>
          <w:p w14:paraId="43F3ECD2">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控制精度：10-100000Ω</w:t>
            </w:r>
            <w:r>
              <w:rPr>
                <w:rFonts w:hint="eastAsia" w:ascii="Times New Roman" w:hAnsi="Times New Roman" w:eastAsia="宋体"/>
                <w:bCs w:val="0"/>
                <w:color w:val="auto"/>
                <w:sz w:val="24"/>
                <w:szCs w:val="24"/>
              </w:rPr>
              <w:t>。</w:t>
            </w:r>
          </w:p>
          <w:p w14:paraId="74A1BE8C">
            <w:pPr>
              <w:pStyle w:val="974"/>
              <w:jc w:val="both"/>
              <w:rPr>
                <w:rFonts w:ascii="Times New Roman" w:hAnsi="Times New Roman" w:eastAsia="宋体"/>
                <w:bCs w:val="0"/>
                <w:color w:val="auto"/>
                <w:sz w:val="24"/>
                <w:szCs w:val="24"/>
              </w:rPr>
            </w:pPr>
            <w:r>
              <w:rPr>
                <w:rFonts w:hint="eastAsia" w:ascii="Segoe UI Symbol" w:hAnsi="Segoe UI Symbol" w:eastAsia="宋体" w:cs="Segoe UI Symbol"/>
                <w:b/>
                <w:color w:val="auto"/>
                <w:sz w:val="24"/>
                <w:szCs w:val="24"/>
                <w:u w:val="single"/>
              </w:rPr>
              <w:t>24、</w:t>
            </w:r>
            <w:r>
              <w:rPr>
                <w:rFonts w:ascii="Segoe UI Symbol" w:hAnsi="Segoe UI Symbol" w:eastAsia="宋体" w:cs="Segoe UI Symbol"/>
                <w:b/>
                <w:color w:val="auto"/>
                <w:sz w:val="24"/>
                <w:szCs w:val="24"/>
                <w:u w:val="single"/>
              </w:rPr>
              <w:t>★</w:t>
            </w:r>
            <w:r>
              <w:rPr>
                <w:rFonts w:ascii="Times New Roman" w:hAnsi="Times New Roman" w:eastAsia="宋体"/>
                <w:b/>
                <w:color w:val="auto"/>
                <w:sz w:val="24"/>
                <w:szCs w:val="24"/>
                <w:u w:val="single"/>
              </w:rPr>
              <w:t>移种</w:t>
            </w:r>
            <w:r>
              <w:rPr>
                <w:rFonts w:hint="eastAsia" w:ascii="Times New Roman" w:hAnsi="Times New Roman" w:eastAsia="宋体"/>
                <w:b/>
                <w:color w:val="auto"/>
                <w:sz w:val="24"/>
                <w:szCs w:val="24"/>
                <w:u w:val="single"/>
              </w:rPr>
              <w:t>：</w:t>
            </w:r>
            <w:r>
              <w:rPr>
                <w:rFonts w:ascii="Times New Roman" w:hAnsi="Times New Roman" w:eastAsia="宋体"/>
                <w:b/>
                <w:color w:val="auto"/>
                <w:sz w:val="24"/>
                <w:szCs w:val="24"/>
                <w:u w:val="single"/>
              </w:rPr>
              <w:t>配置移种隔膜阀，可精确控制移种量。200L</w:t>
            </w:r>
            <w:r>
              <w:rPr>
                <w:rFonts w:hint="eastAsia" w:ascii="Times New Roman" w:hAnsi="Times New Roman" w:eastAsia="宋体"/>
                <w:b/>
                <w:color w:val="auto"/>
                <w:sz w:val="24"/>
                <w:szCs w:val="24"/>
                <w:u w:val="single"/>
              </w:rPr>
              <w:t>扩培器</w:t>
            </w:r>
            <w:r>
              <w:rPr>
                <w:rFonts w:ascii="Times New Roman" w:hAnsi="Times New Roman" w:eastAsia="宋体"/>
                <w:b/>
                <w:color w:val="auto"/>
                <w:sz w:val="24"/>
                <w:szCs w:val="24"/>
                <w:u w:val="single"/>
              </w:rPr>
              <w:t>可以移种到2000L</w:t>
            </w:r>
            <w:r>
              <w:rPr>
                <w:rFonts w:hint="eastAsia" w:ascii="Times New Roman" w:hAnsi="Times New Roman" w:eastAsia="宋体"/>
                <w:b/>
                <w:color w:val="auto"/>
                <w:sz w:val="24"/>
                <w:szCs w:val="24"/>
                <w:u w:val="single"/>
              </w:rPr>
              <w:t>液体扩培器</w:t>
            </w:r>
            <w:r>
              <w:rPr>
                <w:rFonts w:ascii="Times New Roman" w:hAnsi="Times New Roman" w:eastAsia="宋体"/>
                <w:b/>
                <w:color w:val="auto"/>
                <w:sz w:val="24"/>
                <w:szCs w:val="24"/>
                <w:u w:val="single"/>
              </w:rPr>
              <w:t>和2000L</w:t>
            </w:r>
            <w:r>
              <w:rPr>
                <w:rFonts w:hint="eastAsia" w:ascii="Times New Roman" w:hAnsi="Times New Roman" w:eastAsia="宋体"/>
                <w:b/>
                <w:color w:val="auto"/>
                <w:sz w:val="24"/>
                <w:szCs w:val="24"/>
                <w:u w:val="single"/>
              </w:rPr>
              <w:t>固体扩培器</w:t>
            </w:r>
            <w:r>
              <w:rPr>
                <w:rFonts w:ascii="Times New Roman" w:hAnsi="Times New Roman" w:eastAsia="宋体"/>
                <w:b/>
                <w:color w:val="auto"/>
                <w:sz w:val="24"/>
                <w:szCs w:val="24"/>
                <w:u w:val="single"/>
              </w:rPr>
              <w:t>。</w:t>
            </w:r>
            <w:r>
              <w:rPr>
                <w:rFonts w:hint="eastAsia" w:ascii="Times New Roman" w:hAnsi="Times New Roman" w:eastAsia="宋体"/>
                <w:b/>
                <w:color w:val="auto"/>
                <w:sz w:val="24"/>
                <w:szCs w:val="24"/>
                <w:u w:val="single"/>
              </w:rPr>
              <w:t>（200L扩培器需与现有50L扩培器互联互通使用）</w:t>
            </w:r>
            <w:r>
              <w:rPr>
                <w:rFonts w:hint="eastAsia" w:ascii="Times New Roman" w:hAnsi="Times New Roman" w:eastAsia="宋体"/>
                <w:bCs w:val="0"/>
                <w:color w:val="auto"/>
                <w:sz w:val="24"/>
                <w:szCs w:val="24"/>
              </w:rPr>
              <w:t>；</w:t>
            </w:r>
            <w:r>
              <w:rPr>
                <w:rFonts w:ascii="Times New Roman" w:hAnsi="Times New Roman" w:eastAsia="宋体"/>
                <w:b/>
                <w:color w:val="auto"/>
                <w:sz w:val="24"/>
                <w:szCs w:val="24"/>
                <w:u w:val="single"/>
              </w:rPr>
              <w:t>移种管路</w:t>
            </w:r>
            <w:r>
              <w:rPr>
                <w:rFonts w:hint="eastAsia" w:ascii="Times New Roman" w:hAnsi="Times New Roman" w:eastAsia="宋体"/>
                <w:b/>
                <w:color w:val="auto"/>
                <w:sz w:val="24"/>
                <w:szCs w:val="24"/>
                <w:u w:val="single"/>
              </w:rPr>
              <w:t>配备</w:t>
            </w:r>
            <w:r>
              <w:rPr>
                <w:rFonts w:ascii="Times New Roman" w:hAnsi="Times New Roman" w:eastAsia="宋体"/>
                <w:b/>
                <w:color w:val="auto"/>
                <w:sz w:val="24"/>
                <w:szCs w:val="24"/>
                <w:u w:val="single"/>
              </w:rPr>
              <w:t>温度传感器检测温度及</w:t>
            </w:r>
            <w:r>
              <w:rPr>
                <w:rFonts w:hint="eastAsia" w:ascii="Times New Roman" w:hAnsi="Times New Roman" w:eastAsia="宋体"/>
                <w:b/>
                <w:color w:val="auto"/>
                <w:sz w:val="24"/>
                <w:szCs w:val="24"/>
                <w:u w:val="single"/>
              </w:rPr>
              <w:t>生成</w:t>
            </w:r>
            <w:r>
              <w:rPr>
                <w:rFonts w:ascii="Times New Roman" w:hAnsi="Times New Roman" w:eastAsia="宋体"/>
                <w:b/>
                <w:color w:val="auto"/>
                <w:sz w:val="24"/>
                <w:szCs w:val="24"/>
                <w:u w:val="single"/>
              </w:rPr>
              <w:t>温度曲线。</w:t>
            </w:r>
          </w:p>
          <w:p w14:paraId="2B2405B0">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采用气压差，卫生级专用移种管，可在线蒸汽灭菌，无死角。</w:t>
            </w:r>
          </w:p>
          <w:p w14:paraId="72DA7079">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25、</w:t>
            </w:r>
            <w:r>
              <w:rPr>
                <w:rFonts w:ascii="Times New Roman" w:hAnsi="Times New Roman" w:eastAsia="宋体"/>
                <w:bCs w:val="0"/>
                <w:color w:val="auto"/>
                <w:sz w:val="24"/>
                <w:szCs w:val="24"/>
              </w:rPr>
              <w:t>密封保压/气密性检测</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每台</w:t>
            </w:r>
            <w:r>
              <w:rPr>
                <w:rFonts w:hint="eastAsia" w:ascii="Times New Roman" w:hAnsi="Times New Roman" w:eastAsia="宋体"/>
                <w:bCs w:val="0"/>
                <w:color w:val="auto"/>
                <w:sz w:val="24"/>
                <w:szCs w:val="24"/>
              </w:rPr>
              <w:t>扩培器</w:t>
            </w:r>
            <w:r>
              <w:rPr>
                <w:rFonts w:ascii="Times New Roman" w:hAnsi="Times New Roman" w:eastAsia="宋体"/>
                <w:bCs w:val="0"/>
                <w:color w:val="auto"/>
                <w:sz w:val="24"/>
                <w:szCs w:val="24"/>
              </w:rPr>
              <w:t>可实现密封保压系统。</w:t>
            </w:r>
          </w:p>
          <w:p w14:paraId="0F88FCC6">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每次保压试验均须作详细记录，其应包括管线的识别、规定的试验压力、实际的试验压力、压力下降的情形、试压时天气、试验时间、日期。</w:t>
            </w:r>
          </w:p>
          <w:p w14:paraId="0B1129BC">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26、</w:t>
            </w:r>
            <w:r>
              <w:rPr>
                <w:rFonts w:ascii="Times New Roman" w:hAnsi="Times New Roman" w:eastAsia="宋体"/>
                <w:bCs w:val="0"/>
                <w:color w:val="auto"/>
                <w:sz w:val="24"/>
                <w:szCs w:val="24"/>
              </w:rPr>
              <w:t>阀门管路</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选用优质不锈阀门及扩培专用阀门，</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阀门采用优质隔膜阀</w:t>
            </w:r>
            <w:r>
              <w:rPr>
                <w:rFonts w:hint="eastAsia" w:ascii="Times New Roman" w:hAnsi="Times New Roman" w:eastAsia="宋体"/>
                <w:bCs w:val="0"/>
                <w:color w:val="auto"/>
                <w:sz w:val="24"/>
                <w:szCs w:val="24"/>
              </w:rPr>
              <w:t>。</w:t>
            </w:r>
          </w:p>
          <w:p w14:paraId="302E6DCD">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所有与</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接触的管道或配件均为卫生级 304 不锈钢</w:t>
            </w:r>
            <w:r>
              <w:rPr>
                <w:rFonts w:hint="eastAsia" w:ascii="Times New Roman" w:hAnsi="Times New Roman" w:eastAsia="宋体"/>
                <w:bCs w:val="0"/>
                <w:color w:val="auto"/>
                <w:sz w:val="24"/>
                <w:szCs w:val="24"/>
              </w:rPr>
              <w:t>。</w:t>
            </w:r>
          </w:p>
          <w:p w14:paraId="7BBEE450">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所有</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接触阀门均为卫生级隔膜阀</w:t>
            </w:r>
            <w:r>
              <w:rPr>
                <w:rFonts w:hint="eastAsia" w:ascii="Times New Roman" w:hAnsi="Times New Roman" w:eastAsia="宋体"/>
                <w:bCs w:val="0"/>
                <w:color w:val="auto"/>
                <w:sz w:val="24"/>
                <w:szCs w:val="24"/>
              </w:rPr>
              <w:t>。</w:t>
            </w:r>
          </w:p>
          <w:p w14:paraId="1F53A554">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外抛光不锈钢管道及优质配件，</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管路卫生级内外抛光管</w:t>
            </w:r>
            <w:r>
              <w:rPr>
                <w:rFonts w:hint="eastAsia" w:ascii="Times New Roman" w:hAnsi="Times New Roman" w:eastAsia="宋体"/>
                <w:bCs w:val="0"/>
                <w:color w:val="auto"/>
                <w:sz w:val="24"/>
                <w:szCs w:val="24"/>
              </w:rPr>
              <w:t>。</w:t>
            </w:r>
          </w:p>
          <w:p w14:paraId="7B3F790E">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包括空气管路、蒸汽管路、循环水路、</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管路和排污管路</w:t>
            </w:r>
            <w:r>
              <w:rPr>
                <w:rFonts w:hint="eastAsia" w:ascii="Times New Roman" w:hAnsi="Times New Roman" w:eastAsia="宋体"/>
                <w:bCs w:val="0"/>
                <w:color w:val="auto"/>
                <w:sz w:val="24"/>
                <w:szCs w:val="24"/>
              </w:rPr>
              <w:t>。</w:t>
            </w:r>
          </w:p>
          <w:p w14:paraId="04FFFE5A">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所有管件阀门都可以正面操作，设计合理，操作方便</w:t>
            </w:r>
            <w:r>
              <w:rPr>
                <w:rFonts w:hint="eastAsia" w:ascii="Times New Roman" w:hAnsi="Times New Roman" w:eastAsia="宋体"/>
                <w:bCs w:val="0"/>
                <w:color w:val="auto"/>
                <w:sz w:val="24"/>
                <w:szCs w:val="24"/>
              </w:rPr>
              <w:t>。</w:t>
            </w:r>
          </w:p>
          <w:p w14:paraId="6CB94E96">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27、</w:t>
            </w:r>
            <w:r>
              <w:rPr>
                <w:rFonts w:ascii="Times New Roman" w:hAnsi="Times New Roman" w:eastAsia="宋体"/>
                <w:bCs w:val="0"/>
                <w:color w:val="auto"/>
                <w:sz w:val="24"/>
                <w:szCs w:val="24"/>
              </w:rPr>
              <w:t>报警功能</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具有声光报警功能和急停按钮功能，超过设定值范围就会产生报警，提示工作人员及时发现问题。</w:t>
            </w:r>
          </w:p>
          <w:p w14:paraId="3EF92A08">
            <w:pPr>
              <w:pStyle w:val="974"/>
              <w:jc w:val="both"/>
              <w:rPr>
                <w:rFonts w:ascii="Times New Roman" w:hAnsi="Times New Roman" w:eastAsia="宋体"/>
                <w:color w:val="auto"/>
                <w:sz w:val="24"/>
                <w:szCs w:val="24"/>
              </w:rPr>
            </w:pPr>
            <w:r>
              <w:rPr>
                <w:rFonts w:hint="eastAsia" w:ascii="Times New Roman" w:hAnsi="Times New Roman" w:eastAsia="宋体"/>
                <w:bCs w:val="0"/>
                <w:color w:val="auto"/>
                <w:sz w:val="24"/>
                <w:szCs w:val="24"/>
              </w:rPr>
              <w:t>28、</w:t>
            </w:r>
            <w:r>
              <w:rPr>
                <w:rFonts w:ascii="Times New Roman" w:hAnsi="Times New Roman" w:eastAsia="宋体"/>
                <w:bCs w:val="0"/>
                <w:color w:val="auto"/>
                <w:sz w:val="24"/>
                <w:szCs w:val="24"/>
              </w:rPr>
              <w:t>控制系统</w:t>
            </w:r>
            <w:r>
              <w:rPr>
                <w:rFonts w:hint="eastAsia" w:ascii="Times New Roman" w:hAnsi="Times New Roman" w:eastAsia="宋体"/>
                <w:bCs w:val="0"/>
                <w:color w:val="auto"/>
                <w:sz w:val="24"/>
                <w:szCs w:val="24"/>
              </w:rPr>
              <w:t>：配备PLC</w:t>
            </w:r>
            <w:r>
              <w:rPr>
                <w:rFonts w:ascii="Times New Roman" w:hAnsi="Times New Roman" w:eastAsia="宋体"/>
                <w:bCs w:val="0"/>
                <w:color w:val="auto"/>
                <w:sz w:val="24"/>
                <w:szCs w:val="24"/>
              </w:rPr>
              <w:t>生物过程控制器</w:t>
            </w:r>
          </w:p>
        </w:tc>
        <w:tc>
          <w:tcPr>
            <w:tcW w:w="780" w:type="dxa"/>
            <w:tcBorders>
              <w:bottom w:val="single" w:color="auto" w:sz="4" w:space="0"/>
            </w:tcBorders>
            <w:vAlign w:val="center"/>
          </w:tcPr>
          <w:p w14:paraId="091E1F0B">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1</w:t>
            </w:r>
          </w:p>
        </w:tc>
        <w:tc>
          <w:tcPr>
            <w:tcW w:w="709" w:type="dxa"/>
            <w:tcBorders>
              <w:bottom w:val="single" w:color="auto" w:sz="4" w:space="0"/>
            </w:tcBorders>
            <w:vAlign w:val="center"/>
          </w:tcPr>
          <w:p w14:paraId="1A4D4BCB">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06A904D8">
            <w:pPr>
              <w:pStyle w:val="974"/>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8.00</w:t>
            </w:r>
          </w:p>
        </w:tc>
      </w:tr>
      <w:tr w14:paraId="3A3593AC">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704" w:type="dxa"/>
            <w:vMerge w:val="continue"/>
            <w:vAlign w:val="center"/>
          </w:tcPr>
          <w:p w14:paraId="54DBBE2C">
            <w:pPr>
              <w:pStyle w:val="974"/>
              <w:jc w:val="center"/>
              <w:rPr>
                <w:rFonts w:ascii="Times New Roman" w:hAnsi="Times New Roman" w:eastAsia="宋体"/>
                <w:color w:val="auto"/>
                <w:sz w:val="24"/>
                <w:szCs w:val="24"/>
              </w:rPr>
            </w:pPr>
          </w:p>
        </w:tc>
        <w:tc>
          <w:tcPr>
            <w:tcW w:w="851" w:type="dxa"/>
            <w:vMerge w:val="continue"/>
            <w:vAlign w:val="center"/>
          </w:tcPr>
          <w:p w14:paraId="49BD9574">
            <w:pPr>
              <w:pStyle w:val="974"/>
              <w:jc w:val="center"/>
              <w:rPr>
                <w:rFonts w:ascii="Times New Roman" w:hAnsi="Times New Roman" w:eastAsia="宋体"/>
                <w:color w:val="auto"/>
                <w:sz w:val="24"/>
                <w:szCs w:val="24"/>
              </w:rPr>
            </w:pPr>
          </w:p>
        </w:tc>
        <w:tc>
          <w:tcPr>
            <w:tcW w:w="1275" w:type="dxa"/>
            <w:tcBorders>
              <w:bottom w:val="single" w:color="auto" w:sz="4" w:space="0"/>
            </w:tcBorders>
            <w:vAlign w:val="center"/>
          </w:tcPr>
          <w:p w14:paraId="579CE4BE">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2000L液体扩培生化反应器</w:t>
            </w:r>
          </w:p>
        </w:tc>
        <w:tc>
          <w:tcPr>
            <w:tcW w:w="4111" w:type="dxa"/>
            <w:tcBorders>
              <w:bottom w:val="single" w:color="auto" w:sz="4" w:space="0"/>
            </w:tcBorders>
            <w:vAlign w:val="center"/>
          </w:tcPr>
          <w:p w14:paraId="6FCB6A63">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w:t>
            </w:r>
            <w:r>
              <w:rPr>
                <w:rFonts w:ascii="Times New Roman" w:hAnsi="Times New Roman" w:eastAsia="宋体"/>
                <w:bCs w:val="0"/>
                <w:color w:val="auto"/>
                <w:sz w:val="24"/>
                <w:szCs w:val="24"/>
              </w:rPr>
              <w:t>体积：总容 2000L，最大工作容积</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75%</w:t>
            </w:r>
          </w:p>
          <w:p w14:paraId="22D8CE79">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2、</w:t>
            </w:r>
            <w:r>
              <w:rPr>
                <w:rFonts w:ascii="Times New Roman" w:hAnsi="Times New Roman" w:eastAsia="宋体"/>
                <w:bCs w:val="0"/>
                <w:color w:val="auto"/>
                <w:sz w:val="24"/>
                <w:szCs w:val="24"/>
              </w:rPr>
              <w:t>材质：</w:t>
            </w:r>
            <w:r>
              <w:rPr>
                <w:rFonts w:hint="eastAsia" w:ascii="Times New Roman" w:hAnsi="Times New Roman" w:eastAsia="宋体"/>
                <w:bCs w:val="0"/>
                <w:color w:val="auto"/>
                <w:sz w:val="24"/>
                <w:szCs w:val="24"/>
              </w:rPr>
              <w:t>内筒SUS316L，外套SUS316L</w:t>
            </w:r>
            <w:r>
              <w:rPr>
                <w:rFonts w:ascii="Times New Roman" w:hAnsi="Times New Roman" w:eastAsia="宋体"/>
                <w:bCs w:val="0"/>
                <w:color w:val="auto"/>
                <w:sz w:val="24"/>
                <w:szCs w:val="24"/>
              </w:rPr>
              <w:t>（夹套覆盖率≥75%，内部优化导流结构）</w:t>
            </w:r>
            <w:r>
              <w:rPr>
                <w:rFonts w:hint="eastAsia" w:ascii="Times New Roman" w:hAnsi="Times New Roman" w:eastAsia="宋体"/>
                <w:bCs w:val="0"/>
                <w:color w:val="auto"/>
                <w:sz w:val="24"/>
                <w:szCs w:val="24"/>
              </w:rPr>
              <w:t>。</w:t>
            </w:r>
          </w:p>
          <w:p w14:paraId="296B8EE3">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3、</w:t>
            </w:r>
            <w:r>
              <w:rPr>
                <w:rFonts w:ascii="Times New Roman" w:hAnsi="Times New Roman" w:eastAsia="宋体"/>
                <w:bCs w:val="0"/>
                <w:color w:val="auto"/>
                <w:sz w:val="24"/>
                <w:szCs w:val="24"/>
              </w:rPr>
              <w:t>径高比：1：2.2</w:t>
            </w:r>
            <w:r>
              <w:rPr>
                <w:rFonts w:hint="eastAsia" w:ascii="Times New Roman" w:hAnsi="Times New Roman" w:eastAsia="宋体"/>
                <w:bCs w:val="0"/>
                <w:color w:val="auto"/>
                <w:sz w:val="24"/>
                <w:szCs w:val="24"/>
              </w:rPr>
              <w:t>。</w:t>
            </w:r>
          </w:p>
          <w:p w14:paraId="313E0EFC">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4、</w:t>
            </w:r>
            <w:r>
              <w:rPr>
                <w:rFonts w:ascii="Times New Roman" w:hAnsi="Times New Roman" w:eastAsia="宋体"/>
                <w:bCs w:val="0"/>
                <w:color w:val="auto"/>
                <w:sz w:val="24"/>
                <w:szCs w:val="24"/>
              </w:rPr>
              <w:t>表面处理：内外镜面抛光，</w:t>
            </w:r>
            <w:r>
              <w:rPr>
                <w:rFonts w:hint="eastAsia" w:ascii="Times New Roman" w:hAnsi="Times New Roman" w:eastAsia="宋体"/>
                <w:bCs w:val="0"/>
                <w:color w:val="auto"/>
                <w:sz w:val="24"/>
                <w:szCs w:val="24"/>
              </w:rPr>
              <w:t>内筒</w:t>
            </w:r>
            <w:r>
              <w:rPr>
                <w:rFonts w:ascii="Times New Roman" w:hAnsi="Times New Roman" w:eastAsia="宋体"/>
                <w:bCs w:val="0"/>
                <w:color w:val="auto"/>
                <w:sz w:val="24"/>
                <w:szCs w:val="24"/>
              </w:rPr>
              <w:t>精度≤0.4 um 减少染菌机会，外表面精度＜0.4 um。</w:t>
            </w:r>
          </w:p>
          <w:p w14:paraId="7374C6C5">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5、</w:t>
            </w:r>
            <w:r>
              <w:rPr>
                <w:rFonts w:ascii="Times New Roman" w:hAnsi="Times New Roman" w:eastAsia="宋体"/>
                <w:bCs w:val="0"/>
                <w:color w:val="auto"/>
                <w:sz w:val="24"/>
                <w:szCs w:val="24"/>
              </w:rPr>
              <w:t>全不锈钢</w:t>
            </w:r>
            <w:r>
              <w:rPr>
                <w:rFonts w:hint="eastAsia" w:ascii="Times New Roman" w:hAnsi="Times New Roman" w:eastAsia="宋体"/>
                <w:bCs w:val="0"/>
                <w:color w:val="auto"/>
                <w:sz w:val="24"/>
                <w:szCs w:val="24"/>
              </w:rPr>
              <w:t>反应器</w:t>
            </w:r>
            <w:r>
              <w:rPr>
                <w:rFonts w:ascii="Times New Roman" w:hAnsi="Times New Roman" w:eastAsia="宋体"/>
                <w:bCs w:val="0"/>
                <w:color w:val="auto"/>
                <w:sz w:val="24"/>
                <w:szCs w:val="24"/>
              </w:rPr>
              <w:t>无死角，</w:t>
            </w:r>
            <w:r>
              <w:rPr>
                <w:rFonts w:hint="eastAsia" w:ascii="Times New Roman" w:hAnsi="Times New Roman" w:eastAsia="宋体"/>
                <w:bCs w:val="0"/>
                <w:color w:val="auto"/>
                <w:sz w:val="24"/>
                <w:szCs w:val="24"/>
              </w:rPr>
              <w:t>内筒</w:t>
            </w:r>
            <w:r>
              <w:rPr>
                <w:rFonts w:ascii="Times New Roman" w:hAnsi="Times New Roman" w:eastAsia="宋体"/>
                <w:bCs w:val="0"/>
                <w:color w:val="auto"/>
                <w:sz w:val="24"/>
                <w:szCs w:val="24"/>
              </w:rPr>
              <w:t>：设计压力</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0.4Mpa</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工作压力：0.3Mpa</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夹套：设计压力</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0.4Mpa 工作压力：0.3Mpa</w:t>
            </w:r>
            <w:r>
              <w:rPr>
                <w:rFonts w:hint="eastAsia" w:ascii="Times New Roman" w:hAnsi="Times New Roman" w:eastAsia="宋体"/>
                <w:bCs w:val="0"/>
                <w:color w:val="auto"/>
                <w:sz w:val="24"/>
                <w:szCs w:val="24"/>
              </w:rPr>
              <w:t>，内筒</w:t>
            </w:r>
            <w:r>
              <w:rPr>
                <w:rFonts w:ascii="Times New Roman" w:hAnsi="Times New Roman" w:eastAsia="宋体"/>
                <w:bCs w:val="0"/>
                <w:color w:val="auto"/>
                <w:sz w:val="24"/>
                <w:szCs w:val="24"/>
              </w:rPr>
              <w:t>有玻璃视镜，人孔</w:t>
            </w:r>
          </w:p>
          <w:p w14:paraId="35376F9E">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6、内筒</w:t>
            </w:r>
            <w:r>
              <w:rPr>
                <w:rFonts w:ascii="Times New Roman" w:hAnsi="Times New Roman" w:eastAsia="宋体"/>
                <w:bCs w:val="0"/>
                <w:color w:val="auto"/>
                <w:sz w:val="24"/>
                <w:szCs w:val="24"/>
              </w:rPr>
              <w:t>接口</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内筒侧面采用大视角罐内液位观察视镜，耐腐蚀、耐高温（不低于130℃）、耐高压（不低于0.3Mpa）、方便观察不同高度的扩培液位并有刻度。</w:t>
            </w:r>
          </w:p>
          <w:p w14:paraId="34BEBB5F">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侧面温度电极接口、pH电极接口、DO电极接口、取样阀口。</w:t>
            </w:r>
          </w:p>
          <w:p w14:paraId="31E7DC2D">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7、顶部</w:t>
            </w:r>
            <w:r>
              <w:rPr>
                <w:rFonts w:ascii="Times New Roman" w:hAnsi="Times New Roman" w:eastAsia="宋体"/>
                <w:bCs w:val="0"/>
                <w:color w:val="auto"/>
                <w:sz w:val="24"/>
                <w:szCs w:val="24"/>
              </w:rPr>
              <w:t>接口</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有消泡、接种口、多个补料口、排气口等，24V</w:t>
            </w:r>
            <w:r>
              <w:rPr>
                <w:rFonts w:hint="eastAsia" w:ascii="Times New Roman" w:hAnsi="Times New Roman" w:eastAsia="宋体"/>
                <w:bCs w:val="0"/>
                <w:color w:val="auto"/>
                <w:sz w:val="24"/>
                <w:szCs w:val="24"/>
              </w:rPr>
              <w:t xml:space="preserve"> </w:t>
            </w:r>
            <w:r>
              <w:rPr>
                <w:rFonts w:ascii="Times New Roman" w:hAnsi="Times New Roman" w:eastAsia="宋体"/>
                <w:bCs w:val="0"/>
                <w:color w:val="auto"/>
                <w:sz w:val="24"/>
                <w:szCs w:val="24"/>
              </w:rPr>
              <w:t>LED 安全视灯</w:t>
            </w:r>
            <w:r>
              <w:rPr>
                <w:rFonts w:hint="eastAsia" w:ascii="Times New Roman" w:hAnsi="Times New Roman" w:eastAsia="宋体"/>
                <w:bCs w:val="0"/>
                <w:color w:val="auto"/>
                <w:sz w:val="24"/>
                <w:szCs w:val="24"/>
              </w:rPr>
              <w:t>。</w:t>
            </w:r>
          </w:p>
          <w:p w14:paraId="16DADF27">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8、底部</w:t>
            </w:r>
            <w:r>
              <w:rPr>
                <w:rFonts w:ascii="Times New Roman" w:hAnsi="Times New Roman" w:eastAsia="宋体"/>
                <w:bCs w:val="0"/>
                <w:color w:val="auto"/>
                <w:sz w:val="24"/>
                <w:szCs w:val="24"/>
              </w:rPr>
              <w:t>接口</w:t>
            </w:r>
            <w:r>
              <w:rPr>
                <w:rFonts w:hint="eastAsia" w:ascii="Times New Roman" w:hAnsi="Times New Roman" w:eastAsia="宋体"/>
                <w:bCs w:val="0"/>
                <w:color w:val="auto"/>
                <w:sz w:val="24"/>
                <w:szCs w:val="24"/>
              </w:rPr>
              <w:t>：内筒带</w:t>
            </w:r>
            <w:r>
              <w:rPr>
                <w:rFonts w:ascii="Times New Roman" w:hAnsi="Times New Roman" w:eastAsia="宋体"/>
                <w:bCs w:val="0"/>
                <w:color w:val="auto"/>
                <w:sz w:val="24"/>
                <w:szCs w:val="24"/>
              </w:rPr>
              <w:t>底阀和放料阀，移种口（快接方式），特制设计，无死角、不积液，可蒸汽消毒，隔膜式底阀。</w:t>
            </w:r>
          </w:p>
          <w:p w14:paraId="4156453B">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9、</w:t>
            </w:r>
            <w:r>
              <w:rPr>
                <w:rFonts w:ascii="Times New Roman" w:hAnsi="Times New Roman" w:eastAsia="宋体"/>
                <w:bCs w:val="0"/>
                <w:color w:val="auto"/>
                <w:sz w:val="24"/>
                <w:szCs w:val="24"/>
              </w:rPr>
              <w:t>灭菌方式</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在线蒸汽灭菌</w:t>
            </w:r>
            <w:r>
              <w:rPr>
                <w:rFonts w:hint="eastAsia" w:ascii="Times New Roman" w:hAnsi="Times New Roman" w:eastAsia="宋体"/>
                <w:bCs w:val="0"/>
                <w:color w:val="auto"/>
                <w:sz w:val="24"/>
                <w:szCs w:val="24"/>
              </w:rPr>
              <w:t>。</w:t>
            </w:r>
          </w:p>
          <w:p w14:paraId="0AF89B80">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灭菌温度：121℃</w:t>
            </w:r>
          </w:p>
          <w:p w14:paraId="005FD69B">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灭菌时间：升温至达到 121℃后保压，整个过程约</w:t>
            </w:r>
            <w:r>
              <w:rPr>
                <w:rFonts w:hint="eastAsia" w:ascii="Times New Roman" w:hAnsi="Times New Roman" w:eastAsia="宋体"/>
                <w:bCs w:val="0"/>
                <w:color w:val="auto"/>
                <w:sz w:val="24"/>
                <w:szCs w:val="24"/>
              </w:rPr>
              <w:t>30</w:t>
            </w:r>
            <w:r>
              <w:rPr>
                <w:rFonts w:ascii="Times New Roman" w:hAnsi="Times New Roman" w:eastAsia="宋体"/>
                <w:bCs w:val="0"/>
                <w:color w:val="auto"/>
                <w:sz w:val="24"/>
                <w:szCs w:val="24"/>
              </w:rPr>
              <w:t>分钟</w:t>
            </w:r>
          </w:p>
          <w:p w14:paraId="43342574">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最高温度：131℃</w:t>
            </w:r>
          </w:p>
          <w:p w14:paraId="442525A4">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自动</w:t>
            </w:r>
            <w:r>
              <w:rPr>
                <w:rFonts w:ascii="Times New Roman" w:hAnsi="Times New Roman" w:eastAsia="宋体"/>
                <w:bCs w:val="0"/>
                <w:color w:val="auto"/>
                <w:sz w:val="24"/>
                <w:szCs w:val="24"/>
              </w:rPr>
              <w:t>灭菌，灭菌温度 100-130℃.所有操作阀门设计在正面操作。灭菌的同时可以搅拌，可以彻底的对</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进行消毒。</w:t>
            </w:r>
          </w:p>
          <w:p w14:paraId="21A48E39">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与</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接触部件按照 GMP 标准设计，使用卫生级隔膜阀。</w:t>
            </w:r>
          </w:p>
          <w:p w14:paraId="1C8FD2FE">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取样贴壁中部取样、补料（接种）等通入蒸汽灭菌，接种口有火焰保护环</w:t>
            </w:r>
            <w:r>
              <w:rPr>
                <w:rFonts w:hint="eastAsia" w:ascii="Times New Roman" w:hAnsi="Times New Roman" w:eastAsia="宋体"/>
                <w:bCs w:val="0"/>
                <w:color w:val="auto"/>
                <w:sz w:val="24"/>
                <w:szCs w:val="24"/>
              </w:rPr>
              <w:t>。</w:t>
            </w:r>
          </w:p>
          <w:p w14:paraId="17136097">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内筒</w:t>
            </w:r>
            <w:r>
              <w:rPr>
                <w:rFonts w:ascii="Times New Roman" w:hAnsi="Times New Roman" w:eastAsia="宋体"/>
                <w:bCs w:val="0"/>
                <w:color w:val="auto"/>
                <w:sz w:val="24"/>
                <w:szCs w:val="24"/>
              </w:rPr>
              <w:t>底阀、</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管路等通入纯蒸汽灭菌，底阀采用无死角卫生级隔膜阀（带旁通阀的一体式零死角阀），膜片材质 EPDM/PTFE，为卡盘链接</w:t>
            </w:r>
            <w:r>
              <w:rPr>
                <w:rFonts w:hint="eastAsia" w:ascii="Times New Roman" w:hAnsi="Times New Roman" w:eastAsia="宋体"/>
                <w:bCs w:val="0"/>
                <w:color w:val="auto"/>
                <w:sz w:val="24"/>
                <w:szCs w:val="24"/>
              </w:rPr>
              <w:t>。</w:t>
            </w:r>
          </w:p>
          <w:p w14:paraId="4D535192">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10、</w:t>
            </w:r>
            <w:r>
              <w:rPr>
                <w:rFonts w:ascii="Times New Roman" w:hAnsi="Times New Roman" w:eastAsia="宋体"/>
                <w:bCs w:val="0"/>
                <w:color w:val="auto"/>
                <w:sz w:val="24"/>
                <w:szCs w:val="24"/>
              </w:rPr>
              <w:t>进气系统</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由转子流量计、除菌精过滤器、止逆阀等组成。</w:t>
            </w:r>
          </w:p>
          <w:p w14:paraId="478A470D">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进气控制：采用转子流量计手动控制进气。</w:t>
            </w:r>
          </w:p>
          <w:p w14:paraId="06ADC77A">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流量控制：手动转子流量计控制。</w:t>
            </w:r>
          </w:p>
          <w:p w14:paraId="6AFD4AB8">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空气过滤器外壳采用 304 不锈钢，滤芯精度：0.01um，确保空气进</w:t>
            </w:r>
            <w:r>
              <w:rPr>
                <w:rFonts w:hint="eastAsia" w:ascii="Times New Roman" w:hAnsi="Times New Roman" w:eastAsia="宋体"/>
                <w:bCs w:val="0"/>
                <w:color w:val="auto"/>
                <w:sz w:val="24"/>
                <w:szCs w:val="24"/>
              </w:rPr>
              <w:t>筒内</w:t>
            </w:r>
            <w:r>
              <w:rPr>
                <w:rFonts w:ascii="Times New Roman" w:hAnsi="Times New Roman" w:eastAsia="宋体"/>
                <w:bCs w:val="0"/>
                <w:color w:val="auto"/>
                <w:sz w:val="24"/>
                <w:szCs w:val="24"/>
              </w:rPr>
              <w:t>无菌，滤芯材质为耐高温、疏水性好的聚四氟乙烯或其他合适的材质。</w:t>
            </w:r>
          </w:p>
          <w:p w14:paraId="3CC1C9C9">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装有止逆阀，防止扩培底基的倒吸。</w:t>
            </w:r>
          </w:p>
          <w:p w14:paraId="1FF0B5C6">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进气方式：卫生级 304 不锈钢底部环形气体分布器，专业设计，气泡分布均匀，气孔不易堵塞。</w:t>
            </w:r>
          </w:p>
          <w:p w14:paraId="1CBBA0D6">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11、</w:t>
            </w:r>
            <w:r>
              <w:rPr>
                <w:rFonts w:ascii="Times New Roman" w:hAnsi="Times New Roman" w:eastAsia="宋体"/>
                <w:bCs w:val="0"/>
                <w:color w:val="auto"/>
                <w:sz w:val="24"/>
                <w:szCs w:val="24"/>
              </w:rPr>
              <w:t>排气系统</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带尾气排放冷凝器，经过特殊设计的尾气排放管路无积液不染菌，排气冷凝水阀门手动控制。</w:t>
            </w:r>
          </w:p>
          <w:p w14:paraId="64E92473">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不锈钢压力表显示</w:t>
            </w:r>
            <w:r>
              <w:rPr>
                <w:rFonts w:hint="eastAsia" w:ascii="Times New Roman" w:hAnsi="Times New Roman" w:eastAsia="宋体"/>
                <w:bCs w:val="0"/>
                <w:color w:val="auto"/>
                <w:sz w:val="24"/>
                <w:szCs w:val="24"/>
              </w:rPr>
              <w:t>扩培器内</w:t>
            </w:r>
            <w:r>
              <w:rPr>
                <w:rFonts w:ascii="Times New Roman" w:hAnsi="Times New Roman" w:eastAsia="宋体"/>
                <w:bCs w:val="0"/>
                <w:color w:val="auto"/>
                <w:sz w:val="24"/>
                <w:szCs w:val="24"/>
              </w:rPr>
              <w:t>压，优质隔膜阀调节排气流量，控制</w:t>
            </w:r>
            <w:r>
              <w:rPr>
                <w:rFonts w:hint="eastAsia" w:ascii="Times New Roman" w:hAnsi="Times New Roman" w:eastAsia="宋体"/>
                <w:bCs w:val="0"/>
                <w:color w:val="auto"/>
                <w:sz w:val="24"/>
                <w:szCs w:val="24"/>
              </w:rPr>
              <w:t>扩培器内</w:t>
            </w:r>
            <w:r>
              <w:rPr>
                <w:rFonts w:ascii="Times New Roman" w:hAnsi="Times New Roman" w:eastAsia="宋体"/>
                <w:bCs w:val="0"/>
                <w:color w:val="auto"/>
                <w:sz w:val="24"/>
                <w:szCs w:val="24"/>
              </w:rPr>
              <w:t>压。</w:t>
            </w:r>
          </w:p>
          <w:p w14:paraId="62F85570">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12、</w:t>
            </w:r>
            <w:r>
              <w:rPr>
                <w:rFonts w:ascii="Times New Roman" w:hAnsi="Times New Roman" w:eastAsia="宋体"/>
                <w:bCs w:val="0"/>
                <w:color w:val="auto"/>
                <w:sz w:val="24"/>
                <w:szCs w:val="24"/>
              </w:rPr>
              <w:t>搅拌系统</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顶部式机械搅拌，采用</w:t>
            </w:r>
            <w:r>
              <w:rPr>
                <w:rFonts w:hint="eastAsia" w:ascii="Times New Roman" w:hAnsi="Times New Roman" w:eastAsia="宋体"/>
                <w:bCs w:val="0"/>
                <w:color w:val="auto"/>
                <w:sz w:val="24"/>
                <w:szCs w:val="24"/>
              </w:rPr>
              <w:t>316L</w:t>
            </w:r>
            <w:r>
              <w:rPr>
                <w:rFonts w:ascii="Times New Roman" w:hAnsi="Times New Roman" w:eastAsia="宋体"/>
                <w:bCs w:val="0"/>
                <w:color w:val="auto"/>
                <w:sz w:val="24"/>
                <w:szCs w:val="24"/>
              </w:rPr>
              <w:t>不锈钢专用搅拌轴材料，精密加工，具有理想的动平衡性能，上下轴比例适当，保证转速平稳且不偏离，刚性好，长期使用不变形；整套系统安全稳定且寿命长</w:t>
            </w:r>
            <w:r>
              <w:rPr>
                <w:rFonts w:hint="eastAsia" w:ascii="Times New Roman" w:hAnsi="Times New Roman" w:eastAsia="宋体"/>
                <w:bCs w:val="0"/>
                <w:color w:val="auto"/>
                <w:sz w:val="24"/>
                <w:szCs w:val="24"/>
              </w:rPr>
              <w:t>。</w:t>
            </w:r>
          </w:p>
          <w:p w14:paraId="22F1BA86">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进口单端面机械密封，密封性能好，拆卸方便。</w:t>
            </w:r>
          </w:p>
          <w:p w14:paraId="16F5F232">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扩培</w:t>
            </w:r>
            <w:r>
              <w:rPr>
                <w:rFonts w:ascii="Times New Roman" w:hAnsi="Times New Roman" w:eastAsia="宋体"/>
                <w:bCs w:val="0"/>
                <w:color w:val="auto"/>
                <w:sz w:val="24"/>
                <w:szCs w:val="24"/>
              </w:rPr>
              <w:t>专用桨叶，搅拌形式: 底部六平叶桨，中上部二层四宽叶斜</w:t>
            </w:r>
            <w:r>
              <w:rPr>
                <w:rFonts w:hint="eastAsia" w:ascii="Times New Roman" w:hAnsi="Times New Roman" w:eastAsia="宋体"/>
                <w:bCs w:val="0"/>
                <w:color w:val="auto"/>
                <w:sz w:val="24"/>
                <w:szCs w:val="24"/>
              </w:rPr>
              <w:t>桨</w:t>
            </w:r>
            <w:r>
              <w:rPr>
                <w:rFonts w:ascii="Times New Roman" w:hAnsi="Times New Roman" w:eastAsia="宋体"/>
                <w:bCs w:val="0"/>
                <w:color w:val="auto"/>
                <w:sz w:val="24"/>
                <w:szCs w:val="24"/>
              </w:rPr>
              <w:t>，组成三级桨叶系统，桨片高度可调，搅拌时</w:t>
            </w:r>
            <w:r>
              <w:rPr>
                <w:rFonts w:hint="eastAsia" w:ascii="Times New Roman" w:hAnsi="Times New Roman" w:eastAsia="宋体"/>
                <w:bCs w:val="0"/>
                <w:color w:val="auto"/>
                <w:sz w:val="24"/>
                <w:szCs w:val="24"/>
              </w:rPr>
              <w:t>筒内</w:t>
            </w:r>
            <w:r>
              <w:rPr>
                <w:rFonts w:ascii="Times New Roman" w:hAnsi="Times New Roman" w:eastAsia="宋体"/>
                <w:bCs w:val="0"/>
                <w:color w:val="auto"/>
                <w:sz w:val="24"/>
                <w:szCs w:val="24"/>
              </w:rPr>
              <w:t>可形成良好对流条件，机械压迫式消泡桨（一级）、每</w:t>
            </w:r>
            <w:r>
              <w:rPr>
                <w:rFonts w:hint="eastAsia" w:ascii="Times New Roman" w:hAnsi="Times New Roman" w:eastAsia="宋体"/>
                <w:bCs w:val="0"/>
                <w:color w:val="auto"/>
                <w:sz w:val="24"/>
                <w:szCs w:val="24"/>
              </w:rPr>
              <w:t>容器</w:t>
            </w:r>
            <w:r>
              <w:rPr>
                <w:rFonts w:ascii="Times New Roman" w:hAnsi="Times New Roman" w:eastAsia="宋体"/>
                <w:bCs w:val="0"/>
                <w:color w:val="auto"/>
                <w:sz w:val="24"/>
                <w:szCs w:val="24"/>
              </w:rPr>
              <w:t>4 档折流板；可根据扩培工艺的特殊要求更换不同类型的搅拌桨。</w:t>
            </w:r>
          </w:p>
          <w:p w14:paraId="27370F88">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交流电机，体积小，外形美观，响应迅速，启动无延迟，</w:t>
            </w:r>
          </w:p>
          <w:p w14:paraId="2CC84130">
            <w:pPr>
              <w:pStyle w:val="974"/>
              <w:jc w:val="both"/>
              <w:rPr>
                <w:rFonts w:ascii="Times New Roman" w:hAnsi="Times New Roman" w:eastAsia="宋体"/>
                <w:b/>
                <w:color w:val="auto"/>
                <w:sz w:val="24"/>
                <w:szCs w:val="24"/>
                <w:u w:val="single"/>
              </w:rPr>
            </w:pPr>
            <w:r>
              <w:rPr>
                <w:rFonts w:ascii="Times New Roman" w:hAnsi="Times New Roman" w:eastAsia="宋体"/>
                <w:bCs w:val="0"/>
                <w:color w:val="auto"/>
                <w:sz w:val="24"/>
                <w:szCs w:val="24"/>
              </w:rPr>
              <w:t>PID 自动控制，无极调速，控制转速：</w:t>
            </w:r>
            <w:r>
              <w:rPr>
                <w:rFonts w:hint="eastAsia" w:ascii="Times New Roman" w:hAnsi="Times New Roman" w:eastAsia="宋体"/>
                <w:bCs w:val="0"/>
                <w:color w:val="auto"/>
                <w:sz w:val="24"/>
                <w:szCs w:val="24"/>
              </w:rPr>
              <w:t>50-250</w:t>
            </w:r>
            <w:r>
              <w:rPr>
                <w:rFonts w:ascii="Times New Roman" w:hAnsi="Times New Roman" w:eastAsia="宋体"/>
                <w:bCs w:val="0"/>
                <w:color w:val="auto"/>
                <w:sz w:val="24"/>
                <w:szCs w:val="24"/>
              </w:rPr>
              <w:t>rpm</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18.5KW</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控制精度：±0.5%</w:t>
            </w:r>
            <w:r>
              <w:rPr>
                <w:rFonts w:hint="eastAsia" w:ascii="Times New Roman" w:hAnsi="Times New Roman" w:eastAsia="宋体"/>
                <w:bCs w:val="0"/>
                <w:color w:val="auto"/>
                <w:sz w:val="24"/>
                <w:szCs w:val="24"/>
              </w:rPr>
              <w:t>。</w:t>
            </w:r>
          </w:p>
          <w:p w14:paraId="67869D3B">
            <w:pPr>
              <w:pStyle w:val="974"/>
              <w:jc w:val="both"/>
              <w:rPr>
                <w:rFonts w:ascii="Times New Roman" w:hAnsi="Times New Roman" w:eastAsia="宋体"/>
                <w:b/>
                <w:color w:val="auto"/>
                <w:sz w:val="24"/>
                <w:szCs w:val="24"/>
                <w:u w:val="single"/>
              </w:rPr>
            </w:pPr>
            <w:r>
              <w:rPr>
                <w:rFonts w:hint="eastAsia" w:ascii="Times New Roman" w:hAnsi="Times New Roman" w:eastAsia="宋体"/>
                <w:b/>
                <w:color w:val="auto"/>
                <w:sz w:val="24"/>
                <w:szCs w:val="24"/>
                <w:u w:val="single"/>
              </w:rPr>
              <w:t>13、★自动开盖：带气动/电动提升装置，提升0-300mm。方便清洗、检修。</w:t>
            </w:r>
          </w:p>
          <w:p w14:paraId="342928BC">
            <w:pPr>
              <w:pStyle w:val="974"/>
              <w:jc w:val="both"/>
              <w:rPr>
                <w:rFonts w:ascii="Times New Roman" w:hAnsi="Times New Roman" w:eastAsia="宋体"/>
                <w:b/>
                <w:color w:val="auto"/>
                <w:sz w:val="24"/>
                <w:szCs w:val="24"/>
                <w:u w:val="single"/>
              </w:rPr>
            </w:pPr>
            <w:r>
              <w:rPr>
                <w:rFonts w:hint="eastAsia" w:ascii="Times New Roman" w:hAnsi="Times New Roman" w:eastAsia="宋体"/>
                <w:b/>
                <w:color w:val="auto"/>
                <w:sz w:val="24"/>
                <w:szCs w:val="24"/>
                <w:u w:val="single"/>
              </w:rPr>
              <w:t>14、★自动灭菌：一键式自动灭菌，可自定义灭菌时间，减少人工操作，取样阀及放料阀需要自动灭菌。</w:t>
            </w:r>
          </w:p>
          <w:p w14:paraId="39684F05">
            <w:pPr>
              <w:pStyle w:val="974"/>
              <w:jc w:val="both"/>
              <w:rPr>
                <w:rFonts w:ascii="Times New Roman" w:hAnsi="Times New Roman" w:eastAsia="宋体"/>
                <w:b/>
                <w:color w:val="auto"/>
                <w:sz w:val="24"/>
                <w:szCs w:val="24"/>
                <w:u w:val="single"/>
              </w:rPr>
            </w:pPr>
            <w:r>
              <w:rPr>
                <w:rFonts w:ascii="Times New Roman" w:hAnsi="Times New Roman" w:eastAsia="宋体"/>
                <w:b/>
                <w:color w:val="auto"/>
                <w:sz w:val="24"/>
                <w:szCs w:val="24"/>
                <w:u w:val="single"/>
              </w:rPr>
              <w:t>空气过滤器可单独SIP,也可以和扩培器同时灭菌。</w:t>
            </w:r>
          </w:p>
          <w:p w14:paraId="73E669CB">
            <w:pPr>
              <w:pStyle w:val="974"/>
              <w:jc w:val="both"/>
              <w:rPr>
                <w:rFonts w:ascii="Times New Roman" w:hAnsi="Times New Roman" w:eastAsia="宋体"/>
                <w:b/>
                <w:color w:val="auto"/>
                <w:sz w:val="24"/>
                <w:szCs w:val="24"/>
                <w:u w:val="single"/>
              </w:rPr>
            </w:pPr>
            <w:r>
              <w:rPr>
                <w:rFonts w:ascii="Times New Roman" w:hAnsi="Times New Roman" w:eastAsia="宋体"/>
                <w:b/>
                <w:color w:val="auto"/>
                <w:sz w:val="24"/>
                <w:szCs w:val="24"/>
                <w:u w:val="single"/>
              </w:rPr>
              <w:t>连接内筒管路都可CIP 自动清洗。</w:t>
            </w:r>
          </w:p>
          <w:p w14:paraId="2E0D25B9">
            <w:pPr>
              <w:pStyle w:val="974"/>
              <w:jc w:val="both"/>
              <w:rPr>
                <w:rFonts w:ascii="Times New Roman" w:hAnsi="Times New Roman" w:eastAsia="宋体"/>
                <w:b/>
                <w:color w:val="auto"/>
                <w:sz w:val="24"/>
                <w:szCs w:val="24"/>
                <w:u w:val="single"/>
              </w:rPr>
            </w:pPr>
            <w:r>
              <w:rPr>
                <w:rFonts w:hint="eastAsia" w:ascii="Times New Roman" w:hAnsi="Times New Roman" w:eastAsia="宋体"/>
                <w:b/>
                <w:color w:val="auto"/>
                <w:sz w:val="24"/>
                <w:szCs w:val="24"/>
                <w:u w:val="single"/>
              </w:rPr>
              <w:t>15、★空气流量自动监测与控制：质量流量控制器：采用质量流量控制器精确控制空气进气流量，并可以根据溶氧值自动调节空气流量。最大设计流量大约2VVM, 控制精度±0.5%。</w:t>
            </w:r>
          </w:p>
          <w:p w14:paraId="4D6CBB47">
            <w:pPr>
              <w:pStyle w:val="974"/>
              <w:jc w:val="both"/>
              <w:rPr>
                <w:rFonts w:ascii="Times New Roman" w:hAnsi="Times New Roman" w:eastAsia="宋体"/>
                <w:b/>
                <w:color w:val="auto"/>
                <w:sz w:val="24"/>
                <w:szCs w:val="24"/>
                <w:u w:val="single"/>
              </w:rPr>
            </w:pPr>
            <w:r>
              <w:rPr>
                <w:rFonts w:hint="eastAsia" w:ascii="Times New Roman" w:hAnsi="Times New Roman" w:eastAsia="宋体"/>
                <w:b/>
                <w:color w:val="auto"/>
                <w:sz w:val="24"/>
                <w:szCs w:val="24"/>
                <w:u w:val="single"/>
              </w:rPr>
              <w:t>16、★内筒压力监测与自动控制：采用耐高温高精度压力传感器精确检测扩培反应器压力，宝德比例调节阀自动调节扩培器内压力，测量范围：-0.1-0.3Mpa,±0.3%，控制精度：±0.5%。</w:t>
            </w:r>
          </w:p>
          <w:p w14:paraId="46648EEB">
            <w:pPr>
              <w:pStyle w:val="974"/>
              <w:jc w:val="both"/>
              <w:rPr>
                <w:rFonts w:ascii="Times New Roman" w:hAnsi="Times New Roman" w:eastAsia="宋体"/>
                <w:b/>
                <w:color w:val="auto"/>
                <w:sz w:val="24"/>
                <w:szCs w:val="24"/>
                <w:u w:val="single"/>
              </w:rPr>
            </w:pPr>
            <w:r>
              <w:rPr>
                <w:rFonts w:hint="eastAsia" w:ascii="Times New Roman" w:hAnsi="Times New Roman" w:eastAsia="宋体"/>
                <w:b/>
                <w:color w:val="auto"/>
                <w:sz w:val="24"/>
                <w:szCs w:val="24"/>
                <w:u w:val="single"/>
              </w:rPr>
              <w:t>17、★扩培器称重：采用Load Cell 称重模块对内筒液体精确计量，精度高达0.1%，</w:t>
            </w:r>
            <w:r>
              <w:rPr>
                <w:rFonts w:ascii="Times New Roman" w:hAnsi="Times New Roman" w:eastAsia="宋体"/>
                <w:b/>
                <w:color w:val="auto"/>
                <w:sz w:val="24"/>
                <w:szCs w:val="24"/>
                <w:u w:val="single"/>
              </w:rPr>
              <w:t>梅特勒-托利多MTB 系列三足称重传感器，范围0-300kg。</w:t>
            </w:r>
          </w:p>
          <w:p w14:paraId="24D605C0">
            <w:pPr>
              <w:pStyle w:val="974"/>
              <w:jc w:val="both"/>
              <w:rPr>
                <w:rFonts w:ascii="Times New Roman" w:hAnsi="Times New Roman" w:eastAsia="宋体"/>
                <w:b/>
                <w:color w:val="auto"/>
                <w:sz w:val="24"/>
                <w:szCs w:val="24"/>
                <w:u w:val="single"/>
              </w:rPr>
            </w:pPr>
            <w:r>
              <w:rPr>
                <w:rFonts w:ascii="Times New Roman" w:hAnsi="Times New Roman" w:eastAsia="宋体"/>
                <w:b/>
                <w:color w:val="auto"/>
                <w:sz w:val="24"/>
                <w:szCs w:val="24"/>
                <w:u w:val="single"/>
              </w:rPr>
              <w:t>扩培器称重联动自动补水阀，到达重量自动停止。</w:t>
            </w:r>
          </w:p>
          <w:p w14:paraId="4B7541D2">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18、</w:t>
            </w:r>
            <w:r>
              <w:rPr>
                <w:rFonts w:ascii="Times New Roman" w:hAnsi="Times New Roman" w:eastAsia="宋体"/>
                <w:bCs w:val="0"/>
                <w:color w:val="auto"/>
                <w:sz w:val="24"/>
                <w:szCs w:val="24"/>
              </w:rPr>
              <w:t>温度检测控制</w:t>
            </w:r>
            <w:r>
              <w:rPr>
                <w:rFonts w:hint="eastAsia" w:ascii="Times New Roman" w:hAnsi="Times New Roman" w:eastAsia="宋体"/>
                <w:bCs w:val="0"/>
                <w:color w:val="auto"/>
                <w:sz w:val="24"/>
                <w:szCs w:val="24"/>
              </w:rPr>
              <w:t>：外套电加热</w:t>
            </w:r>
            <w:r>
              <w:rPr>
                <w:rFonts w:ascii="Times New Roman" w:hAnsi="Times New Roman" w:eastAsia="宋体"/>
                <w:bCs w:val="0"/>
                <w:color w:val="auto"/>
                <w:sz w:val="24"/>
                <w:szCs w:val="24"/>
              </w:rPr>
              <w:t>，温度控制采用 PID 自动控制模式，控制软件上可实现 PID参数调节。Pt100 电极可重复灭菌，电极校正功能可完全由系统软件校正。</w:t>
            </w:r>
          </w:p>
          <w:p w14:paraId="3731B111">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温度控制：冷却水温度+5℃-65℃±0.2℃，显示温度：0-150℃±0.1℃</w:t>
            </w:r>
            <w:r>
              <w:rPr>
                <w:rFonts w:hint="eastAsia" w:ascii="Times New Roman" w:hAnsi="Times New Roman" w:eastAsia="宋体"/>
                <w:bCs w:val="0"/>
                <w:color w:val="auto"/>
                <w:sz w:val="24"/>
                <w:szCs w:val="24"/>
              </w:rPr>
              <w:t>。</w:t>
            </w:r>
          </w:p>
          <w:p w14:paraId="6830873B">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扩培</w:t>
            </w:r>
            <w:r>
              <w:rPr>
                <w:rFonts w:ascii="Times New Roman" w:hAnsi="Times New Roman" w:eastAsia="宋体"/>
                <w:bCs w:val="0"/>
                <w:color w:val="auto"/>
                <w:sz w:val="24"/>
                <w:szCs w:val="24"/>
              </w:rPr>
              <w:t>过程顺序控制（根据扩培时间区段设定，温度自动变量控制，至少 10段）</w:t>
            </w:r>
            <w:r>
              <w:rPr>
                <w:rFonts w:hint="eastAsia" w:ascii="Times New Roman" w:hAnsi="Times New Roman" w:eastAsia="宋体"/>
                <w:bCs w:val="0"/>
                <w:color w:val="auto"/>
                <w:sz w:val="24"/>
                <w:szCs w:val="24"/>
              </w:rPr>
              <w:t>。</w:t>
            </w:r>
          </w:p>
          <w:p w14:paraId="659298FB">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19、</w:t>
            </w:r>
            <w:r>
              <w:rPr>
                <w:rFonts w:ascii="Times New Roman" w:hAnsi="Times New Roman" w:eastAsia="宋体"/>
                <w:bCs w:val="0"/>
                <w:color w:val="auto"/>
                <w:sz w:val="24"/>
                <w:szCs w:val="24"/>
              </w:rPr>
              <w:t>pH 控制</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采用智能 PID 自动控制，控制精度高，不容易产生波动，</w:t>
            </w:r>
            <w:r>
              <w:rPr>
                <w:rFonts w:hint="eastAsia" w:ascii="Times New Roman" w:hAnsi="Times New Roman" w:eastAsia="宋体"/>
                <w:bCs w:val="0"/>
                <w:color w:val="auto"/>
                <w:sz w:val="24"/>
                <w:szCs w:val="24"/>
              </w:rPr>
              <w:t>405-DPAS-SC-K8S/120</w:t>
            </w:r>
            <w:r>
              <w:rPr>
                <w:rFonts w:ascii="Times New Roman" w:hAnsi="Times New Roman" w:eastAsia="宋体"/>
                <w:bCs w:val="0"/>
                <w:color w:val="auto"/>
                <w:sz w:val="24"/>
                <w:szCs w:val="24"/>
              </w:rPr>
              <w:t>电极及屏蔽导线检测，蠕动泵开关控制流加酸碱，自动控制，自动计量。电极可重复灭菌，校正功能完全由系统软件校正。</w:t>
            </w:r>
          </w:p>
          <w:p w14:paraId="18A1C797">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1</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可耐高温消毒的玻璃凝胶电极和导线</w:t>
            </w:r>
            <w:r>
              <w:rPr>
                <w:rFonts w:hint="eastAsia" w:ascii="Times New Roman" w:hAnsi="Times New Roman" w:eastAsia="宋体"/>
                <w:bCs w:val="0"/>
                <w:color w:val="auto"/>
                <w:sz w:val="24"/>
                <w:szCs w:val="24"/>
              </w:rPr>
              <w:t>。</w:t>
            </w:r>
          </w:p>
          <w:p w14:paraId="5CABEB58">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2</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显示范围：0.00~14.00±0.01，全自动控制范围：2.00~12.00±0.02</w:t>
            </w:r>
            <w:r>
              <w:rPr>
                <w:rFonts w:hint="eastAsia" w:ascii="Times New Roman" w:hAnsi="Times New Roman" w:eastAsia="宋体"/>
                <w:bCs w:val="0"/>
                <w:color w:val="auto"/>
                <w:sz w:val="24"/>
                <w:szCs w:val="24"/>
              </w:rPr>
              <w:t>。</w:t>
            </w:r>
          </w:p>
          <w:p w14:paraId="6F25AF3D">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3</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在线检测，自动报警，蠕动泵自动添加酸碱液</w:t>
            </w:r>
            <w:r>
              <w:rPr>
                <w:rFonts w:hint="eastAsia" w:ascii="Times New Roman" w:hAnsi="Times New Roman" w:eastAsia="宋体"/>
                <w:bCs w:val="0"/>
                <w:color w:val="auto"/>
                <w:sz w:val="24"/>
                <w:szCs w:val="24"/>
              </w:rPr>
              <w:t>。</w:t>
            </w:r>
          </w:p>
          <w:p w14:paraId="1DD8B01A">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4</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PID 智能模糊控制。</w:t>
            </w:r>
          </w:p>
          <w:p w14:paraId="2E5A7C80">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控制器可实现：Ph 值曲线分析、加酸、加碱量曲线分析、批报表分析、酸加入量累计显示记录、碱加入量累计显示记录，顺序控制（根据扩培时间区段设定，自动变量控制，至少 10 段）等</w:t>
            </w:r>
            <w:r>
              <w:rPr>
                <w:rFonts w:hint="eastAsia" w:ascii="Times New Roman" w:hAnsi="Times New Roman" w:eastAsia="宋体"/>
                <w:bCs w:val="0"/>
                <w:color w:val="auto"/>
                <w:sz w:val="24"/>
                <w:szCs w:val="24"/>
              </w:rPr>
              <w:t>。</w:t>
            </w:r>
          </w:p>
          <w:p w14:paraId="463EB7D7">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20、</w:t>
            </w:r>
            <w:r>
              <w:rPr>
                <w:rFonts w:ascii="Times New Roman" w:hAnsi="Times New Roman" w:eastAsia="宋体"/>
                <w:bCs w:val="0"/>
                <w:color w:val="auto"/>
                <w:sz w:val="24"/>
                <w:szCs w:val="24"/>
              </w:rPr>
              <w:t>DO 控制</w:t>
            </w:r>
            <w:r>
              <w:rPr>
                <w:rFonts w:hint="eastAsia" w:ascii="Times New Roman" w:hAnsi="Times New Roman" w:eastAsia="宋体"/>
                <w:bCs w:val="0"/>
                <w:color w:val="auto"/>
                <w:sz w:val="24"/>
                <w:szCs w:val="24"/>
              </w:rPr>
              <w:t>：Inpro6800/120mA</w:t>
            </w:r>
            <w:r>
              <w:rPr>
                <w:rFonts w:ascii="Times New Roman" w:hAnsi="Times New Roman" w:eastAsia="宋体"/>
                <w:bCs w:val="0"/>
                <w:color w:val="auto"/>
                <w:sz w:val="24"/>
                <w:szCs w:val="24"/>
              </w:rPr>
              <w:t>电极及屏蔽导线检测，DO 值与转速、补料、空气流量（如配置）、</w:t>
            </w:r>
            <w:r>
              <w:rPr>
                <w:rFonts w:hint="eastAsia" w:ascii="Times New Roman" w:hAnsi="Times New Roman" w:eastAsia="宋体"/>
                <w:bCs w:val="0"/>
                <w:color w:val="auto"/>
                <w:sz w:val="24"/>
                <w:szCs w:val="24"/>
              </w:rPr>
              <w:t>扩培器内</w:t>
            </w:r>
            <w:r>
              <w:rPr>
                <w:rFonts w:ascii="Times New Roman" w:hAnsi="Times New Roman" w:eastAsia="宋体"/>
                <w:bCs w:val="0"/>
                <w:color w:val="auto"/>
                <w:sz w:val="24"/>
                <w:szCs w:val="24"/>
              </w:rPr>
              <w:t>压（如配置）等参数进行关联控制。</w:t>
            </w:r>
          </w:p>
          <w:p w14:paraId="7027AE21">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控制范围 0~150%，±3%扩培过程顺序控制（根据扩培时间，DO 自动变量控制，至少 10 段）</w:t>
            </w:r>
            <w:r>
              <w:rPr>
                <w:rFonts w:hint="eastAsia" w:ascii="Times New Roman" w:hAnsi="Times New Roman" w:eastAsia="宋体"/>
                <w:bCs w:val="0"/>
                <w:color w:val="auto"/>
                <w:sz w:val="24"/>
                <w:szCs w:val="24"/>
              </w:rPr>
              <w:t>。</w:t>
            </w:r>
          </w:p>
          <w:p w14:paraId="7287F6C6">
            <w:pPr>
              <w:pStyle w:val="974"/>
              <w:jc w:val="both"/>
              <w:rPr>
                <w:rFonts w:ascii="Times New Roman" w:hAnsi="Times New Roman" w:eastAsia="宋体"/>
                <w:b/>
                <w:color w:val="auto"/>
                <w:sz w:val="24"/>
                <w:szCs w:val="24"/>
                <w:u w:val="single"/>
              </w:rPr>
            </w:pPr>
            <w:r>
              <w:rPr>
                <w:rFonts w:hint="eastAsia" w:ascii="Times New Roman" w:hAnsi="Times New Roman" w:eastAsia="宋体"/>
                <w:bCs w:val="0"/>
                <w:color w:val="auto"/>
                <w:sz w:val="24"/>
                <w:szCs w:val="24"/>
              </w:rPr>
              <w:t>21、</w:t>
            </w:r>
            <w:r>
              <w:rPr>
                <w:rFonts w:ascii="Times New Roman" w:hAnsi="Times New Roman" w:eastAsia="宋体"/>
                <w:bCs w:val="0"/>
                <w:color w:val="auto"/>
                <w:sz w:val="24"/>
                <w:szCs w:val="24"/>
              </w:rPr>
              <w:t>补料控制</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四路可自定义功能的蠕动泵，实现补料、关联控制、分段控制、4 台泵之间通道自定义，可以互换备用，蠕动泵最大速度不低于</w:t>
            </w:r>
            <w:r>
              <w:rPr>
                <w:rFonts w:hint="eastAsia" w:ascii="Times New Roman" w:hAnsi="Times New Roman" w:eastAsia="宋体"/>
                <w:bCs w:val="0"/>
                <w:color w:val="auto"/>
                <w:sz w:val="24"/>
                <w:szCs w:val="24"/>
              </w:rPr>
              <w:t>3</w:t>
            </w:r>
            <w:r>
              <w:rPr>
                <w:rFonts w:ascii="Times New Roman" w:hAnsi="Times New Roman" w:eastAsia="宋体"/>
                <w:bCs w:val="0"/>
                <w:color w:val="auto"/>
                <w:sz w:val="24"/>
                <w:szCs w:val="24"/>
              </w:rPr>
              <w:t>L/h</w:t>
            </w:r>
            <w:r>
              <w:rPr>
                <w:rFonts w:hint="eastAsia" w:ascii="Times New Roman" w:hAnsi="Times New Roman" w:eastAsia="宋体"/>
                <w:bCs w:val="0"/>
                <w:color w:val="auto"/>
                <w:sz w:val="24"/>
                <w:szCs w:val="24"/>
              </w:rPr>
              <w:t>。</w:t>
            </w:r>
          </w:p>
          <w:p w14:paraId="19210A1D">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补料由蠕动泵连接至1000L</w:t>
            </w:r>
            <w:r>
              <w:rPr>
                <w:rFonts w:hint="eastAsia" w:ascii="Times New Roman" w:hAnsi="Times New Roman" w:eastAsia="宋体"/>
                <w:bCs w:val="0"/>
                <w:color w:val="auto"/>
                <w:sz w:val="24"/>
                <w:szCs w:val="24"/>
              </w:rPr>
              <w:t>液体扩培生化配料器</w:t>
            </w:r>
            <w:r>
              <w:rPr>
                <w:rFonts w:ascii="Times New Roman" w:hAnsi="Times New Roman" w:eastAsia="宋体"/>
                <w:bCs w:val="0"/>
                <w:color w:val="auto"/>
                <w:sz w:val="24"/>
                <w:szCs w:val="24"/>
              </w:rPr>
              <w:t>，补料与溶氧关联，实现自动补料</w:t>
            </w:r>
            <w:r>
              <w:rPr>
                <w:rFonts w:hint="eastAsia" w:ascii="Times New Roman" w:hAnsi="Times New Roman" w:eastAsia="宋体"/>
                <w:bCs w:val="0"/>
                <w:color w:val="auto"/>
                <w:sz w:val="24"/>
                <w:szCs w:val="24"/>
              </w:rPr>
              <w:t>。</w:t>
            </w:r>
          </w:p>
          <w:p w14:paraId="3EB6DE4D">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采用数字化定时定量分段设置控制，蠕动泵补料自动控制，控制器可设定补料泵的开关周期，可根据液位要求设定控制补料，补料可与 pH 和 DO 相关联</w:t>
            </w:r>
            <w:r>
              <w:rPr>
                <w:rFonts w:hint="eastAsia" w:ascii="Times New Roman" w:hAnsi="Times New Roman" w:eastAsia="宋体"/>
                <w:bCs w:val="0"/>
                <w:color w:val="auto"/>
                <w:sz w:val="24"/>
                <w:szCs w:val="24"/>
              </w:rPr>
              <w:t>。</w:t>
            </w:r>
          </w:p>
          <w:p w14:paraId="0E28BE4E">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蠕动泵开关控制（有手动、自动、关闭三档），自动流加并计量（根据扩培时间，补料自动变量控制，至少 10 段）</w:t>
            </w:r>
          </w:p>
          <w:p w14:paraId="4C25B44E">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22、</w:t>
            </w:r>
            <w:r>
              <w:rPr>
                <w:rFonts w:ascii="Times New Roman" w:hAnsi="Times New Roman" w:eastAsia="宋体"/>
                <w:bCs w:val="0"/>
                <w:color w:val="auto"/>
                <w:sz w:val="24"/>
                <w:szCs w:val="24"/>
              </w:rPr>
              <w:t>泡沫控制</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配备机械压迫式消泡桨叶/耙式消泡桨叶（一级），简单、快速、有效的打碎泡沫</w:t>
            </w:r>
            <w:r>
              <w:rPr>
                <w:rFonts w:hint="eastAsia" w:ascii="Times New Roman" w:hAnsi="Times New Roman" w:eastAsia="宋体"/>
                <w:bCs w:val="0"/>
                <w:color w:val="auto"/>
                <w:sz w:val="24"/>
                <w:szCs w:val="24"/>
              </w:rPr>
              <w:t>。</w:t>
            </w:r>
          </w:p>
          <w:p w14:paraId="5E916A88">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如若泡沫大量产生，带消泡电极，自动检测泡沫，蠕动泵时间比例自动添加消泡剂。</w:t>
            </w:r>
          </w:p>
          <w:p w14:paraId="0562468E">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蠕动泵的作用可在控制界面上选择设定，这样使用户在实际使用时更为方便灵活。配有特别设计的补料插针，以确保补料的安全操作。</w:t>
            </w:r>
          </w:p>
          <w:p w14:paraId="57A3E0D6">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控制精度：10-100000Ω</w:t>
            </w:r>
            <w:r>
              <w:rPr>
                <w:rFonts w:hint="eastAsia" w:ascii="Times New Roman" w:hAnsi="Times New Roman" w:eastAsia="宋体"/>
                <w:bCs w:val="0"/>
                <w:color w:val="auto"/>
                <w:sz w:val="24"/>
                <w:szCs w:val="24"/>
              </w:rPr>
              <w:t>。</w:t>
            </w:r>
          </w:p>
          <w:p w14:paraId="30137791">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23、</w:t>
            </w:r>
            <w:r>
              <w:rPr>
                <w:rFonts w:ascii="Times New Roman" w:hAnsi="Times New Roman" w:eastAsia="宋体"/>
                <w:bCs w:val="0"/>
                <w:color w:val="auto"/>
                <w:sz w:val="24"/>
                <w:szCs w:val="24"/>
              </w:rPr>
              <w:t>密封保压/气密性检测</w:t>
            </w:r>
            <w:r>
              <w:rPr>
                <w:rFonts w:hint="eastAsia" w:ascii="Times New Roman" w:hAnsi="Times New Roman" w:eastAsia="宋体"/>
                <w:bCs w:val="0"/>
                <w:color w:val="auto"/>
                <w:sz w:val="24"/>
                <w:szCs w:val="24"/>
              </w:rPr>
              <w:t>：扩培器</w:t>
            </w:r>
            <w:r>
              <w:rPr>
                <w:rFonts w:ascii="Times New Roman" w:hAnsi="Times New Roman" w:eastAsia="宋体"/>
                <w:bCs w:val="0"/>
                <w:color w:val="auto"/>
                <w:sz w:val="24"/>
                <w:szCs w:val="24"/>
              </w:rPr>
              <w:t>可实现密封保压系统。</w:t>
            </w:r>
          </w:p>
          <w:p w14:paraId="48D930F2">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每次保压试验均须作详细记录，其应包括管线的识别、规定的试验压力、实际的试验压力、压力下降的情形、试压时天气、试验时间、日期。</w:t>
            </w:r>
          </w:p>
          <w:p w14:paraId="430B20B8">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24、</w:t>
            </w:r>
            <w:r>
              <w:rPr>
                <w:rFonts w:ascii="Times New Roman" w:hAnsi="Times New Roman" w:eastAsia="宋体"/>
                <w:bCs w:val="0"/>
                <w:color w:val="auto"/>
                <w:sz w:val="24"/>
                <w:szCs w:val="24"/>
              </w:rPr>
              <w:t>阀门管路</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选用优质不锈阀门及</w:t>
            </w:r>
            <w:r>
              <w:rPr>
                <w:rFonts w:hint="eastAsia" w:ascii="Times New Roman" w:hAnsi="Times New Roman" w:eastAsia="宋体"/>
                <w:bCs w:val="0"/>
                <w:color w:val="auto"/>
                <w:sz w:val="24"/>
                <w:szCs w:val="24"/>
              </w:rPr>
              <w:t>扩培</w:t>
            </w:r>
            <w:r>
              <w:rPr>
                <w:rFonts w:ascii="Times New Roman" w:hAnsi="Times New Roman" w:eastAsia="宋体"/>
                <w:bCs w:val="0"/>
                <w:color w:val="auto"/>
                <w:sz w:val="24"/>
                <w:szCs w:val="24"/>
              </w:rPr>
              <w:t>专用阀门，</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阀门采用优质隔膜阀</w:t>
            </w:r>
            <w:r>
              <w:rPr>
                <w:rFonts w:hint="eastAsia" w:ascii="Times New Roman" w:hAnsi="Times New Roman" w:eastAsia="宋体"/>
                <w:bCs w:val="0"/>
                <w:color w:val="auto"/>
                <w:sz w:val="24"/>
                <w:szCs w:val="24"/>
              </w:rPr>
              <w:t>。</w:t>
            </w:r>
          </w:p>
          <w:p w14:paraId="359699CB">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所有与</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接触的管道或配件均为卫生级 304 不锈钢</w:t>
            </w:r>
            <w:r>
              <w:rPr>
                <w:rFonts w:hint="eastAsia" w:ascii="Times New Roman" w:hAnsi="Times New Roman" w:eastAsia="宋体"/>
                <w:bCs w:val="0"/>
                <w:color w:val="auto"/>
                <w:sz w:val="24"/>
                <w:szCs w:val="24"/>
              </w:rPr>
              <w:t>。</w:t>
            </w:r>
          </w:p>
          <w:p w14:paraId="67396F8D">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所有</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接触阀门均为卫生级隔膜阀</w:t>
            </w:r>
            <w:r>
              <w:rPr>
                <w:rFonts w:hint="eastAsia" w:ascii="Times New Roman" w:hAnsi="Times New Roman" w:eastAsia="宋体"/>
                <w:bCs w:val="0"/>
                <w:color w:val="auto"/>
                <w:sz w:val="24"/>
                <w:szCs w:val="24"/>
              </w:rPr>
              <w:t>。</w:t>
            </w:r>
          </w:p>
          <w:p w14:paraId="3A631C09">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外抛光不锈钢管道及优质配件，</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管路卫生级内外抛光管</w:t>
            </w:r>
            <w:r>
              <w:rPr>
                <w:rFonts w:hint="eastAsia" w:ascii="Times New Roman" w:hAnsi="Times New Roman" w:eastAsia="宋体"/>
                <w:bCs w:val="0"/>
                <w:color w:val="auto"/>
                <w:sz w:val="24"/>
                <w:szCs w:val="24"/>
              </w:rPr>
              <w:t>。</w:t>
            </w:r>
          </w:p>
          <w:p w14:paraId="4305CF43">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包括空气管路、蒸汽管路、循环水路、</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管路和排污管路</w:t>
            </w:r>
            <w:r>
              <w:rPr>
                <w:rFonts w:hint="eastAsia" w:ascii="Times New Roman" w:hAnsi="Times New Roman" w:eastAsia="宋体"/>
                <w:bCs w:val="0"/>
                <w:color w:val="auto"/>
                <w:sz w:val="24"/>
                <w:szCs w:val="24"/>
              </w:rPr>
              <w:t>。</w:t>
            </w:r>
          </w:p>
          <w:p w14:paraId="18371091">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所有管件阀门都可以正面操作，设计合理，操作方便</w:t>
            </w:r>
            <w:r>
              <w:rPr>
                <w:rFonts w:hint="eastAsia" w:ascii="Times New Roman" w:hAnsi="Times New Roman" w:eastAsia="宋体"/>
                <w:bCs w:val="0"/>
                <w:color w:val="auto"/>
                <w:sz w:val="24"/>
                <w:szCs w:val="24"/>
              </w:rPr>
              <w:t>。</w:t>
            </w:r>
          </w:p>
          <w:p w14:paraId="2D77F635">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25、</w:t>
            </w:r>
            <w:r>
              <w:rPr>
                <w:rFonts w:ascii="Times New Roman" w:hAnsi="Times New Roman" w:eastAsia="宋体"/>
                <w:bCs w:val="0"/>
                <w:color w:val="auto"/>
                <w:sz w:val="24"/>
                <w:szCs w:val="24"/>
              </w:rPr>
              <w:t>报警功能</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具有声光报警和急停按钮功能，超过设定值范围就会产生报警，提示工作人员及时发现问题。</w:t>
            </w:r>
          </w:p>
          <w:p w14:paraId="487EA243">
            <w:pPr>
              <w:pStyle w:val="974"/>
              <w:jc w:val="both"/>
              <w:rPr>
                <w:rFonts w:ascii="Times New Roman" w:hAnsi="Times New Roman" w:eastAsia="宋体"/>
                <w:color w:val="auto"/>
                <w:sz w:val="24"/>
                <w:szCs w:val="24"/>
              </w:rPr>
            </w:pPr>
            <w:r>
              <w:rPr>
                <w:rFonts w:hint="eastAsia" w:ascii="Times New Roman" w:hAnsi="Times New Roman" w:eastAsia="宋体"/>
                <w:bCs w:val="0"/>
                <w:color w:val="auto"/>
                <w:sz w:val="24"/>
                <w:szCs w:val="24"/>
              </w:rPr>
              <w:t>26、</w:t>
            </w:r>
            <w:r>
              <w:rPr>
                <w:rFonts w:ascii="Times New Roman" w:hAnsi="Times New Roman" w:eastAsia="宋体"/>
                <w:bCs w:val="0"/>
                <w:color w:val="auto"/>
                <w:sz w:val="24"/>
                <w:szCs w:val="24"/>
              </w:rPr>
              <w:t>控制系统</w:t>
            </w:r>
            <w:r>
              <w:rPr>
                <w:rFonts w:hint="eastAsia" w:ascii="Times New Roman" w:hAnsi="Times New Roman" w:eastAsia="宋体"/>
                <w:bCs w:val="0"/>
                <w:color w:val="auto"/>
                <w:sz w:val="24"/>
                <w:szCs w:val="24"/>
              </w:rPr>
              <w:t>：配备PLC</w:t>
            </w:r>
            <w:r>
              <w:rPr>
                <w:rFonts w:ascii="Times New Roman" w:hAnsi="Times New Roman" w:eastAsia="宋体"/>
                <w:bCs w:val="0"/>
                <w:color w:val="auto"/>
                <w:sz w:val="24"/>
                <w:szCs w:val="24"/>
              </w:rPr>
              <w:t>生物过程控制器</w:t>
            </w:r>
          </w:p>
        </w:tc>
        <w:tc>
          <w:tcPr>
            <w:tcW w:w="780" w:type="dxa"/>
            <w:tcBorders>
              <w:bottom w:val="single" w:color="auto" w:sz="4" w:space="0"/>
            </w:tcBorders>
            <w:vAlign w:val="center"/>
          </w:tcPr>
          <w:p w14:paraId="3A6D7532">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tcBorders>
              <w:bottom w:val="single" w:color="auto" w:sz="4" w:space="0"/>
            </w:tcBorders>
            <w:vAlign w:val="center"/>
          </w:tcPr>
          <w:p w14:paraId="5EDBEC26">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77AAE62C">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18.00</w:t>
            </w:r>
          </w:p>
        </w:tc>
      </w:tr>
      <w:tr w14:paraId="48099DBE">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704" w:type="dxa"/>
            <w:vMerge w:val="continue"/>
            <w:vAlign w:val="center"/>
          </w:tcPr>
          <w:p w14:paraId="28B2B5E3">
            <w:pPr>
              <w:pStyle w:val="974"/>
              <w:jc w:val="center"/>
              <w:rPr>
                <w:rFonts w:ascii="Times New Roman" w:hAnsi="Times New Roman" w:eastAsia="宋体"/>
                <w:color w:val="auto"/>
                <w:sz w:val="24"/>
                <w:szCs w:val="24"/>
              </w:rPr>
            </w:pPr>
          </w:p>
        </w:tc>
        <w:tc>
          <w:tcPr>
            <w:tcW w:w="851" w:type="dxa"/>
            <w:vMerge w:val="continue"/>
            <w:vAlign w:val="center"/>
          </w:tcPr>
          <w:p w14:paraId="3225DD22">
            <w:pPr>
              <w:pStyle w:val="974"/>
              <w:jc w:val="center"/>
              <w:rPr>
                <w:rFonts w:ascii="Times New Roman" w:hAnsi="Times New Roman" w:eastAsia="宋体"/>
                <w:color w:val="auto"/>
                <w:sz w:val="24"/>
                <w:szCs w:val="24"/>
              </w:rPr>
            </w:pPr>
          </w:p>
        </w:tc>
        <w:tc>
          <w:tcPr>
            <w:tcW w:w="1275" w:type="dxa"/>
            <w:tcBorders>
              <w:bottom w:val="single" w:color="auto" w:sz="4" w:space="0"/>
            </w:tcBorders>
            <w:vAlign w:val="center"/>
          </w:tcPr>
          <w:p w14:paraId="7D8CDC44">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2000L固体扩培生化反应舱</w:t>
            </w:r>
          </w:p>
        </w:tc>
        <w:tc>
          <w:tcPr>
            <w:tcW w:w="4111" w:type="dxa"/>
            <w:tcBorders>
              <w:bottom w:val="single" w:color="auto" w:sz="4" w:space="0"/>
            </w:tcBorders>
            <w:vAlign w:val="center"/>
          </w:tcPr>
          <w:p w14:paraId="30FBB078">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w:t>
            </w:r>
            <w:r>
              <w:rPr>
                <w:rFonts w:ascii="Times New Roman" w:hAnsi="Times New Roman" w:eastAsia="宋体"/>
                <w:bCs w:val="0"/>
                <w:color w:val="auto"/>
                <w:sz w:val="24"/>
                <w:szCs w:val="24"/>
              </w:rPr>
              <w:t>体积：总容 2000L，最大工作容积</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60%</w:t>
            </w:r>
          </w:p>
          <w:p w14:paraId="2D063F03">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2、</w:t>
            </w:r>
            <w:r>
              <w:rPr>
                <w:rFonts w:ascii="Times New Roman" w:hAnsi="Times New Roman" w:eastAsia="宋体"/>
                <w:bCs w:val="0"/>
                <w:color w:val="auto"/>
                <w:sz w:val="24"/>
                <w:szCs w:val="24"/>
              </w:rPr>
              <w:t>材质：</w:t>
            </w:r>
            <w:r>
              <w:rPr>
                <w:rFonts w:hint="eastAsia" w:ascii="Times New Roman" w:hAnsi="Times New Roman" w:eastAsia="宋体"/>
                <w:bCs w:val="0"/>
                <w:color w:val="auto"/>
                <w:sz w:val="24"/>
                <w:szCs w:val="24"/>
              </w:rPr>
              <w:t>内筒SUS316L，外套SUS316L</w:t>
            </w:r>
            <w:r>
              <w:rPr>
                <w:rFonts w:ascii="Times New Roman" w:hAnsi="Times New Roman" w:eastAsia="宋体"/>
                <w:bCs w:val="0"/>
                <w:color w:val="auto"/>
                <w:sz w:val="24"/>
                <w:szCs w:val="24"/>
              </w:rPr>
              <w:t>（夹套覆盖率≥75%，内部优化导流结构）</w:t>
            </w:r>
            <w:r>
              <w:rPr>
                <w:rFonts w:hint="eastAsia" w:ascii="Times New Roman" w:hAnsi="Times New Roman" w:eastAsia="宋体"/>
                <w:bCs w:val="0"/>
                <w:color w:val="auto"/>
                <w:sz w:val="24"/>
                <w:szCs w:val="24"/>
              </w:rPr>
              <w:t>。</w:t>
            </w:r>
          </w:p>
          <w:p w14:paraId="7BAFDAE8">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3、</w:t>
            </w:r>
            <w:r>
              <w:rPr>
                <w:rFonts w:ascii="Times New Roman" w:hAnsi="Times New Roman" w:eastAsia="宋体"/>
                <w:bCs w:val="0"/>
                <w:color w:val="auto"/>
                <w:sz w:val="24"/>
                <w:szCs w:val="24"/>
              </w:rPr>
              <w:t>径高比：1：2.2</w:t>
            </w:r>
            <w:r>
              <w:rPr>
                <w:rFonts w:hint="eastAsia" w:ascii="Times New Roman" w:hAnsi="Times New Roman" w:eastAsia="宋体"/>
                <w:bCs w:val="0"/>
                <w:color w:val="auto"/>
                <w:sz w:val="24"/>
                <w:szCs w:val="24"/>
              </w:rPr>
              <w:t>。</w:t>
            </w:r>
          </w:p>
          <w:p w14:paraId="6676833C">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4、</w:t>
            </w:r>
            <w:r>
              <w:rPr>
                <w:rFonts w:ascii="Times New Roman" w:hAnsi="Times New Roman" w:eastAsia="宋体"/>
                <w:bCs w:val="0"/>
                <w:color w:val="auto"/>
                <w:sz w:val="24"/>
                <w:szCs w:val="24"/>
              </w:rPr>
              <w:t>表面处理：内外镜面抛光，</w:t>
            </w:r>
            <w:r>
              <w:rPr>
                <w:rFonts w:hint="eastAsia" w:ascii="Times New Roman" w:hAnsi="Times New Roman" w:eastAsia="宋体"/>
                <w:bCs w:val="0"/>
                <w:color w:val="auto"/>
                <w:sz w:val="24"/>
                <w:szCs w:val="24"/>
              </w:rPr>
              <w:t>内筒</w:t>
            </w:r>
            <w:r>
              <w:rPr>
                <w:rFonts w:ascii="Times New Roman" w:hAnsi="Times New Roman" w:eastAsia="宋体"/>
                <w:bCs w:val="0"/>
                <w:color w:val="auto"/>
                <w:sz w:val="24"/>
                <w:szCs w:val="24"/>
              </w:rPr>
              <w:t>精度≤0.4 um 减少染菌机会，外表面精度＜0.4 um。</w:t>
            </w:r>
          </w:p>
          <w:p w14:paraId="0FCC3472">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5、</w:t>
            </w:r>
            <w:r>
              <w:rPr>
                <w:rFonts w:ascii="Times New Roman" w:hAnsi="Times New Roman" w:eastAsia="宋体"/>
                <w:bCs w:val="0"/>
                <w:color w:val="auto"/>
                <w:sz w:val="24"/>
                <w:szCs w:val="24"/>
              </w:rPr>
              <w:t>全不锈钢</w:t>
            </w:r>
            <w:r>
              <w:rPr>
                <w:rFonts w:hint="eastAsia" w:ascii="Times New Roman" w:hAnsi="Times New Roman" w:eastAsia="宋体"/>
                <w:bCs w:val="0"/>
                <w:color w:val="auto"/>
                <w:sz w:val="24"/>
                <w:szCs w:val="24"/>
              </w:rPr>
              <w:t>筒内</w:t>
            </w:r>
            <w:r>
              <w:rPr>
                <w:rFonts w:ascii="Times New Roman" w:hAnsi="Times New Roman" w:eastAsia="宋体"/>
                <w:bCs w:val="0"/>
                <w:color w:val="auto"/>
                <w:sz w:val="24"/>
                <w:szCs w:val="24"/>
              </w:rPr>
              <w:t>无死角</w:t>
            </w:r>
            <w:r>
              <w:rPr>
                <w:rFonts w:hint="eastAsia" w:ascii="Times New Roman" w:hAnsi="Times New Roman" w:eastAsia="宋体"/>
                <w:bCs w:val="0"/>
                <w:color w:val="auto"/>
                <w:sz w:val="24"/>
                <w:szCs w:val="24"/>
              </w:rPr>
              <w:t>。内筒</w:t>
            </w:r>
            <w:r>
              <w:rPr>
                <w:rFonts w:ascii="Times New Roman" w:hAnsi="Times New Roman" w:eastAsia="宋体"/>
                <w:bCs w:val="0"/>
                <w:color w:val="auto"/>
                <w:sz w:val="24"/>
                <w:szCs w:val="24"/>
              </w:rPr>
              <w:t>：设计压力 0.4Mpa</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工作压力：0.3Mpa</w:t>
            </w:r>
          </w:p>
          <w:p w14:paraId="0CEA233A">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外套</w:t>
            </w:r>
            <w:r>
              <w:rPr>
                <w:rFonts w:ascii="Times New Roman" w:hAnsi="Times New Roman" w:eastAsia="宋体"/>
                <w:bCs w:val="0"/>
                <w:color w:val="auto"/>
                <w:sz w:val="24"/>
                <w:szCs w:val="24"/>
              </w:rPr>
              <w:t>：设计压力 0.4Mpa</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工作压力：0.3Mpa</w:t>
            </w:r>
            <w:r>
              <w:rPr>
                <w:rFonts w:hint="eastAsia" w:ascii="Times New Roman" w:hAnsi="Times New Roman" w:eastAsia="宋体"/>
                <w:bCs w:val="0"/>
                <w:color w:val="auto"/>
                <w:sz w:val="24"/>
                <w:szCs w:val="24"/>
              </w:rPr>
              <w:t>，内筒</w:t>
            </w:r>
            <w:r>
              <w:rPr>
                <w:rFonts w:ascii="Times New Roman" w:hAnsi="Times New Roman" w:eastAsia="宋体"/>
                <w:bCs w:val="0"/>
                <w:color w:val="auto"/>
                <w:sz w:val="24"/>
                <w:szCs w:val="24"/>
              </w:rPr>
              <w:t>有玻璃视镜，人孔</w:t>
            </w:r>
          </w:p>
          <w:p w14:paraId="399FB0A1">
            <w:pPr>
              <w:pStyle w:val="974"/>
              <w:jc w:val="both"/>
              <w:rPr>
                <w:rFonts w:ascii="Times New Roman" w:hAnsi="Times New Roman" w:eastAsia="宋体"/>
                <w:b/>
                <w:color w:val="auto"/>
                <w:sz w:val="24"/>
                <w:szCs w:val="24"/>
                <w:u w:val="single"/>
              </w:rPr>
            </w:pPr>
            <w:r>
              <w:rPr>
                <w:rFonts w:hint="eastAsia" w:ascii="Times New Roman" w:hAnsi="Times New Roman" w:eastAsia="宋体"/>
                <w:bCs w:val="0"/>
                <w:color w:val="auto"/>
                <w:sz w:val="24"/>
                <w:szCs w:val="24"/>
              </w:rPr>
              <w:t>6、内筒</w:t>
            </w:r>
            <w:r>
              <w:rPr>
                <w:rFonts w:ascii="Times New Roman" w:hAnsi="Times New Roman" w:eastAsia="宋体"/>
                <w:bCs w:val="0"/>
                <w:color w:val="auto"/>
                <w:sz w:val="24"/>
                <w:szCs w:val="24"/>
              </w:rPr>
              <w:t>接口</w:t>
            </w:r>
            <w:r>
              <w:rPr>
                <w:rFonts w:hint="eastAsia" w:ascii="Times New Roman" w:hAnsi="Times New Roman" w:eastAsia="宋体"/>
                <w:bCs w:val="0"/>
                <w:color w:val="auto"/>
                <w:sz w:val="24"/>
                <w:szCs w:val="24"/>
              </w:rPr>
              <w:t>：内筒</w:t>
            </w:r>
            <w:r>
              <w:rPr>
                <w:rFonts w:ascii="Times New Roman" w:hAnsi="Times New Roman" w:eastAsia="宋体"/>
                <w:bCs w:val="0"/>
                <w:color w:val="auto"/>
                <w:sz w:val="24"/>
                <w:szCs w:val="24"/>
              </w:rPr>
              <w:t>侧面采用大视角</w:t>
            </w:r>
            <w:r>
              <w:rPr>
                <w:rFonts w:hint="eastAsia" w:ascii="Times New Roman" w:hAnsi="Times New Roman" w:eastAsia="宋体"/>
                <w:bCs w:val="0"/>
                <w:color w:val="auto"/>
                <w:sz w:val="24"/>
                <w:szCs w:val="24"/>
              </w:rPr>
              <w:t>内筒</w:t>
            </w:r>
            <w:r>
              <w:rPr>
                <w:rFonts w:ascii="Times New Roman" w:hAnsi="Times New Roman" w:eastAsia="宋体"/>
                <w:bCs w:val="0"/>
                <w:color w:val="auto"/>
                <w:sz w:val="24"/>
                <w:szCs w:val="24"/>
              </w:rPr>
              <w:t>液位观察视镜，耐腐蚀、耐高温（不低于 130℃）、耐高压（不低于0.3Mpa）、方便观察不同高度的扩培液位并有刻度。</w:t>
            </w:r>
          </w:p>
          <w:p w14:paraId="4E9BA3D6">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侧面温度电极接口、取样阀口、加湿补水口。</w:t>
            </w:r>
          </w:p>
          <w:p w14:paraId="6ADB5B34">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7、顶部</w:t>
            </w:r>
            <w:r>
              <w:rPr>
                <w:rFonts w:ascii="Times New Roman" w:hAnsi="Times New Roman" w:eastAsia="宋体"/>
                <w:bCs w:val="0"/>
                <w:color w:val="auto"/>
                <w:sz w:val="24"/>
                <w:szCs w:val="24"/>
              </w:rPr>
              <w:t>接口</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有接种口、多个补料口、排气口 等，24V</w:t>
            </w:r>
            <w:r>
              <w:rPr>
                <w:rFonts w:hint="eastAsia" w:ascii="Times New Roman" w:hAnsi="Times New Roman" w:eastAsia="宋体"/>
                <w:bCs w:val="0"/>
                <w:color w:val="auto"/>
                <w:sz w:val="24"/>
                <w:szCs w:val="24"/>
              </w:rPr>
              <w:t xml:space="preserve"> </w:t>
            </w:r>
            <w:r>
              <w:rPr>
                <w:rFonts w:ascii="Times New Roman" w:hAnsi="Times New Roman" w:eastAsia="宋体"/>
                <w:bCs w:val="0"/>
                <w:color w:val="auto"/>
                <w:sz w:val="24"/>
                <w:szCs w:val="24"/>
              </w:rPr>
              <w:t>LED 安全视灯</w:t>
            </w:r>
            <w:r>
              <w:rPr>
                <w:rFonts w:hint="eastAsia" w:ascii="Times New Roman" w:hAnsi="Times New Roman" w:eastAsia="宋体"/>
                <w:bCs w:val="0"/>
                <w:color w:val="auto"/>
                <w:sz w:val="24"/>
                <w:szCs w:val="24"/>
              </w:rPr>
              <w:t>。</w:t>
            </w:r>
          </w:p>
          <w:p w14:paraId="57F50C72">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8、底部</w:t>
            </w:r>
            <w:r>
              <w:rPr>
                <w:rFonts w:ascii="Times New Roman" w:hAnsi="Times New Roman" w:eastAsia="宋体"/>
                <w:bCs w:val="0"/>
                <w:color w:val="auto"/>
                <w:sz w:val="24"/>
                <w:szCs w:val="24"/>
              </w:rPr>
              <w:t>接口</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带扩培</w:t>
            </w:r>
            <w:r>
              <w:rPr>
                <w:rFonts w:hint="eastAsia" w:ascii="Times New Roman" w:hAnsi="Times New Roman" w:eastAsia="宋体"/>
                <w:bCs w:val="0"/>
                <w:color w:val="auto"/>
                <w:sz w:val="24"/>
                <w:szCs w:val="24"/>
              </w:rPr>
              <w:t>器</w:t>
            </w:r>
            <w:r>
              <w:rPr>
                <w:rFonts w:ascii="Times New Roman" w:hAnsi="Times New Roman" w:eastAsia="宋体"/>
                <w:bCs w:val="0"/>
                <w:color w:val="auto"/>
                <w:sz w:val="24"/>
                <w:szCs w:val="24"/>
              </w:rPr>
              <w:t>放料阀（快接方式），特制设计，无死角、不积液，可蒸汽消毒</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隔膜式底阀。</w:t>
            </w:r>
          </w:p>
          <w:p w14:paraId="5479E3DD">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9、</w:t>
            </w:r>
            <w:r>
              <w:rPr>
                <w:rFonts w:ascii="Times New Roman" w:hAnsi="Times New Roman" w:eastAsia="宋体"/>
                <w:bCs w:val="0"/>
                <w:color w:val="auto"/>
                <w:sz w:val="24"/>
                <w:szCs w:val="24"/>
              </w:rPr>
              <w:t>灭菌方式</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在线蒸汽灭菌</w:t>
            </w:r>
            <w:r>
              <w:rPr>
                <w:rFonts w:hint="eastAsia" w:ascii="Times New Roman" w:hAnsi="Times New Roman" w:eastAsia="宋体"/>
                <w:bCs w:val="0"/>
                <w:color w:val="auto"/>
                <w:sz w:val="24"/>
                <w:szCs w:val="24"/>
              </w:rPr>
              <w:t>。</w:t>
            </w:r>
          </w:p>
          <w:p w14:paraId="716210A3">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灭菌温度：121℃</w:t>
            </w:r>
            <w:r>
              <w:rPr>
                <w:rFonts w:hint="eastAsia" w:ascii="Times New Roman" w:hAnsi="Times New Roman" w:eastAsia="宋体"/>
                <w:bCs w:val="0"/>
                <w:color w:val="auto"/>
                <w:sz w:val="24"/>
                <w:szCs w:val="24"/>
              </w:rPr>
              <w:t>。</w:t>
            </w:r>
          </w:p>
          <w:p w14:paraId="34CD28AA">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灭菌时间：升温至达到 121℃后保压，整个过程约</w:t>
            </w:r>
            <w:r>
              <w:rPr>
                <w:rFonts w:hint="eastAsia" w:ascii="Times New Roman" w:hAnsi="Times New Roman" w:eastAsia="宋体"/>
                <w:bCs w:val="0"/>
                <w:color w:val="auto"/>
                <w:sz w:val="24"/>
                <w:szCs w:val="24"/>
              </w:rPr>
              <w:t>30</w:t>
            </w:r>
            <w:r>
              <w:rPr>
                <w:rFonts w:ascii="Times New Roman" w:hAnsi="Times New Roman" w:eastAsia="宋体"/>
                <w:bCs w:val="0"/>
                <w:color w:val="auto"/>
                <w:sz w:val="24"/>
                <w:szCs w:val="24"/>
              </w:rPr>
              <w:t>分钟</w:t>
            </w:r>
            <w:r>
              <w:rPr>
                <w:rFonts w:hint="eastAsia" w:ascii="Times New Roman" w:hAnsi="Times New Roman" w:eastAsia="宋体"/>
                <w:bCs w:val="0"/>
                <w:color w:val="auto"/>
                <w:sz w:val="24"/>
                <w:szCs w:val="24"/>
              </w:rPr>
              <w:t>。</w:t>
            </w:r>
          </w:p>
          <w:p w14:paraId="24DECA56">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最高温度：131℃</w:t>
            </w:r>
            <w:r>
              <w:rPr>
                <w:rFonts w:hint="eastAsia" w:ascii="Times New Roman" w:hAnsi="Times New Roman" w:eastAsia="宋体"/>
                <w:bCs w:val="0"/>
                <w:color w:val="auto"/>
                <w:sz w:val="24"/>
                <w:szCs w:val="24"/>
              </w:rPr>
              <w:t>。</w:t>
            </w:r>
          </w:p>
          <w:p w14:paraId="44C7AFA5">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自动</w:t>
            </w:r>
            <w:r>
              <w:rPr>
                <w:rFonts w:ascii="Times New Roman" w:hAnsi="Times New Roman" w:eastAsia="宋体"/>
                <w:bCs w:val="0"/>
                <w:color w:val="auto"/>
                <w:sz w:val="24"/>
                <w:szCs w:val="24"/>
              </w:rPr>
              <w:t>灭菌，灭菌温度 100-130℃.所有操作阀门设计在正面操作。灭菌的同时可以搅拌，可以彻底的对</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进行消毒。</w:t>
            </w:r>
          </w:p>
          <w:p w14:paraId="24E120DD">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与</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接触部件按照 GMP 标准设计，使用卫生级隔膜阀。</w:t>
            </w:r>
          </w:p>
          <w:p w14:paraId="60D7FDE7">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取样贴壁中部取样、补料（接种）等通入蒸汽灭菌，接种口有火焰保护环</w:t>
            </w:r>
            <w:r>
              <w:rPr>
                <w:rFonts w:hint="eastAsia" w:ascii="Times New Roman" w:hAnsi="Times New Roman" w:eastAsia="宋体"/>
                <w:bCs w:val="0"/>
                <w:color w:val="auto"/>
                <w:sz w:val="24"/>
                <w:szCs w:val="24"/>
              </w:rPr>
              <w:t>。</w:t>
            </w:r>
          </w:p>
          <w:p w14:paraId="4D8F589A">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底部</w:t>
            </w:r>
            <w:r>
              <w:rPr>
                <w:rFonts w:ascii="Times New Roman" w:hAnsi="Times New Roman" w:eastAsia="宋体"/>
                <w:bCs w:val="0"/>
                <w:color w:val="auto"/>
                <w:sz w:val="24"/>
                <w:szCs w:val="24"/>
              </w:rPr>
              <w:t>放料阀、</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管路等通入纯蒸汽灭菌，</w:t>
            </w:r>
            <w:r>
              <w:rPr>
                <w:rFonts w:hint="eastAsia" w:ascii="Times New Roman" w:hAnsi="Times New Roman" w:eastAsia="宋体"/>
                <w:bCs w:val="0"/>
                <w:color w:val="auto"/>
                <w:sz w:val="24"/>
                <w:szCs w:val="24"/>
              </w:rPr>
              <w:t>底部</w:t>
            </w:r>
            <w:r>
              <w:rPr>
                <w:rFonts w:ascii="Times New Roman" w:hAnsi="Times New Roman" w:eastAsia="宋体"/>
                <w:bCs w:val="0"/>
                <w:color w:val="auto"/>
                <w:sz w:val="24"/>
                <w:szCs w:val="24"/>
              </w:rPr>
              <w:t>放料阀采用无死角卫生级隔膜阀（带旁通阀的一体式零死角阀），膜片材质EPDM/PTFE，为卡盘链接</w:t>
            </w:r>
            <w:r>
              <w:rPr>
                <w:rFonts w:hint="eastAsia" w:ascii="Times New Roman" w:hAnsi="Times New Roman" w:eastAsia="宋体"/>
                <w:bCs w:val="0"/>
                <w:color w:val="auto"/>
                <w:sz w:val="24"/>
                <w:szCs w:val="24"/>
              </w:rPr>
              <w:t>。</w:t>
            </w:r>
          </w:p>
          <w:p w14:paraId="0DE8B0B5">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10、</w:t>
            </w:r>
            <w:r>
              <w:rPr>
                <w:rFonts w:ascii="Times New Roman" w:hAnsi="Times New Roman" w:eastAsia="宋体"/>
                <w:bCs w:val="0"/>
                <w:color w:val="auto"/>
                <w:sz w:val="24"/>
                <w:szCs w:val="24"/>
              </w:rPr>
              <w:t>进气系统</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由转子流量计、除菌精过滤器、止逆阀等组成。</w:t>
            </w:r>
          </w:p>
          <w:p w14:paraId="199D498C">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进气控制：采用转子流量计手动控制进气。</w:t>
            </w:r>
          </w:p>
          <w:p w14:paraId="355CD579">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流量控制：手动转子流量计控制。</w:t>
            </w:r>
          </w:p>
          <w:p w14:paraId="509BD718">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空气过滤器外壳采用 304 不锈钢，滤芯精度：0.01um，确保空气进罐无菌，滤芯材质为耐高温、疏水性好的聚四氟乙烯或其他合适的材质。</w:t>
            </w:r>
          </w:p>
          <w:p w14:paraId="2D46081D">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装有止逆阀，防止</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的倒吸。</w:t>
            </w:r>
          </w:p>
          <w:p w14:paraId="36A25D9A">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进气方式：卫生级 304 不锈钢底部环形气体分布器，专业设计，气孔不易</w:t>
            </w:r>
            <w:r>
              <w:rPr>
                <w:rFonts w:hint="eastAsia" w:ascii="Times New Roman" w:hAnsi="Times New Roman" w:eastAsia="宋体"/>
                <w:bCs w:val="0"/>
                <w:color w:val="auto"/>
                <w:sz w:val="24"/>
                <w:szCs w:val="24"/>
              </w:rPr>
              <w:t>堵塞。</w:t>
            </w:r>
          </w:p>
          <w:p w14:paraId="0648259C">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11、</w:t>
            </w:r>
            <w:r>
              <w:rPr>
                <w:rFonts w:ascii="Times New Roman" w:hAnsi="Times New Roman" w:eastAsia="宋体"/>
                <w:bCs w:val="0"/>
                <w:color w:val="auto"/>
                <w:sz w:val="24"/>
                <w:szCs w:val="24"/>
              </w:rPr>
              <w:t>排气系统</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带尾气排放冷凝器，经过特殊设计的尾气排放管路无积液不染菌，不锈钢压力表显示</w:t>
            </w:r>
            <w:r>
              <w:rPr>
                <w:rFonts w:hint="eastAsia" w:ascii="Times New Roman" w:hAnsi="Times New Roman" w:eastAsia="宋体"/>
                <w:bCs w:val="0"/>
                <w:color w:val="auto"/>
                <w:sz w:val="24"/>
                <w:szCs w:val="24"/>
              </w:rPr>
              <w:t>容器压力</w:t>
            </w:r>
            <w:r>
              <w:rPr>
                <w:rFonts w:ascii="Times New Roman" w:hAnsi="Times New Roman" w:eastAsia="宋体"/>
                <w:bCs w:val="0"/>
                <w:color w:val="auto"/>
                <w:sz w:val="24"/>
                <w:szCs w:val="24"/>
              </w:rPr>
              <w:t>，优质隔膜阀调节排气流量，控制</w:t>
            </w:r>
            <w:r>
              <w:rPr>
                <w:rFonts w:hint="eastAsia" w:ascii="Times New Roman" w:hAnsi="Times New Roman" w:eastAsia="宋体"/>
                <w:bCs w:val="0"/>
                <w:color w:val="auto"/>
                <w:sz w:val="24"/>
                <w:szCs w:val="24"/>
              </w:rPr>
              <w:t>容器压力</w:t>
            </w:r>
            <w:r>
              <w:rPr>
                <w:rFonts w:ascii="Times New Roman" w:hAnsi="Times New Roman" w:eastAsia="宋体"/>
                <w:bCs w:val="0"/>
                <w:color w:val="auto"/>
                <w:sz w:val="24"/>
                <w:szCs w:val="24"/>
              </w:rPr>
              <w:t>。</w:t>
            </w:r>
          </w:p>
          <w:p w14:paraId="373CEDC5">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12、</w:t>
            </w:r>
            <w:r>
              <w:rPr>
                <w:rFonts w:ascii="Times New Roman" w:hAnsi="Times New Roman" w:eastAsia="宋体"/>
                <w:bCs w:val="0"/>
                <w:color w:val="auto"/>
                <w:sz w:val="24"/>
                <w:szCs w:val="24"/>
              </w:rPr>
              <w:t>搅拌系统</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卧式顶部式机械搅拌，</w:t>
            </w:r>
            <w:r>
              <w:rPr>
                <w:rFonts w:hint="eastAsia" w:ascii="Times New Roman" w:hAnsi="Times New Roman" w:eastAsia="宋体"/>
                <w:bCs w:val="0"/>
                <w:color w:val="auto"/>
                <w:sz w:val="24"/>
                <w:szCs w:val="24"/>
              </w:rPr>
              <w:t>316L</w:t>
            </w:r>
            <w:r>
              <w:rPr>
                <w:rFonts w:ascii="Times New Roman" w:hAnsi="Times New Roman" w:eastAsia="宋体"/>
                <w:bCs w:val="0"/>
                <w:color w:val="auto"/>
                <w:sz w:val="24"/>
                <w:szCs w:val="24"/>
              </w:rPr>
              <w:t>不锈钢专用搅拌轴材料，精密加工，具有理想的动平衡性能，上下轴比例适当，保证转速平稳且不偏离，刚性好，长期使用不变形；整套系统安全稳定且寿命长</w:t>
            </w:r>
            <w:r>
              <w:rPr>
                <w:rFonts w:hint="eastAsia" w:ascii="Times New Roman" w:hAnsi="Times New Roman" w:eastAsia="宋体"/>
                <w:bCs w:val="0"/>
                <w:color w:val="auto"/>
                <w:sz w:val="24"/>
                <w:szCs w:val="24"/>
              </w:rPr>
              <w:t>。</w:t>
            </w:r>
          </w:p>
          <w:p w14:paraId="587D806E">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进口单端面机械密封，密封性能好，拆卸方便。</w:t>
            </w:r>
          </w:p>
          <w:p w14:paraId="07AF1088">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固</w:t>
            </w:r>
            <w:r>
              <w:rPr>
                <w:rFonts w:hint="eastAsia" w:ascii="Times New Roman" w:hAnsi="Times New Roman" w:eastAsia="宋体"/>
                <w:bCs w:val="0"/>
                <w:color w:val="auto"/>
                <w:sz w:val="24"/>
                <w:szCs w:val="24"/>
              </w:rPr>
              <w:t>体</w:t>
            </w:r>
            <w:r>
              <w:rPr>
                <w:rFonts w:ascii="Times New Roman" w:hAnsi="Times New Roman" w:eastAsia="宋体"/>
                <w:bCs w:val="0"/>
                <w:color w:val="auto"/>
                <w:sz w:val="24"/>
                <w:szCs w:val="24"/>
              </w:rPr>
              <w:t>扩培专用桨叶，搅拌形式: 螺旋式桨叶+刮壁式桨叶，可根据扩培工艺的特殊要求更换不同类型的搅拌桨。</w:t>
            </w:r>
          </w:p>
          <w:p w14:paraId="65DD5366">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交流电机，体积小，外形美观，响应迅速，启动无延迟</w:t>
            </w:r>
            <w:r>
              <w:rPr>
                <w:rFonts w:hint="eastAsia" w:ascii="Times New Roman" w:hAnsi="Times New Roman" w:eastAsia="宋体"/>
                <w:bCs w:val="0"/>
                <w:color w:val="auto"/>
                <w:sz w:val="24"/>
                <w:szCs w:val="24"/>
              </w:rPr>
              <w:t>。</w:t>
            </w:r>
          </w:p>
          <w:p w14:paraId="29534559">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PID 自动控制，无极调速，自动正反转翻料，控制转速：30rpm</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25KW</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控制精度：±0.5%(可以定做更高转速)</w:t>
            </w:r>
            <w:r>
              <w:rPr>
                <w:rFonts w:hint="eastAsia" w:ascii="Times New Roman" w:hAnsi="Times New Roman" w:eastAsia="宋体"/>
                <w:bCs w:val="0"/>
                <w:color w:val="auto"/>
                <w:sz w:val="24"/>
                <w:szCs w:val="24"/>
              </w:rPr>
              <w:t>。</w:t>
            </w:r>
          </w:p>
          <w:p w14:paraId="0A49CBD5">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13、</w:t>
            </w:r>
            <w:r>
              <w:rPr>
                <w:rFonts w:ascii="Times New Roman" w:hAnsi="Times New Roman" w:eastAsia="宋体"/>
                <w:bCs w:val="0"/>
                <w:color w:val="auto"/>
                <w:sz w:val="24"/>
                <w:szCs w:val="24"/>
              </w:rPr>
              <w:t>温度检测控制</w:t>
            </w:r>
            <w:r>
              <w:rPr>
                <w:rFonts w:hint="eastAsia" w:ascii="Times New Roman" w:hAnsi="Times New Roman" w:eastAsia="宋体"/>
                <w:bCs w:val="0"/>
                <w:color w:val="auto"/>
                <w:sz w:val="24"/>
                <w:szCs w:val="24"/>
              </w:rPr>
              <w:t>：外</w:t>
            </w:r>
            <w:r>
              <w:rPr>
                <w:rFonts w:ascii="Times New Roman" w:hAnsi="Times New Roman" w:eastAsia="宋体"/>
                <w:bCs w:val="0"/>
                <w:color w:val="auto"/>
                <w:sz w:val="24"/>
                <w:szCs w:val="24"/>
              </w:rPr>
              <w:t>套蒸汽加热，温度控制采用 PID 自动控制模式，控制软件上可实现 PID参数调节。Pt100 电极可重复灭菌，电极校正功能可完全由系统软件校正。</w:t>
            </w:r>
          </w:p>
          <w:p w14:paraId="594428CD">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温度控制：冷却水温度+5℃-65℃±0.2℃，显示温度：0-150℃</w:t>
            </w:r>
            <w:r>
              <w:rPr>
                <w:rFonts w:hint="eastAsia" w:ascii="Times New Roman" w:hAnsi="Times New Roman" w:eastAsia="宋体"/>
                <w:bCs w:val="0"/>
                <w:color w:val="auto"/>
                <w:sz w:val="24"/>
                <w:szCs w:val="24"/>
              </w:rPr>
              <w:t xml:space="preserve"> </w:t>
            </w:r>
            <w:r>
              <w:rPr>
                <w:rFonts w:ascii="Times New Roman" w:hAnsi="Times New Roman" w:eastAsia="宋体"/>
                <w:bCs w:val="0"/>
                <w:color w:val="auto"/>
                <w:sz w:val="24"/>
                <w:szCs w:val="24"/>
              </w:rPr>
              <w:t>±0.1</w:t>
            </w:r>
            <w:r>
              <w:rPr>
                <w:rFonts w:hint="eastAsia" w:ascii="Times New Roman" w:hAnsi="Times New Roman" w:eastAsia="宋体"/>
                <w:bCs w:val="0"/>
                <w:color w:val="auto"/>
                <w:sz w:val="24"/>
                <w:szCs w:val="24"/>
              </w:rPr>
              <w:t xml:space="preserve"> </w:t>
            </w:r>
            <w:r>
              <w:rPr>
                <w:rFonts w:ascii="Times New Roman" w:hAnsi="Times New Roman" w:eastAsia="宋体"/>
                <w:bCs w:val="0"/>
                <w:color w:val="auto"/>
                <w:sz w:val="24"/>
                <w:szCs w:val="24"/>
              </w:rPr>
              <w:t>℃</w:t>
            </w:r>
            <w:r>
              <w:rPr>
                <w:rFonts w:hint="eastAsia" w:ascii="Times New Roman" w:hAnsi="Times New Roman" w:eastAsia="宋体"/>
                <w:bCs w:val="0"/>
                <w:color w:val="auto"/>
                <w:sz w:val="24"/>
                <w:szCs w:val="24"/>
              </w:rPr>
              <w:t>。</w:t>
            </w:r>
          </w:p>
          <w:p w14:paraId="14587299">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扩培过程顺序控制（根据扩培时间区段设定，温度自动变量控制，至少 10段）</w:t>
            </w:r>
            <w:r>
              <w:rPr>
                <w:rFonts w:hint="eastAsia" w:ascii="Times New Roman" w:hAnsi="Times New Roman" w:eastAsia="宋体"/>
                <w:bCs w:val="0"/>
                <w:color w:val="auto"/>
                <w:sz w:val="24"/>
                <w:szCs w:val="24"/>
              </w:rPr>
              <w:t>。</w:t>
            </w:r>
          </w:p>
          <w:p w14:paraId="14A8EB99">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14、</w:t>
            </w:r>
            <w:r>
              <w:rPr>
                <w:rFonts w:ascii="Times New Roman" w:hAnsi="Times New Roman" w:eastAsia="宋体"/>
                <w:bCs w:val="0"/>
                <w:color w:val="auto"/>
                <w:sz w:val="24"/>
                <w:szCs w:val="24"/>
              </w:rPr>
              <w:t>补料控制</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采用数字化定时定量分段设置控制，蠕动泵补料自动控制，控制器可设定补料泵的开关周期性补料。</w:t>
            </w:r>
          </w:p>
          <w:p w14:paraId="0DE970B6">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蠕动泵开关控制（有手动、自动、关闭三档），自动流加并计量（根据扩培时间，补料自动变量控制，至少 10 段）</w:t>
            </w:r>
            <w:r>
              <w:rPr>
                <w:rFonts w:hint="eastAsia" w:ascii="Times New Roman" w:hAnsi="Times New Roman" w:eastAsia="宋体"/>
                <w:bCs w:val="0"/>
                <w:color w:val="auto"/>
                <w:sz w:val="24"/>
                <w:szCs w:val="24"/>
              </w:rPr>
              <w:t>。</w:t>
            </w:r>
          </w:p>
          <w:p w14:paraId="3A01307F">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15、</w:t>
            </w:r>
            <w:r>
              <w:rPr>
                <w:rFonts w:ascii="Times New Roman" w:hAnsi="Times New Roman" w:eastAsia="宋体"/>
                <w:bCs w:val="0"/>
                <w:color w:val="auto"/>
                <w:sz w:val="24"/>
                <w:szCs w:val="24"/>
              </w:rPr>
              <w:t>密封保压/气密性检测</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扩培</w:t>
            </w:r>
            <w:r>
              <w:rPr>
                <w:rFonts w:hint="eastAsia" w:ascii="Times New Roman" w:hAnsi="Times New Roman" w:eastAsia="宋体"/>
                <w:bCs w:val="0"/>
                <w:color w:val="auto"/>
                <w:sz w:val="24"/>
                <w:szCs w:val="24"/>
              </w:rPr>
              <w:t>器</w:t>
            </w:r>
            <w:r>
              <w:rPr>
                <w:rFonts w:ascii="Times New Roman" w:hAnsi="Times New Roman" w:eastAsia="宋体"/>
                <w:bCs w:val="0"/>
                <w:color w:val="auto"/>
                <w:sz w:val="24"/>
                <w:szCs w:val="24"/>
              </w:rPr>
              <w:t>可实现密封保压系统。</w:t>
            </w:r>
          </w:p>
          <w:p w14:paraId="66A6DD1A">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每次保压试验均须作详细记录，其应包括管线的识别、规定的试验压力、</w:t>
            </w:r>
            <w:r>
              <w:rPr>
                <w:rFonts w:hint="eastAsia" w:ascii="Times New Roman" w:hAnsi="Times New Roman" w:eastAsia="宋体"/>
                <w:bCs w:val="0"/>
                <w:color w:val="auto"/>
                <w:sz w:val="24"/>
                <w:szCs w:val="24"/>
              </w:rPr>
              <w:t>实际的试验压力、压力下降的情形、试压时天气、试验时间、日期。</w:t>
            </w:r>
          </w:p>
          <w:p w14:paraId="6A513C37">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16、</w:t>
            </w:r>
            <w:r>
              <w:rPr>
                <w:rFonts w:ascii="Times New Roman" w:hAnsi="Times New Roman" w:eastAsia="宋体"/>
                <w:bCs w:val="0"/>
                <w:color w:val="auto"/>
                <w:sz w:val="24"/>
                <w:szCs w:val="24"/>
              </w:rPr>
              <w:t>阀门管路</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选用优质不锈阀门及扩培专用阀门，</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阀门采用优质隔膜阀</w:t>
            </w:r>
            <w:r>
              <w:rPr>
                <w:rFonts w:hint="eastAsia" w:ascii="Times New Roman" w:hAnsi="Times New Roman" w:eastAsia="宋体"/>
                <w:bCs w:val="0"/>
                <w:color w:val="auto"/>
                <w:sz w:val="24"/>
                <w:szCs w:val="24"/>
              </w:rPr>
              <w:t>。</w:t>
            </w:r>
          </w:p>
          <w:p w14:paraId="1D50B78A">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所有与</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接触的管道或配件均为卫生级 304 不锈钢</w:t>
            </w:r>
            <w:r>
              <w:rPr>
                <w:rFonts w:hint="eastAsia" w:ascii="Times New Roman" w:hAnsi="Times New Roman" w:eastAsia="宋体"/>
                <w:bCs w:val="0"/>
                <w:color w:val="auto"/>
                <w:sz w:val="24"/>
                <w:szCs w:val="24"/>
              </w:rPr>
              <w:t>。</w:t>
            </w:r>
          </w:p>
          <w:p w14:paraId="25B61FB1">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所有</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接触阀门均为卫生级隔膜阀</w:t>
            </w:r>
            <w:r>
              <w:rPr>
                <w:rFonts w:hint="eastAsia" w:ascii="Times New Roman" w:hAnsi="Times New Roman" w:eastAsia="宋体"/>
                <w:bCs w:val="0"/>
                <w:color w:val="auto"/>
                <w:sz w:val="24"/>
                <w:szCs w:val="24"/>
              </w:rPr>
              <w:t>。</w:t>
            </w:r>
          </w:p>
          <w:p w14:paraId="3C3DF8E4">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外抛光不锈钢管道及优质配件，</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管路卫生级内外抛光管</w:t>
            </w:r>
            <w:r>
              <w:rPr>
                <w:rFonts w:hint="eastAsia" w:ascii="Times New Roman" w:hAnsi="Times New Roman" w:eastAsia="宋体"/>
                <w:bCs w:val="0"/>
                <w:color w:val="auto"/>
                <w:sz w:val="24"/>
                <w:szCs w:val="24"/>
              </w:rPr>
              <w:t>。</w:t>
            </w:r>
          </w:p>
          <w:p w14:paraId="4E796CCF">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包括空气管路、蒸汽管路、循环水路、</w:t>
            </w:r>
            <w:r>
              <w:rPr>
                <w:rFonts w:hint="eastAsia" w:ascii="Times New Roman" w:hAnsi="Times New Roman" w:eastAsia="宋体"/>
                <w:bCs w:val="0"/>
                <w:color w:val="auto"/>
                <w:sz w:val="24"/>
                <w:szCs w:val="24"/>
              </w:rPr>
              <w:t>扩培底基</w:t>
            </w:r>
            <w:r>
              <w:rPr>
                <w:rFonts w:ascii="Times New Roman" w:hAnsi="Times New Roman" w:eastAsia="宋体"/>
                <w:bCs w:val="0"/>
                <w:color w:val="auto"/>
                <w:sz w:val="24"/>
                <w:szCs w:val="24"/>
              </w:rPr>
              <w:t>管路和排污管路</w:t>
            </w:r>
            <w:r>
              <w:rPr>
                <w:rFonts w:hint="eastAsia" w:ascii="Times New Roman" w:hAnsi="Times New Roman" w:eastAsia="宋体"/>
                <w:bCs w:val="0"/>
                <w:color w:val="auto"/>
                <w:sz w:val="24"/>
                <w:szCs w:val="24"/>
              </w:rPr>
              <w:t>。</w:t>
            </w:r>
          </w:p>
          <w:p w14:paraId="17D2B848">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所有管件阀门都可以正面操作，设计合理，操作方便</w:t>
            </w:r>
            <w:r>
              <w:rPr>
                <w:rFonts w:hint="eastAsia" w:ascii="Times New Roman" w:hAnsi="Times New Roman" w:eastAsia="宋体"/>
                <w:bCs w:val="0"/>
                <w:color w:val="auto"/>
                <w:sz w:val="24"/>
                <w:szCs w:val="24"/>
              </w:rPr>
              <w:t>。</w:t>
            </w:r>
          </w:p>
          <w:p w14:paraId="175C8631">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17、</w:t>
            </w:r>
            <w:r>
              <w:rPr>
                <w:rFonts w:ascii="Times New Roman" w:hAnsi="Times New Roman" w:eastAsia="宋体"/>
                <w:bCs w:val="0"/>
                <w:color w:val="auto"/>
                <w:sz w:val="24"/>
                <w:szCs w:val="24"/>
              </w:rPr>
              <w:t>报警功能</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具有声光报警和急停按钮功能，超过设定值范围就会产生报警，提示工作人员及时发现问题。</w:t>
            </w:r>
          </w:p>
          <w:p w14:paraId="23E0ABBE">
            <w:pPr>
              <w:pStyle w:val="974"/>
              <w:jc w:val="both"/>
              <w:rPr>
                <w:rFonts w:ascii="Times New Roman" w:hAnsi="Times New Roman" w:eastAsia="宋体"/>
                <w:color w:val="auto"/>
                <w:sz w:val="24"/>
                <w:szCs w:val="24"/>
              </w:rPr>
            </w:pPr>
            <w:r>
              <w:rPr>
                <w:rFonts w:hint="eastAsia" w:ascii="Times New Roman" w:hAnsi="Times New Roman" w:eastAsia="宋体"/>
                <w:bCs w:val="0"/>
                <w:color w:val="auto"/>
                <w:sz w:val="24"/>
                <w:szCs w:val="24"/>
              </w:rPr>
              <w:t>18、</w:t>
            </w:r>
            <w:r>
              <w:rPr>
                <w:rFonts w:ascii="Times New Roman" w:hAnsi="Times New Roman" w:eastAsia="宋体"/>
                <w:bCs w:val="0"/>
                <w:color w:val="auto"/>
                <w:sz w:val="24"/>
                <w:szCs w:val="24"/>
              </w:rPr>
              <w:t>控制系统</w:t>
            </w:r>
            <w:r>
              <w:rPr>
                <w:rFonts w:hint="eastAsia" w:ascii="Times New Roman" w:hAnsi="Times New Roman" w:eastAsia="宋体"/>
                <w:bCs w:val="0"/>
                <w:color w:val="auto"/>
                <w:sz w:val="24"/>
                <w:szCs w:val="24"/>
              </w:rPr>
              <w:t>：配备PLC</w:t>
            </w:r>
            <w:r>
              <w:rPr>
                <w:rFonts w:ascii="Times New Roman" w:hAnsi="Times New Roman" w:eastAsia="宋体"/>
                <w:bCs w:val="0"/>
                <w:color w:val="auto"/>
                <w:sz w:val="24"/>
                <w:szCs w:val="24"/>
              </w:rPr>
              <w:t>生物过程控制器</w:t>
            </w:r>
          </w:p>
        </w:tc>
        <w:tc>
          <w:tcPr>
            <w:tcW w:w="780" w:type="dxa"/>
            <w:tcBorders>
              <w:bottom w:val="single" w:color="auto" w:sz="4" w:space="0"/>
            </w:tcBorders>
            <w:vAlign w:val="center"/>
          </w:tcPr>
          <w:p w14:paraId="33494E79">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tcBorders>
              <w:bottom w:val="single" w:color="auto" w:sz="4" w:space="0"/>
            </w:tcBorders>
            <w:vAlign w:val="center"/>
          </w:tcPr>
          <w:p w14:paraId="09111E92">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365DA892">
            <w:pPr>
              <w:pStyle w:val="974"/>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rPr>
              <w:t>2.</w:t>
            </w:r>
            <w:r>
              <w:rPr>
                <w:rFonts w:hint="eastAsia" w:ascii="Times New Roman" w:hAnsi="Times New Roman" w:eastAsia="宋体"/>
                <w:color w:val="auto"/>
                <w:sz w:val="24"/>
                <w:szCs w:val="24"/>
                <w:lang w:val="en-US" w:eastAsia="zh-CN"/>
              </w:rPr>
              <w:t>55</w:t>
            </w:r>
          </w:p>
        </w:tc>
      </w:tr>
      <w:tr w14:paraId="0BA45E78">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704" w:type="dxa"/>
            <w:vMerge w:val="continue"/>
            <w:vAlign w:val="center"/>
          </w:tcPr>
          <w:p w14:paraId="7B58F985">
            <w:pPr>
              <w:pStyle w:val="974"/>
              <w:jc w:val="center"/>
              <w:rPr>
                <w:rFonts w:ascii="Times New Roman" w:hAnsi="Times New Roman" w:eastAsia="宋体"/>
                <w:color w:val="auto"/>
                <w:sz w:val="24"/>
                <w:szCs w:val="24"/>
              </w:rPr>
            </w:pPr>
          </w:p>
        </w:tc>
        <w:tc>
          <w:tcPr>
            <w:tcW w:w="851" w:type="dxa"/>
            <w:vMerge w:val="continue"/>
            <w:vAlign w:val="center"/>
          </w:tcPr>
          <w:p w14:paraId="5FD59D6B">
            <w:pPr>
              <w:pStyle w:val="974"/>
              <w:jc w:val="center"/>
              <w:rPr>
                <w:rFonts w:ascii="Times New Roman" w:hAnsi="Times New Roman" w:eastAsia="宋体"/>
                <w:color w:val="auto"/>
                <w:sz w:val="24"/>
                <w:szCs w:val="24"/>
              </w:rPr>
            </w:pPr>
          </w:p>
        </w:tc>
        <w:tc>
          <w:tcPr>
            <w:tcW w:w="1275" w:type="dxa"/>
            <w:tcBorders>
              <w:bottom w:val="single" w:color="auto" w:sz="4" w:space="0"/>
            </w:tcBorders>
            <w:vAlign w:val="center"/>
          </w:tcPr>
          <w:p w14:paraId="44515589">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2000L液体灭菌罐</w:t>
            </w:r>
          </w:p>
        </w:tc>
        <w:tc>
          <w:tcPr>
            <w:tcW w:w="4111" w:type="dxa"/>
            <w:tcBorders>
              <w:bottom w:val="single" w:color="auto" w:sz="4" w:space="0"/>
            </w:tcBorders>
            <w:vAlign w:val="center"/>
          </w:tcPr>
          <w:p w14:paraId="7A432F21">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w:t>
            </w:r>
            <w:r>
              <w:rPr>
                <w:rFonts w:ascii="Times New Roman" w:hAnsi="Times New Roman" w:eastAsia="宋体"/>
                <w:bCs w:val="0"/>
                <w:color w:val="auto"/>
                <w:sz w:val="24"/>
                <w:szCs w:val="24"/>
              </w:rPr>
              <w:t>公称容积：</w:t>
            </w:r>
            <w:r>
              <w:rPr>
                <w:rFonts w:hint="eastAsia" w:ascii="Times New Roman" w:hAnsi="Times New Roman" w:eastAsia="宋体"/>
                <w:bCs w:val="0"/>
                <w:color w:val="auto"/>
                <w:sz w:val="24"/>
                <w:szCs w:val="24"/>
              </w:rPr>
              <w:t>2</w:t>
            </w:r>
            <w:r>
              <w:rPr>
                <w:rFonts w:ascii="Times New Roman" w:hAnsi="Times New Roman" w:eastAsia="宋体"/>
                <w:bCs w:val="0"/>
                <w:color w:val="auto"/>
                <w:sz w:val="24"/>
                <w:szCs w:val="24"/>
              </w:rPr>
              <w:t>000L，设计压力：常压；</w:t>
            </w:r>
          </w:p>
          <w:p w14:paraId="239A195E">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2、</w:t>
            </w:r>
            <w:r>
              <w:rPr>
                <w:rFonts w:ascii="Times New Roman" w:hAnsi="Times New Roman" w:eastAsia="宋体"/>
                <w:bCs w:val="0"/>
                <w:color w:val="auto"/>
                <w:sz w:val="24"/>
                <w:szCs w:val="24"/>
              </w:rPr>
              <w:t>半开口设计，主体材质：</w:t>
            </w:r>
            <w:r>
              <w:rPr>
                <w:rFonts w:hint="eastAsia" w:ascii="Times New Roman" w:hAnsi="Times New Roman" w:eastAsia="宋体"/>
                <w:bCs w:val="0"/>
                <w:color w:val="auto"/>
                <w:sz w:val="24"/>
                <w:szCs w:val="24"/>
              </w:rPr>
              <w:t>SUS316L</w:t>
            </w:r>
            <w:r>
              <w:rPr>
                <w:rFonts w:ascii="Times New Roman" w:hAnsi="Times New Roman" w:eastAsia="宋体"/>
                <w:bCs w:val="0"/>
                <w:color w:val="auto"/>
                <w:sz w:val="24"/>
                <w:szCs w:val="24"/>
              </w:rPr>
              <w:t>不锈钢，</w:t>
            </w:r>
            <w:r>
              <w:rPr>
                <w:rFonts w:hint="eastAsia" w:ascii="Times New Roman" w:hAnsi="Times New Roman" w:eastAsia="宋体"/>
                <w:bCs w:val="0"/>
                <w:color w:val="auto"/>
                <w:sz w:val="24"/>
                <w:szCs w:val="24"/>
              </w:rPr>
              <w:t>可</w:t>
            </w:r>
            <w:r>
              <w:rPr>
                <w:rFonts w:ascii="Times New Roman" w:hAnsi="Times New Roman" w:eastAsia="宋体"/>
                <w:bCs w:val="0"/>
                <w:color w:val="auto"/>
                <w:sz w:val="24"/>
                <w:szCs w:val="24"/>
              </w:rPr>
              <w:t>带视灯，有温度计口、投料口、出料口，进蒸汽口，内外表面抛光</w:t>
            </w:r>
            <w:r>
              <w:rPr>
                <w:rFonts w:hint="eastAsia" w:ascii="Times New Roman" w:hAnsi="Times New Roman" w:eastAsia="宋体"/>
                <w:bCs w:val="0"/>
                <w:color w:val="auto"/>
                <w:sz w:val="24"/>
                <w:szCs w:val="24"/>
              </w:rPr>
              <w:t>。</w:t>
            </w:r>
          </w:p>
          <w:p w14:paraId="1009015B">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3、</w:t>
            </w:r>
            <w:r>
              <w:rPr>
                <w:rFonts w:ascii="Times New Roman" w:hAnsi="Times New Roman" w:eastAsia="宋体"/>
                <w:bCs w:val="0"/>
                <w:color w:val="auto"/>
                <w:sz w:val="24"/>
                <w:szCs w:val="24"/>
              </w:rPr>
              <w:t>径高比：1：2</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装料系数</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90%</w:t>
            </w:r>
            <w:r>
              <w:rPr>
                <w:rFonts w:hint="eastAsia" w:ascii="Times New Roman" w:hAnsi="Times New Roman" w:eastAsia="宋体"/>
                <w:bCs w:val="0"/>
                <w:color w:val="auto"/>
                <w:sz w:val="24"/>
                <w:szCs w:val="24"/>
              </w:rPr>
              <w:t>；</w:t>
            </w:r>
          </w:p>
          <w:p w14:paraId="226FFB5A">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4、</w:t>
            </w:r>
            <w:r>
              <w:rPr>
                <w:rFonts w:ascii="Times New Roman" w:hAnsi="Times New Roman" w:eastAsia="宋体"/>
                <w:bCs w:val="0"/>
                <w:color w:val="auto"/>
                <w:sz w:val="24"/>
                <w:szCs w:val="24"/>
              </w:rPr>
              <w:t>移料：采用</w:t>
            </w:r>
            <w:r>
              <w:rPr>
                <w:rFonts w:hint="eastAsia" w:ascii="Times New Roman" w:hAnsi="Times New Roman" w:eastAsia="宋体"/>
                <w:bCs w:val="0"/>
                <w:color w:val="auto"/>
                <w:sz w:val="24"/>
                <w:szCs w:val="24"/>
              </w:rPr>
              <w:t>316L材质</w:t>
            </w:r>
          </w:p>
          <w:p w14:paraId="430FA7A2">
            <w:pPr>
              <w:pStyle w:val="974"/>
              <w:jc w:val="both"/>
              <w:rPr>
                <w:rFonts w:ascii="Times New Roman" w:hAnsi="Times New Roman" w:eastAsia="宋体"/>
                <w:color w:val="auto"/>
                <w:sz w:val="24"/>
                <w:szCs w:val="24"/>
              </w:rPr>
            </w:pPr>
            <w:r>
              <w:rPr>
                <w:rFonts w:hint="eastAsia" w:ascii="Times New Roman" w:hAnsi="Times New Roman" w:eastAsia="宋体"/>
                <w:bCs w:val="0"/>
                <w:color w:val="auto"/>
                <w:sz w:val="24"/>
                <w:szCs w:val="24"/>
              </w:rPr>
              <w:t>5、</w:t>
            </w:r>
            <w:r>
              <w:rPr>
                <w:rFonts w:ascii="Times New Roman" w:hAnsi="Times New Roman" w:eastAsia="宋体"/>
                <w:bCs w:val="0"/>
                <w:color w:val="auto"/>
                <w:sz w:val="24"/>
                <w:szCs w:val="24"/>
              </w:rPr>
              <w:t>控制系统</w:t>
            </w:r>
            <w:r>
              <w:rPr>
                <w:rFonts w:hint="eastAsia" w:ascii="Times New Roman" w:hAnsi="Times New Roman" w:eastAsia="宋体"/>
                <w:bCs w:val="0"/>
                <w:color w:val="auto"/>
                <w:sz w:val="24"/>
                <w:szCs w:val="24"/>
              </w:rPr>
              <w:t>：可配备PLC</w:t>
            </w:r>
            <w:r>
              <w:rPr>
                <w:rFonts w:ascii="Times New Roman" w:hAnsi="Times New Roman" w:eastAsia="宋体"/>
                <w:bCs w:val="0"/>
                <w:color w:val="auto"/>
                <w:sz w:val="24"/>
                <w:szCs w:val="24"/>
              </w:rPr>
              <w:t>生物过程控制器</w:t>
            </w:r>
          </w:p>
        </w:tc>
        <w:tc>
          <w:tcPr>
            <w:tcW w:w="780" w:type="dxa"/>
            <w:tcBorders>
              <w:bottom w:val="single" w:color="auto" w:sz="4" w:space="0"/>
            </w:tcBorders>
            <w:vAlign w:val="center"/>
          </w:tcPr>
          <w:p w14:paraId="2BE190C9">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tcBorders>
              <w:bottom w:val="single" w:color="auto" w:sz="4" w:space="0"/>
            </w:tcBorders>
            <w:vAlign w:val="center"/>
          </w:tcPr>
          <w:p w14:paraId="54E29D40">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743D5975">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8.</w:t>
            </w:r>
            <w:r>
              <w:rPr>
                <w:rFonts w:hint="eastAsia" w:ascii="Times New Roman" w:hAnsi="Times New Roman" w:eastAsia="宋体"/>
                <w:color w:val="auto"/>
                <w:sz w:val="24"/>
                <w:szCs w:val="24"/>
                <w:lang w:val="en-US" w:eastAsia="zh-CN"/>
              </w:rPr>
              <w:t>7</w:t>
            </w:r>
            <w:r>
              <w:rPr>
                <w:rFonts w:hint="eastAsia" w:ascii="Times New Roman" w:hAnsi="Times New Roman" w:eastAsia="宋体"/>
                <w:color w:val="auto"/>
                <w:sz w:val="24"/>
                <w:szCs w:val="24"/>
              </w:rPr>
              <w:t>0</w:t>
            </w:r>
          </w:p>
        </w:tc>
      </w:tr>
      <w:tr w14:paraId="776E388D">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704" w:type="dxa"/>
            <w:vMerge w:val="continue"/>
            <w:vAlign w:val="center"/>
          </w:tcPr>
          <w:p w14:paraId="71692B0E">
            <w:pPr>
              <w:pStyle w:val="974"/>
              <w:jc w:val="center"/>
              <w:rPr>
                <w:rFonts w:ascii="Times New Roman" w:hAnsi="Times New Roman" w:eastAsia="宋体"/>
                <w:color w:val="auto"/>
                <w:sz w:val="24"/>
                <w:szCs w:val="24"/>
              </w:rPr>
            </w:pPr>
          </w:p>
        </w:tc>
        <w:tc>
          <w:tcPr>
            <w:tcW w:w="851" w:type="dxa"/>
            <w:vMerge w:val="continue"/>
            <w:vAlign w:val="center"/>
          </w:tcPr>
          <w:p w14:paraId="78320701">
            <w:pPr>
              <w:pStyle w:val="974"/>
              <w:jc w:val="center"/>
              <w:rPr>
                <w:rFonts w:ascii="Times New Roman" w:hAnsi="Times New Roman" w:eastAsia="宋体"/>
                <w:color w:val="auto"/>
                <w:sz w:val="24"/>
                <w:szCs w:val="24"/>
              </w:rPr>
            </w:pPr>
          </w:p>
        </w:tc>
        <w:tc>
          <w:tcPr>
            <w:tcW w:w="1275" w:type="dxa"/>
            <w:tcBorders>
              <w:bottom w:val="single" w:color="auto" w:sz="4" w:space="0"/>
            </w:tcBorders>
            <w:vAlign w:val="center"/>
          </w:tcPr>
          <w:p w14:paraId="26E6AD5A">
            <w:pPr>
              <w:pStyle w:val="974"/>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PLC生化反应过程控制器系统</w:t>
            </w:r>
          </w:p>
        </w:tc>
        <w:tc>
          <w:tcPr>
            <w:tcW w:w="4111" w:type="dxa"/>
            <w:tcBorders>
              <w:bottom w:val="single" w:color="auto" w:sz="4" w:space="0"/>
            </w:tcBorders>
            <w:vAlign w:val="center"/>
          </w:tcPr>
          <w:p w14:paraId="3B65CE26">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显示参数：温度、搅拌转速、pH、溶氧、补料、消泡、空气流量、压力、自动消毒、甲乙醇、扩培液称重、浊度、排气O</w:t>
            </w:r>
            <w:r>
              <w:rPr>
                <w:rFonts w:ascii="Times New Roman" w:hAnsi="Times New Roman" w:eastAsia="宋体"/>
                <w:bCs w:val="0"/>
                <w:color w:val="auto"/>
                <w:sz w:val="24"/>
                <w:szCs w:val="24"/>
                <w:vertAlign w:val="subscript"/>
              </w:rPr>
              <w:t>2</w:t>
            </w:r>
            <w:r>
              <w:rPr>
                <w:rFonts w:ascii="Times New Roman" w:hAnsi="Times New Roman" w:eastAsia="宋体"/>
                <w:bCs w:val="0"/>
                <w:color w:val="auto"/>
                <w:sz w:val="24"/>
                <w:szCs w:val="24"/>
              </w:rPr>
              <w:t>、排气 CO</w:t>
            </w:r>
            <w:r>
              <w:rPr>
                <w:rFonts w:ascii="Times New Roman" w:hAnsi="Times New Roman" w:eastAsia="宋体"/>
                <w:bCs w:val="0"/>
                <w:color w:val="auto"/>
                <w:sz w:val="24"/>
                <w:szCs w:val="24"/>
                <w:vertAlign w:val="subscript"/>
              </w:rPr>
              <w:t>2</w:t>
            </w:r>
            <w:r>
              <w:rPr>
                <w:rFonts w:ascii="Times New Roman" w:hAnsi="Times New Roman" w:eastAsia="宋体"/>
                <w:bCs w:val="0"/>
                <w:color w:val="auto"/>
                <w:sz w:val="24"/>
                <w:szCs w:val="24"/>
              </w:rPr>
              <w:t>、CER、OUR、kla、RQ、菌量、糖、氮、补料计量、效价等参数软件</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可</w:t>
            </w:r>
            <w:r>
              <w:rPr>
                <w:rFonts w:hint="eastAsia" w:ascii="Times New Roman" w:hAnsi="Times New Roman" w:eastAsia="宋体"/>
                <w:bCs w:val="0"/>
                <w:color w:val="auto"/>
                <w:sz w:val="24"/>
                <w:szCs w:val="24"/>
              </w:rPr>
              <w:t>远程</w:t>
            </w:r>
            <w:r>
              <w:rPr>
                <w:rFonts w:ascii="Times New Roman" w:hAnsi="Times New Roman" w:eastAsia="宋体"/>
                <w:bCs w:val="0"/>
                <w:color w:val="auto"/>
                <w:sz w:val="24"/>
                <w:szCs w:val="24"/>
              </w:rPr>
              <w:t>升级）</w:t>
            </w:r>
            <w:r>
              <w:rPr>
                <w:rFonts w:hint="eastAsia" w:ascii="Times New Roman" w:hAnsi="Times New Roman" w:eastAsia="宋体"/>
                <w:bCs w:val="0"/>
                <w:color w:val="auto"/>
                <w:sz w:val="24"/>
                <w:szCs w:val="24"/>
              </w:rPr>
              <w:t>，连接</w:t>
            </w:r>
            <w:r>
              <w:rPr>
                <w:rFonts w:ascii="Times New Roman" w:hAnsi="Times New Roman" w:eastAsia="宋体"/>
                <w:bCs w:val="0"/>
                <w:color w:val="auto"/>
                <w:sz w:val="24"/>
                <w:szCs w:val="24"/>
              </w:rPr>
              <w:t>尾气分析仪可测排气O</w:t>
            </w:r>
            <w:r>
              <w:rPr>
                <w:rFonts w:ascii="Times New Roman" w:hAnsi="Times New Roman" w:eastAsia="宋体"/>
                <w:bCs w:val="0"/>
                <w:color w:val="auto"/>
                <w:sz w:val="24"/>
                <w:szCs w:val="24"/>
                <w:vertAlign w:val="subscript"/>
              </w:rPr>
              <w:t>2</w:t>
            </w:r>
            <w:r>
              <w:rPr>
                <w:rFonts w:ascii="Times New Roman" w:hAnsi="Times New Roman" w:eastAsia="宋体"/>
                <w:bCs w:val="0"/>
                <w:color w:val="auto"/>
                <w:sz w:val="24"/>
                <w:szCs w:val="24"/>
              </w:rPr>
              <w:t>、CO</w:t>
            </w:r>
            <w:r>
              <w:rPr>
                <w:rFonts w:ascii="Times New Roman" w:hAnsi="Times New Roman" w:eastAsia="宋体"/>
                <w:bCs w:val="0"/>
                <w:color w:val="auto"/>
                <w:sz w:val="24"/>
                <w:szCs w:val="24"/>
                <w:vertAlign w:val="subscript"/>
              </w:rPr>
              <w:t>2</w:t>
            </w:r>
            <w:r>
              <w:rPr>
                <w:rFonts w:ascii="Times New Roman" w:hAnsi="Times New Roman" w:eastAsia="宋体"/>
                <w:bCs w:val="0"/>
                <w:color w:val="auto"/>
                <w:sz w:val="24"/>
                <w:szCs w:val="24"/>
              </w:rPr>
              <w:t>，并且可在线运算CER、OUR、RQ、Kla</w:t>
            </w:r>
            <w:r>
              <w:rPr>
                <w:rFonts w:hint="eastAsia" w:ascii="Times New Roman" w:hAnsi="Times New Roman" w:eastAsia="宋体"/>
                <w:bCs w:val="0"/>
                <w:color w:val="auto"/>
                <w:sz w:val="24"/>
                <w:szCs w:val="24"/>
              </w:rPr>
              <w:t>等</w:t>
            </w:r>
            <w:r>
              <w:rPr>
                <w:rFonts w:ascii="Times New Roman" w:hAnsi="Times New Roman" w:eastAsia="宋体"/>
                <w:bCs w:val="0"/>
                <w:color w:val="auto"/>
                <w:sz w:val="24"/>
                <w:szCs w:val="24"/>
              </w:rPr>
              <w:t>离线参数</w:t>
            </w:r>
            <w:r>
              <w:rPr>
                <w:rFonts w:hint="eastAsia" w:ascii="Times New Roman" w:hAnsi="Times New Roman" w:eastAsia="宋体"/>
                <w:bCs w:val="0"/>
                <w:color w:val="auto"/>
                <w:sz w:val="24"/>
                <w:szCs w:val="24"/>
              </w:rPr>
              <w:t>。</w:t>
            </w:r>
          </w:p>
          <w:p w14:paraId="7465BAF6">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1</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总界面可同时温度、搅拌转速、pH、溶氧、补料、消泡、空气流量、压力、自动消毒、甲乙醇、扩培液称重、浊度、排气O</w:t>
            </w:r>
            <w:r>
              <w:rPr>
                <w:rFonts w:ascii="Times New Roman" w:hAnsi="Times New Roman" w:eastAsia="宋体"/>
                <w:bCs w:val="0"/>
                <w:color w:val="auto"/>
                <w:sz w:val="24"/>
                <w:szCs w:val="24"/>
                <w:vertAlign w:val="subscript"/>
              </w:rPr>
              <w:t>2</w:t>
            </w:r>
            <w:r>
              <w:rPr>
                <w:rFonts w:ascii="Times New Roman" w:hAnsi="Times New Roman" w:eastAsia="宋体"/>
                <w:bCs w:val="0"/>
                <w:color w:val="auto"/>
                <w:sz w:val="24"/>
                <w:szCs w:val="24"/>
              </w:rPr>
              <w:t>、排气CO</w:t>
            </w:r>
            <w:r>
              <w:rPr>
                <w:rFonts w:ascii="Times New Roman" w:hAnsi="Times New Roman" w:eastAsia="宋体"/>
                <w:bCs w:val="0"/>
                <w:color w:val="auto"/>
                <w:sz w:val="24"/>
                <w:szCs w:val="24"/>
                <w:vertAlign w:val="subscript"/>
              </w:rPr>
              <w:t>2</w:t>
            </w:r>
            <w:r>
              <w:rPr>
                <w:rFonts w:ascii="Times New Roman" w:hAnsi="Times New Roman" w:eastAsia="宋体"/>
                <w:bCs w:val="0"/>
                <w:color w:val="auto"/>
                <w:sz w:val="24"/>
                <w:szCs w:val="24"/>
              </w:rPr>
              <w:t>、CER、OUR、kla、RQ、菌量、糖、氮、补料计量。</w:t>
            </w:r>
          </w:p>
          <w:p w14:paraId="3915667C">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2</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软件画面可在同一界面显示所有参数曲线，也可设定显示某一个或几个参数曲线。</w:t>
            </w:r>
          </w:p>
          <w:p w14:paraId="7DF07BAC">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3</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参数曲线可实现向扩培前和后时间梯度（时间坐标轴的长度范围可以从10分钟到20天内任意选择）平移、放大</w:t>
            </w:r>
            <w:r>
              <w:rPr>
                <w:rFonts w:hint="eastAsia" w:ascii="Times New Roman" w:hAnsi="Times New Roman" w:eastAsia="宋体"/>
                <w:bCs w:val="0"/>
                <w:color w:val="auto"/>
                <w:sz w:val="24"/>
                <w:szCs w:val="24"/>
              </w:rPr>
              <w:t>。</w:t>
            </w:r>
          </w:p>
          <w:p w14:paraId="3648A5F1">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4、</w:t>
            </w:r>
            <w:r>
              <w:rPr>
                <w:rFonts w:ascii="Times New Roman" w:hAnsi="Times New Roman" w:eastAsia="宋体"/>
                <w:bCs w:val="0"/>
                <w:color w:val="auto"/>
                <w:sz w:val="24"/>
                <w:szCs w:val="24"/>
              </w:rPr>
              <w:t>可选择不同时间段的在线或历史参数曲线显示、放大</w:t>
            </w:r>
            <w:r>
              <w:rPr>
                <w:rFonts w:hint="eastAsia" w:ascii="Times New Roman" w:hAnsi="Times New Roman" w:eastAsia="宋体"/>
                <w:bCs w:val="0"/>
                <w:color w:val="auto"/>
                <w:sz w:val="24"/>
                <w:szCs w:val="24"/>
              </w:rPr>
              <w:t>。</w:t>
            </w:r>
          </w:p>
          <w:p w14:paraId="5A6C06CB">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5、</w:t>
            </w:r>
            <w:r>
              <w:rPr>
                <w:rFonts w:ascii="Times New Roman" w:hAnsi="Times New Roman" w:eastAsia="宋体"/>
                <w:bCs w:val="0"/>
                <w:color w:val="auto"/>
                <w:sz w:val="24"/>
                <w:szCs w:val="24"/>
              </w:rPr>
              <w:t>可在同一画面将</w:t>
            </w:r>
            <w:r>
              <w:rPr>
                <w:rFonts w:hint="eastAsia" w:ascii="Times New Roman" w:hAnsi="Times New Roman" w:eastAsia="宋体"/>
                <w:bCs w:val="0"/>
                <w:color w:val="auto"/>
                <w:sz w:val="24"/>
                <w:szCs w:val="24"/>
              </w:rPr>
              <w:t>扩培器2</w:t>
            </w:r>
            <w:r>
              <w:rPr>
                <w:rFonts w:ascii="Times New Roman" w:hAnsi="Times New Roman" w:eastAsia="宋体"/>
                <w:bCs w:val="0"/>
                <w:color w:val="auto"/>
                <w:sz w:val="24"/>
                <w:szCs w:val="24"/>
              </w:rPr>
              <w:t>种参数曲线在任何一个时间段进行对比，分析参数曲线变化差异</w:t>
            </w:r>
            <w:r>
              <w:rPr>
                <w:rFonts w:hint="eastAsia" w:ascii="Times New Roman" w:hAnsi="Times New Roman" w:eastAsia="宋体"/>
                <w:bCs w:val="0"/>
                <w:color w:val="auto"/>
                <w:sz w:val="24"/>
                <w:szCs w:val="24"/>
              </w:rPr>
              <w:t>。</w:t>
            </w:r>
          </w:p>
          <w:p w14:paraId="098EA878">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6、</w:t>
            </w:r>
            <w:r>
              <w:rPr>
                <w:rFonts w:ascii="Times New Roman" w:hAnsi="Times New Roman" w:eastAsia="宋体"/>
                <w:bCs w:val="0"/>
                <w:color w:val="auto"/>
                <w:sz w:val="24"/>
                <w:szCs w:val="24"/>
              </w:rPr>
              <w:t>可进行实时和历史曲线的一键式切换，实时曲线的还原</w:t>
            </w:r>
            <w:r>
              <w:rPr>
                <w:rFonts w:hint="eastAsia" w:ascii="Times New Roman" w:hAnsi="Times New Roman" w:eastAsia="宋体"/>
                <w:bCs w:val="0"/>
                <w:color w:val="auto"/>
                <w:sz w:val="24"/>
                <w:szCs w:val="24"/>
              </w:rPr>
              <w:t>。</w:t>
            </w:r>
          </w:p>
          <w:p w14:paraId="5D4EDC12">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7、</w:t>
            </w:r>
            <w:r>
              <w:rPr>
                <w:rFonts w:ascii="Times New Roman" w:hAnsi="Times New Roman" w:eastAsia="宋体"/>
                <w:bCs w:val="0"/>
                <w:color w:val="auto"/>
                <w:sz w:val="24"/>
                <w:szCs w:val="24"/>
              </w:rPr>
              <w:t>可设置修改曲线的“样式”，“颜色”，“变量”，“低限”及“高限”</w:t>
            </w:r>
            <w:r>
              <w:rPr>
                <w:rFonts w:hint="eastAsia" w:ascii="Times New Roman" w:hAnsi="Times New Roman" w:eastAsia="宋体"/>
                <w:bCs w:val="0"/>
                <w:color w:val="auto"/>
                <w:sz w:val="24"/>
                <w:szCs w:val="24"/>
              </w:rPr>
              <w:t>。</w:t>
            </w:r>
          </w:p>
          <w:p w14:paraId="343EDFB0">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8、</w:t>
            </w:r>
            <w:r>
              <w:rPr>
                <w:rFonts w:ascii="Times New Roman" w:hAnsi="Times New Roman" w:eastAsia="宋体"/>
                <w:bCs w:val="0"/>
                <w:color w:val="auto"/>
                <w:sz w:val="24"/>
                <w:szCs w:val="24"/>
              </w:rPr>
              <w:t>数据分析软件可显示历史任意批号扩培过程曲线，显示时间范围及纵坐标灵活可调。具备离线数据如菌浓、镜检照片、氨基氮、粘度等参数的离线输入并显示曲线能力，具备参数导出至 EXCEL 表格能力</w:t>
            </w:r>
            <w:r>
              <w:rPr>
                <w:rFonts w:hint="eastAsia" w:ascii="Times New Roman" w:hAnsi="Times New Roman" w:eastAsia="宋体"/>
                <w:bCs w:val="0"/>
                <w:color w:val="auto"/>
                <w:sz w:val="24"/>
                <w:szCs w:val="24"/>
              </w:rPr>
              <w:t>。</w:t>
            </w:r>
          </w:p>
          <w:p w14:paraId="3DAE35BC">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9、</w:t>
            </w:r>
            <w:r>
              <w:rPr>
                <w:rFonts w:ascii="Times New Roman" w:hAnsi="Times New Roman" w:eastAsia="宋体"/>
                <w:bCs w:val="0"/>
                <w:color w:val="auto"/>
                <w:sz w:val="24"/>
                <w:szCs w:val="24"/>
              </w:rPr>
              <w:t>具备灵活的权限设置能力，区别工作人员操作权限。</w:t>
            </w:r>
          </w:p>
          <w:p w14:paraId="7F04F08D">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10、</w:t>
            </w:r>
            <w:r>
              <w:rPr>
                <w:rFonts w:ascii="Times New Roman" w:hAnsi="Times New Roman" w:eastAsia="宋体"/>
                <w:bCs w:val="0"/>
                <w:color w:val="auto"/>
                <w:sz w:val="24"/>
                <w:szCs w:val="24"/>
              </w:rPr>
              <w:t>电极标定结束后，系统需显示线性方程斜率与截距，借以间接判断电极状态（或类似可判断电极状态指标）</w:t>
            </w:r>
          </w:p>
          <w:p w14:paraId="6C9DDB47">
            <w:pPr>
              <w:pStyle w:val="974"/>
              <w:jc w:val="both"/>
              <w:rPr>
                <w:rFonts w:hint="eastAsia" w:ascii="Times New Roman" w:hAnsi="Times New Roman" w:eastAsia="宋体"/>
                <w:b/>
                <w:color w:val="auto"/>
                <w:sz w:val="24"/>
                <w:szCs w:val="24"/>
                <w:u w:val="single"/>
              </w:rPr>
            </w:pPr>
            <w:r>
              <w:rPr>
                <w:rFonts w:hint="eastAsia" w:ascii="Times New Roman" w:hAnsi="Times New Roman" w:eastAsia="宋体"/>
                <w:b/>
                <w:color w:val="auto"/>
                <w:sz w:val="24"/>
                <w:szCs w:val="24"/>
                <w:u w:val="single"/>
              </w:rPr>
              <w:t>11、▲用户通过登录相关手机app，实现手机远程监测和操控。</w:t>
            </w:r>
          </w:p>
          <w:p w14:paraId="70A316EF">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12、</w:t>
            </w:r>
            <w:r>
              <w:rPr>
                <w:rFonts w:ascii="Times New Roman" w:hAnsi="Times New Roman" w:eastAsia="宋体"/>
                <w:bCs w:val="0"/>
                <w:color w:val="auto"/>
                <w:sz w:val="24"/>
                <w:szCs w:val="24"/>
              </w:rPr>
              <w:t>整定和标定</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可以进行温度、DO、pH、压力传感器等参数的整定调校，各蠕动泵流量可以手动标定。</w:t>
            </w:r>
          </w:p>
          <w:p w14:paraId="4FB6FD4E">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13、</w:t>
            </w:r>
            <w:r>
              <w:rPr>
                <w:rFonts w:ascii="Times New Roman" w:hAnsi="Times New Roman" w:eastAsia="宋体"/>
                <w:bCs w:val="0"/>
                <w:color w:val="auto"/>
                <w:sz w:val="24"/>
                <w:szCs w:val="24"/>
              </w:rPr>
              <w:t>PI</w:t>
            </w:r>
            <w:r>
              <w:rPr>
                <w:rFonts w:hint="eastAsia" w:ascii="Times New Roman" w:hAnsi="Times New Roman" w:eastAsia="宋体"/>
                <w:bCs w:val="0"/>
                <w:color w:val="auto"/>
                <w:sz w:val="24"/>
                <w:szCs w:val="24"/>
              </w:rPr>
              <w:t>D</w:t>
            </w:r>
            <w:r>
              <w:rPr>
                <w:rFonts w:ascii="Times New Roman" w:hAnsi="Times New Roman" w:eastAsia="宋体"/>
                <w:bCs w:val="0"/>
                <w:color w:val="auto"/>
                <w:sz w:val="24"/>
                <w:szCs w:val="24"/>
              </w:rPr>
              <w:t>控制</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各个参数有PID控制和调节过程显示，如设定值，实时值，PID设定值，上下限位值</w:t>
            </w:r>
            <w:r>
              <w:rPr>
                <w:rFonts w:hint="eastAsia" w:ascii="Times New Roman" w:hAnsi="Times New Roman" w:eastAsia="宋体"/>
                <w:bCs w:val="0"/>
                <w:color w:val="auto"/>
                <w:sz w:val="24"/>
                <w:szCs w:val="24"/>
              </w:rPr>
              <w:t>。</w:t>
            </w:r>
          </w:p>
          <w:p w14:paraId="46424E70">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超限报警</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可设定温度、转速、pH 值、DO 值的上、下限并具备超限报警功能并记录</w:t>
            </w:r>
            <w:r>
              <w:rPr>
                <w:rFonts w:hint="eastAsia" w:ascii="Times New Roman" w:hAnsi="Times New Roman" w:eastAsia="宋体"/>
                <w:bCs w:val="0"/>
                <w:color w:val="auto"/>
                <w:sz w:val="24"/>
                <w:szCs w:val="24"/>
              </w:rPr>
              <w:t>。</w:t>
            </w:r>
          </w:p>
          <w:p w14:paraId="20A74D9D">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控制切换</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速度、温度、pH 值、DO值、补料等都能设定为自动、手动及关闭状态</w:t>
            </w:r>
            <w:r>
              <w:rPr>
                <w:rFonts w:hint="eastAsia" w:ascii="Times New Roman" w:hAnsi="Times New Roman" w:eastAsia="宋体"/>
                <w:bCs w:val="0"/>
                <w:color w:val="auto"/>
                <w:sz w:val="24"/>
                <w:szCs w:val="24"/>
              </w:rPr>
              <w:t>。</w:t>
            </w:r>
          </w:p>
          <w:p w14:paraId="40BBBD28">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14、</w:t>
            </w:r>
            <w:r>
              <w:rPr>
                <w:rFonts w:ascii="Times New Roman" w:hAnsi="Times New Roman" w:eastAsia="宋体"/>
                <w:bCs w:val="0"/>
                <w:color w:val="auto"/>
                <w:sz w:val="24"/>
                <w:szCs w:val="24"/>
              </w:rPr>
              <w:t>密码管理</w:t>
            </w:r>
            <w:r>
              <w:rPr>
                <w:rFonts w:hint="eastAsia" w:ascii="Times New Roman" w:hAnsi="Times New Roman" w:eastAsia="宋体"/>
                <w:bCs w:val="0"/>
                <w:color w:val="auto"/>
                <w:sz w:val="24"/>
                <w:szCs w:val="24"/>
              </w:rPr>
              <w:t>：1.</w:t>
            </w:r>
            <w:r>
              <w:rPr>
                <w:rFonts w:ascii="Times New Roman" w:hAnsi="Times New Roman" w:eastAsia="宋体"/>
                <w:bCs w:val="0"/>
                <w:color w:val="auto"/>
                <w:sz w:val="24"/>
                <w:szCs w:val="24"/>
              </w:rPr>
              <w:t xml:space="preserve">操作人员：操作员(OPE)：密码 </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 xml:space="preserve"> ，一般的设置修改参数的操作，如设定值等</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 xml:space="preserve">班组长(MON)：密码 </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 xml:space="preserve"> ，享有操作员的所有操作权限，还有设定 PID 参数、报警值，标定等权限</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管理员(SYS)：密码</w:t>
            </w:r>
            <w:r>
              <w:rPr>
                <w:rFonts w:hint="eastAsia" w:ascii="Times New Roman" w:hAnsi="Times New Roman" w:eastAsia="宋体"/>
                <w:bCs w:val="0"/>
                <w:color w:val="auto"/>
                <w:sz w:val="24"/>
                <w:szCs w:val="24"/>
              </w:rPr>
              <w:t xml:space="preserve"> *** </w:t>
            </w:r>
            <w:r>
              <w:rPr>
                <w:rFonts w:ascii="Times New Roman" w:hAnsi="Times New Roman" w:eastAsia="宋体"/>
                <w:bCs w:val="0"/>
                <w:color w:val="auto"/>
                <w:sz w:val="24"/>
                <w:szCs w:val="24"/>
              </w:rPr>
              <w:t>，享有班组长的所有操作权限，还有修改死区、速率等重要参数等权限。</w:t>
            </w:r>
          </w:p>
          <w:p w14:paraId="4BBFE548">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15、</w:t>
            </w:r>
            <w:r>
              <w:rPr>
                <w:rFonts w:ascii="Times New Roman" w:hAnsi="Times New Roman" w:eastAsia="宋体"/>
                <w:bCs w:val="0"/>
                <w:color w:val="auto"/>
                <w:sz w:val="24"/>
                <w:szCs w:val="24"/>
              </w:rPr>
              <w:t>输出打印</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连接打印机可直接打印某一个区间段的曲线和报表</w:t>
            </w:r>
          </w:p>
          <w:p w14:paraId="062ADA20">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SIP记录</w:t>
            </w:r>
            <w:r>
              <w:rPr>
                <w:rFonts w:hint="eastAsia" w:ascii="Times New Roman" w:hAnsi="Times New Roman" w:eastAsia="宋体"/>
                <w:bCs w:val="0"/>
                <w:color w:val="auto"/>
                <w:sz w:val="24"/>
                <w:szCs w:val="24"/>
              </w:rPr>
              <w:t>：扩培器</w:t>
            </w:r>
            <w:r>
              <w:rPr>
                <w:rFonts w:ascii="Times New Roman" w:hAnsi="Times New Roman" w:eastAsia="宋体"/>
                <w:bCs w:val="0"/>
                <w:color w:val="auto"/>
                <w:sz w:val="24"/>
                <w:szCs w:val="24"/>
              </w:rPr>
              <w:t>和管路自动控制灭菌，包括进气过滤器和尾气过滤器。（可</w:t>
            </w:r>
            <w:r>
              <w:rPr>
                <w:rFonts w:hint="eastAsia" w:ascii="Times New Roman" w:hAnsi="Times New Roman" w:eastAsia="宋体"/>
                <w:bCs w:val="0"/>
                <w:color w:val="auto"/>
                <w:sz w:val="24"/>
                <w:szCs w:val="24"/>
              </w:rPr>
              <w:t>远程</w:t>
            </w:r>
            <w:r>
              <w:rPr>
                <w:rFonts w:ascii="Times New Roman" w:hAnsi="Times New Roman" w:eastAsia="宋体"/>
                <w:bCs w:val="0"/>
                <w:color w:val="auto"/>
                <w:sz w:val="24"/>
                <w:szCs w:val="24"/>
              </w:rPr>
              <w:t>升级此功能）</w:t>
            </w:r>
          </w:p>
          <w:p w14:paraId="1A775635">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CIP记录</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执行清洗过程，记录清洗</w:t>
            </w:r>
          </w:p>
          <w:p w14:paraId="20BC4C7C">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转速控制</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能进行至少 20 段转速设定和顺序控制</w:t>
            </w:r>
          </w:p>
          <w:p w14:paraId="2EEE44FC">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温度控制</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控制系统能进行 20 段温度设定和顺序控制。</w:t>
            </w:r>
          </w:p>
          <w:p w14:paraId="1A05FAAB">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16、</w:t>
            </w:r>
            <w:r>
              <w:rPr>
                <w:rFonts w:ascii="Times New Roman" w:hAnsi="Times New Roman" w:eastAsia="宋体"/>
                <w:bCs w:val="0"/>
                <w:color w:val="auto"/>
                <w:sz w:val="24"/>
                <w:szCs w:val="24"/>
              </w:rPr>
              <w:t>PH控制</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能实现自动控制</w:t>
            </w:r>
            <w:r>
              <w:rPr>
                <w:rFonts w:hint="eastAsia" w:ascii="Times New Roman" w:hAnsi="Times New Roman" w:eastAsia="宋体"/>
                <w:bCs w:val="0"/>
                <w:color w:val="auto"/>
                <w:sz w:val="24"/>
                <w:szCs w:val="24"/>
              </w:rPr>
              <w:t>扩培器</w:t>
            </w:r>
            <w:r>
              <w:rPr>
                <w:rFonts w:ascii="Times New Roman" w:hAnsi="Times New Roman" w:eastAsia="宋体"/>
                <w:bCs w:val="0"/>
                <w:color w:val="auto"/>
                <w:sz w:val="24"/>
                <w:szCs w:val="24"/>
              </w:rPr>
              <w:t>pH，至少10段pH设定和顺序控制、</w:t>
            </w:r>
            <w:r>
              <w:rPr>
                <w:rFonts w:hint="eastAsia" w:ascii="Times New Roman" w:hAnsi="Times New Roman" w:eastAsia="宋体"/>
                <w:bCs w:val="0"/>
                <w:color w:val="auto"/>
                <w:sz w:val="24"/>
                <w:szCs w:val="24"/>
              </w:rPr>
              <w:t>17、</w:t>
            </w:r>
            <w:r>
              <w:rPr>
                <w:rFonts w:ascii="Times New Roman" w:hAnsi="Times New Roman" w:eastAsia="宋体"/>
                <w:bCs w:val="0"/>
                <w:color w:val="auto"/>
                <w:sz w:val="24"/>
                <w:szCs w:val="24"/>
              </w:rPr>
              <w:t>补料联动控制</w:t>
            </w:r>
          </w:p>
          <w:p w14:paraId="38CB7932">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溶氧控制</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系统需具备溶氧与搅拌转速、补料添加及纯氧补充的关联控制能力。即在搅拌转速关联情况下，系统可自动调整搅拌转速使溶氧处于预先设定范围；在补料关联情况下，系统可自动开启补料并调节适当补料速率，使溶氧处于预先设定范围；在纯氧关联情况下，可自动适当补充纯氧，使溶氧处于预先设定范围。*溶氧控制可与搅拌转速、补料实现联动。</w:t>
            </w:r>
          </w:p>
          <w:p w14:paraId="3FC32012">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补料控制</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补料自动控制，可实现至少 10 段设定和顺序控制。控制系统设定蠕动泵的补料周期与开度可调节补料量</w:t>
            </w:r>
          </w:p>
          <w:p w14:paraId="152130FB">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泡沫控制</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当扩培液泡沫触碰到检测电极时，自动控制消泡泵流加消泡剂。</w:t>
            </w:r>
          </w:p>
          <w:p w14:paraId="4B15FECB">
            <w:pPr>
              <w:pStyle w:val="974"/>
              <w:jc w:val="both"/>
              <w:rPr>
                <w:rFonts w:ascii="Times New Roman" w:hAnsi="Times New Roman" w:eastAsia="宋体"/>
                <w:bCs w:val="0"/>
                <w:color w:val="auto"/>
                <w:sz w:val="24"/>
                <w:szCs w:val="24"/>
              </w:rPr>
            </w:pPr>
            <w:r>
              <w:rPr>
                <w:rFonts w:ascii="Times New Roman" w:hAnsi="Times New Roman" w:eastAsia="宋体"/>
                <w:bCs w:val="0"/>
                <w:color w:val="auto"/>
                <w:sz w:val="24"/>
                <w:szCs w:val="24"/>
              </w:rPr>
              <w:t>关联控制</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搅拌和溶氧控制关联；酸、碱和 pH 间的关联控制；泡沫液位和消泡泵等关联控制</w:t>
            </w:r>
            <w:r>
              <w:rPr>
                <w:rFonts w:hint="eastAsia" w:ascii="Times New Roman" w:hAnsi="Times New Roman" w:eastAsia="宋体"/>
                <w:bCs w:val="0"/>
                <w:color w:val="auto"/>
                <w:sz w:val="24"/>
                <w:szCs w:val="24"/>
              </w:rPr>
              <w:t>。</w:t>
            </w:r>
          </w:p>
          <w:p w14:paraId="01087056">
            <w:pPr>
              <w:pStyle w:val="974"/>
              <w:jc w:val="both"/>
              <w:rPr>
                <w:rFonts w:ascii="Times New Roman" w:hAnsi="Times New Roman" w:eastAsia="宋体"/>
                <w:bCs w:val="0"/>
                <w:color w:val="auto"/>
                <w:sz w:val="24"/>
                <w:szCs w:val="24"/>
              </w:rPr>
            </w:pPr>
            <w:r>
              <w:rPr>
                <w:rFonts w:hint="eastAsia" w:ascii="Times New Roman" w:hAnsi="Times New Roman" w:eastAsia="宋体"/>
                <w:bCs w:val="0"/>
                <w:color w:val="auto"/>
                <w:sz w:val="24"/>
                <w:szCs w:val="24"/>
              </w:rPr>
              <w:t>18、</w:t>
            </w:r>
            <w:r>
              <w:rPr>
                <w:rFonts w:ascii="Times New Roman" w:hAnsi="Times New Roman" w:eastAsia="宋体"/>
                <w:bCs w:val="0"/>
                <w:color w:val="auto"/>
                <w:sz w:val="24"/>
                <w:szCs w:val="24"/>
              </w:rPr>
              <w:t>数据保存</w:t>
            </w:r>
            <w:r>
              <w:rPr>
                <w:rFonts w:hint="eastAsia" w:ascii="Times New Roman" w:hAnsi="Times New Roman" w:eastAsia="宋体"/>
                <w:bCs w:val="0"/>
                <w:color w:val="auto"/>
                <w:sz w:val="24"/>
                <w:szCs w:val="24"/>
              </w:rPr>
              <w:t>：</w:t>
            </w:r>
            <w:r>
              <w:rPr>
                <w:rFonts w:ascii="Times New Roman" w:hAnsi="Times New Roman" w:eastAsia="宋体"/>
                <w:bCs w:val="0"/>
                <w:color w:val="auto"/>
                <w:sz w:val="24"/>
                <w:szCs w:val="24"/>
              </w:rPr>
              <w:t>能保存</w:t>
            </w:r>
            <w:r>
              <w:rPr>
                <w:rFonts w:hint="eastAsia" w:ascii="Times New Roman" w:hAnsi="Times New Roman" w:eastAsia="宋体"/>
                <w:bCs w:val="0"/>
                <w:color w:val="auto"/>
                <w:sz w:val="24"/>
                <w:szCs w:val="24"/>
              </w:rPr>
              <w:t>≥2</w:t>
            </w:r>
            <w:r>
              <w:rPr>
                <w:rFonts w:ascii="Times New Roman" w:hAnsi="Times New Roman" w:eastAsia="宋体"/>
                <w:bCs w:val="0"/>
                <w:color w:val="auto"/>
                <w:sz w:val="24"/>
                <w:szCs w:val="24"/>
              </w:rPr>
              <w:t>000批扩培数据，并可查阅历史。</w:t>
            </w:r>
          </w:p>
          <w:p w14:paraId="5FACFD42">
            <w:pPr>
              <w:pStyle w:val="974"/>
              <w:jc w:val="both"/>
              <w:rPr>
                <w:rFonts w:ascii="Times New Roman" w:hAnsi="Times New Roman" w:eastAsia="宋体"/>
                <w:b/>
                <w:color w:val="auto"/>
                <w:sz w:val="24"/>
                <w:szCs w:val="24"/>
                <w:u w:val="single"/>
              </w:rPr>
            </w:pPr>
            <w:r>
              <w:rPr>
                <w:rFonts w:ascii="Times New Roman" w:hAnsi="Times New Roman" w:eastAsia="宋体"/>
                <w:bCs w:val="0"/>
                <w:color w:val="auto"/>
                <w:sz w:val="24"/>
                <w:szCs w:val="24"/>
              </w:rPr>
              <w:t>按批号显示数据表格：此功能在左面扩培编号流水一览表选择某个扩培批号后，根据</w:t>
            </w:r>
            <w:r>
              <w:rPr>
                <w:rFonts w:hint="eastAsia" w:ascii="Times New Roman" w:hAnsi="Times New Roman" w:eastAsia="宋体"/>
                <w:bCs w:val="0"/>
                <w:color w:val="auto"/>
                <w:sz w:val="24"/>
                <w:szCs w:val="24"/>
              </w:rPr>
              <w:t>扩培器</w:t>
            </w:r>
            <w:r>
              <w:rPr>
                <w:rFonts w:ascii="Times New Roman" w:hAnsi="Times New Roman" w:eastAsia="宋体"/>
                <w:bCs w:val="0"/>
                <w:color w:val="auto"/>
                <w:sz w:val="24"/>
                <w:szCs w:val="24"/>
              </w:rPr>
              <w:t>号及扩培开始时间方便地显示该</w:t>
            </w:r>
            <w:r>
              <w:rPr>
                <w:rFonts w:hint="eastAsia" w:ascii="Times New Roman" w:hAnsi="Times New Roman" w:eastAsia="宋体"/>
                <w:bCs w:val="0"/>
                <w:color w:val="auto"/>
                <w:sz w:val="24"/>
                <w:szCs w:val="24"/>
              </w:rPr>
              <w:t>扩培器</w:t>
            </w:r>
            <w:r>
              <w:rPr>
                <w:rFonts w:ascii="Times New Roman" w:hAnsi="Times New Roman" w:eastAsia="宋体"/>
                <w:bCs w:val="0"/>
                <w:color w:val="auto"/>
                <w:sz w:val="24"/>
                <w:szCs w:val="24"/>
              </w:rPr>
              <w:t>号的扩培数据表格，自动转到报表画面。按批号显示历史曲线：此功能是在左面扩培编号流水一览表选择某个扩培批号后，根据扩培</w:t>
            </w:r>
            <w:r>
              <w:rPr>
                <w:rFonts w:hint="eastAsia" w:ascii="Times New Roman" w:hAnsi="Times New Roman" w:eastAsia="宋体"/>
                <w:bCs w:val="0"/>
                <w:color w:val="auto"/>
                <w:sz w:val="24"/>
                <w:szCs w:val="24"/>
              </w:rPr>
              <w:t>器</w:t>
            </w:r>
            <w:r>
              <w:rPr>
                <w:rFonts w:ascii="Times New Roman" w:hAnsi="Times New Roman" w:eastAsia="宋体"/>
                <w:bCs w:val="0"/>
                <w:color w:val="auto"/>
                <w:sz w:val="24"/>
                <w:szCs w:val="24"/>
              </w:rPr>
              <w:t>号及扩培开始时间方便地显示该</w:t>
            </w:r>
            <w:r>
              <w:rPr>
                <w:rFonts w:hint="eastAsia" w:ascii="Times New Roman" w:hAnsi="Times New Roman" w:eastAsia="宋体"/>
                <w:bCs w:val="0"/>
                <w:color w:val="auto"/>
                <w:sz w:val="24"/>
                <w:szCs w:val="24"/>
              </w:rPr>
              <w:t>扩培器</w:t>
            </w:r>
            <w:r>
              <w:rPr>
                <w:rFonts w:ascii="Times New Roman" w:hAnsi="Times New Roman" w:eastAsia="宋体"/>
                <w:bCs w:val="0"/>
                <w:color w:val="auto"/>
                <w:sz w:val="24"/>
                <w:szCs w:val="24"/>
              </w:rPr>
              <w:t>号的扩培数据历史曲线，自动转到曲线画面。</w:t>
            </w:r>
          </w:p>
        </w:tc>
        <w:tc>
          <w:tcPr>
            <w:tcW w:w="780" w:type="dxa"/>
            <w:tcBorders>
              <w:bottom w:val="single" w:color="auto" w:sz="4" w:space="0"/>
            </w:tcBorders>
            <w:vAlign w:val="center"/>
          </w:tcPr>
          <w:p w14:paraId="466204D8">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tcBorders>
              <w:bottom w:val="single" w:color="auto" w:sz="4" w:space="0"/>
            </w:tcBorders>
            <w:vAlign w:val="center"/>
          </w:tcPr>
          <w:p w14:paraId="4541F349">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411025DD">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1.</w:t>
            </w:r>
            <w:r>
              <w:rPr>
                <w:rFonts w:hint="eastAsia" w:ascii="Times New Roman" w:hAnsi="Times New Roman" w:eastAsia="宋体"/>
                <w:color w:val="auto"/>
                <w:sz w:val="24"/>
                <w:szCs w:val="24"/>
                <w:lang w:val="en-US" w:eastAsia="zh-CN"/>
              </w:rPr>
              <w:t>6</w:t>
            </w:r>
            <w:r>
              <w:rPr>
                <w:rFonts w:hint="eastAsia" w:ascii="Times New Roman" w:hAnsi="Times New Roman" w:eastAsia="宋体"/>
                <w:color w:val="auto"/>
                <w:sz w:val="24"/>
                <w:szCs w:val="24"/>
              </w:rPr>
              <w:t>0</w:t>
            </w:r>
          </w:p>
        </w:tc>
      </w:tr>
      <w:tr w14:paraId="2DE6364B">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704" w:type="dxa"/>
            <w:vMerge w:val="continue"/>
            <w:vAlign w:val="center"/>
          </w:tcPr>
          <w:p w14:paraId="460B0485">
            <w:pPr>
              <w:pStyle w:val="974"/>
              <w:jc w:val="center"/>
              <w:rPr>
                <w:rFonts w:ascii="Times New Roman" w:hAnsi="Times New Roman" w:eastAsia="宋体"/>
                <w:color w:val="auto"/>
                <w:sz w:val="24"/>
                <w:szCs w:val="24"/>
              </w:rPr>
            </w:pPr>
          </w:p>
        </w:tc>
        <w:tc>
          <w:tcPr>
            <w:tcW w:w="851" w:type="dxa"/>
            <w:vMerge w:val="continue"/>
            <w:vAlign w:val="center"/>
          </w:tcPr>
          <w:p w14:paraId="712B8A11">
            <w:pPr>
              <w:pStyle w:val="974"/>
              <w:jc w:val="center"/>
              <w:rPr>
                <w:rFonts w:ascii="Times New Roman" w:hAnsi="Times New Roman" w:eastAsia="宋体"/>
                <w:color w:val="auto"/>
                <w:sz w:val="24"/>
                <w:szCs w:val="24"/>
              </w:rPr>
            </w:pPr>
          </w:p>
        </w:tc>
        <w:tc>
          <w:tcPr>
            <w:tcW w:w="1275" w:type="dxa"/>
            <w:vAlign w:val="center"/>
          </w:tcPr>
          <w:p w14:paraId="4C9601AA">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全无油螺杆空压机系统</w:t>
            </w:r>
          </w:p>
        </w:tc>
        <w:tc>
          <w:tcPr>
            <w:tcW w:w="4111" w:type="dxa"/>
            <w:vAlign w:val="center"/>
          </w:tcPr>
          <w:p w14:paraId="2004D19E">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1、供气量：≥3.5m³/min；</w:t>
            </w:r>
          </w:p>
          <w:p w14:paraId="73F0E338">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2、电源380V，功率：≥22kw；</w:t>
            </w:r>
          </w:p>
          <w:p w14:paraId="1D35D3F5">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3、风冷，排气压力0.8MPa；</w:t>
            </w:r>
          </w:p>
          <w:p w14:paraId="168B1D7E">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4、配套不低于1m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储气罐；</w:t>
            </w:r>
          </w:p>
          <w:p w14:paraId="70FB4863">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5、过滤器通气量：≥4m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/min；</w:t>
            </w:r>
          </w:p>
          <w:p w14:paraId="08AD1B66">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6、配套冷干机</w:t>
            </w:r>
          </w:p>
        </w:tc>
        <w:tc>
          <w:tcPr>
            <w:tcW w:w="780" w:type="dxa"/>
            <w:vAlign w:val="center"/>
          </w:tcPr>
          <w:p w14:paraId="71C57EEB">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2DD74077">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4572D4CA">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6.00</w:t>
            </w:r>
          </w:p>
        </w:tc>
      </w:tr>
      <w:tr w14:paraId="0BBDC9D1">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704" w:type="dxa"/>
            <w:vMerge w:val="continue"/>
            <w:vAlign w:val="center"/>
          </w:tcPr>
          <w:p w14:paraId="18E2DCC1">
            <w:pPr>
              <w:pStyle w:val="974"/>
              <w:jc w:val="center"/>
              <w:rPr>
                <w:rFonts w:ascii="Times New Roman" w:hAnsi="Times New Roman" w:eastAsia="宋体"/>
                <w:color w:val="auto"/>
                <w:sz w:val="24"/>
                <w:szCs w:val="24"/>
              </w:rPr>
            </w:pPr>
          </w:p>
        </w:tc>
        <w:tc>
          <w:tcPr>
            <w:tcW w:w="851" w:type="dxa"/>
            <w:vMerge w:val="continue"/>
            <w:vAlign w:val="center"/>
          </w:tcPr>
          <w:p w14:paraId="43428726">
            <w:pPr>
              <w:pStyle w:val="974"/>
              <w:jc w:val="center"/>
              <w:rPr>
                <w:rFonts w:ascii="Times New Roman" w:hAnsi="Times New Roman" w:eastAsia="宋体"/>
                <w:color w:val="auto"/>
                <w:sz w:val="24"/>
                <w:szCs w:val="24"/>
              </w:rPr>
            </w:pPr>
          </w:p>
        </w:tc>
        <w:tc>
          <w:tcPr>
            <w:tcW w:w="1275" w:type="dxa"/>
            <w:tcBorders>
              <w:bottom w:val="single" w:color="auto" w:sz="4" w:space="0"/>
            </w:tcBorders>
            <w:vAlign w:val="center"/>
          </w:tcPr>
          <w:p w14:paraId="26246D5B">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蒸汽发生器</w:t>
            </w:r>
          </w:p>
        </w:tc>
        <w:tc>
          <w:tcPr>
            <w:tcW w:w="4111" w:type="dxa"/>
            <w:tcBorders>
              <w:bottom w:val="single" w:color="auto" w:sz="4" w:space="0"/>
            </w:tcBorders>
            <w:vAlign w:val="center"/>
          </w:tcPr>
          <w:p w14:paraId="6CCD2971">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1、电源380V，单台功率≥100kw；</w:t>
            </w:r>
          </w:p>
          <w:p w14:paraId="6477D3C2">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2、额定蒸发量≥143kg/h；</w:t>
            </w:r>
          </w:p>
        </w:tc>
        <w:tc>
          <w:tcPr>
            <w:tcW w:w="780" w:type="dxa"/>
            <w:tcBorders>
              <w:bottom w:val="single" w:color="auto" w:sz="4" w:space="0"/>
            </w:tcBorders>
            <w:vAlign w:val="center"/>
          </w:tcPr>
          <w:p w14:paraId="1D624AE7">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tcBorders>
              <w:bottom w:val="single" w:color="auto" w:sz="4" w:space="0"/>
            </w:tcBorders>
            <w:vAlign w:val="center"/>
          </w:tcPr>
          <w:p w14:paraId="4A8D89D0">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4A79351A">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4.20</w:t>
            </w:r>
          </w:p>
        </w:tc>
      </w:tr>
      <w:tr w14:paraId="4BE8909E">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704" w:type="dxa"/>
            <w:vMerge w:val="continue"/>
            <w:vAlign w:val="center"/>
          </w:tcPr>
          <w:p w14:paraId="63AA7D88">
            <w:pPr>
              <w:pStyle w:val="974"/>
              <w:jc w:val="center"/>
              <w:rPr>
                <w:rFonts w:ascii="Times New Roman" w:hAnsi="Times New Roman" w:eastAsia="宋体"/>
                <w:color w:val="auto"/>
                <w:sz w:val="24"/>
                <w:szCs w:val="24"/>
              </w:rPr>
            </w:pPr>
          </w:p>
        </w:tc>
        <w:tc>
          <w:tcPr>
            <w:tcW w:w="851" w:type="dxa"/>
            <w:vMerge w:val="continue"/>
            <w:vAlign w:val="center"/>
          </w:tcPr>
          <w:p w14:paraId="0663DD19">
            <w:pPr>
              <w:pStyle w:val="974"/>
              <w:jc w:val="center"/>
              <w:rPr>
                <w:rFonts w:ascii="Times New Roman" w:hAnsi="Times New Roman" w:eastAsia="宋体"/>
                <w:color w:val="auto"/>
                <w:sz w:val="24"/>
                <w:szCs w:val="24"/>
              </w:rPr>
            </w:pPr>
          </w:p>
        </w:tc>
        <w:tc>
          <w:tcPr>
            <w:tcW w:w="1275" w:type="dxa"/>
            <w:tcBorders>
              <w:bottom w:val="single" w:color="auto" w:sz="4" w:space="0"/>
            </w:tcBorders>
            <w:vAlign w:val="center"/>
          </w:tcPr>
          <w:p w14:paraId="49618D0D">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冷水机</w:t>
            </w:r>
          </w:p>
        </w:tc>
        <w:tc>
          <w:tcPr>
            <w:tcW w:w="4111" w:type="dxa"/>
            <w:tcBorders>
              <w:bottom w:val="single" w:color="auto" w:sz="4" w:space="0"/>
            </w:tcBorders>
            <w:vAlign w:val="center"/>
          </w:tcPr>
          <w:p w14:paraId="33079AD7">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1、功率≥3kw；</w:t>
            </w:r>
          </w:p>
          <w:p w14:paraId="66F3F8C8">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2、水冷制冷量不低于61.16/52616kw/kcal；</w:t>
            </w:r>
          </w:p>
          <w:p w14:paraId="57D5EB36">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3、冷媒为R22；</w:t>
            </w:r>
          </w:p>
          <w:p w14:paraId="6B483CE4">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4、水箱容积≥500L</w:t>
            </w:r>
          </w:p>
        </w:tc>
        <w:tc>
          <w:tcPr>
            <w:tcW w:w="780" w:type="dxa"/>
            <w:tcBorders>
              <w:bottom w:val="single" w:color="auto" w:sz="4" w:space="0"/>
            </w:tcBorders>
            <w:vAlign w:val="center"/>
          </w:tcPr>
          <w:p w14:paraId="3110F256">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tcBorders>
              <w:bottom w:val="single" w:color="auto" w:sz="4" w:space="0"/>
            </w:tcBorders>
            <w:vAlign w:val="center"/>
          </w:tcPr>
          <w:p w14:paraId="4665045B">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449984FD">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6.00</w:t>
            </w:r>
          </w:p>
        </w:tc>
      </w:tr>
      <w:tr w14:paraId="221246A8">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704" w:type="dxa"/>
            <w:vMerge w:val="continue"/>
            <w:vAlign w:val="center"/>
          </w:tcPr>
          <w:p w14:paraId="125DC919">
            <w:pPr>
              <w:pStyle w:val="974"/>
              <w:jc w:val="center"/>
              <w:rPr>
                <w:rFonts w:ascii="Times New Roman" w:hAnsi="Times New Roman" w:eastAsia="宋体"/>
                <w:color w:val="auto"/>
                <w:sz w:val="24"/>
                <w:szCs w:val="24"/>
              </w:rPr>
            </w:pPr>
          </w:p>
        </w:tc>
        <w:tc>
          <w:tcPr>
            <w:tcW w:w="851" w:type="dxa"/>
            <w:vMerge w:val="continue"/>
            <w:vAlign w:val="center"/>
          </w:tcPr>
          <w:p w14:paraId="27181937">
            <w:pPr>
              <w:pStyle w:val="974"/>
              <w:jc w:val="center"/>
              <w:rPr>
                <w:rFonts w:ascii="Times New Roman" w:hAnsi="Times New Roman" w:eastAsia="宋体"/>
                <w:color w:val="auto"/>
                <w:sz w:val="24"/>
                <w:szCs w:val="24"/>
              </w:rPr>
            </w:pPr>
          </w:p>
        </w:tc>
        <w:tc>
          <w:tcPr>
            <w:tcW w:w="1275" w:type="dxa"/>
            <w:tcBorders>
              <w:bottom w:val="single" w:color="auto" w:sz="4" w:space="0"/>
            </w:tcBorders>
            <w:vAlign w:val="center"/>
          </w:tcPr>
          <w:p w14:paraId="30F9589A">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公用管道连接</w:t>
            </w:r>
          </w:p>
        </w:tc>
        <w:tc>
          <w:tcPr>
            <w:tcW w:w="4111" w:type="dxa"/>
            <w:tcBorders>
              <w:bottom w:val="single" w:color="auto" w:sz="4" w:space="0"/>
            </w:tcBorders>
            <w:vAlign w:val="center"/>
          </w:tcPr>
          <w:p w14:paraId="17BB3177">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循环水、空压机、冷却水及冷水机循环使用，蒸汽机、阀门配置等，材质：316L不锈钢</w:t>
            </w:r>
          </w:p>
        </w:tc>
        <w:tc>
          <w:tcPr>
            <w:tcW w:w="780" w:type="dxa"/>
            <w:tcBorders>
              <w:bottom w:val="single" w:color="auto" w:sz="4" w:space="0"/>
            </w:tcBorders>
            <w:vAlign w:val="center"/>
          </w:tcPr>
          <w:p w14:paraId="2B1C200D">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tcBorders>
              <w:bottom w:val="single" w:color="auto" w:sz="4" w:space="0"/>
            </w:tcBorders>
            <w:vAlign w:val="center"/>
          </w:tcPr>
          <w:p w14:paraId="405A323E">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4DFAAA37">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5.00</w:t>
            </w:r>
          </w:p>
        </w:tc>
      </w:tr>
      <w:tr w14:paraId="7EE4C44E">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704" w:type="dxa"/>
            <w:vMerge w:val="continue"/>
            <w:vAlign w:val="center"/>
          </w:tcPr>
          <w:p w14:paraId="5C4F73BA">
            <w:pPr>
              <w:pStyle w:val="974"/>
              <w:jc w:val="center"/>
              <w:rPr>
                <w:rFonts w:ascii="Times New Roman" w:hAnsi="Times New Roman" w:eastAsia="宋体"/>
                <w:color w:val="auto"/>
                <w:sz w:val="24"/>
                <w:szCs w:val="24"/>
              </w:rPr>
            </w:pPr>
          </w:p>
        </w:tc>
        <w:tc>
          <w:tcPr>
            <w:tcW w:w="851" w:type="dxa"/>
            <w:vMerge w:val="continue"/>
            <w:vAlign w:val="center"/>
          </w:tcPr>
          <w:p w14:paraId="1D7494EA">
            <w:pPr>
              <w:pStyle w:val="974"/>
              <w:jc w:val="center"/>
              <w:rPr>
                <w:rFonts w:ascii="Times New Roman" w:hAnsi="Times New Roman" w:eastAsia="宋体"/>
                <w:color w:val="auto"/>
                <w:sz w:val="24"/>
                <w:szCs w:val="24"/>
              </w:rPr>
            </w:pPr>
          </w:p>
        </w:tc>
        <w:tc>
          <w:tcPr>
            <w:tcW w:w="1275" w:type="dxa"/>
            <w:tcBorders>
              <w:bottom w:val="single" w:color="auto" w:sz="4" w:space="0"/>
            </w:tcBorders>
            <w:vAlign w:val="center"/>
          </w:tcPr>
          <w:p w14:paraId="556963E3">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不锈钢操作平台</w:t>
            </w:r>
          </w:p>
        </w:tc>
        <w:tc>
          <w:tcPr>
            <w:tcW w:w="4111" w:type="dxa"/>
            <w:tcBorders>
              <w:bottom w:val="single" w:color="auto" w:sz="4" w:space="0"/>
            </w:tcBorders>
            <w:vAlign w:val="center"/>
          </w:tcPr>
          <w:p w14:paraId="01D01B43">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304全不锈钢平台、立柱、护栏、楼梯踏步</w:t>
            </w:r>
          </w:p>
        </w:tc>
        <w:tc>
          <w:tcPr>
            <w:tcW w:w="780" w:type="dxa"/>
            <w:tcBorders>
              <w:bottom w:val="single" w:color="auto" w:sz="4" w:space="0"/>
            </w:tcBorders>
            <w:vAlign w:val="center"/>
          </w:tcPr>
          <w:p w14:paraId="7E3C234F">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tcBorders>
              <w:bottom w:val="single" w:color="auto" w:sz="4" w:space="0"/>
            </w:tcBorders>
            <w:vAlign w:val="center"/>
          </w:tcPr>
          <w:p w14:paraId="15348600">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18613EB4">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4.00</w:t>
            </w:r>
          </w:p>
        </w:tc>
      </w:tr>
      <w:tr w14:paraId="2C1F7D23">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704" w:type="dxa"/>
            <w:vMerge w:val="continue"/>
            <w:vAlign w:val="center"/>
          </w:tcPr>
          <w:p w14:paraId="55A42827">
            <w:pPr>
              <w:pStyle w:val="974"/>
              <w:jc w:val="center"/>
              <w:rPr>
                <w:rFonts w:ascii="Times New Roman" w:hAnsi="Times New Roman" w:eastAsia="宋体"/>
                <w:color w:val="auto"/>
                <w:sz w:val="24"/>
                <w:szCs w:val="24"/>
              </w:rPr>
            </w:pPr>
          </w:p>
        </w:tc>
        <w:tc>
          <w:tcPr>
            <w:tcW w:w="851" w:type="dxa"/>
            <w:vMerge w:val="continue"/>
            <w:vAlign w:val="center"/>
          </w:tcPr>
          <w:p w14:paraId="466F5428">
            <w:pPr>
              <w:pStyle w:val="974"/>
              <w:jc w:val="center"/>
              <w:rPr>
                <w:rFonts w:ascii="Times New Roman" w:hAnsi="Times New Roman" w:eastAsia="宋体"/>
                <w:color w:val="auto"/>
                <w:sz w:val="24"/>
                <w:szCs w:val="24"/>
              </w:rPr>
            </w:pPr>
          </w:p>
        </w:tc>
        <w:tc>
          <w:tcPr>
            <w:tcW w:w="1275" w:type="dxa"/>
            <w:tcBorders>
              <w:bottom w:val="single" w:color="auto" w:sz="4" w:space="0"/>
            </w:tcBorders>
            <w:vAlign w:val="center"/>
          </w:tcPr>
          <w:p w14:paraId="06B2723F">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1L自动灌装系统</w:t>
            </w:r>
          </w:p>
        </w:tc>
        <w:tc>
          <w:tcPr>
            <w:tcW w:w="4111" w:type="dxa"/>
            <w:tcBorders>
              <w:bottom w:val="single" w:color="auto" w:sz="4" w:space="0"/>
            </w:tcBorders>
            <w:vAlign w:val="center"/>
          </w:tcPr>
          <w:p w14:paraId="3580D1EC">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1、材质SUS316L磁力泵，超耐腐蚀，超耐高温（≥120℃）</w:t>
            </w:r>
          </w:p>
          <w:p w14:paraId="6DA2B156">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2、自动罐装，罐装头数≥4头，每头流速≥6 L，最大吸程：≥5m</w:t>
            </w:r>
          </w:p>
          <w:p w14:paraId="00FE25D5">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3、罐装范围：≥1000mL，罐装精度：±1%</w:t>
            </w:r>
          </w:p>
          <w:p w14:paraId="221B9BAB">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4、自动旋盖，旋盖范围：20-50mm</w:t>
            </w:r>
          </w:p>
          <w:p w14:paraId="1CBFBE36">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5、自动打码，自动贴标</w:t>
            </w:r>
          </w:p>
          <w:p w14:paraId="7AC407A6">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6、链板式输送带</w:t>
            </w:r>
          </w:p>
        </w:tc>
        <w:tc>
          <w:tcPr>
            <w:tcW w:w="780" w:type="dxa"/>
            <w:tcBorders>
              <w:bottom w:val="single" w:color="auto" w:sz="4" w:space="0"/>
            </w:tcBorders>
            <w:vAlign w:val="center"/>
          </w:tcPr>
          <w:p w14:paraId="3909FEC9">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tcBorders>
              <w:bottom w:val="single" w:color="auto" w:sz="4" w:space="0"/>
            </w:tcBorders>
            <w:vAlign w:val="center"/>
          </w:tcPr>
          <w:p w14:paraId="5F59FD63">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4E3146B7">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5.00</w:t>
            </w:r>
          </w:p>
        </w:tc>
      </w:tr>
      <w:tr w14:paraId="4E291F56">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704" w:type="dxa"/>
            <w:vMerge w:val="continue"/>
            <w:vAlign w:val="center"/>
          </w:tcPr>
          <w:p w14:paraId="11C60430">
            <w:pPr>
              <w:pStyle w:val="974"/>
              <w:jc w:val="center"/>
              <w:rPr>
                <w:rFonts w:ascii="Times New Roman" w:hAnsi="Times New Roman" w:eastAsia="宋体"/>
                <w:color w:val="auto"/>
                <w:sz w:val="24"/>
                <w:szCs w:val="24"/>
              </w:rPr>
            </w:pPr>
          </w:p>
        </w:tc>
        <w:tc>
          <w:tcPr>
            <w:tcW w:w="851" w:type="dxa"/>
            <w:vMerge w:val="continue"/>
            <w:vAlign w:val="center"/>
          </w:tcPr>
          <w:p w14:paraId="2A076687">
            <w:pPr>
              <w:pStyle w:val="974"/>
              <w:jc w:val="center"/>
              <w:rPr>
                <w:rFonts w:ascii="Times New Roman" w:hAnsi="Times New Roman" w:eastAsia="宋体"/>
                <w:color w:val="auto"/>
                <w:sz w:val="24"/>
                <w:szCs w:val="24"/>
              </w:rPr>
            </w:pPr>
          </w:p>
        </w:tc>
        <w:tc>
          <w:tcPr>
            <w:tcW w:w="1275" w:type="dxa"/>
            <w:tcBorders>
              <w:bottom w:val="single" w:color="auto" w:sz="4" w:space="0"/>
            </w:tcBorders>
            <w:vAlign w:val="center"/>
          </w:tcPr>
          <w:p w14:paraId="3709B599">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0.5-25kg粉剂自动定量包装系统</w:t>
            </w:r>
          </w:p>
        </w:tc>
        <w:tc>
          <w:tcPr>
            <w:tcW w:w="4111" w:type="dxa"/>
            <w:tcBorders>
              <w:bottom w:val="single" w:color="auto" w:sz="4" w:space="0"/>
            </w:tcBorders>
            <w:vAlign w:val="center"/>
          </w:tcPr>
          <w:p w14:paraId="3E668CA4">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1、伺服电机，功率≥2kw；</w:t>
            </w:r>
          </w:p>
          <w:p w14:paraId="7EB5A6B3">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2、料仓直径≥75cm，双刮刀，加高20cm，半开仓；</w:t>
            </w:r>
          </w:p>
          <w:p w14:paraId="1EFECCF0">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3、料仓材质：不低于304不锈钢；</w:t>
            </w:r>
          </w:p>
          <w:p w14:paraId="36EA542B">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hint="eastAsia" w:ascii="Times New Roman" w:hAnsi="Times New Roman" w:eastAsia="宋体" w:cs="Times New Roman"/>
                <w:bCs/>
                <w:sz w:val="24"/>
                <w:szCs w:val="24"/>
              </w:rPr>
              <w:t>包装效率：≥0.5kg包装30袋/分钟，≥20kg包装3袋/分钟，≥1000kg物料/小时；</w:t>
            </w:r>
          </w:p>
          <w:p w14:paraId="5BA10817">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5、提升机可定制，炮筒加长30cm，可对接除尘器，底座可打开；</w:t>
            </w:r>
          </w:p>
          <w:p w14:paraId="4814B5FE">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6、封口机功率≥1kw，总长≥2.2m；</w:t>
            </w:r>
          </w:p>
          <w:p w14:paraId="3532BD18">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7、除尘器流量≥4100m</w:t>
            </w:r>
            <w:r>
              <w:rPr>
                <w:rFonts w:hint="eastAsia" w:ascii="Times New Roman" w:hAnsi="Times New Roman" w:eastAsia="宋体"/>
                <w:color w:val="auto"/>
                <w:sz w:val="24"/>
                <w:szCs w:val="24"/>
                <w:vertAlign w:val="superscript"/>
              </w:rPr>
              <w:t>3</w:t>
            </w:r>
            <w:r>
              <w:rPr>
                <w:rFonts w:hint="eastAsia" w:ascii="Times New Roman" w:hAnsi="Times New Roman" w:eastAsia="宋体"/>
                <w:color w:val="auto"/>
                <w:sz w:val="24"/>
                <w:szCs w:val="24"/>
              </w:rPr>
              <w:t>/h，功率≥2.2kw，含滤芯。</w:t>
            </w:r>
          </w:p>
        </w:tc>
        <w:tc>
          <w:tcPr>
            <w:tcW w:w="780" w:type="dxa"/>
            <w:tcBorders>
              <w:bottom w:val="single" w:color="auto" w:sz="4" w:space="0"/>
            </w:tcBorders>
            <w:vAlign w:val="center"/>
          </w:tcPr>
          <w:p w14:paraId="2203A098">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tcBorders>
              <w:bottom w:val="single" w:color="auto" w:sz="4" w:space="0"/>
            </w:tcBorders>
            <w:vAlign w:val="center"/>
          </w:tcPr>
          <w:p w14:paraId="332D4C3B">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05AB80FD">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4.20</w:t>
            </w:r>
          </w:p>
        </w:tc>
      </w:tr>
      <w:tr w14:paraId="339E382E">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704" w:type="dxa"/>
            <w:vMerge w:val="restart"/>
            <w:vAlign w:val="center"/>
          </w:tcPr>
          <w:p w14:paraId="52B4C52F">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2</w:t>
            </w:r>
          </w:p>
        </w:tc>
        <w:tc>
          <w:tcPr>
            <w:tcW w:w="851" w:type="dxa"/>
            <w:vMerge w:val="restart"/>
            <w:vAlign w:val="center"/>
          </w:tcPr>
          <w:p w14:paraId="58B24882">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功能菌剂加注服务系统</w:t>
            </w:r>
          </w:p>
        </w:tc>
        <w:tc>
          <w:tcPr>
            <w:tcW w:w="1275" w:type="dxa"/>
            <w:tcBorders>
              <w:bottom w:val="single" w:color="auto" w:sz="4" w:space="0"/>
            </w:tcBorders>
            <w:vAlign w:val="center"/>
          </w:tcPr>
          <w:p w14:paraId="017F7064">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功能菌剂智能混配舱</w:t>
            </w:r>
          </w:p>
        </w:tc>
        <w:tc>
          <w:tcPr>
            <w:tcW w:w="4111" w:type="dxa"/>
            <w:tcBorders>
              <w:bottom w:val="single" w:color="auto" w:sz="4" w:space="0"/>
            </w:tcBorders>
            <w:vAlign w:val="center"/>
          </w:tcPr>
          <w:p w14:paraId="3BE4BC8F">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1、电压：380V</w:t>
            </w:r>
          </w:p>
          <w:p w14:paraId="6B02D206">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2、容量体积：2 T</w:t>
            </w:r>
          </w:p>
          <w:p w14:paraId="68378B39">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3、搅拌：内置搅拌桨，变频电机，电机功率≥3kw</w:t>
            </w:r>
          </w:p>
          <w:p w14:paraId="415C8EB7">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4、温控系统：电加热</w:t>
            </w:r>
          </w:p>
        </w:tc>
        <w:tc>
          <w:tcPr>
            <w:tcW w:w="780" w:type="dxa"/>
            <w:tcBorders>
              <w:bottom w:val="single" w:color="auto" w:sz="4" w:space="0"/>
            </w:tcBorders>
            <w:vAlign w:val="center"/>
          </w:tcPr>
          <w:p w14:paraId="7442982D">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4</w:t>
            </w:r>
          </w:p>
        </w:tc>
        <w:tc>
          <w:tcPr>
            <w:tcW w:w="709" w:type="dxa"/>
            <w:tcBorders>
              <w:bottom w:val="single" w:color="auto" w:sz="4" w:space="0"/>
            </w:tcBorders>
            <w:vAlign w:val="center"/>
          </w:tcPr>
          <w:p w14:paraId="77F1C257">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39D60FFB">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5.52</w:t>
            </w:r>
          </w:p>
        </w:tc>
      </w:tr>
      <w:tr w14:paraId="25C4064C">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704" w:type="dxa"/>
            <w:vMerge w:val="continue"/>
            <w:vAlign w:val="center"/>
          </w:tcPr>
          <w:p w14:paraId="3A8606C2">
            <w:pPr>
              <w:pStyle w:val="974"/>
              <w:jc w:val="center"/>
              <w:rPr>
                <w:rFonts w:ascii="Times New Roman" w:hAnsi="Times New Roman" w:eastAsia="宋体"/>
                <w:color w:val="auto"/>
                <w:sz w:val="24"/>
                <w:szCs w:val="24"/>
              </w:rPr>
            </w:pPr>
          </w:p>
        </w:tc>
        <w:tc>
          <w:tcPr>
            <w:tcW w:w="851" w:type="dxa"/>
            <w:vMerge w:val="continue"/>
            <w:vAlign w:val="center"/>
          </w:tcPr>
          <w:p w14:paraId="7B9916A6">
            <w:pPr>
              <w:pStyle w:val="974"/>
              <w:jc w:val="center"/>
              <w:rPr>
                <w:rFonts w:ascii="Times New Roman" w:hAnsi="Times New Roman" w:eastAsia="宋体"/>
                <w:color w:val="auto"/>
                <w:sz w:val="24"/>
                <w:szCs w:val="24"/>
              </w:rPr>
            </w:pPr>
          </w:p>
        </w:tc>
        <w:tc>
          <w:tcPr>
            <w:tcW w:w="1275" w:type="dxa"/>
            <w:tcBorders>
              <w:bottom w:val="single" w:color="auto" w:sz="4" w:space="0"/>
            </w:tcBorders>
            <w:vAlign w:val="center"/>
          </w:tcPr>
          <w:p w14:paraId="2B5758E4">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物联网计费管理系统</w:t>
            </w:r>
          </w:p>
        </w:tc>
        <w:tc>
          <w:tcPr>
            <w:tcW w:w="4111" w:type="dxa"/>
            <w:tcBorders>
              <w:bottom w:val="single" w:color="auto" w:sz="4" w:space="0"/>
            </w:tcBorders>
            <w:vAlign w:val="center"/>
          </w:tcPr>
          <w:p w14:paraId="6607E3BC">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1、电压：220V</w:t>
            </w:r>
          </w:p>
          <w:p w14:paraId="166B733C">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2、功率：550W</w:t>
            </w:r>
          </w:p>
          <w:p w14:paraId="6C75B43D">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3、流量：≥0-35 L/min</w:t>
            </w:r>
          </w:p>
          <w:p w14:paraId="208EA8DC">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4、计量及重复误差：±0.5%</w:t>
            </w:r>
          </w:p>
          <w:p w14:paraId="4BF8382F">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5、内部结构：配备流量传感器、4G信号传输、压力开关、不锈钢静音泵、可拆卸过滤盒、多功能主板</w:t>
            </w:r>
          </w:p>
          <w:p w14:paraId="30913248">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hint="eastAsia" w:ascii="Times New Roman" w:hAnsi="Times New Roman" w:eastAsia="宋体" w:cs="Times New Roman"/>
                <w:bCs/>
                <w:sz w:val="24"/>
                <w:szCs w:val="24"/>
              </w:rPr>
              <w:t>支付方式：IC卡/微信扫码支付</w:t>
            </w:r>
          </w:p>
          <w:p w14:paraId="439F506D">
            <w:pPr>
              <w:spacing w:line="360" w:lineRule="auto"/>
              <w:rPr>
                <w:rFonts w:ascii="Times New Roman" w:hAnsi="Times New Roman" w:eastAsia="宋体" w:cs="Times New Roman"/>
                <w:b/>
                <w:bCs/>
                <w:sz w:val="24"/>
                <w:szCs w:val="24"/>
                <w:u w:val="single"/>
              </w:rPr>
            </w:pPr>
            <w:r>
              <w:rPr>
                <w:rFonts w:hint="eastAsia" w:ascii="Times New Roman" w:hAnsi="Times New Roman" w:eastAsia="宋体" w:cs="Times New Roman"/>
                <w:sz w:val="24"/>
                <w:szCs w:val="24"/>
              </w:rPr>
              <w:t>7、</w:t>
            </w:r>
            <w:r>
              <w:rPr>
                <w:rFonts w:hint="eastAsia" w:ascii="Times New Roman" w:hAnsi="Times New Roman" w:eastAsia="宋体" w:cs="宋体"/>
                <w:b/>
                <w:sz w:val="24"/>
                <w:szCs w:val="24"/>
                <w:u w:val="single"/>
              </w:rPr>
              <w:t>▲</w:t>
            </w:r>
            <w:r>
              <w:rPr>
                <w:rFonts w:hint="eastAsia" w:ascii="Times New Roman" w:hAnsi="Times New Roman" w:eastAsia="宋体" w:cs="Times New Roman"/>
                <w:b/>
                <w:bCs/>
                <w:sz w:val="24"/>
                <w:szCs w:val="24"/>
                <w:u w:val="single"/>
              </w:rPr>
              <w:t>物联网功能：数据上传：支持每笔的明细数据、累计数据实施上传；定位：支持记录每笔加注数据的位置信息；远程功能：支持远程修改设置参数（如单价等）；微信支付：支持客户通过微信扫一扫实现自助加注，剩余金额自动退还；4G全网通：兼容各频段的网络，4G数据传输过程中更快；监测设备电压/速度：支持监测设备所处的海拔，移动的速度和设备当前运行时的电压。</w:t>
            </w:r>
          </w:p>
          <w:p w14:paraId="215512D2">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8、配置信息：标配至少10张IC卡及一年网络维护费</w:t>
            </w:r>
          </w:p>
        </w:tc>
        <w:tc>
          <w:tcPr>
            <w:tcW w:w="780" w:type="dxa"/>
            <w:tcBorders>
              <w:bottom w:val="single" w:color="auto" w:sz="4" w:space="0"/>
            </w:tcBorders>
            <w:vAlign w:val="center"/>
          </w:tcPr>
          <w:p w14:paraId="6B89D1DE">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2</w:t>
            </w:r>
          </w:p>
        </w:tc>
        <w:tc>
          <w:tcPr>
            <w:tcW w:w="709" w:type="dxa"/>
            <w:tcBorders>
              <w:bottom w:val="single" w:color="auto" w:sz="4" w:space="0"/>
            </w:tcBorders>
            <w:vAlign w:val="center"/>
          </w:tcPr>
          <w:p w14:paraId="53E251F6">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26BB3F8B">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1.68</w:t>
            </w:r>
          </w:p>
        </w:tc>
      </w:tr>
      <w:tr w14:paraId="7CFD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restart"/>
            <w:vAlign w:val="center"/>
          </w:tcPr>
          <w:p w14:paraId="00840294">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3</w:t>
            </w:r>
          </w:p>
        </w:tc>
        <w:tc>
          <w:tcPr>
            <w:tcW w:w="851" w:type="dxa"/>
            <w:vMerge w:val="restart"/>
            <w:vAlign w:val="center"/>
          </w:tcPr>
          <w:p w14:paraId="2557E2C6">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*生物肥发酵生产设备系统</w:t>
            </w:r>
          </w:p>
        </w:tc>
        <w:tc>
          <w:tcPr>
            <w:tcW w:w="1275" w:type="dxa"/>
            <w:vAlign w:val="center"/>
          </w:tcPr>
          <w:p w14:paraId="17856122">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*特殊选择透过性发酵膜系统</w:t>
            </w:r>
          </w:p>
        </w:tc>
        <w:tc>
          <w:tcPr>
            <w:tcW w:w="4111" w:type="dxa"/>
          </w:tcPr>
          <w:p w14:paraId="6EF1D5C6">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（1）特殊选择透过性发酵膜：</w:t>
            </w:r>
          </w:p>
          <w:p w14:paraId="066AD1D6">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1.膜尺寸：匹配长*宽为20*12m场地</w:t>
            </w:r>
          </w:p>
          <w:p w14:paraId="6C5EA68A">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2.表层材质：高品质抗紫外线抗老化聚酯纤维材料；</w:t>
            </w:r>
          </w:p>
          <w:p w14:paraId="33271E0A">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3.中间层材质：具有特殊选择透过性e-PTFE 半透膜材料；</w:t>
            </w:r>
          </w:p>
          <w:p w14:paraId="5A4CD25A">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4.内层材质：高品质抗酸碱腐蚀聚酯纤维材料；</w:t>
            </w:r>
          </w:p>
          <w:p w14:paraId="2AA3EDBF">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5.透气性≤11.0mm/s；</w:t>
            </w:r>
          </w:p>
          <w:p w14:paraId="1C294923">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6.水蒸气透过性能≥10000g/(m.24h)；</w:t>
            </w:r>
          </w:p>
          <w:p w14:paraId="732CE282">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7.静水压≥20000mmH20；</w:t>
            </w:r>
          </w:p>
          <w:p w14:paraId="330A0862">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8.拉伸性能(径向)≥4500N；</w:t>
            </w:r>
          </w:p>
          <w:p w14:paraId="178D858D">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9.拉仲性能(纬向)≥3500N；</w:t>
            </w:r>
          </w:p>
          <w:p w14:paraId="58538B39">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10.撕裂强度(径向)≥750N；</w:t>
            </w:r>
          </w:p>
          <w:p w14:paraId="62E3DACF">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11.撕裂强度(纬向)≥500N；</w:t>
            </w:r>
          </w:p>
          <w:p w14:paraId="4A9A9846">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12.剥离强度(径向)≥5N；</w:t>
            </w:r>
          </w:p>
          <w:p w14:paraId="3514C4BD">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13.剥离强度(纬向)≥5N；</w:t>
            </w:r>
          </w:p>
          <w:p w14:paraId="1CF8CD63">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14.耐光照色牢度(变色、沾色)5级；</w:t>
            </w:r>
          </w:p>
          <w:p w14:paraId="2F8EB6DF">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15.耐皂洗色牢度(变色、沾色)5级；</w:t>
            </w:r>
          </w:p>
          <w:p w14:paraId="5CEB46F8">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16.耐摩擦色牢度(变色、沾色)5级；</w:t>
            </w:r>
          </w:p>
          <w:p w14:paraId="785CCCE0">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17.紫外线防护系数UPF&gt;50；</w:t>
            </w:r>
          </w:p>
          <w:p w14:paraId="47F5E190">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18.紫外线防护系数UPFAV &gt;2000；</w:t>
            </w:r>
          </w:p>
          <w:p w14:paraId="2A7DB9E1">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19.透射比平均值.T(UVA)AV 0.05%；</w:t>
            </w:r>
          </w:p>
          <w:p w14:paraId="69165667">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20.透射比平均值,T(UVB)AV 0.05%；</w:t>
            </w:r>
          </w:p>
          <w:p w14:paraId="3F15FCC5">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21.耐酸碱色牢度≥4 级</w:t>
            </w:r>
          </w:p>
          <w:p w14:paraId="367F17B3">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22.耐候性8 级</w:t>
            </w:r>
          </w:p>
          <w:p w14:paraId="0C324D05">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23.恶臭控制能力达1 级</w:t>
            </w:r>
          </w:p>
          <w:p w14:paraId="34C0BFB1">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24.厚度≥2mm</w:t>
            </w:r>
          </w:p>
          <w:p w14:paraId="1EA6F453">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25.克重≥800g/㎡</w:t>
            </w:r>
          </w:p>
          <w:p w14:paraId="1FDB7704">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26.发酵膜使用年限可达≥10年。</w:t>
            </w:r>
          </w:p>
          <w:p w14:paraId="3E83638C">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（2）控制端硬件：</w:t>
            </w:r>
          </w:p>
          <w:p w14:paraId="6EDEE919">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工作电压：380V (AC)±5%</w:t>
            </w:r>
          </w:p>
          <w:p w14:paraId="1E265449">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1.喷塑户外防水型柜体，防护等级：≥IP65</w:t>
            </w:r>
          </w:p>
          <w:p w14:paraId="1110B316">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2.触摸屏：实现人机交互，能够显示各个测点的温度，风机运行状态等数据，可以设置、控制风机的启停、运行等，是堆肥现场的本地操作窗口；</w:t>
            </w:r>
          </w:p>
          <w:p w14:paraId="525B0377">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3.可编程控制器：是整个控制系统的核心，完成整个控制过程逻辑运算和处理工作。中央处理器具有强大的处理能力，也是灵活控制系统的关键；</w:t>
            </w:r>
          </w:p>
          <w:p w14:paraId="4A471334">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4.变频器：控制柜中可以选配加装变频器。变频器能够自动调节变频风机的转速，实现自动化通风控制，从而达到更加灵活、自动化的控制。</w:t>
            </w:r>
          </w:p>
          <w:p w14:paraId="7AFA378D">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（3）控制端软控：</w:t>
            </w:r>
          </w:p>
          <w:p w14:paraId="67C93D19">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1.控制方式：支持手自切换，实现三位立体控制(现场手动控制、自身策略自动控制、远程电脑或移动终端控制)；</w:t>
            </w:r>
          </w:p>
          <w:p w14:paraId="388298A8">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2.控制回路：不低于1路；</w:t>
            </w:r>
          </w:p>
          <w:p w14:paraId="77F9F02A">
            <w:pPr>
              <w:spacing w:line="360" w:lineRule="auto"/>
              <w:jc w:val="left"/>
              <w:rPr>
                <w:rFonts w:ascii="Times New Roman" w:hAnsi="Times New Roman" w:eastAsia="宋体" w:cs="Times New Roman"/>
                <w:b/>
                <w:bCs/>
                <w:sz w:val="24"/>
                <w:szCs w:val="24"/>
                <w:u w:val="single"/>
              </w:rPr>
            </w:pPr>
            <w:r>
              <w:rPr>
                <w:rFonts w:hint="eastAsia" w:ascii="Times New Roman" w:hAnsi="Times New Roman" w:eastAsia="宋体" w:cs="Times New Roman"/>
                <w:sz w:val="24"/>
                <w:szCs w:val="24"/>
              </w:rPr>
              <w:t>3.控制功能；</w:t>
            </w:r>
            <w:r>
              <w:rPr>
                <w:rFonts w:hint="eastAsia" w:ascii="Times New Roman" w:hAnsi="Times New Roman" w:eastAsia="宋体" w:cs="Times New Roman"/>
                <w:sz w:val="24"/>
                <w:szCs w:val="24"/>
                <w:u w:val="single"/>
              </w:rPr>
              <w:t>★</w:t>
            </w:r>
            <w:r>
              <w:rPr>
                <w:rFonts w:hint="eastAsia" w:ascii="Times New Roman" w:hAnsi="Times New Roman" w:eastAsia="宋体" w:cs="Times New Roman"/>
                <w:b/>
                <w:bCs/>
                <w:sz w:val="24"/>
                <w:szCs w:val="24"/>
                <w:u w:val="single"/>
              </w:rPr>
              <w:t>可与手机APP实现远距离控制，也可通过自身继电器与配套配电柜配合使用；</w:t>
            </w:r>
          </w:p>
          <w:p w14:paraId="11FA8F26">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4.控制管理：预存控制方案，根据采集数据自动控制终端设备；</w:t>
            </w:r>
          </w:p>
          <w:p w14:paraId="49D88602">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5.策略存储：带存储器，可远程修改控制参数，根据自身控制策略实现独立工作不受网络影响。</w:t>
            </w:r>
          </w:p>
          <w:p w14:paraId="0440654A">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（4）防爆一体化温度变送器</w:t>
            </w:r>
          </w:p>
          <w:p w14:paraId="297F183E">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1.工作电压：12/24V (DC)±5%</w:t>
            </w:r>
          </w:p>
          <w:p w14:paraId="52CBA23D">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2.2088 壳体，0~100℃；L=16*1500mm</w:t>
            </w:r>
          </w:p>
          <w:p w14:paraId="5DCCA948">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3.输出电压信号：0~10V；输出电流信号：4~20mA</w:t>
            </w:r>
          </w:p>
          <w:p w14:paraId="008CAF1A">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4.工作环境温度：-20~+55℃</w:t>
            </w:r>
          </w:p>
          <w:p w14:paraId="638F3A40">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5.容许被测介质温度：0~+100℃</w:t>
            </w:r>
          </w:p>
          <w:p w14:paraId="37EF5BA1">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6.精度：±1%F.S；壳体封装防护等级：IP65</w:t>
            </w:r>
          </w:p>
          <w:p w14:paraId="0DC9633A">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（5）发酵专用曝气风机</w:t>
            </w:r>
          </w:p>
          <w:p w14:paraId="682EA8A4">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1.*单台功率≥7.5kw，工作电压：380V±5%，风量≥3300m³/h，风压≥6000Pa</w:t>
            </w:r>
          </w:p>
          <w:p w14:paraId="70579E08">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2.铝合金外壳、风机基座、风机防雨罩</w:t>
            </w:r>
          </w:p>
          <w:p w14:paraId="2633579D">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3.风机出口接圆管75mm</w:t>
            </w:r>
          </w:p>
          <w:p w14:paraId="682A3050">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（6）PE曝气管道</w:t>
            </w:r>
          </w:p>
          <w:p w14:paraId="025A8D25">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75mmPE-Mpa1.0*1</w:t>
            </w:r>
          </w:p>
          <w:p w14:paraId="35196215">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（6）304不锈钢加热单元</w:t>
            </w:r>
          </w:p>
          <w:p w14:paraId="30E77CAF">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1.单台功率≥20kw，工作电压：380V±5%</w:t>
            </w:r>
          </w:p>
          <w:p w14:paraId="6FDBB4D3">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2.固态温度控制</w:t>
            </w:r>
          </w:p>
          <w:p w14:paraId="792DC599">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3.工作环境温度：-20~+55℃</w:t>
            </w:r>
          </w:p>
          <w:p w14:paraId="53176C7B">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（7）电缆线3*4 YJV/电缆线3*6YJV/信号线2*1.0BVVP/压边配件等。</w:t>
            </w:r>
          </w:p>
        </w:tc>
        <w:tc>
          <w:tcPr>
            <w:tcW w:w="780" w:type="dxa"/>
            <w:vAlign w:val="center"/>
          </w:tcPr>
          <w:p w14:paraId="0E169C6E">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1</w:t>
            </w:r>
          </w:p>
        </w:tc>
        <w:tc>
          <w:tcPr>
            <w:tcW w:w="709" w:type="dxa"/>
            <w:vAlign w:val="center"/>
          </w:tcPr>
          <w:p w14:paraId="6E34742B">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26433AC0">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7.20</w:t>
            </w:r>
          </w:p>
        </w:tc>
      </w:tr>
      <w:tr w14:paraId="0B38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430F5110">
            <w:pPr>
              <w:pStyle w:val="974"/>
              <w:jc w:val="center"/>
              <w:rPr>
                <w:rFonts w:ascii="Times New Roman" w:hAnsi="Times New Roman" w:eastAsia="宋体"/>
                <w:color w:val="auto"/>
                <w:sz w:val="24"/>
                <w:szCs w:val="24"/>
              </w:rPr>
            </w:pPr>
          </w:p>
        </w:tc>
        <w:tc>
          <w:tcPr>
            <w:tcW w:w="851" w:type="dxa"/>
            <w:vMerge w:val="continue"/>
            <w:vAlign w:val="center"/>
          </w:tcPr>
          <w:p w14:paraId="2AA80276">
            <w:pPr>
              <w:pStyle w:val="974"/>
              <w:jc w:val="center"/>
              <w:rPr>
                <w:rFonts w:ascii="Times New Roman" w:hAnsi="Times New Roman" w:eastAsia="宋体"/>
                <w:color w:val="auto"/>
                <w:sz w:val="24"/>
                <w:szCs w:val="24"/>
              </w:rPr>
            </w:pPr>
          </w:p>
        </w:tc>
        <w:tc>
          <w:tcPr>
            <w:tcW w:w="1275" w:type="dxa"/>
            <w:vAlign w:val="center"/>
          </w:tcPr>
          <w:p w14:paraId="19EFBFFA">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防渗膜</w:t>
            </w:r>
          </w:p>
        </w:tc>
        <w:tc>
          <w:tcPr>
            <w:tcW w:w="4111" w:type="dxa"/>
          </w:tcPr>
          <w:p w14:paraId="264BF751">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1、尺寸：长*宽≥20*12m</w:t>
            </w:r>
          </w:p>
          <w:p w14:paraId="447CE8D7">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2、材质：高密度聚乙烯HDPE，机械强度高、耐热、耐腐蚀</w:t>
            </w:r>
          </w:p>
          <w:p w14:paraId="4518DC1D">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3、厚度：≥208s（可用至少30年）</w:t>
            </w:r>
          </w:p>
        </w:tc>
        <w:tc>
          <w:tcPr>
            <w:tcW w:w="780" w:type="dxa"/>
            <w:vAlign w:val="center"/>
          </w:tcPr>
          <w:p w14:paraId="72F6F7D9">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4DE63AE1">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块</w:t>
            </w:r>
          </w:p>
        </w:tc>
        <w:tc>
          <w:tcPr>
            <w:tcW w:w="709" w:type="dxa"/>
            <w:vAlign w:val="center"/>
          </w:tcPr>
          <w:p w14:paraId="122B71BA">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0.60</w:t>
            </w:r>
          </w:p>
        </w:tc>
      </w:tr>
      <w:tr w14:paraId="7D91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77462F01">
            <w:pPr>
              <w:pStyle w:val="974"/>
              <w:jc w:val="center"/>
              <w:rPr>
                <w:rFonts w:ascii="Times New Roman" w:hAnsi="Times New Roman" w:eastAsia="宋体"/>
                <w:color w:val="auto"/>
                <w:sz w:val="24"/>
                <w:szCs w:val="24"/>
              </w:rPr>
            </w:pPr>
          </w:p>
        </w:tc>
        <w:tc>
          <w:tcPr>
            <w:tcW w:w="851" w:type="dxa"/>
            <w:vMerge w:val="continue"/>
            <w:vAlign w:val="center"/>
          </w:tcPr>
          <w:p w14:paraId="4B682BA5">
            <w:pPr>
              <w:pStyle w:val="974"/>
              <w:jc w:val="center"/>
              <w:rPr>
                <w:rFonts w:ascii="Times New Roman" w:hAnsi="Times New Roman" w:eastAsia="宋体"/>
                <w:color w:val="auto"/>
                <w:sz w:val="24"/>
                <w:szCs w:val="24"/>
              </w:rPr>
            </w:pPr>
          </w:p>
        </w:tc>
        <w:tc>
          <w:tcPr>
            <w:tcW w:w="1275" w:type="dxa"/>
            <w:vAlign w:val="center"/>
          </w:tcPr>
          <w:p w14:paraId="0B3D9903">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缓冲上料机</w:t>
            </w:r>
          </w:p>
        </w:tc>
        <w:tc>
          <w:tcPr>
            <w:tcW w:w="4111" w:type="dxa"/>
          </w:tcPr>
          <w:p w14:paraId="73BE083B">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1、功率≥11kw；</w:t>
            </w:r>
          </w:p>
          <w:p w14:paraId="48D2B902">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2、外形尺寸长*宽为3.2m*1.3m；</w:t>
            </w:r>
          </w:p>
          <w:p w14:paraId="59DE94EF">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3、材质：钢板不低于4mm，输送带平面调速系统。</w:t>
            </w:r>
          </w:p>
        </w:tc>
        <w:tc>
          <w:tcPr>
            <w:tcW w:w="780" w:type="dxa"/>
            <w:vAlign w:val="center"/>
          </w:tcPr>
          <w:p w14:paraId="174CAEEC">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2</w:t>
            </w:r>
          </w:p>
        </w:tc>
        <w:tc>
          <w:tcPr>
            <w:tcW w:w="709" w:type="dxa"/>
            <w:vAlign w:val="center"/>
          </w:tcPr>
          <w:p w14:paraId="1D1744AE">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台</w:t>
            </w:r>
          </w:p>
        </w:tc>
        <w:tc>
          <w:tcPr>
            <w:tcW w:w="709" w:type="dxa"/>
            <w:vAlign w:val="center"/>
          </w:tcPr>
          <w:p w14:paraId="604A50D0">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3.20</w:t>
            </w:r>
          </w:p>
        </w:tc>
      </w:tr>
      <w:tr w14:paraId="5EBE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0C93565D">
            <w:pPr>
              <w:pStyle w:val="974"/>
              <w:jc w:val="center"/>
              <w:rPr>
                <w:rFonts w:ascii="Times New Roman" w:hAnsi="Times New Roman" w:eastAsia="宋体"/>
                <w:b/>
                <w:color w:val="auto"/>
                <w:sz w:val="24"/>
                <w:szCs w:val="24"/>
              </w:rPr>
            </w:pPr>
          </w:p>
        </w:tc>
        <w:tc>
          <w:tcPr>
            <w:tcW w:w="851" w:type="dxa"/>
            <w:vMerge w:val="continue"/>
            <w:vAlign w:val="center"/>
          </w:tcPr>
          <w:p w14:paraId="10FAACAE">
            <w:pPr>
              <w:pStyle w:val="974"/>
              <w:jc w:val="center"/>
              <w:rPr>
                <w:rFonts w:ascii="Times New Roman" w:hAnsi="Times New Roman" w:eastAsia="宋体"/>
                <w:color w:val="auto"/>
                <w:sz w:val="24"/>
                <w:szCs w:val="24"/>
              </w:rPr>
            </w:pPr>
          </w:p>
        </w:tc>
        <w:tc>
          <w:tcPr>
            <w:tcW w:w="1275" w:type="dxa"/>
            <w:vAlign w:val="center"/>
          </w:tcPr>
          <w:p w14:paraId="140D217E">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变频筛分机</w:t>
            </w:r>
          </w:p>
        </w:tc>
        <w:tc>
          <w:tcPr>
            <w:tcW w:w="4111" w:type="dxa"/>
          </w:tcPr>
          <w:p w14:paraId="47FC9511">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1、功率≥11kw；</w:t>
            </w:r>
          </w:p>
          <w:p w14:paraId="7CBE85B4">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2、滚筒直径约1.3m，长4m；</w:t>
            </w:r>
          </w:p>
          <w:p w14:paraId="6744883D">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3、滚筒带防护罩，带自清器，带维修平台，四柱方钢，钢板铁皮厚不低于3mm；</w:t>
            </w:r>
          </w:p>
          <w:p w14:paraId="4EBB829D">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4、滚筒筛网孔径＜10mm。</w:t>
            </w:r>
          </w:p>
        </w:tc>
        <w:tc>
          <w:tcPr>
            <w:tcW w:w="780" w:type="dxa"/>
            <w:vAlign w:val="center"/>
          </w:tcPr>
          <w:p w14:paraId="56CA20D2">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0214FB67">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台</w:t>
            </w:r>
          </w:p>
        </w:tc>
        <w:tc>
          <w:tcPr>
            <w:tcW w:w="709" w:type="dxa"/>
            <w:vAlign w:val="center"/>
          </w:tcPr>
          <w:p w14:paraId="6FC7186D">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3.80</w:t>
            </w:r>
          </w:p>
        </w:tc>
      </w:tr>
      <w:tr w14:paraId="61DF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5A51F35F">
            <w:pPr>
              <w:pStyle w:val="974"/>
              <w:jc w:val="center"/>
              <w:rPr>
                <w:rFonts w:ascii="Times New Roman" w:hAnsi="Times New Roman" w:eastAsia="宋体"/>
                <w:b/>
                <w:color w:val="auto"/>
                <w:sz w:val="24"/>
                <w:szCs w:val="24"/>
              </w:rPr>
            </w:pPr>
          </w:p>
        </w:tc>
        <w:tc>
          <w:tcPr>
            <w:tcW w:w="851" w:type="dxa"/>
            <w:vMerge w:val="continue"/>
            <w:vAlign w:val="center"/>
          </w:tcPr>
          <w:p w14:paraId="5D5F2E1A">
            <w:pPr>
              <w:pStyle w:val="974"/>
              <w:jc w:val="center"/>
              <w:rPr>
                <w:rFonts w:ascii="Times New Roman" w:hAnsi="Times New Roman" w:eastAsia="宋体"/>
                <w:color w:val="auto"/>
                <w:sz w:val="24"/>
                <w:szCs w:val="24"/>
              </w:rPr>
            </w:pPr>
          </w:p>
        </w:tc>
        <w:tc>
          <w:tcPr>
            <w:tcW w:w="1275" w:type="dxa"/>
            <w:vAlign w:val="center"/>
          </w:tcPr>
          <w:p w14:paraId="048D3751">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输送机</w:t>
            </w:r>
          </w:p>
        </w:tc>
        <w:tc>
          <w:tcPr>
            <w:tcW w:w="4111" w:type="dxa"/>
          </w:tcPr>
          <w:p w14:paraId="20C3F99D">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1、功率≥5kw；</w:t>
            </w:r>
          </w:p>
          <w:p w14:paraId="7C825ED4">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2、采用橡胶呢绒人字输送带，宽度不低于600mm，带清料器。</w:t>
            </w:r>
          </w:p>
        </w:tc>
        <w:tc>
          <w:tcPr>
            <w:tcW w:w="780" w:type="dxa"/>
            <w:vAlign w:val="center"/>
          </w:tcPr>
          <w:p w14:paraId="6F4F673E">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4AAE3936">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18615C40">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1.40</w:t>
            </w:r>
          </w:p>
        </w:tc>
      </w:tr>
      <w:tr w14:paraId="393A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304B5831">
            <w:pPr>
              <w:pStyle w:val="974"/>
              <w:jc w:val="center"/>
              <w:rPr>
                <w:rFonts w:ascii="Times New Roman" w:hAnsi="Times New Roman" w:eastAsia="宋体"/>
                <w:b/>
                <w:color w:val="auto"/>
                <w:sz w:val="24"/>
                <w:szCs w:val="24"/>
              </w:rPr>
            </w:pPr>
          </w:p>
        </w:tc>
        <w:tc>
          <w:tcPr>
            <w:tcW w:w="851" w:type="dxa"/>
            <w:vMerge w:val="continue"/>
            <w:vAlign w:val="center"/>
          </w:tcPr>
          <w:p w14:paraId="18395008">
            <w:pPr>
              <w:pStyle w:val="974"/>
              <w:jc w:val="center"/>
              <w:rPr>
                <w:rFonts w:ascii="Times New Roman" w:hAnsi="Times New Roman" w:eastAsia="宋体"/>
                <w:color w:val="auto"/>
                <w:sz w:val="24"/>
                <w:szCs w:val="24"/>
              </w:rPr>
            </w:pPr>
          </w:p>
        </w:tc>
        <w:tc>
          <w:tcPr>
            <w:tcW w:w="1275" w:type="dxa"/>
            <w:vAlign w:val="center"/>
          </w:tcPr>
          <w:p w14:paraId="3616AA57">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输送带</w:t>
            </w:r>
          </w:p>
        </w:tc>
        <w:tc>
          <w:tcPr>
            <w:tcW w:w="4111" w:type="dxa"/>
          </w:tcPr>
          <w:p w14:paraId="0F41DF62">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采用橡胶呢绒人字输送带，宽度不低于600mm，带清料器。</w:t>
            </w:r>
          </w:p>
        </w:tc>
        <w:tc>
          <w:tcPr>
            <w:tcW w:w="780" w:type="dxa"/>
            <w:vAlign w:val="center"/>
          </w:tcPr>
          <w:p w14:paraId="14BBC784">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3E9FDB50">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714DA9E5">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1.20</w:t>
            </w:r>
          </w:p>
        </w:tc>
      </w:tr>
      <w:tr w14:paraId="366A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03E4C5E1">
            <w:pPr>
              <w:pStyle w:val="974"/>
              <w:jc w:val="center"/>
              <w:rPr>
                <w:rFonts w:ascii="Times New Roman" w:hAnsi="Times New Roman" w:eastAsia="宋体"/>
                <w:b/>
                <w:color w:val="auto"/>
                <w:sz w:val="24"/>
                <w:szCs w:val="24"/>
              </w:rPr>
            </w:pPr>
          </w:p>
        </w:tc>
        <w:tc>
          <w:tcPr>
            <w:tcW w:w="851" w:type="dxa"/>
            <w:vMerge w:val="continue"/>
            <w:vAlign w:val="center"/>
          </w:tcPr>
          <w:p w14:paraId="7AE98BC6">
            <w:pPr>
              <w:pStyle w:val="974"/>
              <w:jc w:val="center"/>
              <w:rPr>
                <w:rFonts w:ascii="Times New Roman" w:hAnsi="Times New Roman" w:eastAsia="宋体"/>
                <w:color w:val="auto"/>
                <w:sz w:val="24"/>
                <w:szCs w:val="24"/>
              </w:rPr>
            </w:pPr>
          </w:p>
        </w:tc>
        <w:tc>
          <w:tcPr>
            <w:tcW w:w="1275" w:type="dxa"/>
            <w:vAlign w:val="center"/>
          </w:tcPr>
          <w:p w14:paraId="1421DC6F">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功能造粒机</w:t>
            </w:r>
          </w:p>
        </w:tc>
        <w:tc>
          <w:tcPr>
            <w:tcW w:w="4111" w:type="dxa"/>
          </w:tcPr>
          <w:p w14:paraId="26FAAD51">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1、功率≥75kw；</w:t>
            </w:r>
          </w:p>
          <w:p w14:paraId="0B8A5FF6">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2、外形尺寸：2650*1050*1700mm（长*宽*高），四辊轮座总成，平模600mm孔径，配备2</w:t>
            </w:r>
            <w:r>
              <w:rPr>
                <w:rFonts w:ascii="Times New Roman" w:hAnsi="Times New Roman" w:eastAsia="宋体" w:cs="Times New Roman"/>
                <w:sz w:val="24"/>
                <w:szCs w:val="24"/>
              </w:rPr>
              <w:t>块；</w:t>
            </w:r>
          </w:p>
          <w:p w14:paraId="243FDA37">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3、产量：≥3吨/时</w:t>
            </w:r>
            <w:r>
              <w:rPr>
                <w:rFonts w:hint="eastAsia" w:ascii="Times New Roman" w:hAnsi="Times New Roman" w:eastAsia="宋体" w:cs="Times New Roman"/>
                <w:b/>
                <w:bCs/>
                <w:sz w:val="24"/>
                <w:szCs w:val="24"/>
              </w:rPr>
              <w:t>；</w:t>
            </w:r>
          </w:p>
          <w:p w14:paraId="1AC62D64">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4、材质：辊轮40</w:t>
            </w:r>
          </w:p>
          <w:p w14:paraId="66D01726">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5、</w:t>
            </w:r>
            <w:r>
              <w:rPr>
                <w:rFonts w:hint="eastAsia" w:ascii="Times New Roman" w:hAnsi="Times New Roman" w:eastAsia="宋体"/>
                <w:b/>
                <w:color w:val="auto"/>
                <w:sz w:val="24"/>
                <w:szCs w:val="24"/>
                <w:u w:val="single"/>
              </w:rPr>
              <w:t>★要求齿轮传动</w:t>
            </w:r>
            <w:r>
              <w:rPr>
                <w:rFonts w:hint="eastAsia" w:ascii="Times New Roman" w:hAnsi="Times New Roman" w:eastAsia="宋体"/>
                <w:color w:val="auto"/>
                <w:sz w:val="24"/>
                <w:szCs w:val="24"/>
              </w:rPr>
              <w:t>。</w:t>
            </w:r>
          </w:p>
        </w:tc>
        <w:tc>
          <w:tcPr>
            <w:tcW w:w="780" w:type="dxa"/>
            <w:vAlign w:val="center"/>
          </w:tcPr>
          <w:p w14:paraId="72CD9686">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690F8CA1">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台</w:t>
            </w:r>
          </w:p>
        </w:tc>
        <w:tc>
          <w:tcPr>
            <w:tcW w:w="709" w:type="dxa"/>
            <w:vAlign w:val="center"/>
          </w:tcPr>
          <w:p w14:paraId="38D4AAF7">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1</w:t>
            </w:r>
            <w:r>
              <w:rPr>
                <w:rFonts w:hint="eastAsia" w:ascii="Times New Roman" w:hAnsi="Times New Roman" w:eastAsia="宋体"/>
                <w:color w:val="auto"/>
                <w:sz w:val="24"/>
                <w:szCs w:val="24"/>
                <w:lang w:val="en-US" w:eastAsia="zh-CN"/>
              </w:rPr>
              <w:t>3</w:t>
            </w:r>
            <w:r>
              <w:rPr>
                <w:rFonts w:hint="eastAsia" w:ascii="Times New Roman" w:hAnsi="Times New Roman" w:eastAsia="宋体"/>
                <w:color w:val="auto"/>
                <w:sz w:val="24"/>
                <w:szCs w:val="24"/>
              </w:rPr>
              <w:t>.00</w:t>
            </w:r>
          </w:p>
        </w:tc>
      </w:tr>
      <w:tr w14:paraId="6925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4563DCED">
            <w:pPr>
              <w:pStyle w:val="974"/>
              <w:jc w:val="center"/>
              <w:rPr>
                <w:rFonts w:ascii="Times New Roman" w:hAnsi="Times New Roman" w:eastAsia="宋体"/>
                <w:b/>
                <w:color w:val="auto"/>
                <w:sz w:val="24"/>
                <w:szCs w:val="24"/>
              </w:rPr>
            </w:pPr>
          </w:p>
        </w:tc>
        <w:tc>
          <w:tcPr>
            <w:tcW w:w="851" w:type="dxa"/>
            <w:vMerge w:val="continue"/>
            <w:vAlign w:val="center"/>
          </w:tcPr>
          <w:p w14:paraId="39AA4313">
            <w:pPr>
              <w:pStyle w:val="974"/>
              <w:jc w:val="center"/>
              <w:rPr>
                <w:rFonts w:ascii="Times New Roman" w:hAnsi="Times New Roman" w:eastAsia="宋体"/>
                <w:color w:val="auto"/>
                <w:sz w:val="24"/>
                <w:szCs w:val="24"/>
              </w:rPr>
            </w:pPr>
          </w:p>
        </w:tc>
        <w:tc>
          <w:tcPr>
            <w:tcW w:w="1275" w:type="dxa"/>
            <w:vAlign w:val="center"/>
          </w:tcPr>
          <w:p w14:paraId="1313C41B">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固体菌剂变频加注机</w:t>
            </w:r>
          </w:p>
        </w:tc>
        <w:tc>
          <w:tcPr>
            <w:tcW w:w="4111" w:type="dxa"/>
          </w:tcPr>
          <w:p w14:paraId="79F56670">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1、功率≥0.75kw；</w:t>
            </w:r>
          </w:p>
          <w:p w14:paraId="7FFBB287">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2、加菌效率：≥30kg/时；</w:t>
            </w:r>
          </w:p>
          <w:p w14:paraId="75B2B8A4">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3、输送料管：不锈钢管直径43mm，厚度3mm，含自洁不锈钢304螺杆；配备不锈钢料斗、变频调速器。</w:t>
            </w:r>
          </w:p>
        </w:tc>
        <w:tc>
          <w:tcPr>
            <w:tcW w:w="780" w:type="dxa"/>
            <w:vAlign w:val="center"/>
          </w:tcPr>
          <w:p w14:paraId="1110C765">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105E906E">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台</w:t>
            </w:r>
          </w:p>
        </w:tc>
        <w:tc>
          <w:tcPr>
            <w:tcW w:w="709" w:type="dxa"/>
            <w:vAlign w:val="center"/>
          </w:tcPr>
          <w:p w14:paraId="612ECF5D">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1.</w:t>
            </w:r>
            <w:r>
              <w:rPr>
                <w:rFonts w:hint="eastAsia" w:ascii="Times New Roman" w:hAnsi="Times New Roman" w:eastAsia="宋体"/>
                <w:color w:val="auto"/>
                <w:sz w:val="24"/>
                <w:szCs w:val="24"/>
                <w:lang w:val="en-US" w:eastAsia="zh-CN"/>
              </w:rPr>
              <w:t>6</w:t>
            </w:r>
            <w:r>
              <w:rPr>
                <w:rFonts w:hint="eastAsia" w:ascii="Times New Roman" w:hAnsi="Times New Roman" w:eastAsia="宋体"/>
                <w:color w:val="auto"/>
                <w:sz w:val="24"/>
                <w:szCs w:val="24"/>
              </w:rPr>
              <w:t>0</w:t>
            </w:r>
          </w:p>
        </w:tc>
      </w:tr>
      <w:tr w14:paraId="4D00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674AE74E">
            <w:pPr>
              <w:pStyle w:val="974"/>
              <w:jc w:val="center"/>
              <w:rPr>
                <w:rFonts w:ascii="Times New Roman" w:hAnsi="Times New Roman" w:eastAsia="宋体"/>
                <w:b/>
                <w:color w:val="auto"/>
                <w:sz w:val="24"/>
                <w:szCs w:val="24"/>
              </w:rPr>
            </w:pPr>
          </w:p>
        </w:tc>
        <w:tc>
          <w:tcPr>
            <w:tcW w:w="851" w:type="dxa"/>
            <w:vMerge w:val="continue"/>
            <w:vAlign w:val="center"/>
          </w:tcPr>
          <w:p w14:paraId="7D6DBEBB">
            <w:pPr>
              <w:pStyle w:val="974"/>
              <w:jc w:val="center"/>
              <w:rPr>
                <w:rFonts w:ascii="Times New Roman" w:hAnsi="Times New Roman" w:eastAsia="宋体"/>
                <w:color w:val="auto"/>
                <w:sz w:val="24"/>
                <w:szCs w:val="24"/>
              </w:rPr>
            </w:pPr>
          </w:p>
        </w:tc>
        <w:tc>
          <w:tcPr>
            <w:tcW w:w="1275" w:type="dxa"/>
            <w:vAlign w:val="center"/>
          </w:tcPr>
          <w:p w14:paraId="5DDD9812">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秸秆粉碎机</w:t>
            </w:r>
          </w:p>
        </w:tc>
        <w:tc>
          <w:tcPr>
            <w:tcW w:w="4111" w:type="dxa"/>
          </w:tcPr>
          <w:p w14:paraId="267DD09C">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1、功率≥55kw；</w:t>
            </w:r>
          </w:p>
          <w:p w14:paraId="3F7DACE3">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2、进料形式：输送带进料，进料口尺寸：不小于1200*600mm；</w:t>
            </w:r>
          </w:p>
          <w:p w14:paraId="0EA4B12A">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3、刀辊类型：刀片式，直径不小于600mm；出料片尺寸：3-5cm</w:t>
            </w:r>
          </w:p>
          <w:p w14:paraId="673A3845">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4、</w:t>
            </w:r>
            <w:r>
              <w:rPr>
                <w:rFonts w:hint="eastAsia" w:ascii="Times New Roman" w:hAnsi="Times New Roman" w:eastAsia="宋体"/>
                <w:bCs w:val="0"/>
                <w:color w:val="auto"/>
                <w:sz w:val="24"/>
                <w:szCs w:val="24"/>
              </w:rPr>
              <w:t>生产能力：≥10吨/时</w:t>
            </w:r>
          </w:p>
        </w:tc>
        <w:tc>
          <w:tcPr>
            <w:tcW w:w="780" w:type="dxa"/>
            <w:vAlign w:val="center"/>
          </w:tcPr>
          <w:p w14:paraId="7A90233F">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6082C348">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台</w:t>
            </w:r>
          </w:p>
        </w:tc>
        <w:tc>
          <w:tcPr>
            <w:tcW w:w="709" w:type="dxa"/>
            <w:vAlign w:val="center"/>
          </w:tcPr>
          <w:p w14:paraId="54293221">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1</w:t>
            </w:r>
            <w:r>
              <w:rPr>
                <w:rFonts w:hint="eastAsia" w:ascii="Times New Roman" w:hAnsi="Times New Roman" w:eastAsia="宋体"/>
                <w:color w:val="auto"/>
                <w:sz w:val="24"/>
                <w:szCs w:val="24"/>
                <w:lang w:val="en-US" w:eastAsia="zh-CN"/>
              </w:rPr>
              <w:t>5</w:t>
            </w:r>
            <w:r>
              <w:rPr>
                <w:rFonts w:hint="eastAsia" w:ascii="Times New Roman" w:hAnsi="Times New Roman" w:eastAsia="宋体"/>
                <w:color w:val="auto"/>
                <w:sz w:val="24"/>
                <w:szCs w:val="24"/>
              </w:rPr>
              <w:t>.40</w:t>
            </w:r>
          </w:p>
        </w:tc>
      </w:tr>
      <w:tr w14:paraId="7F51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5500D808">
            <w:pPr>
              <w:pStyle w:val="974"/>
              <w:jc w:val="center"/>
              <w:rPr>
                <w:rFonts w:ascii="Times New Roman" w:hAnsi="Times New Roman" w:eastAsia="宋体"/>
                <w:b/>
                <w:color w:val="auto"/>
                <w:sz w:val="24"/>
                <w:szCs w:val="24"/>
              </w:rPr>
            </w:pPr>
          </w:p>
        </w:tc>
        <w:tc>
          <w:tcPr>
            <w:tcW w:w="851" w:type="dxa"/>
            <w:vMerge w:val="continue"/>
            <w:vAlign w:val="center"/>
          </w:tcPr>
          <w:p w14:paraId="0A706209">
            <w:pPr>
              <w:pStyle w:val="974"/>
              <w:jc w:val="center"/>
              <w:rPr>
                <w:rFonts w:ascii="Times New Roman" w:hAnsi="Times New Roman" w:eastAsia="宋体"/>
                <w:color w:val="auto"/>
                <w:sz w:val="24"/>
                <w:szCs w:val="24"/>
              </w:rPr>
            </w:pPr>
          </w:p>
        </w:tc>
        <w:tc>
          <w:tcPr>
            <w:tcW w:w="1275" w:type="dxa"/>
            <w:vAlign w:val="center"/>
          </w:tcPr>
          <w:p w14:paraId="5D790AF6">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叉车</w:t>
            </w:r>
          </w:p>
        </w:tc>
        <w:tc>
          <w:tcPr>
            <w:tcW w:w="4111" w:type="dxa"/>
          </w:tcPr>
          <w:p w14:paraId="55A6B6DD">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1、柴油动力/电动，自重4230kg，额定载荷不低于3000kg，起升高度不低于4500mm，载荷中心距500mm；</w:t>
            </w:r>
          </w:p>
          <w:p w14:paraId="40C64182">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2、整机长度(货叉前端)2810mm，整机宽度1230mm，护顶架高度2130mm。</w:t>
            </w:r>
          </w:p>
        </w:tc>
        <w:tc>
          <w:tcPr>
            <w:tcW w:w="780" w:type="dxa"/>
            <w:vAlign w:val="center"/>
          </w:tcPr>
          <w:p w14:paraId="6D8D46F7">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16E3B720">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辆</w:t>
            </w:r>
          </w:p>
        </w:tc>
        <w:tc>
          <w:tcPr>
            <w:tcW w:w="709" w:type="dxa"/>
            <w:vAlign w:val="center"/>
          </w:tcPr>
          <w:p w14:paraId="0420EF6D">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4.20</w:t>
            </w:r>
          </w:p>
        </w:tc>
      </w:tr>
      <w:tr w14:paraId="51D9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23514739">
            <w:pPr>
              <w:pStyle w:val="974"/>
              <w:jc w:val="center"/>
              <w:rPr>
                <w:rFonts w:ascii="Times New Roman" w:hAnsi="Times New Roman" w:eastAsia="宋体"/>
                <w:b/>
                <w:color w:val="auto"/>
                <w:sz w:val="24"/>
                <w:szCs w:val="24"/>
              </w:rPr>
            </w:pPr>
          </w:p>
        </w:tc>
        <w:tc>
          <w:tcPr>
            <w:tcW w:w="851" w:type="dxa"/>
            <w:vMerge w:val="continue"/>
            <w:vAlign w:val="center"/>
          </w:tcPr>
          <w:p w14:paraId="60B3EA6A">
            <w:pPr>
              <w:pStyle w:val="974"/>
              <w:jc w:val="center"/>
              <w:rPr>
                <w:rFonts w:ascii="Times New Roman" w:hAnsi="Times New Roman" w:eastAsia="宋体"/>
                <w:color w:val="auto"/>
                <w:sz w:val="24"/>
                <w:szCs w:val="24"/>
              </w:rPr>
            </w:pPr>
          </w:p>
        </w:tc>
        <w:tc>
          <w:tcPr>
            <w:tcW w:w="1275" w:type="dxa"/>
            <w:vAlign w:val="center"/>
          </w:tcPr>
          <w:p w14:paraId="0729BD36">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工程铲车</w:t>
            </w:r>
          </w:p>
        </w:tc>
        <w:tc>
          <w:tcPr>
            <w:tcW w:w="4111" w:type="dxa"/>
          </w:tcPr>
          <w:p w14:paraId="6D72A233">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1、外形尺寸长*宽*高为7340*2520*3150mm；</w:t>
            </w:r>
          </w:p>
          <w:p w14:paraId="6A095EFA">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2、额定载重不低于3000kg，额定功率92kw；3、斗容范围不低于2m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w:t>
            </w:r>
          </w:p>
          <w:p w14:paraId="19D8D651">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4、整机工作质量10060kg，牵引力不低于97kN，掘起力不低于90kN，卸载高度不低于3240mm；</w:t>
            </w:r>
          </w:p>
          <w:p w14:paraId="23540F75">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5、可改装力臂、斗容，加装空调。</w:t>
            </w:r>
          </w:p>
        </w:tc>
        <w:tc>
          <w:tcPr>
            <w:tcW w:w="780" w:type="dxa"/>
            <w:vAlign w:val="center"/>
          </w:tcPr>
          <w:p w14:paraId="0BEBAC53">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3A71E119">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辆</w:t>
            </w:r>
          </w:p>
        </w:tc>
        <w:tc>
          <w:tcPr>
            <w:tcW w:w="709" w:type="dxa"/>
            <w:vAlign w:val="center"/>
          </w:tcPr>
          <w:p w14:paraId="580818F7">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20.80</w:t>
            </w:r>
          </w:p>
        </w:tc>
      </w:tr>
      <w:tr w14:paraId="2C5A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0ACBB2EA">
            <w:pPr>
              <w:pStyle w:val="974"/>
              <w:jc w:val="center"/>
              <w:rPr>
                <w:rFonts w:ascii="Times New Roman" w:hAnsi="Times New Roman" w:eastAsia="宋体"/>
                <w:b/>
                <w:color w:val="auto"/>
                <w:sz w:val="24"/>
                <w:szCs w:val="24"/>
              </w:rPr>
            </w:pPr>
          </w:p>
        </w:tc>
        <w:tc>
          <w:tcPr>
            <w:tcW w:w="851" w:type="dxa"/>
            <w:vMerge w:val="continue"/>
            <w:vAlign w:val="center"/>
          </w:tcPr>
          <w:p w14:paraId="61FA22AD">
            <w:pPr>
              <w:pStyle w:val="974"/>
              <w:jc w:val="center"/>
              <w:rPr>
                <w:rFonts w:ascii="Times New Roman" w:hAnsi="Times New Roman" w:eastAsia="宋体"/>
                <w:color w:val="auto"/>
                <w:sz w:val="24"/>
                <w:szCs w:val="24"/>
              </w:rPr>
            </w:pPr>
          </w:p>
        </w:tc>
        <w:tc>
          <w:tcPr>
            <w:tcW w:w="1275" w:type="dxa"/>
            <w:vAlign w:val="center"/>
          </w:tcPr>
          <w:p w14:paraId="12B6A5C6">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预粉机</w:t>
            </w:r>
          </w:p>
        </w:tc>
        <w:tc>
          <w:tcPr>
            <w:tcW w:w="4111" w:type="dxa"/>
            <w:vAlign w:val="center"/>
          </w:tcPr>
          <w:p w14:paraId="611D8E1C">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功率≥45kw；</w:t>
            </w:r>
          </w:p>
          <w:p w14:paraId="66A8D859">
            <w:pPr>
              <w:spacing w:line="360" w:lineRule="auto"/>
              <w:jc w:val="left"/>
              <w:rPr>
                <w:rFonts w:ascii="Times New Roman" w:hAnsi="Times New Roman" w:eastAsia="宋体" w:cs="Times New Roman"/>
                <w:b/>
                <w:bCs/>
                <w:sz w:val="24"/>
                <w:szCs w:val="24"/>
                <w:u w:val="single"/>
              </w:rPr>
            </w:pPr>
            <w:r>
              <w:rPr>
                <w:rFonts w:ascii="Times New Roman" w:hAnsi="Times New Roman" w:eastAsia="宋体" w:cs="Times New Roman"/>
                <w:sz w:val="24"/>
                <w:szCs w:val="24"/>
              </w:rPr>
              <w:t>2、</w:t>
            </w:r>
            <w:r>
              <w:rPr>
                <w:rFonts w:ascii="Times New Roman" w:hAnsi="Times New Roman" w:eastAsia="宋体" w:cs="Times New Roman"/>
                <w:bCs/>
                <w:sz w:val="24"/>
                <w:szCs w:val="24"/>
              </w:rPr>
              <w:t>小时产能</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10吨</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每日可连续生产不低于20小时</w:t>
            </w:r>
            <w:r>
              <w:rPr>
                <w:rFonts w:ascii="Times New Roman" w:hAnsi="Times New Roman" w:eastAsia="宋体" w:cs="Times New Roman"/>
                <w:b/>
                <w:bCs/>
                <w:sz w:val="24"/>
                <w:szCs w:val="24"/>
                <w:u w:val="single"/>
              </w:rPr>
              <w:t>；</w:t>
            </w:r>
          </w:p>
          <w:p w14:paraId="14F506A6">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3、外形尺寸：1500*1500*1200mm</w:t>
            </w:r>
            <w:r>
              <w:rPr>
                <w:rFonts w:hint="eastAsia" w:ascii="Times New Roman" w:hAnsi="Times New Roman" w:eastAsia="宋体" w:cs="Times New Roman"/>
                <w:sz w:val="24"/>
                <w:szCs w:val="24"/>
              </w:rPr>
              <w:t>（</w:t>
            </w:r>
            <w:r>
              <w:rPr>
                <w:rFonts w:ascii="Times New Roman" w:hAnsi="Times New Roman" w:eastAsia="宋体" w:cs="Times New Roman"/>
                <w:sz w:val="24"/>
                <w:szCs w:val="24"/>
              </w:rPr>
              <w:t>长*宽*高</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p>
          <w:p w14:paraId="562E4994">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4、刀片尺寸：180*60*6mm</w:t>
            </w:r>
            <w:r>
              <w:rPr>
                <w:rFonts w:hint="eastAsia" w:ascii="Times New Roman" w:hAnsi="Times New Roman" w:eastAsia="宋体" w:cs="Times New Roman"/>
                <w:sz w:val="24"/>
                <w:szCs w:val="24"/>
              </w:rPr>
              <w:t>（</w:t>
            </w:r>
            <w:r>
              <w:rPr>
                <w:rFonts w:ascii="Times New Roman" w:hAnsi="Times New Roman" w:eastAsia="宋体" w:cs="Times New Roman"/>
                <w:sz w:val="24"/>
                <w:szCs w:val="24"/>
              </w:rPr>
              <w:t>长*宽*厚</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p>
          <w:p w14:paraId="21C5FF09">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5、传动方式：皮带传动；</w:t>
            </w:r>
          </w:p>
          <w:p w14:paraId="3133C075">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6、主轴直径90mm、长1450mm；</w:t>
            </w:r>
          </w:p>
          <w:p w14:paraId="1FF3CE07">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7、主体材质采用Q235、刀片材质为合金；</w:t>
            </w:r>
          </w:p>
          <w:p w14:paraId="0C37D1F3">
            <w:pPr>
              <w:pStyle w:val="974"/>
              <w:jc w:val="both"/>
              <w:rPr>
                <w:rFonts w:ascii="Times New Roman" w:hAnsi="Times New Roman" w:eastAsia="宋体"/>
                <w:color w:val="auto"/>
                <w:sz w:val="24"/>
                <w:szCs w:val="24"/>
              </w:rPr>
            </w:pPr>
            <w:r>
              <w:rPr>
                <w:rFonts w:ascii="Times New Roman" w:hAnsi="Times New Roman" w:eastAsia="宋体"/>
                <w:color w:val="auto"/>
                <w:sz w:val="24"/>
                <w:szCs w:val="24"/>
              </w:rPr>
              <w:t>8、轴承座采用铸造件、厚度88mm</w:t>
            </w:r>
            <w:r>
              <w:rPr>
                <w:rFonts w:hint="eastAsia" w:ascii="Times New Roman" w:hAnsi="Times New Roman" w:eastAsia="宋体"/>
                <w:color w:val="auto"/>
                <w:sz w:val="24"/>
                <w:szCs w:val="24"/>
              </w:rPr>
              <w:t>。</w:t>
            </w:r>
            <w:r>
              <w:rPr>
                <w:rFonts w:ascii="Times New Roman" w:hAnsi="Times New Roman" w:eastAsia="宋体"/>
                <w:color w:val="auto"/>
                <w:sz w:val="24"/>
                <w:szCs w:val="24"/>
              </w:rPr>
              <w:t xml:space="preserve"> </w:t>
            </w:r>
          </w:p>
        </w:tc>
        <w:tc>
          <w:tcPr>
            <w:tcW w:w="780" w:type="dxa"/>
            <w:vAlign w:val="center"/>
          </w:tcPr>
          <w:p w14:paraId="0D9CBC56">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4335B5E1">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台</w:t>
            </w:r>
          </w:p>
        </w:tc>
        <w:tc>
          <w:tcPr>
            <w:tcW w:w="709" w:type="dxa"/>
            <w:vAlign w:val="center"/>
          </w:tcPr>
          <w:p w14:paraId="6447376C">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3.96</w:t>
            </w:r>
          </w:p>
        </w:tc>
      </w:tr>
      <w:tr w14:paraId="5033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26EF5035">
            <w:pPr>
              <w:pStyle w:val="974"/>
              <w:jc w:val="center"/>
              <w:rPr>
                <w:rFonts w:ascii="Times New Roman" w:hAnsi="Times New Roman" w:eastAsia="宋体"/>
                <w:b/>
                <w:color w:val="auto"/>
                <w:sz w:val="24"/>
                <w:szCs w:val="24"/>
              </w:rPr>
            </w:pPr>
          </w:p>
        </w:tc>
        <w:tc>
          <w:tcPr>
            <w:tcW w:w="851" w:type="dxa"/>
            <w:vMerge w:val="continue"/>
            <w:vAlign w:val="center"/>
          </w:tcPr>
          <w:p w14:paraId="5CD6B51A">
            <w:pPr>
              <w:pStyle w:val="974"/>
              <w:jc w:val="center"/>
              <w:rPr>
                <w:rFonts w:ascii="Times New Roman" w:hAnsi="Times New Roman" w:eastAsia="宋体"/>
                <w:color w:val="auto"/>
                <w:sz w:val="24"/>
                <w:szCs w:val="24"/>
              </w:rPr>
            </w:pPr>
          </w:p>
        </w:tc>
        <w:tc>
          <w:tcPr>
            <w:tcW w:w="1275" w:type="dxa"/>
            <w:vAlign w:val="center"/>
          </w:tcPr>
          <w:p w14:paraId="7A758F9F">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廊桥</w:t>
            </w:r>
          </w:p>
        </w:tc>
        <w:tc>
          <w:tcPr>
            <w:tcW w:w="4111" w:type="dxa"/>
            <w:vAlign w:val="center"/>
          </w:tcPr>
          <w:p w14:paraId="2DFCDE41">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跨度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9</w:t>
            </w:r>
            <w:r>
              <w:rPr>
                <w:rFonts w:hint="eastAsia" w:ascii="Times New Roman" w:hAnsi="Times New Roman" w:eastAsia="宋体" w:cs="Times New Roman"/>
                <w:sz w:val="24"/>
                <w:szCs w:val="24"/>
              </w:rPr>
              <w:t>m，高度≥500mm；</w:t>
            </w:r>
          </w:p>
          <w:p w14:paraId="0E09DEAD">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2、满足设备运行条件及检修条件、不影响底部道路通行；</w:t>
            </w:r>
            <w:r>
              <w:rPr>
                <w:rFonts w:hint="eastAsia" w:ascii="Times New Roman" w:hAnsi="Times New Roman" w:eastAsia="宋体" w:cs="Times New Roman"/>
                <w:sz w:val="24"/>
                <w:szCs w:val="24"/>
              </w:rPr>
              <w:t>配备</w:t>
            </w:r>
            <w:r>
              <w:rPr>
                <w:rFonts w:ascii="Times New Roman" w:hAnsi="Times New Roman" w:eastAsia="宋体" w:cs="Times New Roman"/>
                <w:sz w:val="24"/>
                <w:szCs w:val="24"/>
              </w:rPr>
              <w:t>防雨防风处理；</w:t>
            </w:r>
          </w:p>
          <w:p w14:paraId="6459EDCD">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3、材质采用Q235</w:t>
            </w:r>
            <w:r>
              <w:rPr>
                <w:rFonts w:hint="eastAsia" w:ascii="Times New Roman" w:hAnsi="Times New Roman" w:eastAsia="宋体" w:cs="Times New Roman"/>
                <w:sz w:val="24"/>
                <w:szCs w:val="24"/>
              </w:rPr>
              <w:t>；</w:t>
            </w:r>
          </w:p>
          <w:p w14:paraId="4F708819">
            <w:pPr>
              <w:pStyle w:val="974"/>
              <w:jc w:val="both"/>
              <w:rPr>
                <w:rFonts w:ascii="Times New Roman" w:hAnsi="Times New Roman" w:eastAsia="宋体"/>
                <w:color w:val="auto"/>
                <w:sz w:val="24"/>
                <w:szCs w:val="24"/>
              </w:rPr>
            </w:pPr>
            <w:r>
              <w:rPr>
                <w:rFonts w:ascii="Times New Roman" w:hAnsi="Times New Roman" w:eastAsia="宋体"/>
                <w:color w:val="auto"/>
                <w:sz w:val="24"/>
                <w:szCs w:val="24"/>
              </w:rPr>
              <w:t>4、</w:t>
            </w:r>
            <w:r>
              <w:rPr>
                <w:rFonts w:hint="eastAsia" w:ascii="Times New Roman" w:hAnsi="Times New Roman" w:eastAsia="宋体"/>
                <w:color w:val="auto"/>
                <w:sz w:val="24"/>
                <w:szCs w:val="24"/>
              </w:rPr>
              <w:t>配套传送皮带，皮带宽度≥650mm。</w:t>
            </w:r>
          </w:p>
        </w:tc>
        <w:tc>
          <w:tcPr>
            <w:tcW w:w="780" w:type="dxa"/>
            <w:vAlign w:val="center"/>
          </w:tcPr>
          <w:p w14:paraId="3B537826">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537AFEED">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2885F14B">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4.80</w:t>
            </w:r>
          </w:p>
        </w:tc>
      </w:tr>
      <w:tr w14:paraId="0EB3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6D200322">
            <w:pPr>
              <w:pStyle w:val="974"/>
              <w:jc w:val="center"/>
              <w:rPr>
                <w:rFonts w:ascii="Times New Roman" w:hAnsi="Times New Roman" w:eastAsia="宋体"/>
                <w:b/>
                <w:color w:val="auto"/>
                <w:sz w:val="24"/>
                <w:szCs w:val="24"/>
              </w:rPr>
            </w:pPr>
          </w:p>
        </w:tc>
        <w:tc>
          <w:tcPr>
            <w:tcW w:w="851" w:type="dxa"/>
            <w:vMerge w:val="continue"/>
            <w:vAlign w:val="center"/>
          </w:tcPr>
          <w:p w14:paraId="367B6285">
            <w:pPr>
              <w:pStyle w:val="974"/>
              <w:jc w:val="center"/>
              <w:rPr>
                <w:rFonts w:ascii="Times New Roman" w:hAnsi="Times New Roman" w:eastAsia="宋体"/>
                <w:color w:val="auto"/>
                <w:sz w:val="24"/>
                <w:szCs w:val="24"/>
              </w:rPr>
            </w:pPr>
          </w:p>
        </w:tc>
        <w:tc>
          <w:tcPr>
            <w:tcW w:w="1275" w:type="dxa"/>
            <w:vAlign w:val="center"/>
          </w:tcPr>
          <w:p w14:paraId="3515A92B">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原料转运平台</w:t>
            </w:r>
          </w:p>
        </w:tc>
        <w:tc>
          <w:tcPr>
            <w:tcW w:w="4111" w:type="dxa"/>
            <w:vAlign w:val="center"/>
          </w:tcPr>
          <w:p w14:paraId="39FEB93B">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功率≥5.5kw；</w:t>
            </w:r>
          </w:p>
          <w:p w14:paraId="6341881B">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bCs/>
                <w:sz w:val="24"/>
                <w:szCs w:val="24"/>
              </w:rPr>
              <w:t>皮带宽度</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650mm；</w:t>
            </w:r>
          </w:p>
          <w:p w14:paraId="7C71E142">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3、前后花篮滚筒滚筒采用</w:t>
            </w:r>
            <w:r>
              <w:rPr>
                <w:rFonts w:hint="eastAsia" w:ascii="Times New Roman" w:hAnsi="Times New Roman" w:eastAsia="宋体" w:cs="Times New Roman"/>
                <w:sz w:val="24"/>
                <w:szCs w:val="24"/>
              </w:rPr>
              <w:t>不低于</w:t>
            </w:r>
            <w:r>
              <w:rPr>
                <w:rFonts w:ascii="Times New Roman" w:hAnsi="Times New Roman" w:eastAsia="宋体" w:cs="Times New Roman"/>
                <w:sz w:val="24"/>
                <w:szCs w:val="24"/>
              </w:rPr>
              <w:t>16㎜圆钢30圆钢组焊；机架采用120槽钢组焊；</w:t>
            </w:r>
          </w:p>
          <w:p w14:paraId="2526E672">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4、含密封罩；</w:t>
            </w:r>
          </w:p>
          <w:p w14:paraId="1582697F">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、皮带长度</w:t>
            </w:r>
            <w:r>
              <w:rPr>
                <w:rFonts w:hint="eastAsia" w:ascii="Times New Roman" w:hAnsi="Times New Roman" w:eastAsia="宋体" w:cs="Times New Roman"/>
                <w:sz w:val="24"/>
                <w:szCs w:val="24"/>
              </w:rPr>
              <w:t>不低于</w:t>
            </w:r>
            <w:r>
              <w:rPr>
                <w:rFonts w:ascii="Times New Roman" w:hAnsi="Times New Roman" w:eastAsia="宋体" w:cs="Times New Roman"/>
                <w:sz w:val="24"/>
                <w:szCs w:val="24"/>
              </w:rPr>
              <w:t>15.5米；</w:t>
            </w:r>
          </w:p>
          <w:p w14:paraId="05289829">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、皮带为</w:t>
            </w:r>
            <w:r>
              <w:rPr>
                <w:rFonts w:hint="eastAsia" w:ascii="Times New Roman" w:hAnsi="Times New Roman" w:eastAsia="宋体" w:cs="Times New Roman"/>
                <w:sz w:val="24"/>
                <w:szCs w:val="24"/>
              </w:rPr>
              <w:t>不低于</w:t>
            </w:r>
            <w:r>
              <w:rPr>
                <w:rFonts w:ascii="Times New Roman" w:hAnsi="Times New Roman" w:eastAsia="宋体" w:cs="Times New Roman"/>
                <w:sz w:val="24"/>
                <w:szCs w:val="24"/>
              </w:rPr>
              <w:t>5层尼龙帆线、耐酸碱，厚度不低于10 mm；</w:t>
            </w:r>
          </w:p>
          <w:p w14:paraId="7690687A">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ascii="Times New Roman" w:hAnsi="Times New Roman" w:eastAsia="宋体" w:cs="Times New Roman"/>
                <w:sz w:val="24"/>
                <w:szCs w:val="24"/>
              </w:rPr>
              <w:t>、配置档边轮不低于10个；</w:t>
            </w:r>
          </w:p>
          <w:p w14:paraId="0F356C3D">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8</w:t>
            </w:r>
            <w:r>
              <w:rPr>
                <w:rFonts w:ascii="Times New Roman" w:hAnsi="Times New Roman" w:eastAsia="宋体"/>
                <w:color w:val="auto"/>
                <w:sz w:val="24"/>
                <w:szCs w:val="24"/>
              </w:rPr>
              <w:t>、配置进料斗、出料刮板</w:t>
            </w:r>
            <w:r>
              <w:rPr>
                <w:rFonts w:hint="eastAsia" w:ascii="Times New Roman" w:hAnsi="Times New Roman" w:eastAsia="宋体"/>
                <w:color w:val="auto"/>
                <w:sz w:val="24"/>
                <w:szCs w:val="24"/>
              </w:rPr>
              <w:t>。</w:t>
            </w:r>
          </w:p>
        </w:tc>
        <w:tc>
          <w:tcPr>
            <w:tcW w:w="780" w:type="dxa"/>
            <w:vAlign w:val="center"/>
          </w:tcPr>
          <w:p w14:paraId="41947E49">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1A5C92AC">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77EFDC24">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2.88</w:t>
            </w:r>
          </w:p>
        </w:tc>
      </w:tr>
      <w:tr w14:paraId="4203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4F428EBF">
            <w:pPr>
              <w:pStyle w:val="974"/>
              <w:jc w:val="center"/>
              <w:rPr>
                <w:rFonts w:ascii="Times New Roman" w:hAnsi="Times New Roman" w:eastAsia="宋体"/>
                <w:b/>
                <w:color w:val="auto"/>
                <w:sz w:val="24"/>
                <w:szCs w:val="24"/>
              </w:rPr>
            </w:pPr>
          </w:p>
        </w:tc>
        <w:tc>
          <w:tcPr>
            <w:tcW w:w="851" w:type="dxa"/>
            <w:vMerge w:val="continue"/>
            <w:vAlign w:val="center"/>
          </w:tcPr>
          <w:p w14:paraId="6D4DCAAF">
            <w:pPr>
              <w:pStyle w:val="974"/>
              <w:jc w:val="center"/>
              <w:rPr>
                <w:rFonts w:ascii="Times New Roman" w:hAnsi="Times New Roman" w:eastAsia="宋体"/>
                <w:color w:val="auto"/>
                <w:sz w:val="24"/>
                <w:szCs w:val="24"/>
              </w:rPr>
            </w:pPr>
          </w:p>
        </w:tc>
        <w:tc>
          <w:tcPr>
            <w:tcW w:w="1275" w:type="dxa"/>
            <w:vAlign w:val="center"/>
          </w:tcPr>
          <w:p w14:paraId="11FA7CCC">
            <w:pPr>
              <w:pStyle w:val="974"/>
              <w:jc w:val="center"/>
              <w:rPr>
                <w:rFonts w:ascii="Times New Roman" w:hAnsi="Times New Roman" w:eastAsia="宋体"/>
                <w:b/>
                <w:bCs w:val="0"/>
                <w:color w:val="auto"/>
                <w:sz w:val="24"/>
                <w:szCs w:val="24"/>
                <w:u w:val="single"/>
              </w:rPr>
            </w:pPr>
            <w:r>
              <w:rPr>
                <w:rFonts w:hint="eastAsia" w:ascii="Times New Roman" w:hAnsi="Times New Roman" w:eastAsia="宋体"/>
                <w:b/>
                <w:bCs w:val="0"/>
                <w:color w:val="auto"/>
                <w:sz w:val="24"/>
                <w:szCs w:val="24"/>
                <w:u w:val="single"/>
              </w:rPr>
              <w:t>智能逆变翻堆系统</w:t>
            </w:r>
          </w:p>
        </w:tc>
        <w:tc>
          <w:tcPr>
            <w:tcW w:w="4111" w:type="dxa"/>
            <w:vAlign w:val="center"/>
          </w:tcPr>
          <w:p w14:paraId="0D51E75D">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宽</w:t>
            </w:r>
            <w:r>
              <w:rPr>
                <w:rFonts w:ascii="Times New Roman" w:hAnsi="Times New Roman" w:eastAsia="宋体" w:cs="Times New Roman"/>
                <w:sz w:val="24"/>
                <w:szCs w:val="24"/>
              </w:rPr>
              <w:t>10米，</w:t>
            </w:r>
            <w:r>
              <w:rPr>
                <w:rFonts w:hint="eastAsia" w:ascii="Times New Roman" w:hAnsi="Times New Roman" w:eastAsia="宋体" w:cs="Times New Roman"/>
                <w:sz w:val="24"/>
                <w:szCs w:val="24"/>
              </w:rPr>
              <w:t>抛料</w:t>
            </w:r>
            <w:r>
              <w:rPr>
                <w:rFonts w:ascii="Times New Roman" w:hAnsi="Times New Roman" w:eastAsia="宋体" w:cs="Times New Roman"/>
                <w:sz w:val="24"/>
                <w:szCs w:val="24"/>
              </w:rPr>
              <w:t>堆高1.7米；</w:t>
            </w:r>
          </w:p>
          <w:p w14:paraId="3548DA95">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b/>
                <w:sz w:val="24"/>
                <w:szCs w:val="24"/>
                <w:u w:val="single"/>
              </w:rPr>
              <w:t>★</w:t>
            </w:r>
            <w:r>
              <w:rPr>
                <w:rFonts w:ascii="Times New Roman" w:hAnsi="Times New Roman" w:eastAsia="宋体" w:cs="Times New Roman"/>
                <w:b/>
                <w:sz w:val="24"/>
                <w:szCs w:val="24"/>
                <w:u w:val="single"/>
              </w:rPr>
              <w:t>大梁采用盒式箱梁结构，t</w:t>
            </w:r>
            <w:r>
              <w:rPr>
                <w:rFonts w:hint="eastAsia" w:ascii="Times New Roman" w:hAnsi="Times New Roman" w:eastAsia="宋体" w:cs="Times New Roman"/>
                <w:b/>
                <w:sz w:val="24"/>
                <w:szCs w:val="24"/>
                <w:u w:val="single"/>
              </w:rPr>
              <w:t>≥</w:t>
            </w:r>
            <w:r>
              <w:rPr>
                <w:rFonts w:ascii="Times New Roman" w:hAnsi="Times New Roman" w:eastAsia="宋体" w:cs="Times New Roman"/>
                <w:b/>
                <w:sz w:val="24"/>
                <w:szCs w:val="24"/>
                <w:u w:val="single"/>
              </w:rPr>
              <w:t>20mm与t</w:t>
            </w:r>
            <w:r>
              <w:rPr>
                <w:rFonts w:hint="eastAsia" w:ascii="Times New Roman" w:hAnsi="Times New Roman" w:eastAsia="宋体" w:cs="Times New Roman"/>
                <w:b/>
                <w:sz w:val="24"/>
                <w:szCs w:val="24"/>
                <w:u w:val="single"/>
              </w:rPr>
              <w:t>≥</w:t>
            </w:r>
            <w:r>
              <w:rPr>
                <w:rFonts w:ascii="Times New Roman" w:hAnsi="Times New Roman" w:eastAsia="宋体" w:cs="Times New Roman"/>
                <w:b/>
                <w:sz w:val="24"/>
                <w:szCs w:val="24"/>
                <w:u w:val="single"/>
              </w:rPr>
              <w:t>8mmQ235板材拼焊接而成，保证强度</w:t>
            </w:r>
            <w:r>
              <w:rPr>
                <w:rFonts w:ascii="Times New Roman" w:hAnsi="Times New Roman" w:eastAsia="宋体" w:cs="Times New Roman"/>
                <w:sz w:val="24"/>
                <w:szCs w:val="24"/>
              </w:rPr>
              <w:t>；</w:t>
            </w:r>
          </w:p>
          <w:p w14:paraId="3EE6FE08">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3、主电机</w:t>
            </w:r>
            <w:r>
              <w:rPr>
                <w:rFonts w:hint="eastAsia" w:ascii="Times New Roman" w:hAnsi="Times New Roman" w:eastAsia="宋体" w:cs="Times New Roman"/>
                <w:sz w:val="24"/>
                <w:szCs w:val="24"/>
              </w:rPr>
              <w:t>≥</w:t>
            </w:r>
            <w:r>
              <w:rPr>
                <w:rFonts w:ascii="Times New Roman" w:hAnsi="Times New Roman" w:eastAsia="宋体" w:cs="Times New Roman"/>
                <w:sz w:val="24"/>
                <w:szCs w:val="24"/>
              </w:rPr>
              <w:t>30KW，主机变频器：</w:t>
            </w:r>
            <w:r>
              <w:rPr>
                <w:rFonts w:hint="eastAsia" w:ascii="Times New Roman" w:hAnsi="Times New Roman" w:eastAsia="宋体" w:cs="Times New Roman"/>
                <w:sz w:val="24"/>
                <w:szCs w:val="24"/>
              </w:rPr>
              <w:t>≥</w:t>
            </w:r>
            <w:r>
              <w:rPr>
                <w:rFonts w:ascii="Times New Roman" w:hAnsi="Times New Roman" w:eastAsia="宋体" w:cs="Times New Roman"/>
                <w:sz w:val="24"/>
                <w:szCs w:val="24"/>
              </w:rPr>
              <w:t>37KW；</w:t>
            </w:r>
          </w:p>
          <w:p w14:paraId="6598D297">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4、减速机为</w:t>
            </w:r>
            <w:r>
              <w:rPr>
                <w:rFonts w:hint="eastAsia" w:ascii="Times New Roman" w:hAnsi="Times New Roman" w:eastAsia="宋体" w:cs="Times New Roman"/>
                <w:sz w:val="24"/>
                <w:szCs w:val="24"/>
              </w:rPr>
              <w:t>R</w:t>
            </w:r>
            <w:r>
              <w:rPr>
                <w:rFonts w:ascii="Times New Roman" w:hAnsi="Times New Roman" w:eastAsia="宋体" w:cs="Times New Roman"/>
                <w:sz w:val="24"/>
                <w:szCs w:val="24"/>
              </w:rPr>
              <w:t>系列硬齿面；</w:t>
            </w:r>
            <w:r>
              <w:rPr>
                <w:rFonts w:hint="eastAsia" w:ascii="Times New Roman" w:hAnsi="Times New Roman" w:eastAsia="宋体" w:cs="宋体"/>
                <w:b/>
                <w:sz w:val="24"/>
                <w:szCs w:val="24"/>
                <w:u w:val="single"/>
              </w:rPr>
              <w:t>▲要求</w:t>
            </w:r>
            <w:r>
              <w:rPr>
                <w:rFonts w:hint="eastAsia" w:ascii="Times New Roman" w:hAnsi="Times New Roman" w:eastAsia="宋体" w:cs="Times New Roman"/>
                <w:b/>
                <w:bCs/>
                <w:sz w:val="24"/>
                <w:szCs w:val="24"/>
                <w:u w:val="single"/>
              </w:rPr>
              <w:t>全齿轮传动</w:t>
            </w:r>
            <w:r>
              <w:rPr>
                <w:rFonts w:hint="eastAsia" w:ascii="Times New Roman" w:hAnsi="Times New Roman" w:eastAsia="宋体" w:cs="Times New Roman"/>
                <w:sz w:val="24"/>
                <w:szCs w:val="24"/>
              </w:rPr>
              <w:t>；</w:t>
            </w:r>
          </w:p>
          <w:p w14:paraId="54D42A81">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5、大车行走电机：</w:t>
            </w:r>
            <w:r>
              <w:rPr>
                <w:rFonts w:hint="eastAsia" w:ascii="Times New Roman" w:hAnsi="Times New Roman" w:eastAsia="宋体" w:cs="Times New Roman"/>
                <w:sz w:val="24"/>
                <w:szCs w:val="24"/>
              </w:rPr>
              <w:t>≥</w:t>
            </w:r>
            <w:r>
              <w:rPr>
                <w:rFonts w:ascii="Times New Roman" w:hAnsi="Times New Roman" w:eastAsia="宋体" w:cs="Times New Roman"/>
                <w:sz w:val="24"/>
                <w:szCs w:val="24"/>
              </w:rPr>
              <w:t>1.5KW×2</w:t>
            </w:r>
            <w:r>
              <w:rPr>
                <w:rFonts w:hint="eastAsia" w:ascii="Times New Roman" w:hAnsi="Times New Roman" w:eastAsia="宋体" w:cs="Times New Roman"/>
                <w:sz w:val="24"/>
                <w:szCs w:val="24"/>
              </w:rPr>
              <w:t>，变频电机</w:t>
            </w:r>
          </w:p>
          <w:p w14:paraId="3977485F">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6、小车移动：</w:t>
            </w:r>
            <w:r>
              <w:rPr>
                <w:rFonts w:hint="eastAsia" w:ascii="Times New Roman" w:hAnsi="Times New Roman" w:eastAsia="宋体" w:cs="Times New Roman"/>
                <w:sz w:val="24"/>
                <w:szCs w:val="24"/>
              </w:rPr>
              <w:t>≥</w:t>
            </w:r>
            <w:r>
              <w:rPr>
                <w:rFonts w:ascii="Times New Roman" w:hAnsi="Times New Roman" w:eastAsia="宋体" w:cs="Times New Roman"/>
                <w:sz w:val="24"/>
                <w:szCs w:val="24"/>
              </w:rPr>
              <w:t>2.2KW；</w:t>
            </w:r>
          </w:p>
          <w:p w14:paraId="5B27E837">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7、液压系统：</w:t>
            </w:r>
            <w:r>
              <w:rPr>
                <w:rFonts w:hint="eastAsia" w:ascii="Times New Roman" w:hAnsi="Times New Roman" w:eastAsia="宋体" w:cs="Times New Roman"/>
                <w:sz w:val="24"/>
                <w:szCs w:val="24"/>
              </w:rPr>
              <w:t>≥</w:t>
            </w:r>
            <w:r>
              <w:rPr>
                <w:rFonts w:ascii="Times New Roman" w:hAnsi="Times New Roman" w:eastAsia="宋体" w:cs="Times New Roman"/>
                <w:sz w:val="24"/>
                <w:szCs w:val="24"/>
              </w:rPr>
              <w:t>1.5KW；</w:t>
            </w:r>
          </w:p>
          <w:p w14:paraId="7F2935F6">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8、铣盘</w:t>
            </w:r>
            <w:r>
              <w:rPr>
                <w:rFonts w:hint="eastAsia" w:ascii="Times New Roman" w:hAnsi="Times New Roman" w:eastAsia="宋体" w:cs="Times New Roman"/>
                <w:sz w:val="24"/>
                <w:szCs w:val="24"/>
              </w:rPr>
              <w:t>材质：</w:t>
            </w:r>
            <w:r>
              <w:rPr>
                <w:rFonts w:ascii="Times New Roman" w:hAnsi="Times New Roman" w:eastAsia="宋体" w:cs="Times New Roman"/>
                <w:sz w:val="24"/>
                <w:szCs w:val="24"/>
              </w:rPr>
              <w:t>锰钢，可拆卸结构；</w:t>
            </w:r>
          </w:p>
          <w:p w14:paraId="6F3E37C7">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9、</w:t>
            </w:r>
            <w:r>
              <w:rPr>
                <w:rFonts w:ascii="Times New Roman" w:hAnsi="Times New Roman" w:eastAsia="宋体" w:cs="Times New Roman"/>
                <w:bCs/>
                <w:sz w:val="24"/>
                <w:szCs w:val="24"/>
              </w:rPr>
              <w:t>小时</w:t>
            </w:r>
            <w:r>
              <w:rPr>
                <w:rFonts w:hint="eastAsia" w:ascii="Times New Roman" w:hAnsi="Times New Roman" w:eastAsia="宋体" w:cs="Times New Roman"/>
                <w:bCs/>
                <w:sz w:val="24"/>
                <w:szCs w:val="24"/>
              </w:rPr>
              <w:t>翻堆</w:t>
            </w:r>
            <w:r>
              <w:rPr>
                <w:rFonts w:ascii="Times New Roman" w:hAnsi="Times New Roman" w:eastAsia="宋体" w:cs="Times New Roman"/>
                <w:bCs/>
                <w:sz w:val="24"/>
                <w:szCs w:val="24"/>
              </w:rPr>
              <w:t>量</w:t>
            </w:r>
            <w:r>
              <w:rPr>
                <w:rFonts w:hint="eastAsia" w:ascii="Times New Roman" w:hAnsi="Times New Roman" w:eastAsia="宋体" w:cs="Times New Roman"/>
                <w:bCs/>
                <w:sz w:val="24"/>
                <w:szCs w:val="24"/>
              </w:rPr>
              <w:t>：≥6</w:t>
            </w:r>
            <w:r>
              <w:rPr>
                <w:rFonts w:ascii="Times New Roman" w:hAnsi="Times New Roman" w:eastAsia="宋体" w:cs="Times New Roman"/>
                <w:bCs/>
                <w:sz w:val="24"/>
                <w:szCs w:val="24"/>
              </w:rPr>
              <w:t>00m</w:t>
            </w:r>
            <w:r>
              <w:rPr>
                <w:rFonts w:ascii="Times New Roman" w:hAnsi="Times New Roman" w:eastAsia="宋体" w:cs="Times New Roman"/>
                <w:bCs/>
                <w:sz w:val="24"/>
                <w:szCs w:val="24"/>
                <w:vertAlign w:val="superscript"/>
              </w:rPr>
              <w:t>3</w:t>
            </w:r>
            <w:r>
              <w:rPr>
                <w:rFonts w:ascii="Times New Roman" w:hAnsi="Times New Roman" w:eastAsia="宋体" w:cs="Times New Roman"/>
                <w:bCs/>
                <w:sz w:val="24"/>
                <w:szCs w:val="24"/>
              </w:rPr>
              <w:t>/h</w:t>
            </w:r>
            <w:r>
              <w:rPr>
                <w:rFonts w:ascii="Times New Roman" w:hAnsi="Times New Roman" w:eastAsia="宋体" w:cs="Times New Roman"/>
                <w:sz w:val="24"/>
                <w:szCs w:val="24"/>
              </w:rPr>
              <w:t>；</w:t>
            </w:r>
          </w:p>
          <w:p w14:paraId="4085BC7C">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Times New Roman"/>
                <w:sz w:val="24"/>
                <w:szCs w:val="24"/>
              </w:rPr>
              <w:t>*</w:t>
            </w:r>
            <w:r>
              <w:rPr>
                <w:rFonts w:ascii="Times New Roman" w:hAnsi="Times New Roman" w:eastAsia="宋体" w:cs="Times New Roman"/>
                <w:sz w:val="24"/>
                <w:szCs w:val="24"/>
              </w:rPr>
              <w:t>高温高湿环境中连续工作</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20小时</w:t>
            </w:r>
            <w:r>
              <w:rPr>
                <w:rFonts w:hint="eastAsia" w:ascii="Times New Roman" w:hAnsi="Times New Roman" w:eastAsia="宋体" w:cs="Times New Roman"/>
                <w:sz w:val="24"/>
                <w:szCs w:val="24"/>
              </w:rPr>
              <w:t>/日</w:t>
            </w:r>
            <w:r>
              <w:rPr>
                <w:rFonts w:ascii="Times New Roman" w:hAnsi="Times New Roman" w:eastAsia="宋体" w:cs="Times New Roman"/>
                <w:sz w:val="24"/>
                <w:szCs w:val="24"/>
              </w:rPr>
              <w:t>；</w:t>
            </w:r>
          </w:p>
          <w:p w14:paraId="7397DE21">
            <w:pPr>
              <w:pStyle w:val="974"/>
              <w:jc w:val="both"/>
              <w:rPr>
                <w:rFonts w:ascii="Times New Roman" w:hAnsi="Times New Roman" w:eastAsia="宋体"/>
                <w:color w:val="auto"/>
                <w:sz w:val="24"/>
                <w:szCs w:val="24"/>
              </w:rPr>
            </w:pPr>
            <w:r>
              <w:rPr>
                <w:rFonts w:ascii="Times New Roman" w:hAnsi="Times New Roman" w:eastAsia="宋体"/>
                <w:color w:val="auto"/>
                <w:sz w:val="24"/>
                <w:szCs w:val="24"/>
              </w:rPr>
              <w:t>11、</w:t>
            </w:r>
            <w:r>
              <w:rPr>
                <w:rFonts w:hint="eastAsia" w:ascii="Times New Roman" w:hAnsi="Times New Roman" w:eastAsia="宋体"/>
                <w:color w:val="auto"/>
                <w:sz w:val="24"/>
                <w:szCs w:val="24"/>
                <w:u w:val="single"/>
              </w:rPr>
              <w:t>▲</w:t>
            </w:r>
            <w:r>
              <w:rPr>
                <w:rFonts w:ascii="Times New Roman" w:hAnsi="Times New Roman" w:eastAsia="宋体"/>
                <w:b/>
                <w:bCs w:val="0"/>
                <w:color w:val="auto"/>
                <w:sz w:val="24"/>
                <w:szCs w:val="24"/>
                <w:u w:val="single"/>
              </w:rPr>
              <w:t>手自一体带无线遥控控制系统</w:t>
            </w:r>
            <w:r>
              <w:rPr>
                <w:rFonts w:hint="eastAsia" w:ascii="Times New Roman" w:hAnsi="Times New Roman" w:eastAsia="宋体"/>
                <w:b/>
                <w:bCs w:val="0"/>
                <w:color w:val="auto"/>
                <w:sz w:val="24"/>
                <w:szCs w:val="24"/>
                <w:u w:val="single"/>
              </w:rPr>
              <w:t>，</w:t>
            </w:r>
            <w:r>
              <w:rPr>
                <w:rFonts w:ascii="Times New Roman" w:hAnsi="Times New Roman" w:eastAsia="宋体"/>
                <w:b/>
                <w:bCs w:val="0"/>
                <w:color w:val="auto"/>
                <w:sz w:val="24"/>
                <w:szCs w:val="24"/>
                <w:u w:val="single"/>
              </w:rPr>
              <w:t>人机友好界面控制、PLC程序</w:t>
            </w:r>
            <w:r>
              <w:rPr>
                <w:rFonts w:hint="eastAsia" w:ascii="Times New Roman" w:hAnsi="Times New Roman" w:eastAsia="宋体"/>
                <w:b/>
                <w:bCs w:val="0"/>
                <w:color w:val="auto"/>
                <w:sz w:val="24"/>
                <w:szCs w:val="24"/>
                <w:u w:val="single"/>
              </w:rPr>
              <w:t>，</w:t>
            </w:r>
            <w:r>
              <w:rPr>
                <w:rFonts w:ascii="Times New Roman" w:hAnsi="Times New Roman" w:eastAsia="宋体"/>
                <w:b/>
                <w:bCs w:val="0"/>
                <w:color w:val="auto"/>
                <w:sz w:val="24"/>
                <w:szCs w:val="24"/>
                <w:u w:val="single"/>
              </w:rPr>
              <w:t>可远程电脑操作、手机5G远程操作</w:t>
            </w:r>
            <w:r>
              <w:rPr>
                <w:rFonts w:hint="eastAsia" w:ascii="Times New Roman" w:hAnsi="Times New Roman" w:eastAsia="宋体"/>
                <w:b/>
                <w:bCs w:val="0"/>
                <w:color w:val="auto"/>
                <w:sz w:val="24"/>
                <w:szCs w:val="24"/>
                <w:u w:val="single"/>
              </w:rPr>
              <w:t>。</w:t>
            </w:r>
          </w:p>
        </w:tc>
        <w:tc>
          <w:tcPr>
            <w:tcW w:w="780" w:type="dxa"/>
            <w:vAlign w:val="center"/>
          </w:tcPr>
          <w:p w14:paraId="644BA06B">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4C0FBC17">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06F1D4F3">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3</w:t>
            </w:r>
            <w:r>
              <w:rPr>
                <w:rFonts w:hint="eastAsia" w:ascii="Times New Roman" w:hAnsi="Times New Roman" w:eastAsia="宋体"/>
                <w:color w:val="auto"/>
                <w:sz w:val="24"/>
                <w:szCs w:val="24"/>
                <w:lang w:val="en-US" w:eastAsia="zh-CN"/>
              </w:rPr>
              <w:t>4</w:t>
            </w:r>
            <w:r>
              <w:rPr>
                <w:rFonts w:hint="eastAsia" w:ascii="Times New Roman" w:hAnsi="Times New Roman" w:eastAsia="宋体"/>
                <w:color w:val="auto"/>
                <w:sz w:val="24"/>
                <w:szCs w:val="24"/>
              </w:rPr>
              <w:t>.60</w:t>
            </w:r>
          </w:p>
        </w:tc>
      </w:tr>
      <w:tr w14:paraId="1DDA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7DBEA25D">
            <w:pPr>
              <w:pStyle w:val="974"/>
              <w:jc w:val="center"/>
              <w:rPr>
                <w:rFonts w:ascii="Times New Roman" w:hAnsi="Times New Roman" w:eastAsia="宋体"/>
                <w:b/>
                <w:color w:val="auto"/>
                <w:sz w:val="24"/>
                <w:szCs w:val="24"/>
              </w:rPr>
            </w:pPr>
          </w:p>
        </w:tc>
        <w:tc>
          <w:tcPr>
            <w:tcW w:w="851" w:type="dxa"/>
            <w:vMerge w:val="continue"/>
            <w:vAlign w:val="center"/>
          </w:tcPr>
          <w:p w14:paraId="07547C0E">
            <w:pPr>
              <w:pStyle w:val="974"/>
              <w:jc w:val="center"/>
              <w:rPr>
                <w:rFonts w:ascii="Times New Roman" w:hAnsi="Times New Roman" w:eastAsia="宋体"/>
                <w:color w:val="auto"/>
                <w:sz w:val="24"/>
                <w:szCs w:val="24"/>
              </w:rPr>
            </w:pPr>
          </w:p>
        </w:tc>
        <w:tc>
          <w:tcPr>
            <w:tcW w:w="1275" w:type="dxa"/>
            <w:vAlign w:val="center"/>
          </w:tcPr>
          <w:p w14:paraId="53CA191D">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除尘除臭单元</w:t>
            </w:r>
          </w:p>
        </w:tc>
        <w:tc>
          <w:tcPr>
            <w:tcW w:w="4111" w:type="dxa"/>
            <w:vAlign w:val="center"/>
          </w:tcPr>
          <w:p w14:paraId="630E68E3">
            <w:pPr>
              <w:pStyle w:val="974"/>
              <w:jc w:val="both"/>
              <w:rPr>
                <w:rFonts w:ascii="Times New Roman" w:hAnsi="Times New Roman" w:eastAsia="宋体"/>
                <w:color w:val="auto"/>
                <w:sz w:val="24"/>
                <w:szCs w:val="24"/>
              </w:rPr>
            </w:pPr>
            <w:r>
              <w:rPr>
                <w:rFonts w:ascii="Times New Roman" w:hAnsi="Times New Roman" w:eastAsia="宋体"/>
                <w:color w:val="auto"/>
                <w:sz w:val="24"/>
                <w:szCs w:val="24"/>
              </w:rPr>
              <w:t>长</w:t>
            </w:r>
            <w:r>
              <w:rPr>
                <w:rFonts w:hint="eastAsia" w:ascii="Times New Roman" w:hAnsi="Times New Roman" w:eastAsia="宋体"/>
                <w:color w:val="auto"/>
                <w:sz w:val="24"/>
                <w:szCs w:val="24"/>
              </w:rPr>
              <w:t>*</w:t>
            </w:r>
            <w:r>
              <w:rPr>
                <w:rFonts w:ascii="Times New Roman" w:hAnsi="Times New Roman" w:eastAsia="宋体"/>
                <w:color w:val="auto"/>
                <w:sz w:val="24"/>
                <w:szCs w:val="24"/>
              </w:rPr>
              <w:t>宽</w:t>
            </w:r>
            <w:r>
              <w:rPr>
                <w:rFonts w:hint="eastAsia" w:ascii="Times New Roman" w:hAnsi="Times New Roman" w:eastAsia="宋体"/>
                <w:color w:val="auto"/>
                <w:sz w:val="24"/>
                <w:szCs w:val="24"/>
              </w:rPr>
              <w:t>*</w:t>
            </w:r>
            <w:r>
              <w:rPr>
                <w:rFonts w:ascii="Times New Roman" w:hAnsi="Times New Roman" w:eastAsia="宋体"/>
                <w:color w:val="auto"/>
                <w:sz w:val="24"/>
                <w:szCs w:val="24"/>
              </w:rPr>
              <w:t>高</w:t>
            </w:r>
            <w:r>
              <w:rPr>
                <w:rFonts w:hint="eastAsia" w:ascii="Times New Roman" w:hAnsi="Times New Roman" w:eastAsia="宋体"/>
                <w:color w:val="auto"/>
                <w:sz w:val="24"/>
                <w:szCs w:val="24"/>
              </w:rPr>
              <w:t>≥</w:t>
            </w:r>
            <w:r>
              <w:rPr>
                <w:rFonts w:ascii="Times New Roman" w:hAnsi="Times New Roman" w:eastAsia="宋体"/>
                <w:color w:val="auto"/>
                <w:sz w:val="24"/>
                <w:szCs w:val="24"/>
              </w:rPr>
              <w:t>30</w:t>
            </w:r>
            <w:r>
              <w:rPr>
                <w:rFonts w:hint="eastAsia" w:ascii="Times New Roman" w:hAnsi="Times New Roman" w:eastAsia="宋体"/>
                <w:color w:val="auto"/>
                <w:sz w:val="24"/>
                <w:szCs w:val="24"/>
              </w:rPr>
              <w:t>*3*6</w:t>
            </w:r>
            <w:r>
              <w:rPr>
                <w:rFonts w:ascii="Times New Roman" w:hAnsi="Times New Roman" w:eastAsia="宋体"/>
                <w:color w:val="auto"/>
                <w:sz w:val="24"/>
                <w:szCs w:val="24"/>
              </w:rPr>
              <w:t>米，</w:t>
            </w:r>
            <w:r>
              <w:rPr>
                <w:rFonts w:hint="eastAsia" w:ascii="Times New Roman" w:hAnsi="Times New Roman" w:eastAsia="宋体"/>
                <w:color w:val="auto"/>
                <w:sz w:val="24"/>
                <w:szCs w:val="24"/>
              </w:rPr>
              <w:t>包含</w:t>
            </w:r>
            <w:r>
              <w:rPr>
                <w:rFonts w:ascii="Times New Roman" w:hAnsi="Times New Roman" w:eastAsia="宋体"/>
                <w:color w:val="auto"/>
                <w:sz w:val="24"/>
                <w:szCs w:val="24"/>
              </w:rPr>
              <w:t>含检修通道</w:t>
            </w:r>
          </w:p>
        </w:tc>
        <w:tc>
          <w:tcPr>
            <w:tcW w:w="780" w:type="dxa"/>
            <w:vAlign w:val="center"/>
          </w:tcPr>
          <w:p w14:paraId="00448182">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175DE5C6">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58225EAD">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5.04</w:t>
            </w:r>
          </w:p>
        </w:tc>
      </w:tr>
      <w:tr w14:paraId="485B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0BE97317">
            <w:pPr>
              <w:pStyle w:val="974"/>
              <w:jc w:val="center"/>
              <w:rPr>
                <w:rFonts w:ascii="Times New Roman" w:hAnsi="Times New Roman" w:eastAsia="宋体"/>
                <w:b/>
                <w:color w:val="auto"/>
                <w:sz w:val="24"/>
                <w:szCs w:val="24"/>
              </w:rPr>
            </w:pPr>
          </w:p>
        </w:tc>
        <w:tc>
          <w:tcPr>
            <w:tcW w:w="851" w:type="dxa"/>
            <w:vMerge w:val="continue"/>
            <w:vAlign w:val="center"/>
          </w:tcPr>
          <w:p w14:paraId="1974DB45">
            <w:pPr>
              <w:pStyle w:val="974"/>
              <w:jc w:val="center"/>
              <w:rPr>
                <w:rFonts w:ascii="Times New Roman" w:hAnsi="Times New Roman" w:eastAsia="宋体"/>
                <w:color w:val="auto"/>
                <w:sz w:val="24"/>
                <w:szCs w:val="24"/>
              </w:rPr>
            </w:pPr>
          </w:p>
        </w:tc>
        <w:tc>
          <w:tcPr>
            <w:tcW w:w="1275" w:type="dxa"/>
            <w:vAlign w:val="center"/>
          </w:tcPr>
          <w:p w14:paraId="53E4524B">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混合机</w:t>
            </w:r>
          </w:p>
        </w:tc>
        <w:tc>
          <w:tcPr>
            <w:tcW w:w="4111" w:type="dxa"/>
            <w:vAlign w:val="center"/>
          </w:tcPr>
          <w:p w14:paraId="608D0036">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功率：≥15kw；</w:t>
            </w:r>
          </w:p>
          <w:p w14:paraId="1A105D1B">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Times New Roman" w:eastAsia="宋体" w:cs="Times New Roman"/>
                <w:bCs/>
                <w:sz w:val="24"/>
                <w:szCs w:val="24"/>
              </w:rPr>
              <w:t>生产能力</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≥10方/时</w:t>
            </w:r>
            <w:r>
              <w:rPr>
                <w:rFonts w:ascii="Times New Roman" w:hAnsi="Times New Roman" w:eastAsia="宋体" w:cs="Times New Roman"/>
                <w:sz w:val="24"/>
                <w:szCs w:val="24"/>
              </w:rPr>
              <w:t>；</w:t>
            </w:r>
          </w:p>
          <w:p w14:paraId="7EFB5BDA">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3、外形尺寸：6000*1000*800mm</w:t>
            </w:r>
            <w:r>
              <w:rPr>
                <w:rFonts w:hint="eastAsia" w:ascii="Times New Roman" w:hAnsi="Times New Roman" w:eastAsia="宋体" w:cs="Times New Roman"/>
                <w:sz w:val="24"/>
                <w:szCs w:val="24"/>
              </w:rPr>
              <w:t>（</w:t>
            </w:r>
            <w:r>
              <w:rPr>
                <w:rFonts w:ascii="Times New Roman" w:hAnsi="Times New Roman" w:eastAsia="宋体" w:cs="Times New Roman"/>
                <w:sz w:val="24"/>
                <w:szCs w:val="24"/>
              </w:rPr>
              <w:t>长*宽*高</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；叶片直径</w:t>
            </w:r>
            <w:r>
              <w:rPr>
                <w:rFonts w:hint="eastAsia" w:ascii="Times New Roman" w:hAnsi="Times New Roman" w:eastAsia="宋体" w:cs="Times New Roman"/>
                <w:sz w:val="24"/>
                <w:szCs w:val="24"/>
              </w:rPr>
              <w:t>：≥</w:t>
            </w:r>
            <w:r>
              <w:rPr>
                <w:rFonts w:ascii="Times New Roman" w:hAnsi="Times New Roman" w:eastAsia="宋体" w:cs="Times New Roman"/>
                <w:sz w:val="24"/>
                <w:szCs w:val="24"/>
              </w:rPr>
              <w:t>500mm；</w:t>
            </w:r>
          </w:p>
          <w:p w14:paraId="70CA8A32">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4、进料格栅：材质</w:t>
            </w:r>
            <w:r>
              <w:rPr>
                <w:rFonts w:hint="eastAsia" w:ascii="Times New Roman" w:hAnsi="Times New Roman" w:eastAsia="宋体" w:cs="Times New Roman"/>
                <w:sz w:val="24"/>
                <w:szCs w:val="24"/>
              </w:rPr>
              <w:t>不低于</w:t>
            </w:r>
            <w:r>
              <w:rPr>
                <w:rFonts w:ascii="Times New Roman" w:hAnsi="Times New Roman" w:eastAsia="宋体" w:cs="Times New Roman"/>
                <w:sz w:val="24"/>
                <w:szCs w:val="24"/>
              </w:rPr>
              <w:t>Q235，圆钢12；</w:t>
            </w:r>
          </w:p>
          <w:p w14:paraId="5B34B783">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机架：材质</w:t>
            </w:r>
            <w:r>
              <w:rPr>
                <w:rFonts w:hint="eastAsia" w:ascii="Times New Roman" w:hAnsi="Times New Roman" w:eastAsia="宋体" w:cs="Times New Roman"/>
                <w:sz w:val="24"/>
                <w:szCs w:val="24"/>
              </w:rPr>
              <w:t>不低于</w:t>
            </w:r>
            <w:r>
              <w:rPr>
                <w:rFonts w:ascii="Times New Roman" w:hAnsi="Times New Roman" w:eastAsia="宋体" w:cs="Times New Roman"/>
                <w:sz w:val="24"/>
                <w:szCs w:val="24"/>
              </w:rPr>
              <w:t>Q235，槽钢12；</w:t>
            </w:r>
          </w:p>
          <w:p w14:paraId="1193B039">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下料斗：材质</w:t>
            </w:r>
            <w:r>
              <w:rPr>
                <w:rFonts w:hint="eastAsia" w:ascii="Times New Roman" w:hAnsi="Times New Roman" w:eastAsia="宋体" w:cs="Times New Roman"/>
                <w:sz w:val="24"/>
                <w:szCs w:val="24"/>
              </w:rPr>
              <w:t>不低于</w:t>
            </w:r>
            <w:r>
              <w:rPr>
                <w:rFonts w:ascii="Times New Roman" w:hAnsi="Times New Roman" w:eastAsia="宋体" w:cs="Times New Roman"/>
                <w:sz w:val="24"/>
                <w:szCs w:val="24"/>
              </w:rPr>
              <w:t>Q235，板材厚4mm；</w:t>
            </w:r>
          </w:p>
          <w:p w14:paraId="1152E4C5">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ascii="Times New Roman" w:hAnsi="Times New Roman" w:eastAsia="宋体" w:cs="Times New Roman"/>
                <w:sz w:val="24"/>
                <w:szCs w:val="24"/>
              </w:rPr>
              <w:t>混合叶片：材质</w:t>
            </w:r>
            <w:r>
              <w:rPr>
                <w:rFonts w:hint="eastAsia" w:ascii="Times New Roman" w:hAnsi="Times New Roman" w:eastAsia="宋体" w:cs="Times New Roman"/>
                <w:sz w:val="24"/>
                <w:szCs w:val="24"/>
              </w:rPr>
              <w:t>不低于</w:t>
            </w:r>
            <w:r>
              <w:rPr>
                <w:rFonts w:ascii="Times New Roman" w:hAnsi="Times New Roman" w:eastAsia="宋体" w:cs="Times New Roman"/>
                <w:sz w:val="24"/>
                <w:szCs w:val="24"/>
              </w:rPr>
              <w:t>Q235，板材厚14mm；</w:t>
            </w:r>
          </w:p>
          <w:p w14:paraId="1AA45874">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8、</w:t>
            </w:r>
            <w:r>
              <w:rPr>
                <w:rFonts w:ascii="Times New Roman" w:hAnsi="Times New Roman" w:eastAsia="宋体"/>
                <w:color w:val="auto"/>
                <w:sz w:val="24"/>
                <w:szCs w:val="24"/>
              </w:rPr>
              <w:t>减速机传动：钢性连轴器</w:t>
            </w:r>
            <w:r>
              <w:rPr>
                <w:rFonts w:hint="eastAsia" w:ascii="Times New Roman" w:hAnsi="Times New Roman" w:eastAsia="宋体"/>
                <w:color w:val="auto"/>
                <w:sz w:val="24"/>
                <w:szCs w:val="24"/>
              </w:rPr>
              <w:t>。</w:t>
            </w:r>
          </w:p>
        </w:tc>
        <w:tc>
          <w:tcPr>
            <w:tcW w:w="780" w:type="dxa"/>
            <w:vAlign w:val="center"/>
          </w:tcPr>
          <w:p w14:paraId="720494D8">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26CA151C">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台</w:t>
            </w:r>
          </w:p>
        </w:tc>
        <w:tc>
          <w:tcPr>
            <w:tcW w:w="709" w:type="dxa"/>
            <w:vAlign w:val="center"/>
          </w:tcPr>
          <w:p w14:paraId="5F6FF0B1">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6.00</w:t>
            </w:r>
          </w:p>
        </w:tc>
      </w:tr>
      <w:tr w14:paraId="13EB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79824D76">
            <w:pPr>
              <w:pStyle w:val="974"/>
              <w:jc w:val="center"/>
              <w:rPr>
                <w:rFonts w:ascii="Times New Roman" w:hAnsi="Times New Roman" w:eastAsia="宋体"/>
                <w:b/>
                <w:color w:val="auto"/>
                <w:sz w:val="24"/>
                <w:szCs w:val="24"/>
              </w:rPr>
            </w:pPr>
          </w:p>
        </w:tc>
        <w:tc>
          <w:tcPr>
            <w:tcW w:w="851" w:type="dxa"/>
            <w:vMerge w:val="continue"/>
            <w:vAlign w:val="center"/>
          </w:tcPr>
          <w:p w14:paraId="17917793">
            <w:pPr>
              <w:pStyle w:val="974"/>
              <w:jc w:val="center"/>
              <w:rPr>
                <w:rFonts w:ascii="Times New Roman" w:hAnsi="Times New Roman" w:eastAsia="宋体"/>
                <w:color w:val="auto"/>
                <w:sz w:val="24"/>
                <w:szCs w:val="24"/>
              </w:rPr>
            </w:pPr>
          </w:p>
        </w:tc>
        <w:tc>
          <w:tcPr>
            <w:tcW w:w="1275" w:type="dxa"/>
            <w:vAlign w:val="center"/>
          </w:tcPr>
          <w:p w14:paraId="2F7ED09C">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分料传输单元</w:t>
            </w:r>
          </w:p>
        </w:tc>
        <w:tc>
          <w:tcPr>
            <w:tcW w:w="4111" w:type="dxa"/>
            <w:vAlign w:val="center"/>
          </w:tcPr>
          <w:p w14:paraId="617A2554">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功率：≥2.2kw；</w:t>
            </w:r>
          </w:p>
          <w:p w14:paraId="4CEAC746">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2、皮带宽度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650mm；</w:t>
            </w:r>
          </w:p>
          <w:p w14:paraId="0A30398C">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前后花篮滚筒采用</w:t>
            </w:r>
            <w:r>
              <w:rPr>
                <w:rFonts w:hint="eastAsia" w:ascii="Times New Roman" w:hAnsi="Times New Roman" w:eastAsia="宋体" w:cs="Times New Roman"/>
                <w:sz w:val="24"/>
                <w:szCs w:val="24"/>
              </w:rPr>
              <w:t>不低于</w:t>
            </w:r>
            <w:r>
              <w:rPr>
                <w:rFonts w:ascii="Times New Roman" w:hAnsi="Times New Roman" w:eastAsia="宋体" w:cs="Times New Roman"/>
                <w:sz w:val="24"/>
                <w:szCs w:val="24"/>
              </w:rPr>
              <w:t>16㎜圆钢30圆钢组焊；</w:t>
            </w:r>
          </w:p>
          <w:p w14:paraId="7F7569EA">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、机架采用120槽钢组焊；</w:t>
            </w:r>
          </w:p>
          <w:p w14:paraId="4DD67BBC">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、含密封罩；</w:t>
            </w:r>
          </w:p>
          <w:p w14:paraId="01FD153C">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w:t>
            </w:r>
            <w:r>
              <w:rPr>
                <w:rFonts w:hint="eastAsia" w:ascii="Times New Roman" w:hAnsi="Times New Roman" w:eastAsia="宋体" w:cs="宋体"/>
                <w:b/>
                <w:sz w:val="24"/>
                <w:szCs w:val="24"/>
                <w:u w:val="single"/>
              </w:rPr>
              <w:t>★</w:t>
            </w:r>
            <w:r>
              <w:rPr>
                <w:rFonts w:hint="eastAsia" w:ascii="Times New Roman" w:hAnsi="Times New Roman" w:eastAsia="宋体" w:cs="Times New Roman"/>
                <w:b/>
                <w:bCs/>
                <w:sz w:val="24"/>
                <w:szCs w:val="24"/>
                <w:u w:val="single"/>
              </w:rPr>
              <w:t>可</w:t>
            </w:r>
            <w:r>
              <w:rPr>
                <w:rFonts w:ascii="Times New Roman" w:hAnsi="Times New Roman" w:eastAsia="宋体" w:cs="Times New Roman"/>
                <w:b/>
                <w:bCs/>
                <w:sz w:val="24"/>
                <w:szCs w:val="24"/>
                <w:u w:val="single"/>
              </w:rPr>
              <w:t>满足分料运行</w:t>
            </w:r>
            <w:r>
              <w:rPr>
                <w:rFonts w:ascii="Times New Roman" w:hAnsi="Times New Roman" w:eastAsia="宋体" w:cs="Times New Roman"/>
                <w:sz w:val="24"/>
                <w:szCs w:val="24"/>
              </w:rPr>
              <w:t>；</w:t>
            </w:r>
          </w:p>
          <w:p w14:paraId="68E0F687">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ascii="Times New Roman" w:hAnsi="Times New Roman" w:eastAsia="宋体" w:cs="Times New Roman"/>
                <w:sz w:val="24"/>
                <w:szCs w:val="24"/>
              </w:rPr>
              <w:t>、皮带为</w:t>
            </w:r>
            <w:r>
              <w:rPr>
                <w:rFonts w:hint="eastAsia" w:ascii="Times New Roman" w:hAnsi="Times New Roman" w:eastAsia="宋体" w:cs="Times New Roman"/>
                <w:sz w:val="24"/>
                <w:szCs w:val="24"/>
              </w:rPr>
              <w:t>不低于</w:t>
            </w:r>
            <w:r>
              <w:rPr>
                <w:rFonts w:ascii="Times New Roman" w:hAnsi="Times New Roman" w:eastAsia="宋体" w:cs="Times New Roman"/>
                <w:sz w:val="24"/>
                <w:szCs w:val="24"/>
              </w:rPr>
              <w:t>5层尼龙帆线、耐酸碱，厚度不低于10 mm；</w:t>
            </w:r>
          </w:p>
          <w:p w14:paraId="15BF4AAB">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8</w:t>
            </w:r>
            <w:r>
              <w:rPr>
                <w:rFonts w:ascii="Times New Roman" w:hAnsi="Times New Roman" w:eastAsia="宋体" w:cs="Times New Roman"/>
                <w:sz w:val="24"/>
                <w:szCs w:val="24"/>
              </w:rPr>
              <w:t>、</w:t>
            </w:r>
            <w:r>
              <w:rPr>
                <w:rFonts w:hint="eastAsia" w:ascii="Times New Roman" w:hAnsi="Times New Roman" w:eastAsia="宋体" w:cs="Times New Roman"/>
                <w:sz w:val="24"/>
                <w:szCs w:val="24"/>
              </w:rPr>
              <w:t>挡</w:t>
            </w:r>
            <w:r>
              <w:rPr>
                <w:rFonts w:ascii="Times New Roman" w:hAnsi="Times New Roman" w:eastAsia="宋体" w:cs="Times New Roman"/>
                <w:sz w:val="24"/>
                <w:szCs w:val="24"/>
              </w:rPr>
              <w:t>边轮</w:t>
            </w:r>
            <w:r>
              <w:rPr>
                <w:rFonts w:hint="eastAsia" w:ascii="Times New Roman" w:hAnsi="Times New Roman" w:eastAsia="宋体" w:cs="Times New Roman"/>
                <w:sz w:val="24"/>
                <w:szCs w:val="24"/>
              </w:rPr>
              <w:t>数量</w:t>
            </w:r>
            <w:r>
              <w:rPr>
                <w:rFonts w:ascii="Times New Roman" w:hAnsi="Times New Roman" w:eastAsia="宋体" w:cs="Times New Roman"/>
                <w:sz w:val="24"/>
                <w:szCs w:val="24"/>
              </w:rPr>
              <w:t>不低于2个；</w:t>
            </w:r>
          </w:p>
          <w:p w14:paraId="5447E362">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9</w:t>
            </w:r>
            <w:r>
              <w:rPr>
                <w:rFonts w:ascii="Times New Roman" w:hAnsi="Times New Roman" w:eastAsia="宋体"/>
                <w:color w:val="auto"/>
                <w:sz w:val="24"/>
                <w:szCs w:val="24"/>
              </w:rPr>
              <w:t>、配置进料斗、出料刮板</w:t>
            </w:r>
            <w:r>
              <w:rPr>
                <w:rFonts w:hint="eastAsia" w:ascii="Times New Roman" w:hAnsi="Times New Roman" w:eastAsia="宋体"/>
                <w:color w:val="auto"/>
                <w:sz w:val="24"/>
                <w:szCs w:val="24"/>
              </w:rPr>
              <w:t>。</w:t>
            </w:r>
          </w:p>
        </w:tc>
        <w:tc>
          <w:tcPr>
            <w:tcW w:w="780" w:type="dxa"/>
            <w:vAlign w:val="center"/>
          </w:tcPr>
          <w:p w14:paraId="6D7E5753">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6CB784CB">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7285BE2F">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0.84</w:t>
            </w:r>
          </w:p>
        </w:tc>
      </w:tr>
      <w:tr w14:paraId="414D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4E130C79">
            <w:pPr>
              <w:pStyle w:val="974"/>
              <w:jc w:val="center"/>
              <w:rPr>
                <w:rFonts w:ascii="Times New Roman" w:hAnsi="Times New Roman" w:eastAsia="宋体"/>
                <w:b/>
                <w:color w:val="auto"/>
                <w:sz w:val="24"/>
                <w:szCs w:val="24"/>
              </w:rPr>
            </w:pPr>
          </w:p>
        </w:tc>
        <w:tc>
          <w:tcPr>
            <w:tcW w:w="851" w:type="dxa"/>
            <w:vMerge w:val="continue"/>
            <w:vAlign w:val="center"/>
          </w:tcPr>
          <w:p w14:paraId="193C63AF">
            <w:pPr>
              <w:pStyle w:val="974"/>
              <w:jc w:val="center"/>
              <w:rPr>
                <w:rFonts w:ascii="Times New Roman" w:hAnsi="Times New Roman" w:eastAsia="宋体"/>
                <w:color w:val="auto"/>
                <w:sz w:val="24"/>
                <w:szCs w:val="24"/>
              </w:rPr>
            </w:pPr>
          </w:p>
        </w:tc>
        <w:tc>
          <w:tcPr>
            <w:tcW w:w="1275" w:type="dxa"/>
            <w:vAlign w:val="center"/>
          </w:tcPr>
          <w:p w14:paraId="4CBB0832">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颗粒转运平台</w:t>
            </w:r>
          </w:p>
        </w:tc>
        <w:tc>
          <w:tcPr>
            <w:tcW w:w="4111" w:type="dxa"/>
            <w:vAlign w:val="center"/>
          </w:tcPr>
          <w:p w14:paraId="51E5E84A">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功率≥3kw；</w:t>
            </w:r>
          </w:p>
          <w:p w14:paraId="19751B68">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2、皮带宽度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650mm；前后花篮滚筒采用</w:t>
            </w:r>
            <w:r>
              <w:rPr>
                <w:rFonts w:hint="eastAsia" w:ascii="Times New Roman" w:hAnsi="Times New Roman" w:eastAsia="宋体" w:cs="Times New Roman"/>
                <w:sz w:val="24"/>
                <w:szCs w:val="24"/>
              </w:rPr>
              <w:t>不低于</w:t>
            </w:r>
            <w:r>
              <w:rPr>
                <w:rFonts w:ascii="Times New Roman" w:hAnsi="Times New Roman" w:eastAsia="宋体" w:cs="Times New Roman"/>
                <w:sz w:val="24"/>
                <w:szCs w:val="24"/>
              </w:rPr>
              <w:t>16㎜圆钢30圆钢组焊；</w:t>
            </w:r>
          </w:p>
          <w:p w14:paraId="235861BA">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3、机架采用120槽钢组焊；</w:t>
            </w:r>
          </w:p>
          <w:p w14:paraId="462FC281">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4、含密封罩；</w:t>
            </w:r>
          </w:p>
          <w:p w14:paraId="09E8F804">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、皮带长度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4米；</w:t>
            </w:r>
          </w:p>
          <w:p w14:paraId="63ABDB88">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、皮带为</w:t>
            </w:r>
            <w:r>
              <w:rPr>
                <w:rFonts w:hint="eastAsia" w:ascii="Times New Roman" w:hAnsi="Times New Roman" w:eastAsia="宋体" w:cs="Times New Roman"/>
                <w:sz w:val="24"/>
                <w:szCs w:val="24"/>
              </w:rPr>
              <w:t>不低于</w:t>
            </w:r>
            <w:r>
              <w:rPr>
                <w:rFonts w:ascii="Times New Roman" w:hAnsi="Times New Roman" w:eastAsia="宋体" w:cs="Times New Roman"/>
                <w:sz w:val="24"/>
                <w:szCs w:val="24"/>
              </w:rPr>
              <w:t>5层尼龙帆线、耐酸碱，厚度不低于10 mm；</w:t>
            </w:r>
          </w:p>
          <w:p w14:paraId="1A7CC3E8">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ascii="Times New Roman" w:hAnsi="Times New Roman" w:eastAsia="宋体" w:cs="Times New Roman"/>
                <w:sz w:val="24"/>
                <w:szCs w:val="24"/>
              </w:rPr>
              <w:t>、</w:t>
            </w:r>
            <w:r>
              <w:rPr>
                <w:rFonts w:hint="eastAsia" w:ascii="Times New Roman" w:hAnsi="Times New Roman" w:eastAsia="宋体" w:cs="Times New Roman"/>
                <w:sz w:val="24"/>
                <w:szCs w:val="24"/>
              </w:rPr>
              <w:t>挡</w:t>
            </w:r>
            <w:r>
              <w:rPr>
                <w:rFonts w:ascii="Times New Roman" w:hAnsi="Times New Roman" w:eastAsia="宋体" w:cs="Times New Roman"/>
                <w:sz w:val="24"/>
                <w:szCs w:val="24"/>
              </w:rPr>
              <w:t>边轮</w:t>
            </w:r>
            <w:r>
              <w:rPr>
                <w:rFonts w:hint="eastAsia" w:ascii="Times New Roman" w:hAnsi="Times New Roman" w:eastAsia="宋体" w:cs="Times New Roman"/>
                <w:sz w:val="24"/>
                <w:szCs w:val="24"/>
              </w:rPr>
              <w:t>数量</w:t>
            </w:r>
            <w:r>
              <w:rPr>
                <w:rFonts w:ascii="Times New Roman" w:hAnsi="Times New Roman" w:eastAsia="宋体" w:cs="Times New Roman"/>
                <w:sz w:val="24"/>
                <w:szCs w:val="24"/>
              </w:rPr>
              <w:t>不低于2个；</w:t>
            </w:r>
          </w:p>
          <w:p w14:paraId="7E26D277">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8</w:t>
            </w:r>
            <w:r>
              <w:rPr>
                <w:rFonts w:ascii="Times New Roman" w:hAnsi="Times New Roman" w:eastAsia="宋体"/>
                <w:color w:val="auto"/>
                <w:sz w:val="24"/>
                <w:szCs w:val="24"/>
              </w:rPr>
              <w:t>、配置进料斗、出料刮板</w:t>
            </w:r>
            <w:r>
              <w:rPr>
                <w:rFonts w:hint="eastAsia" w:ascii="Times New Roman" w:hAnsi="Times New Roman" w:eastAsia="宋体"/>
                <w:color w:val="auto"/>
                <w:sz w:val="24"/>
                <w:szCs w:val="24"/>
              </w:rPr>
              <w:t>.</w:t>
            </w:r>
          </w:p>
        </w:tc>
        <w:tc>
          <w:tcPr>
            <w:tcW w:w="780" w:type="dxa"/>
            <w:vAlign w:val="center"/>
          </w:tcPr>
          <w:p w14:paraId="16FABDF9">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5BE1C3C7">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5A9BABD6">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0.84</w:t>
            </w:r>
          </w:p>
        </w:tc>
      </w:tr>
      <w:tr w14:paraId="7DF8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63F000A3">
            <w:pPr>
              <w:pStyle w:val="974"/>
              <w:jc w:val="center"/>
              <w:rPr>
                <w:rFonts w:ascii="Times New Roman" w:hAnsi="Times New Roman" w:eastAsia="宋体"/>
                <w:b/>
                <w:color w:val="auto"/>
                <w:sz w:val="24"/>
                <w:szCs w:val="24"/>
              </w:rPr>
            </w:pPr>
          </w:p>
        </w:tc>
        <w:tc>
          <w:tcPr>
            <w:tcW w:w="851" w:type="dxa"/>
            <w:vMerge w:val="continue"/>
            <w:vAlign w:val="center"/>
          </w:tcPr>
          <w:p w14:paraId="47FBAEA5">
            <w:pPr>
              <w:pStyle w:val="974"/>
              <w:jc w:val="center"/>
              <w:rPr>
                <w:rFonts w:ascii="Times New Roman" w:hAnsi="Times New Roman" w:eastAsia="宋体"/>
                <w:color w:val="auto"/>
                <w:sz w:val="24"/>
                <w:szCs w:val="24"/>
              </w:rPr>
            </w:pPr>
          </w:p>
        </w:tc>
        <w:tc>
          <w:tcPr>
            <w:tcW w:w="1275" w:type="dxa"/>
            <w:vAlign w:val="center"/>
          </w:tcPr>
          <w:p w14:paraId="7112DBA1">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包装皮带机</w:t>
            </w:r>
          </w:p>
        </w:tc>
        <w:tc>
          <w:tcPr>
            <w:tcW w:w="4111" w:type="dxa"/>
            <w:vAlign w:val="center"/>
          </w:tcPr>
          <w:p w14:paraId="01C820B6">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功率≥4kw；</w:t>
            </w:r>
          </w:p>
          <w:p w14:paraId="52CD2F7F">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2、皮带宽度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650mm；前后花篮滚筒采用16㎜圆钢30圆钢组焊；</w:t>
            </w:r>
          </w:p>
          <w:p w14:paraId="36BA8C16">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3、机架采用120槽钢组焊；</w:t>
            </w:r>
          </w:p>
          <w:p w14:paraId="591966CC">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4、含密封罩；</w:t>
            </w:r>
          </w:p>
          <w:p w14:paraId="6407EDFE">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、皮带长度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12米；</w:t>
            </w:r>
          </w:p>
          <w:p w14:paraId="423C38D9">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、皮带为</w:t>
            </w:r>
            <w:r>
              <w:rPr>
                <w:rFonts w:hint="eastAsia" w:ascii="Times New Roman" w:hAnsi="Times New Roman" w:eastAsia="宋体" w:cs="Times New Roman"/>
                <w:sz w:val="24"/>
                <w:szCs w:val="24"/>
              </w:rPr>
              <w:t>不低于</w:t>
            </w:r>
            <w:r>
              <w:rPr>
                <w:rFonts w:ascii="Times New Roman" w:hAnsi="Times New Roman" w:eastAsia="宋体" w:cs="Times New Roman"/>
                <w:sz w:val="24"/>
                <w:szCs w:val="24"/>
              </w:rPr>
              <w:t>5层尼龙帆线、耐酸碱，厚度不低于10 mm；</w:t>
            </w:r>
          </w:p>
          <w:p w14:paraId="46DC54E1">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ascii="Times New Roman" w:hAnsi="Times New Roman" w:eastAsia="宋体" w:cs="Times New Roman"/>
                <w:sz w:val="24"/>
                <w:szCs w:val="24"/>
              </w:rPr>
              <w:t>、</w:t>
            </w:r>
            <w:r>
              <w:rPr>
                <w:rFonts w:hint="eastAsia" w:ascii="Times New Roman" w:hAnsi="Times New Roman" w:eastAsia="宋体" w:cs="Times New Roman"/>
                <w:sz w:val="24"/>
                <w:szCs w:val="24"/>
              </w:rPr>
              <w:t>挡</w:t>
            </w:r>
            <w:r>
              <w:rPr>
                <w:rFonts w:ascii="Times New Roman" w:hAnsi="Times New Roman" w:eastAsia="宋体" w:cs="Times New Roman"/>
                <w:sz w:val="24"/>
                <w:szCs w:val="24"/>
              </w:rPr>
              <w:t>边轮</w:t>
            </w:r>
            <w:r>
              <w:rPr>
                <w:rFonts w:hint="eastAsia" w:ascii="Times New Roman" w:hAnsi="Times New Roman" w:eastAsia="宋体" w:cs="Times New Roman"/>
                <w:sz w:val="24"/>
                <w:szCs w:val="24"/>
              </w:rPr>
              <w:t>数量</w:t>
            </w:r>
            <w:r>
              <w:rPr>
                <w:rFonts w:ascii="Times New Roman" w:hAnsi="Times New Roman" w:eastAsia="宋体" w:cs="Times New Roman"/>
                <w:sz w:val="24"/>
                <w:szCs w:val="24"/>
              </w:rPr>
              <w:t>不低于6个；</w:t>
            </w:r>
          </w:p>
          <w:p w14:paraId="1789A31C">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8</w:t>
            </w:r>
            <w:r>
              <w:rPr>
                <w:rFonts w:ascii="Times New Roman" w:hAnsi="Times New Roman" w:eastAsia="宋体"/>
                <w:color w:val="auto"/>
                <w:sz w:val="24"/>
                <w:szCs w:val="24"/>
              </w:rPr>
              <w:t>、配置进料斗、出料刮板</w:t>
            </w:r>
            <w:r>
              <w:rPr>
                <w:rFonts w:hint="eastAsia" w:ascii="Times New Roman" w:hAnsi="Times New Roman" w:eastAsia="宋体"/>
                <w:color w:val="auto"/>
                <w:sz w:val="24"/>
                <w:szCs w:val="24"/>
              </w:rPr>
              <w:t>.</w:t>
            </w:r>
          </w:p>
        </w:tc>
        <w:tc>
          <w:tcPr>
            <w:tcW w:w="780" w:type="dxa"/>
            <w:vAlign w:val="center"/>
          </w:tcPr>
          <w:p w14:paraId="538C4572">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7FF2851F">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条</w:t>
            </w:r>
          </w:p>
        </w:tc>
        <w:tc>
          <w:tcPr>
            <w:tcW w:w="709" w:type="dxa"/>
            <w:vAlign w:val="center"/>
          </w:tcPr>
          <w:p w14:paraId="5EB910D9">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2.45</w:t>
            </w:r>
          </w:p>
        </w:tc>
      </w:tr>
      <w:tr w14:paraId="087C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7694754A">
            <w:pPr>
              <w:pStyle w:val="974"/>
              <w:jc w:val="center"/>
              <w:rPr>
                <w:rFonts w:ascii="Times New Roman" w:hAnsi="Times New Roman" w:eastAsia="宋体"/>
                <w:b/>
                <w:color w:val="auto"/>
                <w:sz w:val="24"/>
                <w:szCs w:val="24"/>
              </w:rPr>
            </w:pPr>
          </w:p>
        </w:tc>
        <w:tc>
          <w:tcPr>
            <w:tcW w:w="851" w:type="dxa"/>
            <w:vMerge w:val="continue"/>
            <w:vAlign w:val="center"/>
          </w:tcPr>
          <w:p w14:paraId="7F545402">
            <w:pPr>
              <w:pStyle w:val="974"/>
              <w:jc w:val="center"/>
              <w:rPr>
                <w:rFonts w:ascii="Times New Roman" w:hAnsi="Times New Roman" w:eastAsia="宋体"/>
                <w:color w:val="auto"/>
                <w:sz w:val="24"/>
                <w:szCs w:val="24"/>
              </w:rPr>
            </w:pPr>
          </w:p>
        </w:tc>
        <w:tc>
          <w:tcPr>
            <w:tcW w:w="1275" w:type="dxa"/>
            <w:vAlign w:val="center"/>
          </w:tcPr>
          <w:p w14:paraId="4CA48124">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熟料转运皮带机</w:t>
            </w:r>
          </w:p>
        </w:tc>
        <w:tc>
          <w:tcPr>
            <w:tcW w:w="4111" w:type="dxa"/>
            <w:vAlign w:val="center"/>
          </w:tcPr>
          <w:p w14:paraId="3D990127">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单台功率≥4kw；</w:t>
            </w:r>
          </w:p>
          <w:p w14:paraId="3C9E5B4D">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2、皮带宽度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650mm；前后花篮滚筒采用16㎜圆钢30圆钢组焊；</w:t>
            </w:r>
          </w:p>
          <w:p w14:paraId="5B1FAF25">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3、机架采用120槽钢组焊；</w:t>
            </w:r>
          </w:p>
          <w:p w14:paraId="5C5491FE">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4、含密封罩；</w:t>
            </w:r>
          </w:p>
          <w:p w14:paraId="65ACE908">
            <w:pPr>
              <w:spacing w:line="360" w:lineRule="auto"/>
              <w:jc w:val="left"/>
              <w:rPr>
                <w:rFonts w:ascii="Times New Roman" w:hAnsi="Times New Roman" w:eastAsia="宋体" w:cs="Times New Roman"/>
                <w:b/>
                <w:bCs/>
                <w:sz w:val="24"/>
                <w:szCs w:val="24"/>
                <w:u w:val="single"/>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、皮带总长度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40米</w:t>
            </w:r>
            <w:r>
              <w:rPr>
                <w:rFonts w:ascii="Times New Roman" w:hAnsi="Times New Roman" w:eastAsia="宋体" w:cs="Times New Roman"/>
                <w:b/>
                <w:bCs/>
                <w:sz w:val="24"/>
                <w:szCs w:val="24"/>
                <w:u w:val="single"/>
              </w:rPr>
              <w:t>；</w:t>
            </w:r>
          </w:p>
          <w:p w14:paraId="402954C4">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皮带为</w:t>
            </w:r>
            <w:r>
              <w:rPr>
                <w:rFonts w:hint="eastAsia" w:ascii="Times New Roman" w:hAnsi="Times New Roman" w:eastAsia="宋体" w:cs="Times New Roman"/>
                <w:sz w:val="24"/>
                <w:szCs w:val="24"/>
              </w:rPr>
              <w:t>不低于</w:t>
            </w:r>
            <w:r>
              <w:rPr>
                <w:rFonts w:ascii="Times New Roman" w:hAnsi="Times New Roman" w:eastAsia="宋体" w:cs="Times New Roman"/>
                <w:sz w:val="24"/>
                <w:szCs w:val="24"/>
              </w:rPr>
              <w:t>5层尼龙帆线、耐酸碱，厚度不低于10 mm；</w:t>
            </w:r>
          </w:p>
          <w:p w14:paraId="51FCC88A">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ascii="Times New Roman" w:hAnsi="Times New Roman" w:eastAsia="宋体" w:cs="Times New Roman"/>
                <w:sz w:val="24"/>
                <w:szCs w:val="24"/>
              </w:rPr>
              <w:t>、</w:t>
            </w:r>
            <w:r>
              <w:rPr>
                <w:rFonts w:hint="eastAsia" w:ascii="Times New Roman" w:hAnsi="Times New Roman" w:eastAsia="宋体" w:cs="Times New Roman"/>
                <w:sz w:val="24"/>
                <w:szCs w:val="24"/>
              </w:rPr>
              <w:t>挡</w:t>
            </w:r>
            <w:r>
              <w:rPr>
                <w:rFonts w:ascii="Times New Roman" w:hAnsi="Times New Roman" w:eastAsia="宋体" w:cs="Times New Roman"/>
                <w:sz w:val="24"/>
                <w:szCs w:val="24"/>
              </w:rPr>
              <w:t>边轮</w:t>
            </w:r>
            <w:r>
              <w:rPr>
                <w:rFonts w:hint="eastAsia" w:ascii="Times New Roman" w:hAnsi="Times New Roman" w:eastAsia="宋体" w:cs="Times New Roman"/>
                <w:sz w:val="24"/>
                <w:szCs w:val="24"/>
              </w:rPr>
              <w:t>数量</w:t>
            </w:r>
            <w:r>
              <w:rPr>
                <w:rFonts w:ascii="Times New Roman" w:hAnsi="Times New Roman" w:eastAsia="宋体" w:cs="Times New Roman"/>
                <w:sz w:val="24"/>
                <w:szCs w:val="24"/>
              </w:rPr>
              <w:t>不低于18个；</w:t>
            </w:r>
          </w:p>
          <w:p w14:paraId="02272EB1">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8</w:t>
            </w:r>
            <w:r>
              <w:rPr>
                <w:rFonts w:ascii="Times New Roman" w:hAnsi="Times New Roman" w:eastAsia="宋体"/>
                <w:color w:val="auto"/>
                <w:sz w:val="24"/>
                <w:szCs w:val="24"/>
              </w:rPr>
              <w:t>、配置进料斗、出料刮板</w:t>
            </w:r>
            <w:r>
              <w:rPr>
                <w:rFonts w:hint="eastAsia" w:ascii="Times New Roman" w:hAnsi="Times New Roman" w:eastAsia="宋体"/>
                <w:color w:val="auto"/>
                <w:sz w:val="24"/>
                <w:szCs w:val="24"/>
              </w:rPr>
              <w:t>.</w:t>
            </w:r>
          </w:p>
        </w:tc>
        <w:tc>
          <w:tcPr>
            <w:tcW w:w="780" w:type="dxa"/>
            <w:vAlign w:val="center"/>
          </w:tcPr>
          <w:p w14:paraId="69B7AD7F">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6</w:t>
            </w:r>
          </w:p>
        </w:tc>
        <w:tc>
          <w:tcPr>
            <w:tcW w:w="709" w:type="dxa"/>
            <w:vAlign w:val="center"/>
          </w:tcPr>
          <w:p w14:paraId="73BA0ABD">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条</w:t>
            </w:r>
          </w:p>
        </w:tc>
        <w:tc>
          <w:tcPr>
            <w:tcW w:w="709" w:type="dxa"/>
            <w:vAlign w:val="center"/>
          </w:tcPr>
          <w:p w14:paraId="00425D50">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8.18</w:t>
            </w:r>
          </w:p>
        </w:tc>
      </w:tr>
      <w:tr w14:paraId="65EE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75EC72D1">
            <w:pPr>
              <w:pStyle w:val="974"/>
              <w:jc w:val="center"/>
              <w:rPr>
                <w:rFonts w:ascii="Times New Roman" w:hAnsi="Times New Roman" w:eastAsia="宋体"/>
                <w:b/>
                <w:color w:val="auto"/>
                <w:sz w:val="24"/>
                <w:szCs w:val="24"/>
              </w:rPr>
            </w:pPr>
          </w:p>
        </w:tc>
        <w:tc>
          <w:tcPr>
            <w:tcW w:w="851" w:type="dxa"/>
            <w:vMerge w:val="continue"/>
            <w:vAlign w:val="center"/>
          </w:tcPr>
          <w:p w14:paraId="361D339A">
            <w:pPr>
              <w:pStyle w:val="974"/>
              <w:jc w:val="center"/>
              <w:rPr>
                <w:rFonts w:ascii="Times New Roman" w:hAnsi="Times New Roman" w:eastAsia="宋体"/>
                <w:color w:val="auto"/>
                <w:sz w:val="24"/>
                <w:szCs w:val="24"/>
              </w:rPr>
            </w:pPr>
          </w:p>
        </w:tc>
        <w:tc>
          <w:tcPr>
            <w:tcW w:w="1275" w:type="dxa"/>
            <w:vAlign w:val="center"/>
          </w:tcPr>
          <w:p w14:paraId="775D4816">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逆流式冷却筛分系统</w:t>
            </w:r>
          </w:p>
        </w:tc>
        <w:tc>
          <w:tcPr>
            <w:tcW w:w="4111" w:type="dxa"/>
            <w:vAlign w:val="center"/>
          </w:tcPr>
          <w:p w14:paraId="7ECFD50C">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功率≥3kw；</w:t>
            </w:r>
          </w:p>
          <w:p w14:paraId="0C93C102">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2、产能：</w:t>
            </w:r>
            <w:r>
              <w:rPr>
                <w:rFonts w:hint="eastAsia" w:ascii="Times New Roman" w:hAnsi="Times New Roman" w:eastAsia="宋体" w:cs="Times New Roman"/>
                <w:sz w:val="24"/>
                <w:szCs w:val="24"/>
              </w:rPr>
              <w:t>≥</w:t>
            </w:r>
            <w:r>
              <w:rPr>
                <w:rFonts w:ascii="Times New Roman" w:hAnsi="Times New Roman" w:eastAsia="宋体" w:cs="Times New Roman"/>
                <w:sz w:val="24"/>
                <w:szCs w:val="24"/>
              </w:rPr>
              <w:t>6吨/小时</w:t>
            </w:r>
            <w:r>
              <w:rPr>
                <w:rFonts w:hint="eastAsia" w:ascii="Times New Roman" w:hAnsi="Times New Roman" w:eastAsia="宋体" w:cs="Times New Roman"/>
                <w:sz w:val="24"/>
                <w:szCs w:val="24"/>
              </w:rPr>
              <w:t>；</w:t>
            </w:r>
          </w:p>
          <w:p w14:paraId="003376E7">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3、外形尺寸：5000*1500*3400mm</w:t>
            </w:r>
            <w:r>
              <w:rPr>
                <w:rFonts w:hint="eastAsia" w:ascii="Times New Roman" w:hAnsi="Times New Roman" w:eastAsia="宋体" w:cs="Times New Roman"/>
                <w:sz w:val="24"/>
                <w:szCs w:val="24"/>
              </w:rPr>
              <w:t>（</w:t>
            </w:r>
            <w:r>
              <w:rPr>
                <w:rFonts w:ascii="Times New Roman" w:hAnsi="Times New Roman" w:eastAsia="宋体" w:cs="Times New Roman"/>
                <w:sz w:val="24"/>
                <w:szCs w:val="24"/>
              </w:rPr>
              <w:t>长*宽*高</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p>
          <w:p w14:paraId="09023B87">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4、进风口高度：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0.8米；</w:t>
            </w:r>
          </w:p>
          <w:p w14:paraId="31D50B3A">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b/>
                <w:sz w:val="24"/>
                <w:szCs w:val="24"/>
                <w:u w:val="single"/>
              </w:rPr>
              <w:t>★</w:t>
            </w:r>
            <w:r>
              <w:rPr>
                <w:rFonts w:ascii="Times New Roman" w:hAnsi="Times New Roman" w:eastAsia="宋体" w:cs="Times New Roman"/>
                <w:b/>
                <w:bCs/>
                <w:sz w:val="24"/>
                <w:szCs w:val="24"/>
                <w:u w:val="single"/>
              </w:rPr>
              <w:t>可将物料进行2级分级出料</w:t>
            </w:r>
            <w:r>
              <w:rPr>
                <w:rFonts w:ascii="Times New Roman" w:hAnsi="Times New Roman" w:eastAsia="宋体" w:cs="Times New Roman"/>
                <w:sz w:val="24"/>
                <w:szCs w:val="24"/>
              </w:rPr>
              <w:t>；</w:t>
            </w:r>
          </w:p>
          <w:p w14:paraId="44212466">
            <w:pPr>
              <w:pStyle w:val="974"/>
              <w:jc w:val="both"/>
              <w:rPr>
                <w:rFonts w:ascii="Times New Roman" w:hAnsi="Times New Roman" w:eastAsia="宋体"/>
                <w:color w:val="auto"/>
                <w:sz w:val="24"/>
                <w:szCs w:val="24"/>
              </w:rPr>
            </w:pPr>
            <w:r>
              <w:rPr>
                <w:rFonts w:ascii="Times New Roman" w:hAnsi="Times New Roman" w:eastAsia="宋体"/>
                <w:color w:val="auto"/>
                <w:sz w:val="24"/>
                <w:szCs w:val="24"/>
              </w:rPr>
              <w:t>6、</w:t>
            </w:r>
            <w:r>
              <w:rPr>
                <w:rFonts w:hint="eastAsia" w:ascii="Times New Roman" w:hAnsi="Times New Roman" w:eastAsia="宋体"/>
                <w:color w:val="auto"/>
                <w:sz w:val="24"/>
                <w:szCs w:val="24"/>
              </w:rPr>
              <w:t>材质</w:t>
            </w:r>
            <w:r>
              <w:rPr>
                <w:rFonts w:ascii="Times New Roman" w:hAnsi="Times New Roman" w:eastAsia="宋体"/>
                <w:color w:val="auto"/>
                <w:sz w:val="24"/>
                <w:szCs w:val="24"/>
              </w:rPr>
              <w:t>：采用直径</w:t>
            </w:r>
            <w:r>
              <w:rPr>
                <w:rFonts w:hint="eastAsia" w:ascii="Times New Roman" w:hAnsi="Times New Roman" w:eastAsia="宋体"/>
                <w:color w:val="auto"/>
                <w:sz w:val="24"/>
                <w:szCs w:val="24"/>
              </w:rPr>
              <w:t>不低于</w:t>
            </w:r>
            <w:r>
              <w:rPr>
                <w:rFonts w:ascii="Times New Roman" w:hAnsi="Times New Roman" w:eastAsia="宋体"/>
                <w:color w:val="auto"/>
                <w:sz w:val="24"/>
                <w:szCs w:val="24"/>
              </w:rPr>
              <w:t>108mm无缝管、Q235，板材厚4mm、120槽钢组焊而成、304不锈钢网；</w:t>
            </w:r>
          </w:p>
        </w:tc>
        <w:tc>
          <w:tcPr>
            <w:tcW w:w="780" w:type="dxa"/>
            <w:vAlign w:val="center"/>
          </w:tcPr>
          <w:p w14:paraId="360B6763">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31DD521E">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19DFE20F">
            <w:pPr>
              <w:pStyle w:val="974"/>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rPr>
              <w:t>5.</w:t>
            </w:r>
            <w:r>
              <w:rPr>
                <w:rFonts w:hint="eastAsia" w:ascii="Times New Roman" w:hAnsi="Times New Roman" w:eastAsia="宋体"/>
                <w:color w:val="auto"/>
                <w:sz w:val="24"/>
                <w:szCs w:val="24"/>
                <w:lang w:val="en-US" w:eastAsia="zh-CN"/>
              </w:rPr>
              <w:t>90</w:t>
            </w:r>
          </w:p>
        </w:tc>
      </w:tr>
      <w:tr w14:paraId="40D1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1349A711">
            <w:pPr>
              <w:pStyle w:val="974"/>
              <w:jc w:val="center"/>
              <w:rPr>
                <w:rFonts w:ascii="Times New Roman" w:hAnsi="Times New Roman" w:eastAsia="宋体"/>
                <w:b/>
                <w:color w:val="auto"/>
                <w:sz w:val="24"/>
                <w:szCs w:val="24"/>
              </w:rPr>
            </w:pPr>
          </w:p>
        </w:tc>
        <w:tc>
          <w:tcPr>
            <w:tcW w:w="851" w:type="dxa"/>
            <w:vMerge w:val="continue"/>
            <w:vAlign w:val="center"/>
          </w:tcPr>
          <w:p w14:paraId="1B65479C">
            <w:pPr>
              <w:pStyle w:val="974"/>
              <w:jc w:val="center"/>
              <w:rPr>
                <w:rFonts w:ascii="Times New Roman" w:hAnsi="Times New Roman" w:eastAsia="宋体"/>
                <w:color w:val="auto"/>
                <w:sz w:val="24"/>
                <w:szCs w:val="24"/>
              </w:rPr>
            </w:pPr>
          </w:p>
        </w:tc>
        <w:tc>
          <w:tcPr>
            <w:tcW w:w="1275" w:type="dxa"/>
            <w:vAlign w:val="center"/>
          </w:tcPr>
          <w:p w14:paraId="5DDBF16F">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生产车间除尘系统</w:t>
            </w:r>
          </w:p>
        </w:tc>
        <w:tc>
          <w:tcPr>
            <w:tcW w:w="4111" w:type="dxa"/>
            <w:vAlign w:val="center"/>
          </w:tcPr>
          <w:p w14:paraId="1823D111">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功率≥5.5kw</w:t>
            </w:r>
            <w:r>
              <w:rPr>
                <w:rFonts w:ascii="Times New Roman" w:hAnsi="Times New Roman" w:eastAsia="宋体" w:cs="Times New Roman"/>
                <w:sz w:val="24"/>
                <w:szCs w:val="24"/>
              </w:rPr>
              <w:t>；</w:t>
            </w:r>
          </w:p>
          <w:p w14:paraId="6250C8B9">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2、外形尺寸：1500*1500*3500mm</w:t>
            </w:r>
            <w:r>
              <w:rPr>
                <w:rFonts w:hint="eastAsia" w:ascii="Times New Roman" w:hAnsi="Times New Roman" w:eastAsia="宋体" w:cs="Times New Roman"/>
                <w:sz w:val="24"/>
                <w:szCs w:val="24"/>
              </w:rPr>
              <w:t>（</w:t>
            </w:r>
            <w:r>
              <w:rPr>
                <w:rFonts w:ascii="Times New Roman" w:hAnsi="Times New Roman" w:eastAsia="宋体" w:cs="Times New Roman"/>
                <w:sz w:val="24"/>
                <w:szCs w:val="24"/>
              </w:rPr>
              <w:t>长*宽*高</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p>
          <w:p w14:paraId="09E88B61">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3、布袋直径：</w:t>
            </w:r>
            <w:r>
              <w:rPr>
                <w:rFonts w:hint="eastAsia" w:ascii="Times New Roman" w:hAnsi="Times New Roman" w:eastAsia="宋体" w:cs="Times New Roman"/>
                <w:sz w:val="24"/>
                <w:szCs w:val="24"/>
              </w:rPr>
              <w:t>≥</w:t>
            </w:r>
            <w:r>
              <w:rPr>
                <w:rFonts w:ascii="Times New Roman" w:hAnsi="Times New Roman" w:eastAsia="宋体" w:cs="Times New Roman"/>
                <w:sz w:val="24"/>
                <w:szCs w:val="24"/>
              </w:rPr>
              <w:t>133mm；</w:t>
            </w:r>
          </w:p>
          <w:p w14:paraId="20C5F59D">
            <w:pPr>
              <w:pStyle w:val="974"/>
              <w:jc w:val="both"/>
              <w:rPr>
                <w:rFonts w:ascii="Times New Roman" w:hAnsi="Times New Roman" w:eastAsia="宋体"/>
                <w:color w:val="auto"/>
                <w:sz w:val="24"/>
                <w:szCs w:val="24"/>
              </w:rPr>
            </w:pPr>
            <w:r>
              <w:rPr>
                <w:rFonts w:ascii="Times New Roman" w:hAnsi="Times New Roman" w:eastAsia="宋体"/>
                <w:color w:val="auto"/>
                <w:sz w:val="24"/>
                <w:szCs w:val="24"/>
              </w:rPr>
              <w:t>4、</w:t>
            </w:r>
            <w:r>
              <w:rPr>
                <w:rFonts w:hint="eastAsia" w:ascii="Times New Roman" w:hAnsi="Times New Roman" w:eastAsia="宋体"/>
                <w:color w:val="auto"/>
                <w:sz w:val="24"/>
                <w:szCs w:val="24"/>
              </w:rPr>
              <w:t>配备</w:t>
            </w:r>
            <w:r>
              <w:rPr>
                <w:rFonts w:ascii="Times New Roman" w:hAnsi="Times New Roman" w:eastAsia="宋体"/>
                <w:color w:val="auto"/>
                <w:sz w:val="24"/>
                <w:szCs w:val="24"/>
              </w:rPr>
              <w:t>除尘器本体、烟囱、风机、风管；</w:t>
            </w:r>
          </w:p>
        </w:tc>
        <w:tc>
          <w:tcPr>
            <w:tcW w:w="780" w:type="dxa"/>
            <w:vAlign w:val="center"/>
          </w:tcPr>
          <w:p w14:paraId="77FBE96F">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64E5B887">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2EA4DDF5">
            <w:pPr>
              <w:pStyle w:val="974"/>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rPr>
              <w:t>5.</w:t>
            </w:r>
            <w:r>
              <w:rPr>
                <w:rFonts w:hint="eastAsia" w:ascii="Times New Roman" w:hAnsi="Times New Roman" w:eastAsia="宋体"/>
                <w:color w:val="auto"/>
                <w:sz w:val="24"/>
                <w:szCs w:val="24"/>
                <w:lang w:val="en-US" w:eastAsia="zh-CN"/>
              </w:rPr>
              <w:t>90</w:t>
            </w:r>
          </w:p>
        </w:tc>
      </w:tr>
      <w:tr w14:paraId="56AB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4786A419">
            <w:pPr>
              <w:pStyle w:val="974"/>
              <w:jc w:val="center"/>
              <w:rPr>
                <w:rFonts w:ascii="Times New Roman" w:hAnsi="Times New Roman" w:eastAsia="宋体"/>
                <w:b/>
                <w:color w:val="auto"/>
                <w:sz w:val="24"/>
                <w:szCs w:val="24"/>
              </w:rPr>
            </w:pPr>
          </w:p>
        </w:tc>
        <w:tc>
          <w:tcPr>
            <w:tcW w:w="851" w:type="dxa"/>
            <w:vMerge w:val="continue"/>
            <w:vAlign w:val="center"/>
          </w:tcPr>
          <w:p w14:paraId="405F8852">
            <w:pPr>
              <w:pStyle w:val="974"/>
              <w:jc w:val="center"/>
              <w:rPr>
                <w:rFonts w:ascii="Times New Roman" w:hAnsi="Times New Roman" w:eastAsia="宋体"/>
                <w:color w:val="auto"/>
                <w:sz w:val="24"/>
                <w:szCs w:val="24"/>
              </w:rPr>
            </w:pPr>
          </w:p>
        </w:tc>
        <w:tc>
          <w:tcPr>
            <w:tcW w:w="1275" w:type="dxa"/>
            <w:vAlign w:val="center"/>
          </w:tcPr>
          <w:p w14:paraId="72B831C2">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自动包装机</w:t>
            </w:r>
          </w:p>
        </w:tc>
        <w:tc>
          <w:tcPr>
            <w:tcW w:w="4111" w:type="dxa"/>
          </w:tcPr>
          <w:p w14:paraId="2080FDEC">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功率≥1.5kw</w:t>
            </w:r>
            <w:r>
              <w:rPr>
                <w:rFonts w:ascii="Times New Roman" w:hAnsi="Times New Roman" w:eastAsia="宋体" w:cs="Times New Roman"/>
                <w:sz w:val="24"/>
                <w:szCs w:val="24"/>
              </w:rPr>
              <w:t>；</w:t>
            </w:r>
          </w:p>
          <w:p w14:paraId="57C2EBBE">
            <w:pPr>
              <w:spacing w:line="360" w:lineRule="auto"/>
              <w:jc w:val="left"/>
              <w:rPr>
                <w:rFonts w:ascii="Times New Roman" w:hAnsi="Times New Roman" w:eastAsia="宋体" w:cs="Times New Roman"/>
                <w:bCs/>
                <w:sz w:val="24"/>
                <w:szCs w:val="24"/>
              </w:rPr>
            </w:pPr>
            <w:r>
              <w:rPr>
                <w:rFonts w:ascii="Times New Roman" w:hAnsi="Times New Roman" w:eastAsia="宋体" w:cs="Times New Roman"/>
                <w:sz w:val="24"/>
                <w:szCs w:val="24"/>
              </w:rPr>
              <w:t>2、</w:t>
            </w:r>
            <w:r>
              <w:rPr>
                <w:rFonts w:ascii="Times New Roman" w:hAnsi="Times New Roman" w:eastAsia="宋体" w:cs="Times New Roman"/>
                <w:bCs/>
                <w:sz w:val="24"/>
                <w:szCs w:val="24"/>
              </w:rPr>
              <w:t>包装规格：</w:t>
            </w:r>
            <w:r>
              <w:rPr>
                <w:rFonts w:hint="eastAsia" w:ascii="Times New Roman" w:hAnsi="Times New Roman" w:eastAsia="宋体" w:cs="Times New Roman"/>
                <w:bCs/>
                <w:sz w:val="24"/>
                <w:szCs w:val="24"/>
              </w:rPr>
              <w:t>同时满足包装规格</w:t>
            </w:r>
            <w:r>
              <w:rPr>
                <w:rFonts w:ascii="Times New Roman" w:hAnsi="Times New Roman" w:eastAsia="宋体" w:cs="Times New Roman"/>
                <w:bCs/>
                <w:sz w:val="24"/>
                <w:szCs w:val="24"/>
              </w:rPr>
              <w:t>20KG/袋、40KG/袋；</w:t>
            </w:r>
          </w:p>
          <w:p w14:paraId="3643173F">
            <w:pPr>
              <w:spacing w:line="360" w:lineRule="auto"/>
              <w:jc w:val="left"/>
              <w:rPr>
                <w:rFonts w:ascii="Times New Roman" w:hAnsi="Times New Roman" w:eastAsia="宋体" w:cs="Times New Roman"/>
                <w:bCs/>
                <w:sz w:val="24"/>
                <w:szCs w:val="24"/>
              </w:rPr>
            </w:pPr>
            <w:r>
              <w:rPr>
                <w:rFonts w:ascii="Times New Roman" w:hAnsi="Times New Roman" w:eastAsia="宋体" w:cs="Times New Roman"/>
                <w:bCs/>
                <w:sz w:val="24"/>
                <w:szCs w:val="24"/>
              </w:rPr>
              <w:t>3、包装能力：20KG/袋小时不低于10吨；</w:t>
            </w:r>
          </w:p>
          <w:p w14:paraId="23D5D131">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4、动态计量准确度：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±0.5%；</w:t>
            </w:r>
          </w:p>
          <w:p w14:paraId="7C54B899">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5、给料部分</w:t>
            </w:r>
            <w:r>
              <w:rPr>
                <w:rFonts w:hint="eastAsia" w:ascii="Times New Roman" w:hAnsi="Times New Roman" w:eastAsia="宋体" w:cs="Times New Roman"/>
                <w:sz w:val="24"/>
                <w:szCs w:val="24"/>
              </w:rPr>
              <w:t>：配备</w:t>
            </w:r>
            <w:r>
              <w:rPr>
                <w:rFonts w:ascii="Times New Roman" w:hAnsi="Times New Roman" w:eastAsia="宋体" w:cs="Times New Roman"/>
                <w:sz w:val="24"/>
                <w:szCs w:val="24"/>
              </w:rPr>
              <w:t>给料皮带机、流量闸门、截料闸门</w:t>
            </w:r>
            <w:r>
              <w:rPr>
                <w:rFonts w:hint="eastAsia" w:ascii="Times New Roman" w:hAnsi="Times New Roman" w:eastAsia="宋体" w:cs="Times New Roman"/>
                <w:sz w:val="24"/>
                <w:szCs w:val="24"/>
              </w:rPr>
              <w:t>；</w:t>
            </w:r>
          </w:p>
          <w:p w14:paraId="16EE8089">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6、秤体部分</w:t>
            </w:r>
            <w:r>
              <w:rPr>
                <w:rFonts w:hint="eastAsia" w:ascii="Times New Roman" w:hAnsi="Times New Roman" w:eastAsia="宋体" w:cs="Times New Roman"/>
                <w:sz w:val="24"/>
                <w:szCs w:val="24"/>
              </w:rPr>
              <w:t>：配备</w:t>
            </w:r>
            <w:r>
              <w:rPr>
                <w:rFonts w:ascii="Times New Roman" w:hAnsi="Times New Roman" w:eastAsia="宋体" w:cs="Times New Roman"/>
                <w:sz w:val="24"/>
                <w:szCs w:val="24"/>
              </w:rPr>
              <w:t>壳体、秤斗稳定机构；</w:t>
            </w:r>
          </w:p>
          <w:p w14:paraId="5AF8A5B1">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自动夹袋</w:t>
            </w:r>
            <w:r>
              <w:rPr>
                <w:rFonts w:ascii="Times New Roman" w:hAnsi="Times New Roman" w:eastAsia="宋体" w:cs="Times New Roman"/>
                <w:sz w:val="24"/>
                <w:szCs w:val="24"/>
              </w:rPr>
              <w:t>；</w:t>
            </w:r>
          </w:p>
          <w:p w14:paraId="761DD5E2">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b/>
                <w:sz w:val="24"/>
                <w:szCs w:val="24"/>
                <w:u w:val="single"/>
              </w:rPr>
              <w:t>★</w:t>
            </w:r>
            <w:r>
              <w:rPr>
                <w:rFonts w:ascii="Times New Roman" w:hAnsi="Times New Roman" w:eastAsia="宋体" w:cs="Times New Roman"/>
                <w:b/>
                <w:bCs/>
                <w:sz w:val="24"/>
                <w:szCs w:val="24"/>
                <w:u w:val="single"/>
              </w:rPr>
              <w:t>缝包部分</w:t>
            </w:r>
            <w:r>
              <w:rPr>
                <w:rFonts w:hint="eastAsia" w:ascii="Times New Roman" w:hAnsi="Times New Roman" w:eastAsia="宋体" w:cs="Times New Roman"/>
                <w:b/>
                <w:bCs/>
                <w:sz w:val="24"/>
                <w:szCs w:val="24"/>
                <w:u w:val="single"/>
              </w:rPr>
              <w:t>：自动折边，自动缝包，配备</w:t>
            </w:r>
            <w:r>
              <w:rPr>
                <w:rFonts w:ascii="Times New Roman" w:hAnsi="Times New Roman" w:eastAsia="宋体" w:cs="Times New Roman"/>
                <w:b/>
                <w:bCs/>
                <w:sz w:val="24"/>
                <w:szCs w:val="24"/>
                <w:u w:val="single"/>
              </w:rPr>
              <w:t>立柱、缝包机；</w:t>
            </w:r>
          </w:p>
          <w:p w14:paraId="2354FD64">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9、成品输送机；</w:t>
            </w:r>
          </w:p>
          <w:p w14:paraId="5516C6A3">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10、气动系统；</w:t>
            </w:r>
          </w:p>
          <w:p w14:paraId="4017AE18">
            <w:pPr>
              <w:pStyle w:val="974"/>
              <w:jc w:val="both"/>
              <w:rPr>
                <w:rFonts w:ascii="Times New Roman" w:hAnsi="Times New Roman" w:eastAsia="宋体"/>
                <w:color w:val="auto"/>
                <w:sz w:val="24"/>
                <w:szCs w:val="24"/>
              </w:rPr>
            </w:pPr>
            <w:r>
              <w:rPr>
                <w:rFonts w:ascii="Times New Roman" w:hAnsi="Times New Roman" w:eastAsia="宋体"/>
                <w:color w:val="auto"/>
                <w:sz w:val="24"/>
                <w:szCs w:val="24"/>
              </w:rPr>
              <w:t>11、微机控制系统：高精度悬臂梁式传感器(4只)、控制箱(含智能称重仪表、电气控制)</w:t>
            </w:r>
            <w:r>
              <w:rPr>
                <w:rFonts w:hint="eastAsia" w:ascii="Times New Roman" w:hAnsi="Times New Roman" w:eastAsia="宋体"/>
                <w:color w:val="auto"/>
                <w:sz w:val="24"/>
                <w:szCs w:val="24"/>
              </w:rPr>
              <w:t>。</w:t>
            </w:r>
          </w:p>
        </w:tc>
        <w:tc>
          <w:tcPr>
            <w:tcW w:w="780" w:type="dxa"/>
            <w:vAlign w:val="center"/>
          </w:tcPr>
          <w:p w14:paraId="740CFD1B">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2CF492E5">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2BAAC548">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6.60</w:t>
            </w:r>
          </w:p>
        </w:tc>
      </w:tr>
      <w:tr w14:paraId="2A32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0AE218FF">
            <w:pPr>
              <w:pStyle w:val="974"/>
              <w:jc w:val="center"/>
              <w:rPr>
                <w:rFonts w:ascii="Times New Roman" w:hAnsi="Times New Roman" w:eastAsia="宋体"/>
                <w:b/>
                <w:color w:val="auto"/>
                <w:sz w:val="24"/>
                <w:szCs w:val="24"/>
              </w:rPr>
            </w:pPr>
          </w:p>
        </w:tc>
        <w:tc>
          <w:tcPr>
            <w:tcW w:w="851" w:type="dxa"/>
            <w:vMerge w:val="continue"/>
            <w:vAlign w:val="center"/>
          </w:tcPr>
          <w:p w14:paraId="1A6DA48E">
            <w:pPr>
              <w:pStyle w:val="974"/>
              <w:jc w:val="center"/>
              <w:rPr>
                <w:rFonts w:ascii="Times New Roman" w:hAnsi="Times New Roman" w:eastAsia="宋体"/>
                <w:color w:val="auto"/>
                <w:sz w:val="24"/>
                <w:szCs w:val="24"/>
              </w:rPr>
            </w:pPr>
          </w:p>
        </w:tc>
        <w:tc>
          <w:tcPr>
            <w:tcW w:w="1275" w:type="dxa"/>
            <w:vAlign w:val="center"/>
          </w:tcPr>
          <w:p w14:paraId="0CDC5AE7">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钢结构支撑</w:t>
            </w:r>
          </w:p>
        </w:tc>
        <w:tc>
          <w:tcPr>
            <w:tcW w:w="4111" w:type="dxa"/>
            <w:vAlign w:val="center"/>
          </w:tcPr>
          <w:p w14:paraId="11779C81">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1、作业面长*宽*深：≥18000mm*2500mm*2500mm；</w:t>
            </w:r>
          </w:p>
          <w:p w14:paraId="38D78B6C">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2、含需承重≥10吨的支撑面、龙骨、底座；</w:t>
            </w:r>
          </w:p>
          <w:p w14:paraId="5B50C33C">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3、</w:t>
            </w:r>
            <w:r>
              <w:rPr>
                <w:rFonts w:hint="eastAsia" w:ascii="Times New Roman" w:hAnsi="Times New Roman" w:eastAsia="宋体"/>
                <w:bCs w:val="0"/>
                <w:color w:val="auto"/>
                <w:sz w:val="24"/>
                <w:szCs w:val="24"/>
              </w:rPr>
              <w:t>支撑面厚度≥14mm，龙骨和底座不低于IPE200工字钢尺寸规格</w:t>
            </w:r>
            <w:r>
              <w:rPr>
                <w:rFonts w:hint="eastAsia" w:ascii="Times New Roman" w:hAnsi="Times New Roman" w:eastAsia="宋体"/>
                <w:color w:val="auto"/>
                <w:sz w:val="24"/>
                <w:szCs w:val="24"/>
              </w:rPr>
              <w:t>，耐腐蚀，耐高温，耐水泡。</w:t>
            </w:r>
          </w:p>
        </w:tc>
        <w:tc>
          <w:tcPr>
            <w:tcW w:w="780" w:type="dxa"/>
            <w:vAlign w:val="center"/>
          </w:tcPr>
          <w:p w14:paraId="47469AB5">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39DFCDF4">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批</w:t>
            </w:r>
          </w:p>
        </w:tc>
        <w:tc>
          <w:tcPr>
            <w:tcW w:w="709" w:type="dxa"/>
            <w:vAlign w:val="center"/>
          </w:tcPr>
          <w:p w14:paraId="2D848471">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7.80</w:t>
            </w:r>
          </w:p>
        </w:tc>
      </w:tr>
      <w:tr w14:paraId="7A16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restart"/>
            <w:vAlign w:val="center"/>
          </w:tcPr>
          <w:p w14:paraId="1FE7E4A5">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4</w:t>
            </w:r>
          </w:p>
        </w:tc>
        <w:tc>
          <w:tcPr>
            <w:tcW w:w="851" w:type="dxa"/>
            <w:vMerge w:val="restart"/>
            <w:vAlign w:val="center"/>
          </w:tcPr>
          <w:p w14:paraId="20634707">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检验检测与培养设备</w:t>
            </w:r>
          </w:p>
        </w:tc>
        <w:tc>
          <w:tcPr>
            <w:tcW w:w="1275" w:type="dxa"/>
            <w:vAlign w:val="center"/>
          </w:tcPr>
          <w:p w14:paraId="203AFA4A">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样品保存</w:t>
            </w:r>
            <w:r>
              <w:rPr>
                <w:rFonts w:ascii="Times New Roman" w:hAnsi="Times New Roman" w:eastAsia="宋体"/>
                <w:color w:val="auto"/>
                <w:sz w:val="24"/>
                <w:szCs w:val="24"/>
              </w:rPr>
              <w:t>超低温冰箱</w:t>
            </w:r>
          </w:p>
        </w:tc>
        <w:tc>
          <w:tcPr>
            <w:tcW w:w="4111" w:type="dxa"/>
            <w:vAlign w:val="center"/>
          </w:tcPr>
          <w:p w14:paraId="3C8E093A">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1、控温</w:t>
            </w:r>
            <w:r>
              <w:rPr>
                <w:rFonts w:ascii="Times New Roman" w:hAnsi="Times New Roman" w:eastAsia="宋体" w:cs="Times New Roman"/>
                <w:sz w:val="24"/>
                <w:szCs w:val="24"/>
              </w:rPr>
              <w:t>范围-40</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-86℃</w:t>
            </w:r>
          </w:p>
          <w:p w14:paraId="7383A59A">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2、容积：≥210升</w:t>
            </w:r>
          </w:p>
          <w:p w14:paraId="331AE8A4">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3、功率：≥510W</w:t>
            </w:r>
          </w:p>
          <w:p w14:paraId="5D2FBC85">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4、内胆材质：304不锈钢内胆</w:t>
            </w:r>
          </w:p>
          <w:p w14:paraId="623ABF34">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hint="eastAsia" w:ascii="Times New Roman" w:hAnsi="Times New Roman" w:eastAsia="宋体" w:cs="宋体"/>
                <w:sz w:val="24"/>
                <w:szCs w:val="24"/>
              </w:rPr>
              <w:t>内胆尺寸：≥455*460*1020mm（长*宽*高）</w:t>
            </w:r>
          </w:p>
        </w:tc>
        <w:tc>
          <w:tcPr>
            <w:tcW w:w="780" w:type="dxa"/>
            <w:vAlign w:val="center"/>
          </w:tcPr>
          <w:p w14:paraId="48BE8C56">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1</w:t>
            </w:r>
          </w:p>
        </w:tc>
        <w:tc>
          <w:tcPr>
            <w:tcW w:w="709" w:type="dxa"/>
            <w:vAlign w:val="center"/>
          </w:tcPr>
          <w:p w14:paraId="1A405FE7">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台</w:t>
            </w:r>
          </w:p>
        </w:tc>
        <w:tc>
          <w:tcPr>
            <w:tcW w:w="709" w:type="dxa"/>
            <w:vAlign w:val="center"/>
          </w:tcPr>
          <w:p w14:paraId="577962FD">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1.90</w:t>
            </w:r>
          </w:p>
        </w:tc>
      </w:tr>
      <w:tr w14:paraId="66ED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5DDFDEA0">
            <w:pPr>
              <w:pStyle w:val="974"/>
              <w:jc w:val="center"/>
              <w:rPr>
                <w:rFonts w:ascii="Times New Roman" w:hAnsi="Times New Roman" w:eastAsia="宋体"/>
                <w:color w:val="auto"/>
                <w:sz w:val="24"/>
                <w:szCs w:val="24"/>
              </w:rPr>
            </w:pPr>
          </w:p>
        </w:tc>
        <w:tc>
          <w:tcPr>
            <w:tcW w:w="851" w:type="dxa"/>
            <w:vMerge w:val="continue"/>
            <w:vAlign w:val="center"/>
          </w:tcPr>
          <w:p w14:paraId="607CC8E0">
            <w:pPr>
              <w:pStyle w:val="974"/>
              <w:jc w:val="center"/>
              <w:rPr>
                <w:rFonts w:ascii="Times New Roman" w:hAnsi="Times New Roman" w:eastAsia="宋体"/>
                <w:color w:val="auto"/>
                <w:sz w:val="24"/>
                <w:szCs w:val="24"/>
              </w:rPr>
            </w:pPr>
          </w:p>
        </w:tc>
        <w:tc>
          <w:tcPr>
            <w:tcW w:w="1275" w:type="dxa"/>
            <w:vAlign w:val="center"/>
          </w:tcPr>
          <w:p w14:paraId="3CFE85FA">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生化培养箱</w:t>
            </w:r>
          </w:p>
        </w:tc>
        <w:tc>
          <w:tcPr>
            <w:tcW w:w="4111" w:type="dxa"/>
            <w:vAlign w:val="center"/>
          </w:tcPr>
          <w:p w14:paraId="2BC5B9A7">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1、控温范围：</w:t>
            </w:r>
            <w:r>
              <w:rPr>
                <w:rFonts w:ascii="Times New Roman" w:hAnsi="Times New Roman" w:eastAsia="宋体" w:cs="Times New Roman"/>
                <w:sz w:val="24"/>
                <w:szCs w:val="24"/>
              </w:rPr>
              <w:t>0-60℃</w:t>
            </w:r>
          </w:p>
          <w:p w14:paraId="7ED93A8B">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2、温度分辨率：0.1℃</w:t>
            </w:r>
          </w:p>
          <w:p w14:paraId="6E2D84FB">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3、内胆材质：不锈钢内胆</w:t>
            </w:r>
          </w:p>
          <w:p w14:paraId="44032F78">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4、内胆尺寸：≥540*460*1000mm（长*宽*高）</w:t>
            </w:r>
          </w:p>
          <w:p w14:paraId="324FF613">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5、显示方式：数码显示</w:t>
            </w:r>
          </w:p>
          <w:p w14:paraId="5C72CE11">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hint="eastAsia" w:ascii="Times New Roman" w:hAnsi="Times New Roman" w:eastAsia="宋体" w:cs="宋体"/>
                <w:sz w:val="24"/>
                <w:szCs w:val="24"/>
              </w:rPr>
              <w:t>载物托架：≥3块</w:t>
            </w:r>
          </w:p>
        </w:tc>
        <w:tc>
          <w:tcPr>
            <w:tcW w:w="780" w:type="dxa"/>
            <w:vAlign w:val="center"/>
          </w:tcPr>
          <w:p w14:paraId="64BF6DA5">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1</w:t>
            </w:r>
          </w:p>
        </w:tc>
        <w:tc>
          <w:tcPr>
            <w:tcW w:w="709" w:type="dxa"/>
            <w:vAlign w:val="center"/>
          </w:tcPr>
          <w:p w14:paraId="0DB310B3">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台</w:t>
            </w:r>
          </w:p>
        </w:tc>
        <w:tc>
          <w:tcPr>
            <w:tcW w:w="709" w:type="dxa"/>
            <w:vAlign w:val="center"/>
          </w:tcPr>
          <w:p w14:paraId="3F2E6945">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0.84</w:t>
            </w:r>
          </w:p>
        </w:tc>
      </w:tr>
      <w:tr w14:paraId="5B64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637C9254">
            <w:pPr>
              <w:pStyle w:val="974"/>
              <w:jc w:val="center"/>
              <w:rPr>
                <w:rFonts w:ascii="Times New Roman" w:hAnsi="Times New Roman" w:eastAsia="宋体"/>
                <w:color w:val="auto"/>
                <w:sz w:val="24"/>
                <w:szCs w:val="24"/>
              </w:rPr>
            </w:pPr>
          </w:p>
        </w:tc>
        <w:tc>
          <w:tcPr>
            <w:tcW w:w="851" w:type="dxa"/>
            <w:vMerge w:val="continue"/>
            <w:vAlign w:val="center"/>
          </w:tcPr>
          <w:p w14:paraId="21DEEFF4">
            <w:pPr>
              <w:pStyle w:val="974"/>
              <w:jc w:val="center"/>
              <w:rPr>
                <w:rFonts w:ascii="Times New Roman" w:hAnsi="Times New Roman" w:eastAsia="宋体"/>
                <w:color w:val="auto"/>
                <w:sz w:val="24"/>
                <w:szCs w:val="24"/>
              </w:rPr>
            </w:pPr>
          </w:p>
        </w:tc>
        <w:tc>
          <w:tcPr>
            <w:tcW w:w="1275" w:type="dxa"/>
            <w:vAlign w:val="center"/>
          </w:tcPr>
          <w:p w14:paraId="677A8C1E">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回旋式</w:t>
            </w:r>
            <w:r>
              <w:rPr>
                <w:rFonts w:ascii="Times New Roman" w:hAnsi="Times New Roman" w:eastAsia="宋体"/>
                <w:color w:val="auto"/>
                <w:sz w:val="24"/>
                <w:szCs w:val="24"/>
              </w:rPr>
              <w:t>全温振荡培养箱</w:t>
            </w:r>
          </w:p>
        </w:tc>
        <w:tc>
          <w:tcPr>
            <w:tcW w:w="4111" w:type="dxa"/>
            <w:vAlign w:val="center"/>
          </w:tcPr>
          <w:p w14:paraId="654332E9">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1、控温范围：4℃-60℃</w:t>
            </w:r>
          </w:p>
          <w:p w14:paraId="20802059">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2、控温精度：±0.1℃</w:t>
            </w:r>
          </w:p>
          <w:p w14:paraId="4E21365D">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3、振荡方式：回旋式</w:t>
            </w:r>
          </w:p>
          <w:p w14:paraId="2D5FD200">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4、正反转：可切换</w:t>
            </w:r>
          </w:p>
          <w:p w14:paraId="1FBF5BDB">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5、转速范围：30-280rpm</w:t>
            </w:r>
          </w:p>
          <w:p w14:paraId="08801094">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6、转速控制精度：±1rpm</w:t>
            </w:r>
          </w:p>
          <w:p w14:paraId="5862DE11">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7、灯管：标配日光灯、紫外灯</w:t>
            </w:r>
          </w:p>
          <w:p w14:paraId="640357B4">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8、电机类型：直流无刷电机</w:t>
            </w:r>
          </w:p>
          <w:p w14:paraId="6B548240">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9、定时范围：0-999min/h</w:t>
            </w:r>
          </w:p>
          <w:p w14:paraId="7F455BA3">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10、托盘尺寸：≥540*420mm（长*宽）</w:t>
            </w:r>
          </w:p>
          <w:p w14:paraId="7019AC01">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11、置物层数：≥两层</w:t>
            </w:r>
          </w:p>
          <w:p w14:paraId="315A02C2">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12、功率：≥2kw</w:t>
            </w:r>
          </w:p>
          <w:p w14:paraId="188D2D6F">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13、显示方式：LCD液晶触摸点阵屏</w:t>
            </w:r>
          </w:p>
          <w:p w14:paraId="07BF9BA4">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14、</w:t>
            </w:r>
            <w:r>
              <w:rPr>
                <w:rFonts w:hint="eastAsia" w:ascii="Times New Roman" w:hAnsi="Times New Roman" w:eastAsia="宋体" w:cs="宋体"/>
                <w:sz w:val="24"/>
                <w:szCs w:val="24"/>
              </w:rPr>
              <w:t>产品尺寸：1030*780*1260mm（长*宽*高）</w:t>
            </w:r>
          </w:p>
        </w:tc>
        <w:tc>
          <w:tcPr>
            <w:tcW w:w="780" w:type="dxa"/>
            <w:vAlign w:val="center"/>
          </w:tcPr>
          <w:p w14:paraId="1E61AEA1">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1</w:t>
            </w:r>
          </w:p>
        </w:tc>
        <w:tc>
          <w:tcPr>
            <w:tcW w:w="709" w:type="dxa"/>
            <w:vAlign w:val="center"/>
          </w:tcPr>
          <w:p w14:paraId="300CB997">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台</w:t>
            </w:r>
          </w:p>
        </w:tc>
        <w:tc>
          <w:tcPr>
            <w:tcW w:w="709" w:type="dxa"/>
            <w:vAlign w:val="center"/>
          </w:tcPr>
          <w:p w14:paraId="37BEEFD3">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0.84</w:t>
            </w:r>
          </w:p>
        </w:tc>
      </w:tr>
      <w:tr w14:paraId="08C4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0AAD1C85">
            <w:pPr>
              <w:pStyle w:val="974"/>
              <w:jc w:val="center"/>
              <w:rPr>
                <w:rFonts w:ascii="Times New Roman" w:hAnsi="Times New Roman" w:eastAsia="宋体"/>
                <w:color w:val="auto"/>
                <w:sz w:val="24"/>
                <w:szCs w:val="24"/>
              </w:rPr>
            </w:pPr>
          </w:p>
        </w:tc>
        <w:tc>
          <w:tcPr>
            <w:tcW w:w="851" w:type="dxa"/>
            <w:vMerge w:val="continue"/>
            <w:vAlign w:val="center"/>
          </w:tcPr>
          <w:p w14:paraId="74E73915">
            <w:pPr>
              <w:pStyle w:val="974"/>
              <w:jc w:val="center"/>
              <w:rPr>
                <w:rFonts w:ascii="Times New Roman" w:hAnsi="Times New Roman" w:eastAsia="宋体"/>
                <w:color w:val="auto"/>
                <w:sz w:val="24"/>
                <w:szCs w:val="24"/>
              </w:rPr>
            </w:pPr>
          </w:p>
        </w:tc>
        <w:tc>
          <w:tcPr>
            <w:tcW w:w="1275" w:type="dxa"/>
            <w:vAlign w:val="center"/>
          </w:tcPr>
          <w:p w14:paraId="15B9D94A">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超净工作台</w:t>
            </w:r>
          </w:p>
        </w:tc>
        <w:tc>
          <w:tcPr>
            <w:tcW w:w="4111" w:type="dxa"/>
            <w:vAlign w:val="center"/>
          </w:tcPr>
          <w:p w14:paraId="27FE3375">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1、工位：双人单面</w:t>
            </w:r>
          </w:p>
          <w:p w14:paraId="21AFA3F8">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2、功率：≥800W</w:t>
            </w:r>
          </w:p>
          <w:p w14:paraId="79A8C939">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3、显示方式：LCD液晶屏</w:t>
            </w:r>
          </w:p>
          <w:p w14:paraId="3B3EB303">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4、洁净度：100级@≥0.5um（美联邦209E）</w:t>
            </w:r>
          </w:p>
          <w:p w14:paraId="3D53D6CD">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5、菌落数：≤0.5个/皿·时</w:t>
            </w:r>
          </w:p>
          <w:p w14:paraId="11F997D6">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6、照明强度：≥300LX</w:t>
            </w:r>
          </w:p>
          <w:p w14:paraId="41BBE267">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7、紫外灯规格及数量：30W*1，紫外线波长：253.7nm</w:t>
            </w:r>
          </w:p>
          <w:p w14:paraId="6E1E9B17">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8、平均风速：≥0.38m/s</w:t>
            </w:r>
          </w:p>
          <w:p w14:paraId="1819AB74">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9、振动半峰值：≤5μm（X·Y·Z）</w:t>
            </w:r>
          </w:p>
          <w:p w14:paraId="0021507A">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11、送风方式：垂直送风</w:t>
            </w:r>
          </w:p>
          <w:p w14:paraId="44AF3918">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10、高效过滤器尺寸及数量：1355*560*50mm*1</w:t>
            </w:r>
          </w:p>
          <w:p w14:paraId="154612BD">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12、工作区域尺寸：≥1360*650*520mm（长*宽*高）</w:t>
            </w:r>
          </w:p>
          <w:p w14:paraId="0B951E12">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13、噪音：≤62dB</w:t>
            </w:r>
          </w:p>
          <w:p w14:paraId="28E6DB27">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14、</w:t>
            </w:r>
            <w:r>
              <w:rPr>
                <w:rFonts w:hint="eastAsia" w:ascii="Times New Roman" w:hAnsi="Times New Roman" w:eastAsia="宋体" w:cs="宋体"/>
                <w:sz w:val="24"/>
                <w:szCs w:val="24"/>
              </w:rPr>
              <w:t>外形尺寸：1540*680*1600mm</w:t>
            </w:r>
          </w:p>
        </w:tc>
        <w:tc>
          <w:tcPr>
            <w:tcW w:w="780" w:type="dxa"/>
            <w:vAlign w:val="center"/>
          </w:tcPr>
          <w:p w14:paraId="0213D30E">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497BD3DF">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台</w:t>
            </w:r>
          </w:p>
        </w:tc>
        <w:tc>
          <w:tcPr>
            <w:tcW w:w="709" w:type="dxa"/>
            <w:vAlign w:val="center"/>
          </w:tcPr>
          <w:p w14:paraId="577B8483">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0.72</w:t>
            </w:r>
          </w:p>
        </w:tc>
      </w:tr>
      <w:tr w14:paraId="42B9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286AB545">
            <w:pPr>
              <w:pStyle w:val="974"/>
              <w:jc w:val="center"/>
              <w:rPr>
                <w:rFonts w:ascii="Times New Roman" w:hAnsi="Times New Roman" w:eastAsia="宋体"/>
                <w:color w:val="auto"/>
                <w:sz w:val="24"/>
                <w:szCs w:val="24"/>
              </w:rPr>
            </w:pPr>
          </w:p>
        </w:tc>
        <w:tc>
          <w:tcPr>
            <w:tcW w:w="851" w:type="dxa"/>
            <w:vMerge w:val="continue"/>
            <w:vAlign w:val="center"/>
          </w:tcPr>
          <w:p w14:paraId="5C59CACB">
            <w:pPr>
              <w:pStyle w:val="974"/>
              <w:jc w:val="center"/>
              <w:rPr>
                <w:rFonts w:ascii="Times New Roman" w:hAnsi="Times New Roman" w:eastAsia="宋体"/>
                <w:color w:val="auto"/>
                <w:sz w:val="24"/>
                <w:szCs w:val="24"/>
              </w:rPr>
            </w:pPr>
          </w:p>
        </w:tc>
        <w:tc>
          <w:tcPr>
            <w:tcW w:w="1275" w:type="dxa"/>
            <w:vAlign w:val="center"/>
          </w:tcPr>
          <w:p w14:paraId="0BEB66E9">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移液枪</w:t>
            </w:r>
          </w:p>
        </w:tc>
        <w:tc>
          <w:tcPr>
            <w:tcW w:w="4111" w:type="dxa"/>
            <w:vAlign w:val="center"/>
          </w:tcPr>
          <w:p w14:paraId="4F23DE37">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1、规格：0.5-10</w:t>
            </w:r>
            <w:r>
              <w:rPr>
                <w:rFonts w:ascii="Times New Roman" w:hAnsi="Times New Roman" w:eastAsia="宋体" w:cs="Times New Roman"/>
                <w:sz w:val="24"/>
                <w:szCs w:val="24"/>
              </w:rPr>
              <w:t>μl</w:t>
            </w:r>
            <w:r>
              <w:rPr>
                <w:rFonts w:hint="eastAsia" w:ascii="Times New Roman" w:hAnsi="Times New Roman" w:eastAsia="宋体" w:cs="Times New Roman"/>
                <w:sz w:val="24"/>
                <w:szCs w:val="24"/>
              </w:rPr>
              <w:t>；10-100</w:t>
            </w:r>
            <w:r>
              <w:rPr>
                <w:rFonts w:ascii="Times New Roman" w:hAnsi="Times New Roman" w:eastAsia="宋体" w:cs="Times New Roman"/>
                <w:sz w:val="24"/>
                <w:szCs w:val="24"/>
              </w:rPr>
              <w:t>μl</w:t>
            </w:r>
            <w:r>
              <w:rPr>
                <w:rFonts w:hint="eastAsia" w:ascii="Times New Roman" w:hAnsi="Times New Roman" w:eastAsia="宋体" w:cs="Times New Roman"/>
                <w:sz w:val="24"/>
                <w:szCs w:val="24"/>
              </w:rPr>
              <w:t>；20-200</w:t>
            </w:r>
            <w:r>
              <w:rPr>
                <w:rFonts w:ascii="Times New Roman" w:hAnsi="Times New Roman" w:eastAsia="宋体" w:cs="Times New Roman"/>
                <w:sz w:val="24"/>
                <w:szCs w:val="24"/>
              </w:rPr>
              <w:t>μl</w:t>
            </w:r>
            <w:r>
              <w:rPr>
                <w:rFonts w:hint="eastAsia" w:ascii="Times New Roman" w:hAnsi="Times New Roman" w:eastAsia="宋体" w:cs="Times New Roman"/>
                <w:sz w:val="24"/>
                <w:szCs w:val="24"/>
              </w:rPr>
              <w:t>，100-1000</w:t>
            </w:r>
            <w:r>
              <w:rPr>
                <w:rFonts w:ascii="Times New Roman" w:hAnsi="Times New Roman" w:eastAsia="宋体" w:cs="Times New Roman"/>
                <w:sz w:val="24"/>
                <w:szCs w:val="24"/>
              </w:rPr>
              <w:t>μl</w:t>
            </w:r>
            <w:r>
              <w:rPr>
                <w:rFonts w:hint="eastAsia" w:ascii="Times New Roman" w:hAnsi="Times New Roman" w:eastAsia="宋体" w:cs="Times New Roman"/>
                <w:sz w:val="24"/>
                <w:szCs w:val="24"/>
              </w:rPr>
              <w:t>，1000-5000</w:t>
            </w:r>
            <w:r>
              <w:rPr>
                <w:rFonts w:ascii="Times New Roman" w:hAnsi="Times New Roman" w:eastAsia="宋体" w:cs="Times New Roman"/>
                <w:sz w:val="24"/>
                <w:szCs w:val="24"/>
              </w:rPr>
              <w:t>μl</w:t>
            </w:r>
          </w:p>
          <w:p w14:paraId="26A78189">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2、测量体积：1、5、10</w:t>
            </w:r>
            <w:r>
              <w:rPr>
                <w:rFonts w:ascii="Times New Roman" w:hAnsi="Times New Roman" w:eastAsia="宋体"/>
                <w:color w:val="auto"/>
                <w:sz w:val="24"/>
                <w:szCs w:val="24"/>
              </w:rPr>
              <w:t>μl</w:t>
            </w:r>
            <w:r>
              <w:rPr>
                <w:rFonts w:hint="eastAsia" w:ascii="Times New Roman" w:hAnsi="Times New Roman" w:eastAsia="宋体"/>
                <w:color w:val="auto"/>
                <w:sz w:val="24"/>
                <w:szCs w:val="24"/>
              </w:rPr>
              <w:t>；10、50、100</w:t>
            </w:r>
            <w:r>
              <w:rPr>
                <w:rFonts w:ascii="Times New Roman" w:hAnsi="Times New Roman" w:eastAsia="宋体"/>
                <w:color w:val="auto"/>
                <w:sz w:val="24"/>
                <w:szCs w:val="24"/>
              </w:rPr>
              <w:t>μl</w:t>
            </w:r>
            <w:r>
              <w:rPr>
                <w:rFonts w:hint="eastAsia" w:ascii="Times New Roman" w:hAnsi="Times New Roman" w:eastAsia="宋体"/>
                <w:color w:val="auto"/>
                <w:sz w:val="24"/>
                <w:szCs w:val="24"/>
              </w:rPr>
              <w:t>；20、100、200</w:t>
            </w:r>
            <w:r>
              <w:rPr>
                <w:rFonts w:ascii="Times New Roman" w:hAnsi="Times New Roman" w:eastAsia="宋体"/>
                <w:color w:val="auto"/>
                <w:sz w:val="24"/>
                <w:szCs w:val="24"/>
              </w:rPr>
              <w:t>μl</w:t>
            </w:r>
            <w:r>
              <w:rPr>
                <w:rFonts w:hint="eastAsia" w:ascii="Times New Roman" w:hAnsi="Times New Roman" w:eastAsia="宋体"/>
                <w:color w:val="auto"/>
                <w:sz w:val="24"/>
                <w:szCs w:val="24"/>
              </w:rPr>
              <w:t>；100、500、1000</w:t>
            </w:r>
            <w:r>
              <w:rPr>
                <w:rFonts w:ascii="Times New Roman" w:hAnsi="Times New Roman" w:eastAsia="宋体"/>
                <w:color w:val="auto"/>
                <w:sz w:val="24"/>
                <w:szCs w:val="24"/>
              </w:rPr>
              <w:t>μl</w:t>
            </w:r>
            <w:r>
              <w:rPr>
                <w:rFonts w:hint="eastAsia" w:ascii="Times New Roman" w:hAnsi="Times New Roman" w:eastAsia="宋体"/>
                <w:color w:val="auto"/>
                <w:sz w:val="24"/>
                <w:szCs w:val="24"/>
              </w:rPr>
              <w:t>；1000、2500、5000</w:t>
            </w:r>
            <w:r>
              <w:rPr>
                <w:rFonts w:ascii="Times New Roman" w:hAnsi="Times New Roman" w:eastAsia="宋体"/>
                <w:color w:val="auto"/>
                <w:sz w:val="24"/>
                <w:szCs w:val="24"/>
              </w:rPr>
              <w:t>μl</w:t>
            </w:r>
          </w:p>
        </w:tc>
        <w:tc>
          <w:tcPr>
            <w:tcW w:w="780" w:type="dxa"/>
            <w:vAlign w:val="center"/>
          </w:tcPr>
          <w:p w14:paraId="0125134F">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1</w:t>
            </w:r>
          </w:p>
        </w:tc>
        <w:tc>
          <w:tcPr>
            <w:tcW w:w="709" w:type="dxa"/>
            <w:vAlign w:val="center"/>
          </w:tcPr>
          <w:p w14:paraId="10DF7B9D">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套</w:t>
            </w:r>
          </w:p>
        </w:tc>
        <w:tc>
          <w:tcPr>
            <w:tcW w:w="709" w:type="dxa"/>
            <w:vAlign w:val="center"/>
          </w:tcPr>
          <w:p w14:paraId="19B89C90">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0.18</w:t>
            </w:r>
          </w:p>
        </w:tc>
      </w:tr>
      <w:tr w14:paraId="07C8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2352FE43">
            <w:pPr>
              <w:pStyle w:val="974"/>
              <w:jc w:val="center"/>
              <w:rPr>
                <w:rFonts w:ascii="Times New Roman" w:hAnsi="Times New Roman" w:eastAsia="宋体"/>
                <w:color w:val="auto"/>
                <w:sz w:val="24"/>
                <w:szCs w:val="24"/>
              </w:rPr>
            </w:pPr>
          </w:p>
        </w:tc>
        <w:tc>
          <w:tcPr>
            <w:tcW w:w="851" w:type="dxa"/>
            <w:vMerge w:val="continue"/>
            <w:vAlign w:val="center"/>
          </w:tcPr>
          <w:p w14:paraId="76835324">
            <w:pPr>
              <w:pStyle w:val="974"/>
              <w:jc w:val="center"/>
              <w:rPr>
                <w:rFonts w:ascii="Times New Roman" w:hAnsi="Times New Roman" w:eastAsia="宋体"/>
                <w:color w:val="auto"/>
                <w:sz w:val="24"/>
                <w:szCs w:val="24"/>
              </w:rPr>
            </w:pPr>
          </w:p>
        </w:tc>
        <w:tc>
          <w:tcPr>
            <w:tcW w:w="1275" w:type="dxa"/>
            <w:vAlign w:val="center"/>
          </w:tcPr>
          <w:p w14:paraId="4366FC8A">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电子</w:t>
            </w:r>
            <w:r>
              <w:rPr>
                <w:rFonts w:ascii="Times New Roman" w:hAnsi="Times New Roman" w:eastAsia="宋体"/>
                <w:color w:val="auto"/>
                <w:sz w:val="24"/>
                <w:szCs w:val="24"/>
              </w:rPr>
              <w:t>显微镜</w:t>
            </w:r>
          </w:p>
        </w:tc>
        <w:tc>
          <w:tcPr>
            <w:tcW w:w="4111" w:type="dxa"/>
            <w:vAlign w:val="center"/>
          </w:tcPr>
          <w:p w14:paraId="470BFAD0">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1、放大倍数：40X-1600X</w:t>
            </w:r>
          </w:p>
          <w:p w14:paraId="5022C9F8">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2、数字观察头：数字铰链双目，30°倾斜，瞳距55-75mm，内置CCD/CMOS摄像系统</w:t>
            </w:r>
          </w:p>
          <w:p w14:paraId="1D956549">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3、目镜：广角目镜WF10X/18mm，16X/14mm</w:t>
            </w:r>
          </w:p>
          <w:p w14:paraId="4A5EC28C">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4、物镜：195消色差物镜4X、10X、40X（弹）、100X（弹油）</w:t>
            </w:r>
          </w:p>
          <w:p w14:paraId="7136E352">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5、转换器：四孔内倾，钢珠定位</w:t>
            </w:r>
          </w:p>
          <w:p w14:paraId="439EA4DF">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6、载物台：双层机械移动平台，大小≥125*115mm，移动范围≥70*30mm</w:t>
            </w:r>
          </w:p>
          <w:p w14:paraId="0E2863EF">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7、调焦机构：粗微动同轴，粗调22mm，微调0.002mm</w:t>
            </w:r>
          </w:p>
          <w:p w14:paraId="37B6A552">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8、聚光镜：阿贝聚光镜，N.A.=1.25，可变光栅，手轮升降</w:t>
            </w:r>
          </w:p>
          <w:p w14:paraId="540AD319">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9、照明：临界照明</w:t>
            </w:r>
          </w:p>
          <w:p w14:paraId="0F3BFFD2">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10、光源：LED冷光源，3W，亮度可调</w:t>
            </w:r>
          </w:p>
          <w:p w14:paraId="07D9130D">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11、CMOS摄像机：200万像素，1600*1200分辨率</w:t>
            </w:r>
          </w:p>
          <w:p w14:paraId="38B07068">
            <w:pPr>
              <w:pStyle w:val="974"/>
              <w:jc w:val="both"/>
              <w:rPr>
                <w:rFonts w:ascii="Times New Roman" w:hAnsi="Times New Roman" w:eastAsia="宋体"/>
                <w:color w:val="auto"/>
                <w:sz w:val="24"/>
                <w:szCs w:val="24"/>
              </w:rPr>
            </w:pPr>
            <w:r>
              <w:rPr>
                <w:rFonts w:hint="eastAsia" w:ascii="Times New Roman" w:hAnsi="Times New Roman" w:eastAsia="宋体"/>
                <w:sz w:val="24"/>
                <w:szCs w:val="24"/>
              </w:rPr>
              <w:t>12、</w:t>
            </w:r>
            <w:r>
              <w:rPr>
                <w:rFonts w:hint="eastAsia" w:ascii="Times New Roman" w:hAnsi="Times New Roman" w:eastAsia="宋体"/>
                <w:color w:val="auto"/>
                <w:sz w:val="24"/>
                <w:szCs w:val="24"/>
              </w:rPr>
              <w:t>信号输出：USB2.0接口/数据线。</w:t>
            </w:r>
          </w:p>
        </w:tc>
        <w:tc>
          <w:tcPr>
            <w:tcW w:w="780" w:type="dxa"/>
            <w:vAlign w:val="center"/>
          </w:tcPr>
          <w:p w14:paraId="46E5F7D7">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1</w:t>
            </w:r>
          </w:p>
        </w:tc>
        <w:tc>
          <w:tcPr>
            <w:tcW w:w="709" w:type="dxa"/>
            <w:vAlign w:val="center"/>
          </w:tcPr>
          <w:p w14:paraId="5D80A827">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台</w:t>
            </w:r>
          </w:p>
        </w:tc>
        <w:tc>
          <w:tcPr>
            <w:tcW w:w="709" w:type="dxa"/>
            <w:vAlign w:val="center"/>
          </w:tcPr>
          <w:p w14:paraId="718FBEE8">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0.37</w:t>
            </w:r>
          </w:p>
        </w:tc>
      </w:tr>
      <w:tr w14:paraId="0BAE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14C3B3A4">
            <w:pPr>
              <w:pStyle w:val="974"/>
              <w:jc w:val="center"/>
              <w:rPr>
                <w:rFonts w:ascii="Times New Roman" w:hAnsi="Times New Roman" w:eastAsia="宋体"/>
                <w:color w:val="auto"/>
                <w:sz w:val="24"/>
                <w:szCs w:val="24"/>
              </w:rPr>
            </w:pPr>
          </w:p>
        </w:tc>
        <w:tc>
          <w:tcPr>
            <w:tcW w:w="851" w:type="dxa"/>
            <w:vMerge w:val="continue"/>
            <w:vAlign w:val="center"/>
          </w:tcPr>
          <w:p w14:paraId="250A741B">
            <w:pPr>
              <w:pStyle w:val="974"/>
              <w:jc w:val="center"/>
              <w:rPr>
                <w:rFonts w:ascii="Times New Roman" w:hAnsi="Times New Roman" w:eastAsia="宋体"/>
                <w:color w:val="auto"/>
                <w:sz w:val="24"/>
                <w:szCs w:val="24"/>
              </w:rPr>
            </w:pPr>
          </w:p>
        </w:tc>
        <w:tc>
          <w:tcPr>
            <w:tcW w:w="1275" w:type="dxa"/>
            <w:vAlign w:val="center"/>
          </w:tcPr>
          <w:p w14:paraId="4B52CA3A">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分光光度仪</w:t>
            </w:r>
          </w:p>
        </w:tc>
        <w:tc>
          <w:tcPr>
            <w:tcW w:w="4111" w:type="dxa"/>
            <w:vAlign w:val="center"/>
          </w:tcPr>
          <w:p w14:paraId="28E4AC74">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1、显示方式：液晶显示屏</w:t>
            </w:r>
          </w:p>
          <w:p w14:paraId="2DAFEF91">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2、测光方式：单光束</w:t>
            </w:r>
          </w:p>
          <w:p w14:paraId="5ABD2C62">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3、光源：12V 20W卤钨灯</w:t>
            </w:r>
          </w:p>
          <w:p w14:paraId="3EE5420D">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4、光谱带宽：≥5nm</w:t>
            </w:r>
          </w:p>
          <w:p w14:paraId="5CCD4DDD">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波长范围</w:t>
            </w:r>
            <w:r>
              <w:rPr>
                <w:rFonts w:hint="eastAsia" w:ascii="Times New Roman" w:hAnsi="Times New Roman" w:eastAsia="宋体" w:cs="Times New Roman"/>
                <w:sz w:val="24"/>
                <w:szCs w:val="24"/>
              </w:rPr>
              <w:t>：</w:t>
            </w:r>
            <w:r>
              <w:rPr>
                <w:rFonts w:ascii="Times New Roman" w:hAnsi="Times New Roman" w:eastAsia="宋体" w:cs="Times New Roman"/>
                <w:sz w:val="24"/>
                <w:szCs w:val="24"/>
              </w:rPr>
              <w:t>325-1000nm</w:t>
            </w:r>
          </w:p>
          <w:p w14:paraId="5223F58D">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6、波长设定：手动</w:t>
            </w:r>
          </w:p>
          <w:p w14:paraId="23839FDE">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7、波长准确度：±2nm</w:t>
            </w:r>
          </w:p>
          <w:p w14:paraId="276E349A">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8、波长重复性：≤1nm</w:t>
            </w:r>
          </w:p>
          <w:p w14:paraId="5C0A6242">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9、光度准确度：≤0.5%T</w:t>
            </w:r>
          </w:p>
          <w:p w14:paraId="3813272E">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10、光度重复性：≤0.2%T</w:t>
            </w:r>
          </w:p>
          <w:p w14:paraId="1024B7FE">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11、噪声：≤0.2%T</w:t>
            </w:r>
          </w:p>
          <w:p w14:paraId="7BDE491C">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12、杂散光：≤0.1%T</w:t>
            </w:r>
          </w:p>
          <w:p w14:paraId="1E599708">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13、比色皿架：5cm</w:t>
            </w:r>
          </w:p>
          <w:p w14:paraId="1114CDF4">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14、比色皿：标配至少4个</w:t>
            </w:r>
          </w:p>
          <w:p w14:paraId="43CA1F88">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15、</w:t>
            </w:r>
            <w:r>
              <w:rPr>
                <w:rFonts w:hint="eastAsia" w:ascii="Times New Roman" w:hAnsi="Times New Roman" w:eastAsia="宋体" w:cs="宋体"/>
                <w:sz w:val="24"/>
                <w:szCs w:val="24"/>
              </w:rPr>
              <w:t>额定功率：80W</w:t>
            </w:r>
          </w:p>
        </w:tc>
        <w:tc>
          <w:tcPr>
            <w:tcW w:w="780" w:type="dxa"/>
            <w:vAlign w:val="center"/>
          </w:tcPr>
          <w:p w14:paraId="0F5E9447">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1</w:t>
            </w:r>
          </w:p>
        </w:tc>
        <w:tc>
          <w:tcPr>
            <w:tcW w:w="709" w:type="dxa"/>
            <w:vAlign w:val="center"/>
          </w:tcPr>
          <w:p w14:paraId="5A0B6506">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台</w:t>
            </w:r>
          </w:p>
        </w:tc>
        <w:tc>
          <w:tcPr>
            <w:tcW w:w="709" w:type="dxa"/>
            <w:vAlign w:val="center"/>
          </w:tcPr>
          <w:p w14:paraId="695146D9">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0.24</w:t>
            </w:r>
          </w:p>
        </w:tc>
      </w:tr>
      <w:tr w14:paraId="31CD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4C1804F8">
            <w:pPr>
              <w:pStyle w:val="974"/>
              <w:jc w:val="center"/>
              <w:rPr>
                <w:rFonts w:ascii="Times New Roman" w:hAnsi="Times New Roman" w:eastAsia="宋体"/>
                <w:color w:val="auto"/>
                <w:sz w:val="24"/>
                <w:szCs w:val="24"/>
              </w:rPr>
            </w:pPr>
          </w:p>
        </w:tc>
        <w:tc>
          <w:tcPr>
            <w:tcW w:w="851" w:type="dxa"/>
            <w:vMerge w:val="continue"/>
            <w:vAlign w:val="center"/>
          </w:tcPr>
          <w:p w14:paraId="4D239691">
            <w:pPr>
              <w:pStyle w:val="974"/>
              <w:jc w:val="center"/>
              <w:rPr>
                <w:rFonts w:ascii="Times New Roman" w:hAnsi="Times New Roman" w:eastAsia="宋体"/>
                <w:color w:val="auto"/>
                <w:sz w:val="24"/>
                <w:szCs w:val="24"/>
              </w:rPr>
            </w:pPr>
          </w:p>
        </w:tc>
        <w:tc>
          <w:tcPr>
            <w:tcW w:w="1275" w:type="dxa"/>
            <w:vAlign w:val="center"/>
          </w:tcPr>
          <w:p w14:paraId="19096751">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微波炉</w:t>
            </w:r>
          </w:p>
        </w:tc>
        <w:tc>
          <w:tcPr>
            <w:tcW w:w="4111" w:type="dxa"/>
            <w:vAlign w:val="center"/>
          </w:tcPr>
          <w:p w14:paraId="0D0E8069">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1、容积：20L</w:t>
            </w:r>
          </w:p>
          <w:p w14:paraId="4C786C7C">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2、额定输入功率：≥1150W</w:t>
            </w:r>
          </w:p>
          <w:p w14:paraId="7701E2E8">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3、微波输出功率：≥700W</w:t>
            </w:r>
          </w:p>
          <w:p w14:paraId="32D93027">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hint="eastAsia" w:ascii="Times New Roman" w:hAnsi="Times New Roman" w:eastAsia="宋体" w:cs="宋体"/>
                <w:sz w:val="24"/>
                <w:szCs w:val="24"/>
              </w:rPr>
              <w:t>内腔尺寸：≥307*307*212mm（长*宽*高）</w:t>
            </w:r>
          </w:p>
        </w:tc>
        <w:tc>
          <w:tcPr>
            <w:tcW w:w="780" w:type="dxa"/>
            <w:vAlign w:val="center"/>
          </w:tcPr>
          <w:p w14:paraId="269F618A">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1</w:t>
            </w:r>
          </w:p>
        </w:tc>
        <w:tc>
          <w:tcPr>
            <w:tcW w:w="709" w:type="dxa"/>
            <w:vAlign w:val="center"/>
          </w:tcPr>
          <w:p w14:paraId="49692977">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台</w:t>
            </w:r>
          </w:p>
        </w:tc>
        <w:tc>
          <w:tcPr>
            <w:tcW w:w="709" w:type="dxa"/>
            <w:vAlign w:val="center"/>
          </w:tcPr>
          <w:p w14:paraId="05053DA9">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0.04</w:t>
            </w:r>
          </w:p>
        </w:tc>
      </w:tr>
      <w:tr w14:paraId="2843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452CB07F">
            <w:pPr>
              <w:pStyle w:val="974"/>
              <w:jc w:val="center"/>
              <w:rPr>
                <w:rFonts w:ascii="Times New Roman" w:hAnsi="Times New Roman" w:eastAsia="宋体"/>
                <w:color w:val="auto"/>
                <w:sz w:val="24"/>
                <w:szCs w:val="24"/>
              </w:rPr>
            </w:pPr>
          </w:p>
        </w:tc>
        <w:tc>
          <w:tcPr>
            <w:tcW w:w="851" w:type="dxa"/>
            <w:vMerge w:val="continue"/>
            <w:vAlign w:val="center"/>
          </w:tcPr>
          <w:p w14:paraId="620CE4D8">
            <w:pPr>
              <w:pStyle w:val="974"/>
              <w:jc w:val="center"/>
              <w:rPr>
                <w:rFonts w:ascii="Times New Roman" w:hAnsi="Times New Roman" w:eastAsia="宋体"/>
                <w:color w:val="auto"/>
                <w:sz w:val="24"/>
                <w:szCs w:val="24"/>
              </w:rPr>
            </w:pPr>
          </w:p>
        </w:tc>
        <w:tc>
          <w:tcPr>
            <w:tcW w:w="1275" w:type="dxa"/>
            <w:vAlign w:val="center"/>
          </w:tcPr>
          <w:p w14:paraId="5EA7A2F8">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pH计</w:t>
            </w:r>
          </w:p>
        </w:tc>
        <w:tc>
          <w:tcPr>
            <w:tcW w:w="4111" w:type="dxa"/>
            <w:vAlign w:val="center"/>
          </w:tcPr>
          <w:p w14:paraId="78BB9512">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1、pH级别：0.01级</w:t>
            </w:r>
          </w:p>
          <w:p w14:paraId="23660C40">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2、pH范围：-2.00~18.00</w:t>
            </w:r>
          </w:p>
          <w:p w14:paraId="06733170">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3、分辨率：0.01pH</w:t>
            </w:r>
          </w:p>
          <w:p w14:paraId="39C45294">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4、电子单元示值误差：±0.01pH</w:t>
            </w:r>
          </w:p>
          <w:p w14:paraId="493A223B">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5、温度范围：-5.0~110.0℃</w:t>
            </w:r>
          </w:p>
          <w:p w14:paraId="06967A84">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6、温度分辨率：0.1℃</w:t>
            </w:r>
          </w:p>
          <w:p w14:paraId="28735A72">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7、温度电子单元示值误差：±0.2℃</w:t>
            </w:r>
          </w:p>
          <w:p w14:paraId="3C63B150">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8、标配电极：E-301-QC型pH三复合电极</w:t>
            </w:r>
          </w:p>
          <w:p w14:paraId="0AAB5878">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9、尺寸：242*195*68mm（长*宽*高）</w:t>
            </w:r>
          </w:p>
          <w:p w14:paraId="0269C6F2">
            <w:pPr>
              <w:spacing w:line="360" w:lineRule="auto"/>
              <w:rPr>
                <w:rFonts w:ascii="Times New Roman" w:hAnsi="Times New Roman" w:eastAsia="宋体" w:cs="Times New Roman"/>
                <w:sz w:val="24"/>
                <w:szCs w:val="24"/>
              </w:rPr>
            </w:pPr>
            <w:r>
              <w:rPr>
                <w:rFonts w:ascii="Times New Roman" w:hAnsi="Times New Roman" w:eastAsia="宋体" w:cs="宋体"/>
                <w:sz w:val="24"/>
                <w:szCs w:val="24"/>
              </w:rPr>
              <w:t>精度0.01，自动温补</w:t>
            </w:r>
          </w:p>
        </w:tc>
        <w:tc>
          <w:tcPr>
            <w:tcW w:w="780" w:type="dxa"/>
            <w:vAlign w:val="center"/>
          </w:tcPr>
          <w:p w14:paraId="394B3940">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1</w:t>
            </w:r>
          </w:p>
        </w:tc>
        <w:tc>
          <w:tcPr>
            <w:tcW w:w="709" w:type="dxa"/>
            <w:vAlign w:val="center"/>
          </w:tcPr>
          <w:p w14:paraId="21EDAA86">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台</w:t>
            </w:r>
          </w:p>
        </w:tc>
        <w:tc>
          <w:tcPr>
            <w:tcW w:w="709" w:type="dxa"/>
            <w:vAlign w:val="center"/>
          </w:tcPr>
          <w:p w14:paraId="2A32F00A">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0.25</w:t>
            </w:r>
          </w:p>
        </w:tc>
      </w:tr>
      <w:tr w14:paraId="1697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4DBF0705">
            <w:pPr>
              <w:pStyle w:val="974"/>
              <w:jc w:val="center"/>
              <w:rPr>
                <w:rFonts w:ascii="Times New Roman" w:hAnsi="Times New Roman" w:eastAsia="宋体"/>
                <w:color w:val="auto"/>
                <w:sz w:val="24"/>
                <w:szCs w:val="24"/>
              </w:rPr>
            </w:pPr>
          </w:p>
        </w:tc>
        <w:tc>
          <w:tcPr>
            <w:tcW w:w="851" w:type="dxa"/>
            <w:vMerge w:val="continue"/>
            <w:vAlign w:val="center"/>
          </w:tcPr>
          <w:p w14:paraId="2B132498">
            <w:pPr>
              <w:pStyle w:val="974"/>
              <w:jc w:val="center"/>
              <w:rPr>
                <w:rFonts w:ascii="Times New Roman" w:hAnsi="Times New Roman" w:eastAsia="宋体"/>
                <w:color w:val="auto"/>
                <w:sz w:val="24"/>
                <w:szCs w:val="24"/>
              </w:rPr>
            </w:pPr>
          </w:p>
        </w:tc>
        <w:tc>
          <w:tcPr>
            <w:tcW w:w="1275" w:type="dxa"/>
            <w:vAlign w:val="center"/>
          </w:tcPr>
          <w:p w14:paraId="0E349188">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高温湿热灭菌器</w:t>
            </w:r>
          </w:p>
        </w:tc>
        <w:tc>
          <w:tcPr>
            <w:tcW w:w="4111" w:type="dxa"/>
            <w:vAlign w:val="center"/>
          </w:tcPr>
          <w:p w14:paraId="4414E065">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1、容积：≥80升</w:t>
            </w:r>
          </w:p>
          <w:p w14:paraId="40D006A0">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2、额定工作压力：0.21MPa</w:t>
            </w:r>
          </w:p>
          <w:p w14:paraId="6FAF3C99">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3、灭菌温度：121-132℃</w:t>
            </w:r>
          </w:p>
          <w:p w14:paraId="78D7774B">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4、灭菌时间：0-9999min</w:t>
            </w:r>
          </w:p>
          <w:p w14:paraId="3BACE3F2">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5、置物桶尺寸：≥350*500mm（直径*高）</w:t>
            </w:r>
          </w:p>
          <w:p w14:paraId="6616F705">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6、电源：220V，50Hz</w:t>
            </w:r>
          </w:p>
          <w:p w14:paraId="59F54470">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7、功率：≥5.2kw</w:t>
            </w:r>
          </w:p>
          <w:p w14:paraId="74277409">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8、</w:t>
            </w:r>
            <w:r>
              <w:rPr>
                <w:rFonts w:hint="eastAsia" w:ascii="Times New Roman" w:hAnsi="Times New Roman" w:eastAsia="宋体" w:cs="宋体"/>
                <w:sz w:val="24"/>
                <w:szCs w:val="24"/>
              </w:rPr>
              <w:t>外形尺寸：600*540*1235mm（长*宽*高）</w:t>
            </w:r>
          </w:p>
        </w:tc>
        <w:tc>
          <w:tcPr>
            <w:tcW w:w="780" w:type="dxa"/>
            <w:vAlign w:val="center"/>
          </w:tcPr>
          <w:p w14:paraId="631591FE">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1</w:t>
            </w:r>
          </w:p>
        </w:tc>
        <w:tc>
          <w:tcPr>
            <w:tcW w:w="709" w:type="dxa"/>
            <w:vAlign w:val="center"/>
          </w:tcPr>
          <w:p w14:paraId="05729ED4">
            <w:pPr>
              <w:pStyle w:val="974"/>
              <w:jc w:val="center"/>
              <w:rPr>
                <w:rFonts w:ascii="Times New Roman" w:hAnsi="Times New Roman" w:eastAsia="宋体"/>
                <w:color w:val="auto"/>
                <w:sz w:val="24"/>
                <w:szCs w:val="24"/>
              </w:rPr>
            </w:pPr>
            <w:r>
              <w:rPr>
                <w:rFonts w:ascii="Times New Roman" w:hAnsi="Times New Roman" w:eastAsia="宋体"/>
                <w:color w:val="auto"/>
                <w:sz w:val="24"/>
                <w:szCs w:val="24"/>
              </w:rPr>
              <w:t>台</w:t>
            </w:r>
          </w:p>
        </w:tc>
        <w:tc>
          <w:tcPr>
            <w:tcW w:w="709" w:type="dxa"/>
            <w:vAlign w:val="center"/>
          </w:tcPr>
          <w:p w14:paraId="23C8DAEA">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0.90</w:t>
            </w:r>
          </w:p>
        </w:tc>
      </w:tr>
      <w:tr w14:paraId="6B5E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1032C23C">
            <w:pPr>
              <w:pStyle w:val="974"/>
              <w:jc w:val="center"/>
              <w:rPr>
                <w:rFonts w:ascii="Times New Roman" w:hAnsi="Times New Roman" w:eastAsia="宋体"/>
                <w:color w:val="auto"/>
                <w:sz w:val="24"/>
                <w:szCs w:val="24"/>
              </w:rPr>
            </w:pPr>
          </w:p>
        </w:tc>
        <w:tc>
          <w:tcPr>
            <w:tcW w:w="851" w:type="dxa"/>
            <w:vMerge w:val="continue"/>
            <w:vAlign w:val="center"/>
          </w:tcPr>
          <w:p w14:paraId="4E73CDAD">
            <w:pPr>
              <w:pStyle w:val="974"/>
              <w:jc w:val="center"/>
              <w:rPr>
                <w:rFonts w:ascii="Times New Roman" w:hAnsi="Times New Roman" w:eastAsia="宋体"/>
                <w:color w:val="auto"/>
                <w:sz w:val="24"/>
                <w:szCs w:val="24"/>
              </w:rPr>
            </w:pPr>
          </w:p>
        </w:tc>
        <w:tc>
          <w:tcPr>
            <w:tcW w:w="1275" w:type="dxa"/>
            <w:vAlign w:val="center"/>
          </w:tcPr>
          <w:p w14:paraId="41EE3D82">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实验工作台</w:t>
            </w:r>
          </w:p>
        </w:tc>
        <w:tc>
          <w:tcPr>
            <w:tcW w:w="4111" w:type="dxa"/>
            <w:vAlign w:val="center"/>
          </w:tcPr>
          <w:p w14:paraId="1E204587">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1、材质：钢木结构</w:t>
            </w:r>
          </w:p>
          <w:p w14:paraId="1CB8FD8E">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2、外形尺寸：长*深*高为2000*750*800mm</w:t>
            </w:r>
          </w:p>
          <w:p w14:paraId="312FE34C">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3、厚度：门板18mm三聚氰胺刨花板，桃面为12.7mm实芯理化板，耐酸碱、耐磨、耐高温、承重性强</w:t>
            </w:r>
          </w:p>
        </w:tc>
        <w:tc>
          <w:tcPr>
            <w:tcW w:w="780" w:type="dxa"/>
            <w:vAlign w:val="center"/>
          </w:tcPr>
          <w:p w14:paraId="38DEFE4D">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6E5982B6">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7371A3E5">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0.24</w:t>
            </w:r>
          </w:p>
        </w:tc>
      </w:tr>
      <w:tr w14:paraId="7874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1DFE9928">
            <w:pPr>
              <w:pStyle w:val="974"/>
              <w:jc w:val="center"/>
              <w:rPr>
                <w:rFonts w:ascii="Times New Roman" w:hAnsi="Times New Roman" w:eastAsia="宋体"/>
                <w:color w:val="auto"/>
                <w:sz w:val="24"/>
                <w:szCs w:val="24"/>
              </w:rPr>
            </w:pPr>
          </w:p>
        </w:tc>
        <w:tc>
          <w:tcPr>
            <w:tcW w:w="851" w:type="dxa"/>
            <w:vMerge w:val="continue"/>
            <w:vAlign w:val="center"/>
          </w:tcPr>
          <w:p w14:paraId="27B0E46B">
            <w:pPr>
              <w:pStyle w:val="974"/>
              <w:jc w:val="center"/>
              <w:rPr>
                <w:rFonts w:ascii="Times New Roman" w:hAnsi="Times New Roman" w:eastAsia="宋体"/>
                <w:color w:val="auto"/>
                <w:sz w:val="24"/>
                <w:szCs w:val="24"/>
              </w:rPr>
            </w:pPr>
          </w:p>
        </w:tc>
        <w:tc>
          <w:tcPr>
            <w:tcW w:w="1275" w:type="dxa"/>
            <w:vAlign w:val="center"/>
          </w:tcPr>
          <w:p w14:paraId="620B02F2">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通风柜</w:t>
            </w:r>
          </w:p>
        </w:tc>
        <w:tc>
          <w:tcPr>
            <w:tcW w:w="4111" w:type="dxa"/>
            <w:vAlign w:val="center"/>
          </w:tcPr>
          <w:p w14:paraId="7BFC9A02">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1、外形尺寸：长*宽*高为1500*650*1900mm</w:t>
            </w:r>
          </w:p>
          <w:p w14:paraId="25F37584">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2、操作区域：≥1300*530*750mm（长*宽*高）</w:t>
            </w:r>
          </w:p>
          <w:p w14:paraId="1C38AC7E">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3、风机风量：1850m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/h</w:t>
            </w:r>
          </w:p>
          <w:p w14:paraId="110BEDD5">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4、排风口径：250mm</w:t>
            </w:r>
          </w:p>
          <w:p w14:paraId="3A35FB66">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5、风机功率：≥110w</w:t>
            </w:r>
          </w:p>
          <w:p w14:paraId="34F2F065">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6、照明灯功率：≥20wLED</w:t>
            </w:r>
          </w:p>
          <w:p w14:paraId="31A4A953">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7、额定功率：2kw</w:t>
            </w:r>
          </w:p>
          <w:p w14:paraId="749A6D56">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8、噪音：≤50db</w:t>
            </w:r>
          </w:p>
          <w:p w14:paraId="79FFF69D">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9、面风速：0.5m/s</w:t>
            </w:r>
          </w:p>
          <w:p w14:paraId="4C1289C2">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10、柜身：1mm厚冷轧钢板，表面具环氧树脂涂层，耐酸碱</w:t>
            </w:r>
          </w:p>
          <w:p w14:paraId="0502A297">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11、操作区域内腔：5mm厚抗倍特板，耐酸碱，防腐蚀</w:t>
            </w:r>
          </w:p>
          <w:p w14:paraId="1388FF59">
            <w:pPr>
              <w:pStyle w:val="974"/>
              <w:jc w:val="both"/>
              <w:rPr>
                <w:rFonts w:ascii="Times New Roman" w:hAnsi="Times New Roman" w:eastAsia="宋体"/>
                <w:color w:val="auto"/>
                <w:sz w:val="24"/>
                <w:szCs w:val="24"/>
              </w:rPr>
            </w:pPr>
            <w:r>
              <w:rPr>
                <w:rFonts w:hint="eastAsia" w:ascii="Times New Roman" w:hAnsi="Times New Roman" w:eastAsia="宋体"/>
                <w:color w:val="auto"/>
                <w:sz w:val="24"/>
                <w:szCs w:val="24"/>
              </w:rPr>
              <w:t>12、台面板：12.7mm厚黑色实芯理化板</w:t>
            </w:r>
          </w:p>
        </w:tc>
        <w:tc>
          <w:tcPr>
            <w:tcW w:w="780" w:type="dxa"/>
            <w:vAlign w:val="center"/>
          </w:tcPr>
          <w:p w14:paraId="4958E460">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2F9E4A76">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套</w:t>
            </w:r>
          </w:p>
        </w:tc>
        <w:tc>
          <w:tcPr>
            <w:tcW w:w="709" w:type="dxa"/>
            <w:vAlign w:val="center"/>
          </w:tcPr>
          <w:p w14:paraId="626FA632">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0.42</w:t>
            </w:r>
          </w:p>
        </w:tc>
      </w:tr>
      <w:tr w14:paraId="6B6D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restart"/>
            <w:vAlign w:val="center"/>
          </w:tcPr>
          <w:p w14:paraId="0F5F3E4F">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5</w:t>
            </w:r>
          </w:p>
        </w:tc>
        <w:tc>
          <w:tcPr>
            <w:tcW w:w="851" w:type="dxa"/>
            <w:vMerge w:val="restart"/>
            <w:vAlign w:val="center"/>
          </w:tcPr>
          <w:p w14:paraId="5AD28D82">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设备集成安装</w:t>
            </w:r>
          </w:p>
        </w:tc>
        <w:tc>
          <w:tcPr>
            <w:tcW w:w="1275" w:type="dxa"/>
            <w:vAlign w:val="center"/>
          </w:tcPr>
          <w:p w14:paraId="53D36591">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电气电缆</w:t>
            </w:r>
          </w:p>
        </w:tc>
        <w:tc>
          <w:tcPr>
            <w:tcW w:w="4111" w:type="dxa"/>
            <w:vAlign w:val="center"/>
          </w:tcPr>
          <w:p w14:paraId="4B1B4C55">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控制系统电气、电缆线</w:t>
            </w:r>
          </w:p>
        </w:tc>
        <w:tc>
          <w:tcPr>
            <w:tcW w:w="780" w:type="dxa"/>
            <w:vAlign w:val="center"/>
          </w:tcPr>
          <w:p w14:paraId="6A01B206">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1E5BF0A7">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批</w:t>
            </w:r>
          </w:p>
        </w:tc>
        <w:tc>
          <w:tcPr>
            <w:tcW w:w="709" w:type="dxa"/>
            <w:vMerge w:val="restart"/>
            <w:vAlign w:val="center"/>
          </w:tcPr>
          <w:p w14:paraId="76BB19C2">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rPr>
              <w:t>24.42</w:t>
            </w:r>
          </w:p>
        </w:tc>
      </w:tr>
      <w:tr w14:paraId="60D0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Merge w:val="continue"/>
            <w:vAlign w:val="center"/>
          </w:tcPr>
          <w:p w14:paraId="61B72CD5">
            <w:pPr>
              <w:pStyle w:val="974"/>
              <w:jc w:val="center"/>
              <w:rPr>
                <w:rFonts w:ascii="Times New Roman" w:hAnsi="Times New Roman" w:eastAsia="宋体"/>
                <w:color w:val="auto"/>
                <w:sz w:val="24"/>
                <w:szCs w:val="24"/>
              </w:rPr>
            </w:pPr>
          </w:p>
        </w:tc>
        <w:tc>
          <w:tcPr>
            <w:tcW w:w="851" w:type="dxa"/>
            <w:vMerge w:val="continue"/>
            <w:vAlign w:val="center"/>
          </w:tcPr>
          <w:p w14:paraId="60AC0FC9">
            <w:pPr>
              <w:pStyle w:val="974"/>
              <w:jc w:val="center"/>
              <w:rPr>
                <w:rFonts w:ascii="Times New Roman" w:hAnsi="Times New Roman" w:eastAsia="宋体"/>
                <w:color w:val="auto"/>
                <w:sz w:val="24"/>
                <w:szCs w:val="24"/>
              </w:rPr>
            </w:pPr>
          </w:p>
        </w:tc>
        <w:tc>
          <w:tcPr>
            <w:tcW w:w="1275" w:type="dxa"/>
            <w:vAlign w:val="center"/>
          </w:tcPr>
          <w:p w14:paraId="2574EDF2">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安装调试运输</w:t>
            </w:r>
          </w:p>
        </w:tc>
        <w:tc>
          <w:tcPr>
            <w:tcW w:w="4111" w:type="dxa"/>
            <w:vAlign w:val="center"/>
          </w:tcPr>
          <w:p w14:paraId="582F40ED">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设备集成安装调试、运费</w:t>
            </w:r>
          </w:p>
        </w:tc>
        <w:tc>
          <w:tcPr>
            <w:tcW w:w="780" w:type="dxa"/>
            <w:vAlign w:val="center"/>
          </w:tcPr>
          <w:p w14:paraId="0E36158D">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1</w:t>
            </w:r>
          </w:p>
        </w:tc>
        <w:tc>
          <w:tcPr>
            <w:tcW w:w="709" w:type="dxa"/>
            <w:vAlign w:val="center"/>
          </w:tcPr>
          <w:p w14:paraId="4ED59E71">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rPr>
              <w:t>批</w:t>
            </w:r>
          </w:p>
        </w:tc>
        <w:tc>
          <w:tcPr>
            <w:tcW w:w="709" w:type="dxa"/>
            <w:vMerge w:val="continue"/>
            <w:vAlign w:val="center"/>
          </w:tcPr>
          <w:p w14:paraId="078777E6">
            <w:pPr>
              <w:pStyle w:val="974"/>
              <w:jc w:val="center"/>
              <w:rPr>
                <w:rFonts w:ascii="Times New Roman" w:hAnsi="Times New Roman" w:eastAsia="宋体"/>
                <w:color w:val="auto"/>
                <w:sz w:val="24"/>
                <w:szCs w:val="24"/>
              </w:rPr>
            </w:pPr>
          </w:p>
        </w:tc>
      </w:tr>
      <w:tr w14:paraId="5B6F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Align w:val="center"/>
          </w:tcPr>
          <w:p w14:paraId="7B80EA05">
            <w:pPr>
              <w:pStyle w:val="974"/>
              <w:jc w:val="center"/>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6</w:t>
            </w:r>
          </w:p>
        </w:tc>
        <w:tc>
          <w:tcPr>
            <w:tcW w:w="851" w:type="dxa"/>
            <w:vAlign w:val="center"/>
          </w:tcPr>
          <w:p w14:paraId="7DBA4ADA">
            <w:pPr>
              <w:pStyle w:val="974"/>
              <w:jc w:val="center"/>
              <w:rPr>
                <w:rFonts w:ascii="Times New Roman" w:hAnsi="Times New Roman" w:eastAsia="宋体"/>
                <w:color w:val="auto"/>
                <w:sz w:val="24"/>
                <w:szCs w:val="24"/>
              </w:rPr>
            </w:pPr>
            <w:r>
              <w:rPr>
                <w:rFonts w:hint="eastAsia" w:ascii="Times New Roman" w:hAnsi="Times New Roman" w:eastAsia="宋体" w:cs="Times New Roman"/>
                <w:color w:val="auto"/>
                <w:sz w:val="24"/>
                <w:szCs w:val="24"/>
                <w:lang w:val="en-US" w:eastAsia="zh-CN"/>
              </w:rPr>
              <w:t>提升机</w:t>
            </w:r>
          </w:p>
        </w:tc>
        <w:tc>
          <w:tcPr>
            <w:tcW w:w="5386" w:type="dxa"/>
            <w:gridSpan w:val="2"/>
            <w:vAlign w:val="center"/>
          </w:tcPr>
          <w:p w14:paraId="76E98FF7">
            <w:pPr>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上下座采用4-6mm板材制作、管道采用≥1.5mm板材、提升带 采用300mm宽*3+1层、畚斗采用聚酯尼龙,防尘、减速机电机4.0KW、线速度≥1.9/秒、产量≥30T/H</w:t>
            </w:r>
          </w:p>
        </w:tc>
        <w:tc>
          <w:tcPr>
            <w:tcW w:w="780" w:type="dxa"/>
            <w:vAlign w:val="center"/>
          </w:tcPr>
          <w:p w14:paraId="7763792C">
            <w:pPr>
              <w:pStyle w:val="974"/>
              <w:jc w:val="center"/>
              <w:rPr>
                <w:rFonts w:hint="eastAsia" w:ascii="Times New Roman" w:hAnsi="Times New Roman" w:eastAsia="宋体"/>
                <w:color w:val="auto"/>
                <w:sz w:val="24"/>
                <w:szCs w:val="24"/>
              </w:rPr>
            </w:pPr>
            <w:r>
              <w:rPr>
                <w:rFonts w:hint="eastAsia" w:ascii="Times New Roman" w:hAnsi="Times New Roman" w:eastAsia="宋体" w:cs="Times New Roman"/>
                <w:color w:val="auto"/>
                <w:sz w:val="24"/>
                <w:szCs w:val="24"/>
                <w:lang w:val="en-US" w:eastAsia="zh-CN"/>
              </w:rPr>
              <w:t>1</w:t>
            </w:r>
          </w:p>
        </w:tc>
        <w:tc>
          <w:tcPr>
            <w:tcW w:w="709" w:type="dxa"/>
            <w:vAlign w:val="center"/>
          </w:tcPr>
          <w:p w14:paraId="014FA643">
            <w:pPr>
              <w:pStyle w:val="974"/>
              <w:jc w:val="center"/>
              <w:rPr>
                <w:rFonts w:hint="eastAsia" w:ascii="Times New Roman" w:hAnsi="Times New Roman" w:eastAsia="宋体"/>
                <w:color w:val="auto"/>
                <w:sz w:val="24"/>
                <w:szCs w:val="24"/>
              </w:rPr>
            </w:pPr>
            <w:r>
              <w:rPr>
                <w:rFonts w:hint="default" w:ascii="Times New Roman" w:hAnsi="Times New Roman" w:eastAsia="宋体" w:cs="Times New Roman"/>
                <w:color w:val="auto"/>
                <w:sz w:val="24"/>
                <w:szCs w:val="24"/>
                <w:lang w:val="en-US" w:eastAsia="zh-CN"/>
              </w:rPr>
              <w:t>台</w:t>
            </w:r>
          </w:p>
        </w:tc>
        <w:tc>
          <w:tcPr>
            <w:tcW w:w="709" w:type="dxa"/>
            <w:vAlign w:val="center"/>
          </w:tcPr>
          <w:p w14:paraId="46C9285C">
            <w:pPr>
              <w:pStyle w:val="974"/>
              <w:jc w:val="center"/>
              <w:rPr>
                <w:rFonts w:ascii="Times New Roman" w:hAnsi="Times New Roman" w:eastAsia="宋体"/>
                <w:color w:val="auto"/>
                <w:sz w:val="24"/>
                <w:szCs w:val="24"/>
              </w:rPr>
            </w:pPr>
            <w:r>
              <w:rPr>
                <w:rFonts w:hint="eastAsia" w:ascii="Times New Roman" w:hAnsi="Times New Roman" w:eastAsia="宋体" w:cs="Times New Roman"/>
                <w:color w:val="auto"/>
                <w:sz w:val="24"/>
                <w:szCs w:val="24"/>
                <w:lang w:val="en-US" w:eastAsia="zh-CN"/>
              </w:rPr>
              <w:t>2.5</w:t>
            </w:r>
          </w:p>
        </w:tc>
      </w:tr>
      <w:tr w14:paraId="4F0A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Align w:val="center"/>
          </w:tcPr>
          <w:p w14:paraId="4E20E187">
            <w:pPr>
              <w:pStyle w:val="974"/>
              <w:jc w:val="center"/>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7</w:t>
            </w:r>
          </w:p>
        </w:tc>
        <w:tc>
          <w:tcPr>
            <w:tcW w:w="851" w:type="dxa"/>
            <w:vAlign w:val="center"/>
          </w:tcPr>
          <w:p w14:paraId="4E05529A">
            <w:pPr>
              <w:pStyle w:val="974"/>
              <w:jc w:val="center"/>
              <w:rPr>
                <w:rFonts w:ascii="Times New Roman" w:hAnsi="Times New Roman" w:eastAsia="宋体"/>
                <w:color w:val="auto"/>
                <w:sz w:val="24"/>
                <w:szCs w:val="24"/>
              </w:rPr>
            </w:pPr>
            <w:r>
              <w:rPr>
                <w:rFonts w:hint="default" w:ascii="Times New Roman" w:hAnsi="Times New Roman" w:eastAsia="宋体" w:cs="Times New Roman"/>
                <w:color w:val="auto"/>
                <w:sz w:val="24"/>
                <w:szCs w:val="24"/>
                <w:lang w:val="en-US" w:eastAsia="zh-CN"/>
              </w:rPr>
              <w:t>谷糙分离筛</w:t>
            </w:r>
          </w:p>
        </w:tc>
        <w:tc>
          <w:tcPr>
            <w:tcW w:w="5386" w:type="dxa"/>
            <w:gridSpan w:val="2"/>
            <w:vAlign w:val="center"/>
          </w:tcPr>
          <w:p w14:paraId="1BFD1EEE">
            <w:pPr>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机器外形尺寸：2580mm*1700mm*1800mm（±5）、清选方式重力式、喂入方式机械进料</w:t>
            </w:r>
            <w:r>
              <w:rPr>
                <w:rFonts w:hint="eastAsia" w:ascii="Times New Roman" w:hAnsi="Times New Roman" w:eastAsia="宋体" w:cs="Times New Roman"/>
                <w:color w:val="auto"/>
                <w:sz w:val="24"/>
                <w:szCs w:val="24"/>
                <w:lang w:val="en-US" w:eastAsia="zh-CN"/>
              </w:rPr>
              <w:br w:type="textWrapping"/>
            </w:r>
            <w:r>
              <w:rPr>
                <w:rFonts w:hint="eastAsia" w:ascii="Times New Roman" w:hAnsi="Times New Roman" w:eastAsia="宋体" w:cs="Times New Roman"/>
                <w:color w:val="auto"/>
                <w:sz w:val="24"/>
                <w:szCs w:val="24"/>
                <w:lang w:val="en-US" w:eastAsia="zh-CN"/>
              </w:rPr>
              <w:t>、减速机电机≥4.0KW、产量≥26T/小时</w:t>
            </w:r>
          </w:p>
        </w:tc>
        <w:tc>
          <w:tcPr>
            <w:tcW w:w="780" w:type="dxa"/>
            <w:vAlign w:val="center"/>
          </w:tcPr>
          <w:p w14:paraId="0A2C3EDD">
            <w:pPr>
              <w:pStyle w:val="974"/>
              <w:jc w:val="center"/>
              <w:rPr>
                <w:rFonts w:hint="eastAsia" w:ascii="Times New Roman" w:hAnsi="Times New Roman" w:eastAsia="宋体"/>
                <w:color w:val="auto"/>
                <w:sz w:val="24"/>
                <w:szCs w:val="24"/>
              </w:rPr>
            </w:pPr>
            <w:r>
              <w:rPr>
                <w:rFonts w:hint="eastAsia" w:ascii="Times New Roman" w:hAnsi="Times New Roman" w:eastAsia="宋体" w:cs="Times New Roman"/>
                <w:color w:val="auto"/>
                <w:sz w:val="24"/>
                <w:szCs w:val="24"/>
                <w:lang w:val="en-US" w:eastAsia="zh-CN"/>
              </w:rPr>
              <w:t>1</w:t>
            </w:r>
          </w:p>
        </w:tc>
        <w:tc>
          <w:tcPr>
            <w:tcW w:w="709" w:type="dxa"/>
            <w:vAlign w:val="center"/>
          </w:tcPr>
          <w:p w14:paraId="3400DB39">
            <w:pPr>
              <w:pStyle w:val="974"/>
              <w:jc w:val="center"/>
              <w:rPr>
                <w:rFonts w:hint="eastAsia" w:ascii="Times New Roman" w:hAnsi="Times New Roman" w:eastAsia="宋体"/>
                <w:color w:val="auto"/>
                <w:sz w:val="24"/>
                <w:szCs w:val="24"/>
              </w:rPr>
            </w:pPr>
            <w:r>
              <w:rPr>
                <w:rFonts w:hint="default" w:ascii="Times New Roman" w:hAnsi="Times New Roman" w:eastAsia="宋体" w:cs="Times New Roman"/>
                <w:color w:val="auto"/>
                <w:sz w:val="24"/>
                <w:szCs w:val="24"/>
                <w:lang w:val="en-US" w:eastAsia="zh-CN"/>
              </w:rPr>
              <w:t>台</w:t>
            </w:r>
          </w:p>
        </w:tc>
        <w:tc>
          <w:tcPr>
            <w:tcW w:w="709" w:type="dxa"/>
            <w:vAlign w:val="center"/>
          </w:tcPr>
          <w:p w14:paraId="496E939F">
            <w:pPr>
              <w:pStyle w:val="974"/>
              <w:jc w:val="center"/>
              <w:rPr>
                <w:rFonts w:ascii="Times New Roman" w:hAnsi="Times New Roman" w:eastAsia="宋体"/>
                <w:color w:val="auto"/>
                <w:sz w:val="24"/>
                <w:szCs w:val="24"/>
              </w:rPr>
            </w:pPr>
            <w:r>
              <w:rPr>
                <w:rFonts w:hint="eastAsia" w:ascii="Times New Roman" w:hAnsi="Times New Roman" w:eastAsia="宋体" w:cs="Times New Roman"/>
                <w:color w:val="auto"/>
                <w:sz w:val="24"/>
                <w:szCs w:val="24"/>
                <w:lang w:val="en-US" w:eastAsia="zh-CN"/>
              </w:rPr>
              <w:t>9.5</w:t>
            </w:r>
          </w:p>
        </w:tc>
      </w:tr>
      <w:tr w14:paraId="278A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Align w:val="center"/>
          </w:tcPr>
          <w:p w14:paraId="509A68F4">
            <w:pPr>
              <w:pStyle w:val="974"/>
              <w:jc w:val="center"/>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8</w:t>
            </w:r>
          </w:p>
        </w:tc>
        <w:tc>
          <w:tcPr>
            <w:tcW w:w="851" w:type="dxa"/>
            <w:vAlign w:val="center"/>
          </w:tcPr>
          <w:p w14:paraId="0637EA21">
            <w:pPr>
              <w:pStyle w:val="974"/>
              <w:jc w:val="center"/>
              <w:rPr>
                <w:rFonts w:ascii="Times New Roman" w:hAnsi="Times New Roman" w:eastAsia="宋体"/>
                <w:color w:val="auto"/>
                <w:sz w:val="24"/>
                <w:szCs w:val="24"/>
              </w:rPr>
            </w:pPr>
            <w:r>
              <w:rPr>
                <w:rFonts w:hint="eastAsia" w:ascii="Times New Roman" w:hAnsi="Times New Roman" w:eastAsia="宋体" w:cs="Times New Roman"/>
                <w:color w:val="auto"/>
                <w:sz w:val="24"/>
                <w:szCs w:val="24"/>
                <w:lang w:val="en-US" w:eastAsia="zh-CN"/>
              </w:rPr>
              <w:t>搂草码条机</w:t>
            </w:r>
          </w:p>
        </w:tc>
        <w:tc>
          <w:tcPr>
            <w:tcW w:w="5386" w:type="dxa"/>
            <w:gridSpan w:val="2"/>
            <w:vAlign w:val="center"/>
          </w:tcPr>
          <w:p w14:paraId="5B079686">
            <w:pPr>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 xml:space="preserve">工作幅宽（M）≧ 5.5 </w:t>
            </w:r>
            <w:r>
              <w:rPr>
                <w:rFonts w:hint="eastAsia" w:ascii="Times New Roman" w:hAnsi="Times New Roman" w:eastAsia="宋体" w:cs="Times New Roman"/>
                <w:color w:val="auto"/>
                <w:sz w:val="24"/>
                <w:szCs w:val="24"/>
                <w:lang w:val="en-US" w:eastAsia="zh-CN"/>
              </w:rPr>
              <w:br w:type="textWrapping"/>
            </w:r>
            <w:r>
              <w:rPr>
                <w:rFonts w:hint="eastAsia" w:ascii="Times New Roman" w:hAnsi="Times New Roman" w:eastAsia="宋体" w:cs="Times New Roman"/>
                <w:color w:val="auto"/>
                <w:sz w:val="24"/>
                <w:szCs w:val="24"/>
                <w:lang w:val="en-US" w:eastAsia="zh-CN"/>
              </w:rPr>
              <w:t>配套动力（马力） ≧ 40-55</w:t>
            </w:r>
            <w:r>
              <w:rPr>
                <w:rFonts w:hint="eastAsia" w:ascii="Times New Roman" w:hAnsi="Times New Roman" w:eastAsia="宋体" w:cs="Times New Roman"/>
                <w:color w:val="auto"/>
                <w:sz w:val="24"/>
                <w:szCs w:val="24"/>
                <w:lang w:val="en-US" w:eastAsia="zh-CN"/>
              </w:rPr>
              <w:br w:type="textWrapping"/>
            </w:r>
            <w:r>
              <w:rPr>
                <w:rFonts w:hint="eastAsia" w:ascii="Times New Roman" w:hAnsi="Times New Roman" w:eastAsia="宋体" w:cs="Times New Roman"/>
                <w:color w:val="auto"/>
                <w:sz w:val="24"/>
                <w:szCs w:val="24"/>
                <w:lang w:val="en-US" w:eastAsia="zh-CN"/>
              </w:rPr>
              <w:t>整机重量（KG）≧ 540</w:t>
            </w:r>
            <w:r>
              <w:rPr>
                <w:rFonts w:hint="eastAsia" w:ascii="Times New Roman" w:hAnsi="Times New Roman" w:eastAsia="宋体" w:cs="Times New Roman"/>
                <w:color w:val="auto"/>
                <w:sz w:val="24"/>
                <w:szCs w:val="24"/>
                <w:lang w:val="en-US" w:eastAsia="zh-CN"/>
              </w:rPr>
              <w:br w:type="textWrapping"/>
            </w:r>
            <w:r>
              <w:rPr>
                <w:rFonts w:hint="eastAsia" w:ascii="Times New Roman" w:hAnsi="Times New Roman" w:eastAsia="宋体" w:cs="Times New Roman"/>
                <w:color w:val="auto"/>
                <w:sz w:val="24"/>
                <w:szCs w:val="24"/>
                <w:lang w:val="en-US" w:eastAsia="zh-CN"/>
              </w:rPr>
              <w:t>指轮数量（个）≧ 8-10</w:t>
            </w:r>
            <w:r>
              <w:rPr>
                <w:rFonts w:hint="eastAsia" w:ascii="Times New Roman" w:hAnsi="Times New Roman" w:eastAsia="宋体" w:cs="Times New Roman"/>
                <w:color w:val="auto"/>
                <w:sz w:val="24"/>
                <w:szCs w:val="24"/>
                <w:lang w:val="en-US" w:eastAsia="zh-CN"/>
              </w:rPr>
              <w:br w:type="textWrapping"/>
            </w:r>
            <w:r>
              <w:rPr>
                <w:rFonts w:hint="eastAsia" w:ascii="Times New Roman" w:hAnsi="Times New Roman" w:eastAsia="宋体" w:cs="Times New Roman"/>
                <w:color w:val="auto"/>
                <w:sz w:val="24"/>
                <w:szCs w:val="24"/>
                <w:lang w:val="en-US" w:eastAsia="zh-CN"/>
              </w:rPr>
              <w:t>搂齿材质 60Si2Mn</w:t>
            </w:r>
            <w:r>
              <w:rPr>
                <w:rFonts w:hint="eastAsia" w:ascii="Times New Roman" w:hAnsi="Times New Roman" w:eastAsia="宋体" w:cs="Times New Roman"/>
                <w:color w:val="auto"/>
                <w:sz w:val="24"/>
                <w:szCs w:val="24"/>
                <w:lang w:val="en-US" w:eastAsia="zh-CN"/>
              </w:rPr>
              <w:br w:type="textWrapping"/>
            </w:r>
            <w:r>
              <w:rPr>
                <w:rFonts w:hint="eastAsia" w:ascii="Times New Roman" w:hAnsi="Times New Roman" w:eastAsia="宋体" w:cs="Times New Roman"/>
                <w:color w:val="auto"/>
                <w:sz w:val="24"/>
                <w:szCs w:val="24"/>
                <w:lang w:val="en-US" w:eastAsia="zh-CN"/>
              </w:rPr>
              <w:t>挂接形式 牵引</w:t>
            </w:r>
            <w:r>
              <w:rPr>
                <w:rFonts w:hint="eastAsia" w:ascii="Times New Roman" w:hAnsi="Times New Roman" w:eastAsia="宋体" w:cs="Times New Roman"/>
                <w:color w:val="auto"/>
                <w:sz w:val="24"/>
                <w:szCs w:val="24"/>
                <w:lang w:val="en-US" w:eastAsia="zh-CN"/>
              </w:rPr>
              <w:br w:type="textWrapping"/>
            </w:r>
            <w:r>
              <w:rPr>
                <w:rFonts w:hint="eastAsia" w:ascii="Times New Roman" w:hAnsi="Times New Roman" w:eastAsia="宋体" w:cs="Times New Roman"/>
                <w:color w:val="auto"/>
                <w:sz w:val="24"/>
                <w:szCs w:val="24"/>
                <w:lang w:val="en-US" w:eastAsia="zh-CN"/>
              </w:rPr>
              <w:t xml:space="preserve">搂草、搂秸秆、码条  </w:t>
            </w:r>
          </w:p>
        </w:tc>
        <w:tc>
          <w:tcPr>
            <w:tcW w:w="780" w:type="dxa"/>
            <w:vAlign w:val="center"/>
          </w:tcPr>
          <w:p w14:paraId="2E2E7A98">
            <w:pPr>
              <w:pStyle w:val="974"/>
              <w:jc w:val="center"/>
              <w:rPr>
                <w:rFonts w:hint="eastAsia" w:ascii="Times New Roman" w:hAnsi="Times New Roman" w:eastAsia="宋体"/>
                <w:color w:val="auto"/>
                <w:sz w:val="24"/>
                <w:szCs w:val="24"/>
              </w:rPr>
            </w:pPr>
            <w:r>
              <w:rPr>
                <w:rFonts w:hint="eastAsia" w:ascii="Times New Roman" w:hAnsi="Times New Roman" w:eastAsia="宋体"/>
                <w:color w:val="auto"/>
                <w:sz w:val="24"/>
                <w:szCs w:val="24"/>
                <w:lang w:val="en-US" w:eastAsia="zh-CN"/>
              </w:rPr>
              <w:t>2</w:t>
            </w:r>
          </w:p>
        </w:tc>
        <w:tc>
          <w:tcPr>
            <w:tcW w:w="709" w:type="dxa"/>
            <w:vAlign w:val="center"/>
          </w:tcPr>
          <w:p w14:paraId="207F848B">
            <w:pPr>
              <w:pStyle w:val="974"/>
              <w:jc w:val="center"/>
              <w:rPr>
                <w:rFonts w:hint="eastAsia" w:ascii="Times New Roman" w:hAnsi="Times New Roman" w:eastAsia="宋体"/>
                <w:color w:val="auto"/>
                <w:sz w:val="24"/>
                <w:szCs w:val="24"/>
              </w:rPr>
            </w:pPr>
            <w:r>
              <w:rPr>
                <w:rFonts w:hint="default" w:ascii="宋体" w:hAnsi="宋体" w:eastAsia="宋体" w:cs="宋体"/>
                <w:b w:val="0"/>
                <w:bCs/>
                <w:color w:val="auto"/>
                <w:sz w:val="21"/>
                <w:szCs w:val="21"/>
                <w:highlight w:val="none"/>
                <w:lang w:val="en-US" w:eastAsia="zh-CN"/>
              </w:rPr>
              <w:t>台</w:t>
            </w:r>
          </w:p>
        </w:tc>
        <w:tc>
          <w:tcPr>
            <w:tcW w:w="709" w:type="dxa"/>
            <w:vAlign w:val="center"/>
          </w:tcPr>
          <w:p w14:paraId="154645C2">
            <w:pPr>
              <w:pStyle w:val="974"/>
              <w:jc w:val="center"/>
              <w:rPr>
                <w:rFonts w:ascii="Times New Roman" w:hAnsi="Times New Roman" w:eastAsia="宋体"/>
                <w:color w:val="auto"/>
                <w:sz w:val="24"/>
                <w:szCs w:val="24"/>
              </w:rPr>
            </w:pPr>
            <w:r>
              <w:rPr>
                <w:rFonts w:hint="eastAsia" w:ascii="Times New Roman" w:hAnsi="Times New Roman" w:eastAsia="宋体"/>
                <w:color w:val="auto"/>
                <w:sz w:val="24"/>
                <w:szCs w:val="24"/>
                <w:lang w:val="en-US" w:eastAsia="zh-CN"/>
              </w:rPr>
              <w:t>7</w:t>
            </w:r>
          </w:p>
        </w:tc>
      </w:tr>
      <w:tr w14:paraId="637F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704" w:type="dxa"/>
            <w:vAlign w:val="center"/>
          </w:tcPr>
          <w:p w14:paraId="32FE25AE">
            <w:pPr>
              <w:pStyle w:val="974"/>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9</w:t>
            </w:r>
          </w:p>
        </w:tc>
        <w:tc>
          <w:tcPr>
            <w:tcW w:w="7726" w:type="dxa"/>
            <w:gridSpan w:val="5"/>
            <w:vAlign w:val="center"/>
          </w:tcPr>
          <w:p w14:paraId="2F173BA0">
            <w:pPr>
              <w:pStyle w:val="974"/>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合计</w:t>
            </w:r>
          </w:p>
        </w:tc>
        <w:tc>
          <w:tcPr>
            <w:tcW w:w="709" w:type="dxa"/>
            <w:vAlign w:val="center"/>
          </w:tcPr>
          <w:p w14:paraId="002C44ED">
            <w:pPr>
              <w:pStyle w:val="974"/>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300</w:t>
            </w:r>
          </w:p>
        </w:tc>
      </w:tr>
      <w:bookmarkEnd w:id="38"/>
    </w:tbl>
    <w:p w14:paraId="021A0B9D">
      <w:pPr>
        <w:rPr>
          <w:rFonts w:hint="eastAsia"/>
        </w:rPr>
      </w:pPr>
    </w:p>
    <w:p w14:paraId="7DC1CF45">
      <w:pPr>
        <w:rPr>
          <w:rFonts w:hint="eastAsia"/>
        </w:rPr>
      </w:pPr>
      <w:bookmarkStart w:id="568" w:name="_GoBack"/>
      <w:bookmarkEnd w:id="568"/>
    </w:p>
    <w:p w14:paraId="73A8AF34">
      <w:pPr>
        <w:spacing w:line="360" w:lineRule="auto"/>
        <w:ind w:firstLine="480" w:firstLineChars="200"/>
        <w:rPr>
          <w:rFonts w:ascii="Times New Roman" w:hAnsi="Times New Roman" w:eastAsia="宋体" w:cs="Times New Roman"/>
          <w:sz w:val="24"/>
          <w:szCs w:val="24"/>
        </w:rPr>
      </w:pPr>
    </w:p>
    <w:p w14:paraId="190EE19F">
      <w:pPr>
        <w:pStyle w:val="976"/>
        <w:spacing w:line="360" w:lineRule="auto"/>
        <w:rPr>
          <w:rFonts w:ascii="Times New Roman" w:hAnsi="Times New Roman" w:eastAsia="宋体"/>
          <w:sz w:val="24"/>
          <w:szCs w:val="24"/>
        </w:rPr>
      </w:pPr>
      <w:bookmarkStart w:id="39" w:name="_Toc198733874"/>
      <w:r>
        <w:rPr>
          <w:rFonts w:hint="eastAsia" w:ascii="Times New Roman" w:hAnsi="Times New Roman" w:eastAsia="宋体"/>
          <w:sz w:val="24"/>
          <w:szCs w:val="24"/>
        </w:rPr>
        <w:t>服务承诺：</w:t>
      </w:r>
      <w:bookmarkEnd w:id="39"/>
    </w:p>
    <w:p w14:paraId="2859AD7C">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供货期：</w:t>
      </w:r>
      <w:r>
        <w:rPr>
          <w:rFonts w:hint="eastAsia" w:ascii="Times New Roman" w:hAnsi="Times New Roman" w:eastAsia="宋体" w:cs="Times New Roman"/>
          <w:sz w:val="24"/>
          <w:szCs w:val="24"/>
          <w:lang w:val="en-US" w:eastAsia="zh-CN"/>
        </w:rPr>
        <w:t>80日历</w:t>
      </w:r>
      <w:r>
        <w:rPr>
          <w:rFonts w:hint="eastAsia" w:ascii="Times New Roman" w:hAnsi="Times New Roman" w:eastAsia="宋体" w:cs="Times New Roman"/>
          <w:sz w:val="24"/>
          <w:szCs w:val="24"/>
        </w:rPr>
        <w:t>天</w:t>
      </w:r>
    </w:p>
    <w:p w14:paraId="40AAEC25">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安装、调试期：</w:t>
      </w:r>
      <w:r>
        <w:rPr>
          <w:rFonts w:hint="eastAsia" w:ascii="Times New Roman" w:hAnsi="Times New Roman" w:eastAsia="宋体" w:cs="Times New Roman"/>
          <w:sz w:val="24"/>
          <w:szCs w:val="24"/>
          <w:lang w:val="en-US" w:eastAsia="zh-CN"/>
        </w:rPr>
        <w:t>10日历</w:t>
      </w:r>
      <w:r>
        <w:rPr>
          <w:rFonts w:hint="eastAsia" w:ascii="Times New Roman" w:hAnsi="Times New Roman" w:eastAsia="宋体" w:cs="Times New Roman"/>
          <w:sz w:val="24"/>
          <w:szCs w:val="24"/>
        </w:rPr>
        <w:t>天，安装完成后，要负责培训业主至其能独立操作，并掌握相关的检修、维护要点</w:t>
      </w:r>
    </w:p>
    <w:p w14:paraId="611D2318">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质保期：验收后，免费保修不少于1年（不包括易耗品），保修期后，仍能继续为业主提供完善和及时的技术支持和售后服务。提供相关软件系统的免费升级。</w:t>
      </w:r>
    </w:p>
    <w:p w14:paraId="7954B65F">
      <w:pPr>
        <w:pStyle w:val="976"/>
        <w:spacing w:line="360" w:lineRule="auto"/>
        <w:rPr>
          <w:rFonts w:ascii="Times New Roman" w:hAnsi="Times New Roman" w:eastAsia="宋体"/>
          <w:sz w:val="24"/>
          <w:szCs w:val="24"/>
        </w:rPr>
      </w:pPr>
      <w:bookmarkStart w:id="40" w:name="_Toc198733875"/>
      <w:r>
        <w:rPr>
          <w:rFonts w:hint="eastAsia" w:ascii="Times New Roman" w:hAnsi="Times New Roman" w:eastAsia="宋体"/>
          <w:sz w:val="24"/>
          <w:szCs w:val="24"/>
        </w:rPr>
        <w:t>附件</w:t>
      </w:r>
      <w:bookmarkEnd w:id="40"/>
    </w:p>
    <w:p w14:paraId="598B64A8">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现有扩培生化反应生产设备：</w:t>
      </w:r>
    </w:p>
    <w:tbl>
      <w:tblPr>
        <w:tblStyle w:val="62"/>
        <w:tblpPr w:leftFromText="180" w:rightFromText="180" w:vertAnchor="text" w:horzAnchor="page" w:tblpXSpec="center" w:tblpY="287"/>
        <w:tblOverlap w:val="never"/>
        <w:tblW w:w="8648" w:type="dxa"/>
        <w:tblInd w:w="0" w:type="dxa"/>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108" w:type="dxa"/>
          <w:bottom w:w="0" w:type="dxa"/>
          <w:right w:w="108" w:type="dxa"/>
        </w:tblCellMar>
      </w:tblPr>
      <w:tblGrid>
        <w:gridCol w:w="2842"/>
        <w:gridCol w:w="2795"/>
        <w:gridCol w:w="1310"/>
        <w:gridCol w:w="1701"/>
      </w:tblGrid>
      <w:tr w14:paraId="149FAD28">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cantSplit/>
          <w:trHeight w:val="195" w:hRule="atLeast"/>
        </w:trPr>
        <w:tc>
          <w:tcPr>
            <w:tcW w:w="2842" w:type="dxa"/>
            <w:tcBorders>
              <w:top w:val="single" w:color="000000" w:sz="4" w:space="0"/>
            </w:tcBorders>
            <w:shd w:val="clear" w:color="auto" w:fill="C0C0C0"/>
            <w:vAlign w:val="center"/>
          </w:tcPr>
          <w:p w14:paraId="46829865">
            <w:pPr>
              <w:spacing w:line="360" w:lineRule="exact"/>
              <w:jc w:val="center"/>
              <w:rPr>
                <w:rFonts w:hint="eastAsia"/>
                <w:b/>
                <w:szCs w:val="21"/>
              </w:rPr>
            </w:pPr>
            <w:r>
              <w:rPr>
                <w:rFonts w:hint="eastAsia"/>
                <w:b/>
                <w:szCs w:val="21"/>
              </w:rPr>
              <w:t>名  称</w:t>
            </w:r>
          </w:p>
        </w:tc>
        <w:tc>
          <w:tcPr>
            <w:tcW w:w="2795" w:type="dxa"/>
            <w:tcBorders>
              <w:top w:val="single" w:color="000000" w:sz="4" w:space="0"/>
              <w:right w:val="single" w:color="auto" w:sz="4" w:space="0"/>
            </w:tcBorders>
            <w:shd w:val="clear" w:color="auto" w:fill="C0C0C0"/>
            <w:vAlign w:val="center"/>
          </w:tcPr>
          <w:p w14:paraId="1B1D3BBA">
            <w:pPr>
              <w:adjustRightInd w:val="0"/>
              <w:snapToGrid w:val="0"/>
              <w:spacing w:before="187" w:beforeLines="60" w:line="360" w:lineRule="auto"/>
              <w:jc w:val="center"/>
              <w:rPr>
                <w:rFonts w:hint="eastAsia"/>
                <w:b/>
                <w:szCs w:val="21"/>
              </w:rPr>
            </w:pPr>
            <w:r>
              <w:rPr>
                <w:rFonts w:hint="eastAsia"/>
                <w:b/>
                <w:szCs w:val="21"/>
              </w:rPr>
              <w:t>型号</w:t>
            </w:r>
          </w:p>
        </w:tc>
        <w:tc>
          <w:tcPr>
            <w:tcW w:w="1310" w:type="dxa"/>
            <w:tcBorders>
              <w:top w:val="single" w:color="000000" w:sz="4" w:space="0"/>
              <w:left w:val="single" w:color="auto" w:sz="4" w:space="0"/>
            </w:tcBorders>
            <w:shd w:val="clear" w:color="auto" w:fill="C0C0C0"/>
            <w:vAlign w:val="center"/>
          </w:tcPr>
          <w:p w14:paraId="636AE928">
            <w:pPr>
              <w:adjustRightInd w:val="0"/>
              <w:snapToGrid w:val="0"/>
              <w:spacing w:before="187" w:beforeLines="60" w:line="360" w:lineRule="auto"/>
              <w:jc w:val="center"/>
              <w:rPr>
                <w:rFonts w:hint="eastAsia"/>
                <w:b/>
                <w:szCs w:val="21"/>
              </w:rPr>
            </w:pPr>
            <w:r>
              <w:rPr>
                <w:rFonts w:hint="eastAsia"/>
                <w:b/>
                <w:szCs w:val="21"/>
              </w:rPr>
              <w:t>数量</w:t>
            </w:r>
          </w:p>
        </w:tc>
        <w:tc>
          <w:tcPr>
            <w:tcW w:w="1701" w:type="dxa"/>
            <w:tcBorders>
              <w:top w:val="single" w:color="000000" w:sz="4" w:space="0"/>
              <w:bottom w:val="single" w:color="auto" w:sz="4" w:space="0"/>
            </w:tcBorders>
            <w:shd w:val="clear" w:color="auto" w:fill="C0C0C0"/>
            <w:vAlign w:val="center"/>
          </w:tcPr>
          <w:p w14:paraId="177F95BA">
            <w:pPr>
              <w:adjustRightInd w:val="0"/>
              <w:snapToGrid w:val="0"/>
              <w:spacing w:before="187" w:beforeLines="60" w:line="360" w:lineRule="auto"/>
              <w:jc w:val="center"/>
              <w:rPr>
                <w:rFonts w:hint="eastAsia"/>
                <w:b/>
                <w:szCs w:val="21"/>
              </w:rPr>
            </w:pPr>
            <w:r>
              <w:rPr>
                <w:rFonts w:hint="eastAsia"/>
                <w:b/>
                <w:szCs w:val="21"/>
              </w:rPr>
              <w:t>单位</w:t>
            </w:r>
          </w:p>
        </w:tc>
      </w:tr>
      <w:tr w14:paraId="4BFD4135">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cantSplit/>
          <w:trHeight w:val="195" w:hRule="atLeast"/>
        </w:trPr>
        <w:tc>
          <w:tcPr>
            <w:tcW w:w="2842" w:type="dxa"/>
            <w:vAlign w:val="center"/>
          </w:tcPr>
          <w:p w14:paraId="4CC28DEE">
            <w:pPr>
              <w:spacing w:line="360" w:lineRule="exact"/>
              <w:jc w:val="center"/>
              <w:rPr>
                <w:rFonts w:hint="eastAsia"/>
              </w:rPr>
            </w:pPr>
            <w:r>
              <w:rPr>
                <w:rFonts w:hint="eastAsia"/>
              </w:rPr>
              <w:t>50升全自动扩培反应系统</w:t>
            </w:r>
          </w:p>
          <w:p w14:paraId="5ECBB85A">
            <w:pPr>
              <w:spacing w:line="360" w:lineRule="exact"/>
              <w:jc w:val="center"/>
              <w:rPr>
                <w:rFonts w:hint="eastAsia"/>
              </w:rPr>
            </w:pPr>
            <w:r>
              <w:rPr>
                <w:rFonts w:hint="eastAsia"/>
              </w:rPr>
              <w:t xml:space="preserve">（含过程控制软件 </w:t>
            </w:r>
            <w:r>
              <w:t>V</w:t>
            </w:r>
            <w:r>
              <w:rPr>
                <w:rFonts w:hint="eastAsia"/>
              </w:rPr>
              <w:t>6.0）</w:t>
            </w:r>
          </w:p>
        </w:tc>
        <w:tc>
          <w:tcPr>
            <w:tcW w:w="2795" w:type="dxa"/>
            <w:tcBorders>
              <w:right w:val="single" w:color="auto" w:sz="4" w:space="0"/>
            </w:tcBorders>
            <w:vAlign w:val="center"/>
          </w:tcPr>
          <w:p w14:paraId="486C4D2E">
            <w:pPr>
              <w:jc w:val="center"/>
              <w:rPr>
                <w:rFonts w:hint="eastAsia"/>
              </w:rPr>
            </w:pPr>
            <w:r>
              <w:rPr>
                <w:rFonts w:hint="eastAsia"/>
                <w:szCs w:val="21"/>
              </w:rPr>
              <w:t>BIOTECH-50JS</w:t>
            </w:r>
          </w:p>
        </w:tc>
        <w:tc>
          <w:tcPr>
            <w:tcW w:w="1310" w:type="dxa"/>
            <w:tcBorders>
              <w:left w:val="single" w:color="auto" w:sz="4" w:space="0"/>
            </w:tcBorders>
            <w:vAlign w:val="center"/>
          </w:tcPr>
          <w:p w14:paraId="24D668B9">
            <w:pPr>
              <w:jc w:val="center"/>
              <w:rPr>
                <w:rFonts w:hint="eastAsia"/>
              </w:rPr>
            </w:pPr>
            <w:r>
              <w:rPr>
                <w:rFonts w:hint="eastAsia"/>
              </w:rPr>
              <w:t>1</w:t>
            </w:r>
          </w:p>
        </w:tc>
        <w:tc>
          <w:tcPr>
            <w:tcW w:w="1701" w:type="dxa"/>
            <w:tcBorders>
              <w:bottom w:val="single" w:color="auto" w:sz="4" w:space="0"/>
            </w:tcBorders>
            <w:vAlign w:val="center"/>
          </w:tcPr>
          <w:p w14:paraId="507C4F5B">
            <w:pPr>
              <w:adjustRightInd w:val="0"/>
              <w:snapToGrid w:val="0"/>
              <w:spacing w:before="187" w:beforeLines="60" w:line="360" w:lineRule="auto"/>
              <w:jc w:val="center"/>
              <w:rPr>
                <w:rFonts w:hint="eastAsia"/>
              </w:rPr>
            </w:pPr>
            <w:r>
              <w:t>套</w:t>
            </w:r>
          </w:p>
        </w:tc>
      </w:tr>
      <w:tr w14:paraId="3BA23597">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cantSplit/>
          <w:trHeight w:val="195" w:hRule="atLeast"/>
        </w:trPr>
        <w:tc>
          <w:tcPr>
            <w:tcW w:w="2842" w:type="dxa"/>
            <w:vAlign w:val="center"/>
          </w:tcPr>
          <w:p w14:paraId="4DBB5E5A">
            <w:pPr>
              <w:spacing w:line="360" w:lineRule="exact"/>
              <w:jc w:val="center"/>
              <w:rPr>
                <w:rFonts w:hint="eastAsia"/>
              </w:rPr>
            </w:pPr>
            <w:r>
              <w:rPr>
                <w:rFonts w:hint="eastAsia"/>
              </w:rPr>
              <w:t>500升全自动扩培反应系统</w:t>
            </w:r>
          </w:p>
          <w:p w14:paraId="281F8334">
            <w:pPr>
              <w:spacing w:line="360" w:lineRule="exact"/>
              <w:jc w:val="center"/>
              <w:rPr>
                <w:rFonts w:hint="eastAsia"/>
              </w:rPr>
            </w:pPr>
            <w:r>
              <w:rPr>
                <w:rFonts w:hint="eastAsia"/>
              </w:rPr>
              <w:t xml:space="preserve">（含过程控制软件 </w:t>
            </w:r>
            <w:r>
              <w:t>V</w:t>
            </w:r>
            <w:r>
              <w:rPr>
                <w:rFonts w:hint="eastAsia"/>
              </w:rPr>
              <w:t>6.0）</w:t>
            </w:r>
          </w:p>
        </w:tc>
        <w:tc>
          <w:tcPr>
            <w:tcW w:w="2795" w:type="dxa"/>
            <w:tcBorders>
              <w:right w:val="single" w:color="auto" w:sz="4" w:space="0"/>
            </w:tcBorders>
            <w:vAlign w:val="center"/>
          </w:tcPr>
          <w:p w14:paraId="5BF939EE">
            <w:pPr>
              <w:jc w:val="center"/>
              <w:rPr>
                <w:rFonts w:hint="eastAsia"/>
              </w:rPr>
            </w:pPr>
            <w:r>
              <w:rPr>
                <w:rFonts w:hint="eastAsia"/>
                <w:szCs w:val="21"/>
              </w:rPr>
              <w:t>BIOTECH-500JS</w:t>
            </w:r>
          </w:p>
        </w:tc>
        <w:tc>
          <w:tcPr>
            <w:tcW w:w="1310" w:type="dxa"/>
            <w:tcBorders>
              <w:left w:val="single" w:color="auto" w:sz="4" w:space="0"/>
            </w:tcBorders>
            <w:vAlign w:val="center"/>
          </w:tcPr>
          <w:p w14:paraId="6E889452">
            <w:pPr>
              <w:jc w:val="center"/>
              <w:rPr>
                <w:rFonts w:hint="eastAsia"/>
              </w:rPr>
            </w:pPr>
            <w:r>
              <w:rPr>
                <w:rFonts w:hint="eastAsia"/>
              </w:rPr>
              <w:t>1</w:t>
            </w:r>
          </w:p>
        </w:tc>
        <w:tc>
          <w:tcPr>
            <w:tcW w:w="1701" w:type="dxa"/>
            <w:tcBorders>
              <w:bottom w:val="single" w:color="auto" w:sz="4" w:space="0"/>
            </w:tcBorders>
            <w:vAlign w:val="center"/>
          </w:tcPr>
          <w:p w14:paraId="08AEF964">
            <w:pPr>
              <w:adjustRightInd w:val="0"/>
              <w:snapToGrid w:val="0"/>
              <w:spacing w:before="187" w:beforeLines="60" w:line="360" w:lineRule="auto"/>
              <w:jc w:val="center"/>
              <w:rPr>
                <w:rFonts w:hint="eastAsia"/>
              </w:rPr>
            </w:pPr>
            <w:r>
              <w:t>套</w:t>
            </w:r>
          </w:p>
        </w:tc>
      </w:tr>
      <w:tr w14:paraId="35BE22F6">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cantSplit/>
          <w:trHeight w:val="195" w:hRule="atLeast"/>
        </w:trPr>
        <w:tc>
          <w:tcPr>
            <w:tcW w:w="2842" w:type="dxa"/>
            <w:vAlign w:val="center"/>
          </w:tcPr>
          <w:p w14:paraId="58EEA78A">
            <w:pPr>
              <w:spacing w:line="360" w:lineRule="exact"/>
              <w:jc w:val="center"/>
              <w:rPr>
                <w:rFonts w:hint="eastAsia"/>
              </w:rPr>
            </w:pPr>
            <w:r>
              <w:rPr>
                <w:rFonts w:hint="eastAsia"/>
              </w:rPr>
              <w:t>蒸汽发生器</w:t>
            </w:r>
          </w:p>
        </w:tc>
        <w:tc>
          <w:tcPr>
            <w:tcW w:w="2795" w:type="dxa"/>
            <w:tcBorders>
              <w:right w:val="single" w:color="auto" w:sz="4" w:space="0"/>
            </w:tcBorders>
            <w:vAlign w:val="center"/>
          </w:tcPr>
          <w:p w14:paraId="569E3020">
            <w:pPr>
              <w:jc w:val="center"/>
              <w:rPr>
                <w:rFonts w:hint="eastAsia"/>
                <w:szCs w:val="21"/>
              </w:rPr>
            </w:pPr>
            <w:r>
              <w:rPr>
                <w:rFonts w:hint="eastAsia"/>
                <w:szCs w:val="21"/>
              </w:rPr>
              <w:t>60kw</w:t>
            </w:r>
          </w:p>
        </w:tc>
        <w:tc>
          <w:tcPr>
            <w:tcW w:w="1310" w:type="dxa"/>
            <w:tcBorders>
              <w:left w:val="single" w:color="auto" w:sz="4" w:space="0"/>
            </w:tcBorders>
            <w:vAlign w:val="center"/>
          </w:tcPr>
          <w:p w14:paraId="29FFAF89">
            <w:pPr>
              <w:jc w:val="center"/>
              <w:rPr>
                <w:rFonts w:hint="eastAsia"/>
              </w:rPr>
            </w:pPr>
            <w:r>
              <w:rPr>
                <w:rFonts w:hint="eastAsia"/>
              </w:rPr>
              <w:t>1</w:t>
            </w:r>
          </w:p>
        </w:tc>
        <w:tc>
          <w:tcPr>
            <w:tcW w:w="1701" w:type="dxa"/>
            <w:tcBorders>
              <w:bottom w:val="single" w:color="auto" w:sz="4" w:space="0"/>
            </w:tcBorders>
            <w:vAlign w:val="center"/>
          </w:tcPr>
          <w:p w14:paraId="50FDDAC2">
            <w:pPr>
              <w:tabs>
                <w:tab w:val="left" w:pos="465"/>
              </w:tabs>
              <w:adjustRightInd w:val="0"/>
              <w:snapToGrid w:val="0"/>
              <w:spacing w:before="187" w:beforeLines="60" w:line="360" w:lineRule="auto"/>
              <w:jc w:val="center"/>
              <w:rPr>
                <w:rFonts w:hint="eastAsia"/>
              </w:rPr>
            </w:pPr>
            <w:r>
              <w:t>套</w:t>
            </w:r>
          </w:p>
        </w:tc>
      </w:tr>
      <w:tr w14:paraId="7F243799">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cantSplit/>
          <w:trHeight w:val="195" w:hRule="atLeast"/>
        </w:trPr>
        <w:tc>
          <w:tcPr>
            <w:tcW w:w="2842" w:type="dxa"/>
            <w:vAlign w:val="center"/>
          </w:tcPr>
          <w:p w14:paraId="5A501314">
            <w:pPr>
              <w:spacing w:line="360" w:lineRule="exact"/>
              <w:jc w:val="center"/>
              <w:rPr>
                <w:rFonts w:hint="eastAsia"/>
              </w:rPr>
            </w:pPr>
            <w:r>
              <w:rPr>
                <w:rFonts w:hint="eastAsia"/>
              </w:rPr>
              <w:t>无油静音空压机</w:t>
            </w:r>
          </w:p>
        </w:tc>
        <w:tc>
          <w:tcPr>
            <w:tcW w:w="2795" w:type="dxa"/>
            <w:tcBorders>
              <w:right w:val="single" w:color="auto" w:sz="4" w:space="0"/>
            </w:tcBorders>
            <w:vAlign w:val="center"/>
          </w:tcPr>
          <w:p w14:paraId="4CF8CCB1">
            <w:pPr>
              <w:jc w:val="center"/>
              <w:rPr>
                <w:rFonts w:hint="eastAsia"/>
                <w:szCs w:val="21"/>
              </w:rPr>
            </w:pPr>
            <w:r>
              <w:rPr>
                <w:rFonts w:hint="eastAsia"/>
                <w:szCs w:val="21"/>
              </w:rPr>
              <w:t>PE10A</w:t>
            </w:r>
          </w:p>
        </w:tc>
        <w:tc>
          <w:tcPr>
            <w:tcW w:w="1310" w:type="dxa"/>
            <w:tcBorders>
              <w:left w:val="single" w:color="auto" w:sz="4" w:space="0"/>
            </w:tcBorders>
            <w:vAlign w:val="center"/>
          </w:tcPr>
          <w:p w14:paraId="2451CEB5">
            <w:pPr>
              <w:jc w:val="center"/>
              <w:rPr>
                <w:rFonts w:hint="eastAsia"/>
              </w:rPr>
            </w:pPr>
            <w:r>
              <w:rPr>
                <w:rFonts w:hint="eastAsia"/>
              </w:rPr>
              <w:t>1</w:t>
            </w:r>
          </w:p>
        </w:tc>
        <w:tc>
          <w:tcPr>
            <w:tcW w:w="1701" w:type="dxa"/>
            <w:tcBorders>
              <w:bottom w:val="single" w:color="auto" w:sz="4" w:space="0"/>
            </w:tcBorders>
            <w:vAlign w:val="center"/>
          </w:tcPr>
          <w:p w14:paraId="7173B644">
            <w:pPr>
              <w:tabs>
                <w:tab w:val="left" w:pos="465"/>
              </w:tabs>
              <w:adjustRightInd w:val="0"/>
              <w:snapToGrid w:val="0"/>
              <w:spacing w:before="187" w:beforeLines="60" w:line="360" w:lineRule="auto"/>
              <w:jc w:val="center"/>
              <w:rPr>
                <w:rFonts w:hint="eastAsia"/>
              </w:rPr>
            </w:pPr>
            <w:r>
              <w:t>套</w:t>
            </w:r>
          </w:p>
        </w:tc>
      </w:tr>
    </w:tbl>
    <w:p w14:paraId="473D994D">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设备参数：</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80"/>
        <w:gridCol w:w="7200"/>
      </w:tblGrid>
      <w:tr w14:paraId="66D7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5" w:type="dxa"/>
            <w:shd w:val="clear" w:color="auto" w:fill="C0C0C0"/>
            <w:vAlign w:val="center"/>
          </w:tcPr>
          <w:p w14:paraId="24DD77DD">
            <w:pPr>
              <w:rPr>
                <w:rFonts w:hint="eastAsia"/>
                <w:b/>
              </w:rPr>
            </w:pPr>
            <w:r>
              <w:rPr>
                <w:rFonts w:hint="eastAsia"/>
                <w:b/>
              </w:rPr>
              <w:t>序号</w:t>
            </w:r>
          </w:p>
        </w:tc>
        <w:tc>
          <w:tcPr>
            <w:tcW w:w="1680" w:type="dxa"/>
            <w:shd w:val="clear" w:color="auto" w:fill="C0C0C0"/>
            <w:vAlign w:val="center"/>
          </w:tcPr>
          <w:p w14:paraId="5F4C221D">
            <w:pPr>
              <w:rPr>
                <w:rFonts w:hint="eastAsia"/>
                <w:b/>
              </w:rPr>
            </w:pPr>
            <w:r>
              <w:rPr>
                <w:rFonts w:hint="eastAsia"/>
                <w:b/>
              </w:rPr>
              <w:t>主要组成系统</w:t>
            </w:r>
          </w:p>
        </w:tc>
        <w:tc>
          <w:tcPr>
            <w:tcW w:w="7200" w:type="dxa"/>
            <w:shd w:val="clear" w:color="auto" w:fill="C0C0C0"/>
            <w:vAlign w:val="center"/>
          </w:tcPr>
          <w:p w14:paraId="06C5A1A8">
            <w:pPr>
              <w:rPr>
                <w:rFonts w:hint="eastAsia"/>
                <w:b/>
              </w:rPr>
            </w:pPr>
            <w:r>
              <w:rPr>
                <w:rFonts w:hint="eastAsia"/>
                <w:b/>
              </w:rPr>
              <w:t>详细参数</w:t>
            </w:r>
          </w:p>
        </w:tc>
      </w:tr>
      <w:tr w14:paraId="5007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vAlign w:val="center"/>
          </w:tcPr>
          <w:p w14:paraId="71501D32">
            <w:pPr>
              <w:rPr>
                <w:rFonts w:hint="eastAsia"/>
              </w:rPr>
            </w:pPr>
            <w:r>
              <w:t>1</w:t>
            </w:r>
          </w:p>
        </w:tc>
        <w:tc>
          <w:tcPr>
            <w:tcW w:w="1680" w:type="dxa"/>
            <w:vMerge w:val="restart"/>
            <w:vAlign w:val="center"/>
          </w:tcPr>
          <w:p w14:paraId="297CF310">
            <w:pPr>
              <w:rPr>
                <w:rFonts w:ascii="Arial" w:hAnsi="Arial"/>
                <w:szCs w:val="20"/>
                <w:lang w:val="en-GB"/>
              </w:rPr>
            </w:pPr>
            <w:r>
              <w:rPr>
                <w:rFonts w:hint="eastAsia" w:ascii="Arial" w:hAnsi="Arial"/>
                <w:szCs w:val="20"/>
                <w:lang w:val="en-GB"/>
              </w:rPr>
              <w:t>反应器</w:t>
            </w:r>
            <w:r>
              <w:rPr>
                <w:rFonts w:ascii="Arial" w:hAnsi="Arial"/>
                <w:szCs w:val="20"/>
                <w:lang w:val="en-GB"/>
              </w:rPr>
              <w:t>系统</w:t>
            </w:r>
          </w:p>
        </w:tc>
        <w:tc>
          <w:tcPr>
            <w:tcW w:w="7200" w:type="dxa"/>
            <w:vAlign w:val="center"/>
          </w:tcPr>
          <w:p w14:paraId="398575DE">
            <w:pPr>
              <w:rPr>
                <w:rFonts w:ascii="Arial" w:hAnsi="Arial"/>
                <w:szCs w:val="20"/>
                <w:lang w:val="en-GB"/>
              </w:rPr>
            </w:pPr>
            <w:r>
              <w:rPr>
                <w:rFonts w:hint="eastAsia" w:ascii="Arial" w:hAnsi="Arial"/>
                <w:szCs w:val="20"/>
                <w:lang w:val="en-GB"/>
              </w:rPr>
              <w:t>容量：</w:t>
            </w:r>
            <w:r>
              <w:rPr>
                <w:rFonts w:hint="eastAsia" w:ascii="Arial" w:hAnsi="Arial"/>
                <w:szCs w:val="20"/>
              </w:rPr>
              <w:t>5</w:t>
            </w:r>
            <w:r>
              <w:rPr>
                <w:rFonts w:hint="eastAsia" w:ascii="Arial" w:hAnsi="Arial"/>
                <w:szCs w:val="20"/>
                <w:lang w:val="en-GB"/>
              </w:rPr>
              <w:t>0</w:t>
            </w:r>
            <w:r>
              <w:rPr>
                <w:rFonts w:ascii="Arial" w:hAnsi="Arial"/>
                <w:szCs w:val="20"/>
                <w:lang w:val="en-GB"/>
              </w:rPr>
              <w:t>L，工作容积：70%</w:t>
            </w:r>
          </w:p>
        </w:tc>
      </w:tr>
      <w:tr w14:paraId="3FE3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5010E97C">
            <w:pPr>
              <w:rPr>
                <w:rFonts w:hint="eastAsia"/>
              </w:rPr>
            </w:pPr>
          </w:p>
        </w:tc>
        <w:tc>
          <w:tcPr>
            <w:tcW w:w="1680" w:type="dxa"/>
            <w:vMerge w:val="continue"/>
            <w:vAlign w:val="center"/>
          </w:tcPr>
          <w:p w14:paraId="33DA2771">
            <w:pPr>
              <w:rPr>
                <w:rFonts w:ascii="Arial" w:hAnsi="Arial"/>
                <w:szCs w:val="20"/>
                <w:lang w:val="en-GB"/>
              </w:rPr>
            </w:pPr>
          </w:p>
        </w:tc>
        <w:tc>
          <w:tcPr>
            <w:tcW w:w="7200" w:type="dxa"/>
            <w:vAlign w:val="center"/>
          </w:tcPr>
          <w:p w14:paraId="5327FB62">
            <w:pPr>
              <w:rPr>
                <w:rFonts w:ascii="Arial" w:hAnsi="Arial"/>
                <w:szCs w:val="20"/>
                <w:lang w:val="en-GB"/>
              </w:rPr>
            </w:pPr>
            <w:r>
              <w:rPr>
                <w:rFonts w:ascii="Arial" w:hAnsi="Arial"/>
                <w:szCs w:val="20"/>
                <w:lang w:val="en-GB"/>
              </w:rPr>
              <w:t>灭菌方式：</w:t>
            </w:r>
            <w:r>
              <w:rPr>
                <w:rFonts w:hint="eastAsia" w:ascii="Arial" w:hAnsi="Arial"/>
                <w:szCs w:val="20"/>
                <w:lang w:val="en-GB"/>
              </w:rPr>
              <w:t>在</w:t>
            </w:r>
            <w:r>
              <w:rPr>
                <w:rFonts w:ascii="Arial" w:hAnsi="Arial"/>
                <w:szCs w:val="20"/>
                <w:lang w:val="en-GB"/>
              </w:rPr>
              <w:t>位灭菌</w:t>
            </w:r>
            <w:r>
              <w:rPr>
                <w:rFonts w:hint="eastAsia" w:ascii="Arial" w:hAnsi="Arial"/>
                <w:szCs w:val="20"/>
                <w:lang w:val="en-GB"/>
              </w:rPr>
              <w:t>，</w:t>
            </w:r>
            <w:r>
              <w:rPr>
                <w:rFonts w:ascii="Arial" w:hAnsi="Arial"/>
                <w:szCs w:val="20"/>
                <w:lang w:val="en-GB"/>
              </w:rPr>
              <w:t>灭菌同时可以搅拌</w:t>
            </w:r>
          </w:p>
        </w:tc>
      </w:tr>
      <w:tr w14:paraId="215E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1DDFBBF5">
            <w:pPr>
              <w:rPr>
                <w:rFonts w:hint="eastAsia"/>
              </w:rPr>
            </w:pPr>
          </w:p>
        </w:tc>
        <w:tc>
          <w:tcPr>
            <w:tcW w:w="1680" w:type="dxa"/>
            <w:vMerge w:val="continue"/>
            <w:vAlign w:val="center"/>
          </w:tcPr>
          <w:p w14:paraId="2B3A7355">
            <w:pPr>
              <w:rPr>
                <w:rFonts w:ascii="Arial" w:hAnsi="Arial"/>
                <w:szCs w:val="20"/>
                <w:lang w:val="en-GB"/>
              </w:rPr>
            </w:pPr>
          </w:p>
        </w:tc>
        <w:tc>
          <w:tcPr>
            <w:tcW w:w="7200" w:type="dxa"/>
            <w:vAlign w:val="center"/>
          </w:tcPr>
          <w:p w14:paraId="7C6748BC">
            <w:pPr>
              <w:rPr>
                <w:rFonts w:ascii="Arial" w:hAnsi="Arial"/>
                <w:szCs w:val="20"/>
                <w:lang w:val="en-GB"/>
              </w:rPr>
            </w:pPr>
            <w:r>
              <w:rPr>
                <w:rFonts w:ascii="Arial" w:hAnsi="Arial"/>
                <w:szCs w:val="20"/>
                <w:lang w:val="en-GB"/>
              </w:rPr>
              <w:t>材质：SUS3</w:t>
            </w:r>
            <w:r>
              <w:rPr>
                <w:rFonts w:hint="eastAsia" w:ascii="Arial" w:hAnsi="Arial"/>
                <w:szCs w:val="20"/>
              </w:rPr>
              <w:t>16L</w:t>
            </w:r>
            <w:r>
              <w:rPr>
                <w:rFonts w:ascii="Arial" w:hAnsi="Arial"/>
                <w:szCs w:val="20"/>
                <w:lang w:val="en-GB"/>
              </w:rPr>
              <w:t>，</w:t>
            </w:r>
            <w:r>
              <w:rPr>
                <w:rFonts w:hint="eastAsia" w:ascii="Arial" w:hAnsi="Arial"/>
                <w:szCs w:val="20"/>
                <w:lang w:val="en-GB"/>
              </w:rPr>
              <w:t xml:space="preserve">夹套SUS304 </w:t>
            </w:r>
          </w:p>
        </w:tc>
      </w:tr>
      <w:tr w14:paraId="33B0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3A72291B">
            <w:pPr>
              <w:rPr>
                <w:rFonts w:hint="eastAsia"/>
              </w:rPr>
            </w:pPr>
          </w:p>
        </w:tc>
        <w:tc>
          <w:tcPr>
            <w:tcW w:w="1680" w:type="dxa"/>
            <w:vMerge w:val="continue"/>
            <w:vAlign w:val="center"/>
          </w:tcPr>
          <w:p w14:paraId="489FD729">
            <w:pPr>
              <w:rPr>
                <w:rFonts w:ascii="Arial" w:hAnsi="Arial"/>
                <w:szCs w:val="20"/>
                <w:lang w:val="en-GB"/>
              </w:rPr>
            </w:pPr>
          </w:p>
        </w:tc>
        <w:tc>
          <w:tcPr>
            <w:tcW w:w="7200" w:type="dxa"/>
            <w:vAlign w:val="center"/>
          </w:tcPr>
          <w:p w14:paraId="370E1E61">
            <w:pPr>
              <w:rPr>
                <w:rFonts w:ascii="Arial" w:hAnsi="Arial"/>
                <w:szCs w:val="20"/>
                <w:lang w:val="en-GB"/>
              </w:rPr>
            </w:pPr>
            <w:r>
              <w:rPr>
                <w:rFonts w:ascii="Arial" w:hAnsi="Arial"/>
                <w:szCs w:val="20"/>
                <w:lang w:val="en-GB"/>
              </w:rPr>
              <w:t>径高比：1：2（可更改）。</w:t>
            </w:r>
          </w:p>
        </w:tc>
      </w:tr>
      <w:tr w14:paraId="72DC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0D3832B5">
            <w:pPr>
              <w:rPr>
                <w:rFonts w:hint="eastAsia"/>
              </w:rPr>
            </w:pPr>
          </w:p>
        </w:tc>
        <w:tc>
          <w:tcPr>
            <w:tcW w:w="1680" w:type="dxa"/>
            <w:vMerge w:val="continue"/>
            <w:vAlign w:val="center"/>
          </w:tcPr>
          <w:p w14:paraId="3FFE08D8">
            <w:pPr>
              <w:rPr>
                <w:rFonts w:ascii="Arial" w:hAnsi="Arial"/>
                <w:szCs w:val="20"/>
                <w:lang w:val="en-GB"/>
              </w:rPr>
            </w:pPr>
          </w:p>
        </w:tc>
        <w:tc>
          <w:tcPr>
            <w:tcW w:w="7200" w:type="dxa"/>
            <w:vAlign w:val="center"/>
          </w:tcPr>
          <w:p w14:paraId="0FA61E10">
            <w:pPr>
              <w:rPr>
                <w:rFonts w:ascii="Arial" w:hAnsi="Arial"/>
                <w:szCs w:val="20"/>
                <w:lang w:val="en-GB"/>
              </w:rPr>
            </w:pPr>
            <w:r>
              <w:rPr>
                <w:rFonts w:hint="eastAsia" w:ascii="Arial" w:hAnsi="Arial"/>
                <w:szCs w:val="20"/>
                <w:lang w:val="en-GB"/>
              </w:rPr>
              <w:t>设计压力：0</w:t>
            </w:r>
            <w:r>
              <w:rPr>
                <w:rFonts w:ascii="Arial" w:hAnsi="Arial"/>
                <w:szCs w:val="20"/>
                <w:lang w:val="en-GB"/>
              </w:rPr>
              <w:t>.</w:t>
            </w:r>
            <w:r>
              <w:rPr>
                <w:rFonts w:hint="eastAsia" w:ascii="Arial" w:hAnsi="Arial"/>
                <w:szCs w:val="20"/>
                <w:lang w:val="en-GB"/>
              </w:rPr>
              <w:t>3Mpa，工作压力：0</w:t>
            </w:r>
            <w:r>
              <w:rPr>
                <w:rFonts w:ascii="Arial" w:hAnsi="Arial"/>
                <w:szCs w:val="20"/>
                <w:lang w:val="en-GB"/>
              </w:rPr>
              <w:t>.</w:t>
            </w:r>
            <w:r>
              <w:rPr>
                <w:rFonts w:hint="eastAsia" w:ascii="Arial" w:hAnsi="Arial"/>
                <w:szCs w:val="20"/>
                <w:lang w:val="en-GB"/>
              </w:rPr>
              <w:t>15Mpa</w:t>
            </w:r>
          </w:p>
        </w:tc>
      </w:tr>
      <w:tr w14:paraId="50E1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7ECED52E">
            <w:pPr>
              <w:rPr>
                <w:rFonts w:hint="eastAsia"/>
              </w:rPr>
            </w:pPr>
          </w:p>
        </w:tc>
        <w:tc>
          <w:tcPr>
            <w:tcW w:w="1680" w:type="dxa"/>
            <w:vMerge w:val="continue"/>
            <w:vAlign w:val="center"/>
          </w:tcPr>
          <w:p w14:paraId="5FD52F22">
            <w:pPr>
              <w:rPr>
                <w:rFonts w:ascii="Arial" w:hAnsi="Arial"/>
                <w:szCs w:val="20"/>
                <w:lang w:val="en-GB"/>
              </w:rPr>
            </w:pPr>
          </w:p>
        </w:tc>
        <w:tc>
          <w:tcPr>
            <w:tcW w:w="7200" w:type="dxa"/>
            <w:vAlign w:val="center"/>
          </w:tcPr>
          <w:p w14:paraId="107E1B13">
            <w:pPr>
              <w:rPr>
                <w:rFonts w:ascii="Arial" w:hAnsi="Arial"/>
                <w:szCs w:val="20"/>
                <w:lang w:val="en-GB"/>
              </w:rPr>
            </w:pPr>
            <w:r>
              <w:rPr>
                <w:rFonts w:hint="eastAsia" w:ascii="Arial" w:hAnsi="Arial"/>
                <w:szCs w:val="20"/>
                <w:lang w:val="en-GB"/>
              </w:rPr>
              <w:t>抛光：</w:t>
            </w:r>
            <w:r>
              <w:rPr>
                <w:rFonts w:ascii="Arial" w:hAnsi="Arial"/>
                <w:szCs w:val="20"/>
                <w:lang w:val="en-GB"/>
              </w:rPr>
              <w:t>内外抛光，粗糙度Ra≤0.</w:t>
            </w:r>
            <w:r>
              <w:rPr>
                <w:rFonts w:hint="eastAsia" w:ascii="Arial" w:hAnsi="Arial"/>
                <w:szCs w:val="20"/>
                <w:lang w:val="en-GB"/>
              </w:rPr>
              <w:t>4，管道抛光，</w:t>
            </w:r>
            <w:r>
              <w:rPr>
                <w:rFonts w:ascii="Arial" w:hAnsi="Arial"/>
                <w:szCs w:val="20"/>
                <w:lang w:val="en-GB"/>
              </w:rPr>
              <w:t>粗糙度Ra≤0.</w:t>
            </w:r>
            <w:r>
              <w:rPr>
                <w:rFonts w:hint="eastAsia" w:ascii="Arial" w:hAnsi="Arial"/>
                <w:szCs w:val="20"/>
                <w:lang w:val="en-GB"/>
              </w:rPr>
              <w:t>4</w:t>
            </w:r>
          </w:p>
        </w:tc>
      </w:tr>
      <w:tr w14:paraId="3AC9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6F7B956B">
            <w:pPr>
              <w:rPr>
                <w:rFonts w:hint="eastAsia"/>
              </w:rPr>
            </w:pPr>
          </w:p>
        </w:tc>
        <w:tc>
          <w:tcPr>
            <w:tcW w:w="1680" w:type="dxa"/>
            <w:vMerge w:val="continue"/>
            <w:vAlign w:val="center"/>
          </w:tcPr>
          <w:p w14:paraId="732018C3">
            <w:pPr>
              <w:rPr>
                <w:rFonts w:ascii="Arial" w:hAnsi="Arial"/>
                <w:szCs w:val="20"/>
                <w:lang w:val="en-GB"/>
              </w:rPr>
            </w:pPr>
          </w:p>
        </w:tc>
        <w:tc>
          <w:tcPr>
            <w:tcW w:w="7200" w:type="dxa"/>
            <w:vAlign w:val="center"/>
          </w:tcPr>
          <w:p w14:paraId="3162EA73">
            <w:pPr>
              <w:rPr>
                <w:rFonts w:ascii="Arial" w:hAnsi="Arial"/>
                <w:szCs w:val="20"/>
                <w:lang w:val="en-GB"/>
              </w:rPr>
            </w:pPr>
            <w:r>
              <w:rPr>
                <w:rFonts w:ascii="Arial" w:hAnsi="Arial"/>
                <w:szCs w:val="20"/>
                <w:lang w:val="en-GB"/>
              </w:rPr>
              <w:t>内筒结构：大视角</w:t>
            </w:r>
            <w:r>
              <w:rPr>
                <w:rFonts w:hint="eastAsia" w:ascii="Arial" w:hAnsi="Arial"/>
                <w:szCs w:val="20"/>
                <w:lang w:val="en-GB"/>
              </w:rPr>
              <w:t>玻璃观察窗</w:t>
            </w:r>
            <w:r>
              <w:rPr>
                <w:rFonts w:ascii="Arial" w:hAnsi="Arial"/>
                <w:szCs w:val="20"/>
                <w:lang w:val="en-GB"/>
              </w:rPr>
              <w:t>，T、ph、DO、补料插口和多个备用口</w:t>
            </w:r>
          </w:p>
        </w:tc>
      </w:tr>
      <w:tr w14:paraId="02ED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05" w:type="dxa"/>
            <w:vMerge w:val="continue"/>
            <w:vAlign w:val="center"/>
          </w:tcPr>
          <w:p w14:paraId="4E7C6701">
            <w:pPr>
              <w:rPr>
                <w:rFonts w:hint="eastAsia"/>
              </w:rPr>
            </w:pPr>
          </w:p>
        </w:tc>
        <w:tc>
          <w:tcPr>
            <w:tcW w:w="1680" w:type="dxa"/>
            <w:vMerge w:val="continue"/>
            <w:vAlign w:val="center"/>
          </w:tcPr>
          <w:p w14:paraId="158860DD">
            <w:pPr>
              <w:rPr>
                <w:rFonts w:ascii="Arial" w:hAnsi="Arial"/>
                <w:szCs w:val="20"/>
                <w:lang w:val="en-GB"/>
              </w:rPr>
            </w:pPr>
          </w:p>
        </w:tc>
        <w:tc>
          <w:tcPr>
            <w:tcW w:w="7200" w:type="dxa"/>
            <w:vAlign w:val="center"/>
          </w:tcPr>
          <w:p w14:paraId="2BF8CD69">
            <w:pPr>
              <w:rPr>
                <w:rFonts w:ascii="Arial" w:hAnsi="Arial"/>
                <w:szCs w:val="20"/>
                <w:lang w:val="en-GB"/>
              </w:rPr>
            </w:pPr>
            <w:r>
              <w:rPr>
                <w:rFonts w:hint="eastAsia" w:ascii="Arial" w:hAnsi="Arial"/>
                <w:szCs w:val="20"/>
                <w:lang w:val="en-GB"/>
              </w:rPr>
              <w:t>顶部接口：</w:t>
            </w:r>
            <w:r>
              <w:rPr>
                <w:rFonts w:ascii="Arial" w:hAnsi="Arial"/>
                <w:szCs w:val="20"/>
                <w:lang w:val="en-GB"/>
              </w:rPr>
              <w:t>火焰圈接种</w:t>
            </w:r>
            <w:r>
              <w:rPr>
                <w:rFonts w:hint="eastAsia" w:ascii="Arial" w:hAnsi="Arial"/>
                <w:szCs w:val="20"/>
                <w:lang w:val="en-GB"/>
              </w:rPr>
              <w:t>、</w:t>
            </w:r>
            <w:r>
              <w:rPr>
                <w:rFonts w:ascii="Arial" w:hAnsi="Arial"/>
                <w:szCs w:val="20"/>
                <w:lang w:val="en-GB"/>
              </w:rPr>
              <w:t>温度传感器接口</w:t>
            </w:r>
            <w:r>
              <w:rPr>
                <w:rFonts w:hint="eastAsia" w:ascii="Arial" w:hAnsi="Arial"/>
                <w:szCs w:val="20"/>
                <w:lang w:val="en-GB"/>
              </w:rPr>
              <w:t>、</w:t>
            </w:r>
            <w:r>
              <w:rPr>
                <w:rFonts w:ascii="Arial" w:hAnsi="Arial"/>
                <w:szCs w:val="20"/>
                <w:lang w:val="en-GB"/>
              </w:rPr>
              <w:t>2个备用口（可作补料，加消泡剂和加酸碱用）</w:t>
            </w:r>
            <w:r>
              <w:rPr>
                <w:rFonts w:hint="eastAsia" w:ascii="Arial" w:hAnsi="Arial"/>
                <w:szCs w:val="20"/>
                <w:lang w:val="en-GB"/>
              </w:rPr>
              <w:t>、</w:t>
            </w:r>
            <w:r>
              <w:rPr>
                <w:rFonts w:ascii="Arial" w:hAnsi="Arial"/>
                <w:szCs w:val="20"/>
                <w:lang w:val="en-GB"/>
              </w:rPr>
              <w:t>带泡沫传感器</w:t>
            </w:r>
            <w:r>
              <w:rPr>
                <w:rFonts w:hint="eastAsia" w:ascii="Arial" w:hAnsi="Arial"/>
                <w:szCs w:val="20"/>
                <w:lang w:val="en-GB"/>
              </w:rPr>
              <w:t>、</w:t>
            </w:r>
            <w:r>
              <w:rPr>
                <w:rFonts w:ascii="Arial" w:hAnsi="Arial"/>
                <w:szCs w:val="20"/>
                <w:lang w:val="en-GB"/>
              </w:rPr>
              <w:t>冷凝装置的排气口</w:t>
            </w:r>
          </w:p>
        </w:tc>
      </w:tr>
      <w:tr w14:paraId="6986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5" w:type="dxa"/>
            <w:vMerge w:val="continue"/>
            <w:vAlign w:val="center"/>
          </w:tcPr>
          <w:p w14:paraId="5A50B7A2">
            <w:pPr>
              <w:rPr>
                <w:rFonts w:hint="eastAsia"/>
              </w:rPr>
            </w:pPr>
          </w:p>
        </w:tc>
        <w:tc>
          <w:tcPr>
            <w:tcW w:w="1680" w:type="dxa"/>
            <w:vMerge w:val="continue"/>
            <w:vAlign w:val="center"/>
          </w:tcPr>
          <w:p w14:paraId="65A1A73B">
            <w:pPr>
              <w:rPr>
                <w:rFonts w:ascii="Arial" w:hAnsi="Arial"/>
                <w:szCs w:val="20"/>
                <w:lang w:val="en-GB"/>
              </w:rPr>
            </w:pPr>
          </w:p>
        </w:tc>
        <w:tc>
          <w:tcPr>
            <w:tcW w:w="7200" w:type="dxa"/>
            <w:vAlign w:val="center"/>
          </w:tcPr>
          <w:p w14:paraId="05996A10">
            <w:pPr>
              <w:rPr>
                <w:rFonts w:ascii="Arial" w:hAnsi="Arial"/>
                <w:szCs w:val="20"/>
                <w:lang w:val="en-GB"/>
              </w:rPr>
            </w:pPr>
            <w:r>
              <w:rPr>
                <w:rFonts w:hint="eastAsia" w:ascii="Arial" w:hAnsi="Arial"/>
                <w:szCs w:val="20"/>
                <w:lang w:val="en-GB"/>
              </w:rPr>
              <w:t>底部接口</w:t>
            </w:r>
            <w:r>
              <w:rPr>
                <w:rFonts w:ascii="Arial" w:hAnsi="Arial"/>
                <w:szCs w:val="20"/>
                <w:lang w:val="en-GB"/>
              </w:rPr>
              <w:t>：专用取样、放料阀（带蒸汽灭菌）、移种管路（带蒸汽灭菌）和底阀，设计无死角和积液</w:t>
            </w:r>
            <w:r>
              <w:rPr>
                <w:rFonts w:hint="eastAsia" w:ascii="Arial" w:hAnsi="Arial"/>
                <w:szCs w:val="20"/>
                <w:lang w:val="en-GB"/>
              </w:rPr>
              <w:t xml:space="preserve"> </w:t>
            </w:r>
          </w:p>
        </w:tc>
      </w:tr>
      <w:tr w14:paraId="332D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5" w:type="dxa"/>
            <w:vMerge w:val="continue"/>
            <w:vAlign w:val="center"/>
          </w:tcPr>
          <w:p w14:paraId="6D33C9B7">
            <w:pPr>
              <w:rPr>
                <w:rFonts w:hint="eastAsia"/>
              </w:rPr>
            </w:pPr>
          </w:p>
        </w:tc>
        <w:tc>
          <w:tcPr>
            <w:tcW w:w="1680" w:type="dxa"/>
            <w:vMerge w:val="continue"/>
            <w:vAlign w:val="center"/>
          </w:tcPr>
          <w:p w14:paraId="76CE5E46">
            <w:pPr>
              <w:rPr>
                <w:rFonts w:ascii="Arial" w:hAnsi="Arial"/>
                <w:szCs w:val="20"/>
                <w:lang w:val="en-GB"/>
              </w:rPr>
            </w:pPr>
          </w:p>
        </w:tc>
        <w:tc>
          <w:tcPr>
            <w:tcW w:w="7200" w:type="dxa"/>
            <w:vAlign w:val="center"/>
          </w:tcPr>
          <w:p w14:paraId="660399BD">
            <w:pPr>
              <w:rPr>
                <w:rFonts w:ascii="Arial" w:hAnsi="Arial"/>
                <w:szCs w:val="20"/>
                <w:lang w:val="en-GB"/>
              </w:rPr>
            </w:pPr>
            <w:r>
              <w:rPr>
                <w:rFonts w:hint="eastAsia" w:ascii="Arial" w:hAnsi="Arial"/>
                <w:szCs w:val="20"/>
                <w:lang w:val="en-GB"/>
              </w:rPr>
              <w:t>传热方式：</w:t>
            </w:r>
            <w:r>
              <w:rPr>
                <w:rFonts w:ascii="Arial" w:hAnsi="Arial"/>
                <w:szCs w:val="20"/>
                <w:lang w:val="en-GB"/>
              </w:rPr>
              <w:t>夹套传热</w:t>
            </w:r>
          </w:p>
        </w:tc>
      </w:tr>
      <w:tr w14:paraId="06E7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vAlign w:val="center"/>
          </w:tcPr>
          <w:p w14:paraId="0210E760">
            <w:pPr>
              <w:rPr>
                <w:rFonts w:hint="eastAsia"/>
              </w:rPr>
            </w:pPr>
            <w:r>
              <w:rPr>
                <w:rFonts w:hint="eastAsia"/>
              </w:rPr>
              <w:t>2</w:t>
            </w:r>
          </w:p>
        </w:tc>
        <w:tc>
          <w:tcPr>
            <w:tcW w:w="1680" w:type="dxa"/>
            <w:vMerge w:val="restart"/>
            <w:vAlign w:val="center"/>
          </w:tcPr>
          <w:p w14:paraId="5D890CE3">
            <w:pPr>
              <w:rPr>
                <w:rFonts w:ascii="Arial" w:hAnsi="Arial"/>
                <w:szCs w:val="20"/>
                <w:lang w:val="en-GB"/>
              </w:rPr>
            </w:pPr>
            <w:r>
              <w:rPr>
                <w:rFonts w:ascii="Arial" w:hAnsi="Arial"/>
                <w:szCs w:val="20"/>
                <w:lang w:val="en-GB"/>
              </w:rPr>
              <w:t>搅拌系统</w:t>
            </w:r>
          </w:p>
        </w:tc>
        <w:tc>
          <w:tcPr>
            <w:tcW w:w="7200" w:type="dxa"/>
            <w:vAlign w:val="center"/>
          </w:tcPr>
          <w:p w14:paraId="6DC05773">
            <w:pPr>
              <w:rPr>
                <w:rFonts w:ascii="Arial" w:hAnsi="Arial"/>
                <w:szCs w:val="20"/>
                <w:lang w:val="en-GB"/>
              </w:rPr>
            </w:pPr>
            <w:r>
              <w:rPr>
                <w:rFonts w:hint="eastAsia" w:ascii="Arial" w:hAnsi="Arial"/>
                <w:szCs w:val="20"/>
                <w:lang w:val="en-GB"/>
              </w:rPr>
              <w:t>搅拌方式：</w:t>
            </w:r>
            <w:r>
              <w:rPr>
                <w:rFonts w:ascii="Arial" w:hAnsi="Arial"/>
                <w:szCs w:val="20"/>
                <w:lang w:val="en-GB"/>
              </w:rPr>
              <w:t>采用顶式机械</w:t>
            </w:r>
            <w:r>
              <w:rPr>
                <w:rFonts w:hint="eastAsia" w:ascii="Arial" w:hAnsi="Arial"/>
                <w:szCs w:val="20"/>
                <w:lang w:val="en-GB"/>
              </w:rPr>
              <w:t>搅拌</w:t>
            </w:r>
          </w:p>
        </w:tc>
      </w:tr>
      <w:tr w14:paraId="0F05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07714A09">
            <w:pPr>
              <w:rPr>
                <w:rFonts w:hint="eastAsia"/>
              </w:rPr>
            </w:pPr>
          </w:p>
        </w:tc>
        <w:tc>
          <w:tcPr>
            <w:tcW w:w="1680" w:type="dxa"/>
            <w:vMerge w:val="continue"/>
            <w:vAlign w:val="center"/>
          </w:tcPr>
          <w:p w14:paraId="2031EA2D">
            <w:pPr>
              <w:rPr>
                <w:rFonts w:ascii="Arial" w:hAnsi="Arial"/>
                <w:szCs w:val="20"/>
                <w:lang w:val="en-GB"/>
              </w:rPr>
            </w:pPr>
          </w:p>
        </w:tc>
        <w:tc>
          <w:tcPr>
            <w:tcW w:w="7200" w:type="dxa"/>
            <w:vAlign w:val="center"/>
          </w:tcPr>
          <w:p w14:paraId="35F18EF3">
            <w:pPr>
              <w:rPr>
                <w:rFonts w:ascii="Arial" w:hAnsi="Arial"/>
                <w:szCs w:val="20"/>
                <w:lang w:val="en-GB"/>
              </w:rPr>
            </w:pPr>
            <w:r>
              <w:rPr>
                <w:rFonts w:ascii="Arial" w:hAnsi="Arial"/>
                <w:szCs w:val="20"/>
                <w:lang w:val="en-GB"/>
              </w:rPr>
              <w:t>密封系统</w:t>
            </w:r>
            <w:r>
              <w:rPr>
                <w:rFonts w:hint="eastAsia" w:ascii="Arial" w:hAnsi="Arial"/>
                <w:szCs w:val="20"/>
                <w:lang w:val="en-GB"/>
              </w:rPr>
              <w:t>：单端面</w:t>
            </w:r>
            <w:r>
              <w:rPr>
                <w:rFonts w:ascii="Arial" w:hAnsi="Arial"/>
                <w:szCs w:val="20"/>
                <w:lang w:val="en-GB"/>
              </w:rPr>
              <w:t>机械密封，密封性能好；</w:t>
            </w:r>
          </w:p>
        </w:tc>
      </w:tr>
      <w:tr w14:paraId="4BFD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6BEA00F6">
            <w:pPr>
              <w:rPr>
                <w:rFonts w:hint="eastAsia"/>
              </w:rPr>
            </w:pPr>
          </w:p>
        </w:tc>
        <w:tc>
          <w:tcPr>
            <w:tcW w:w="1680" w:type="dxa"/>
            <w:vMerge w:val="continue"/>
            <w:vAlign w:val="center"/>
          </w:tcPr>
          <w:p w14:paraId="0B33C020">
            <w:pPr>
              <w:rPr>
                <w:rFonts w:ascii="Arial" w:hAnsi="Arial"/>
                <w:szCs w:val="20"/>
                <w:lang w:val="en-GB"/>
              </w:rPr>
            </w:pPr>
          </w:p>
        </w:tc>
        <w:tc>
          <w:tcPr>
            <w:tcW w:w="7200" w:type="dxa"/>
            <w:vAlign w:val="center"/>
          </w:tcPr>
          <w:p w14:paraId="5B5E4EAF">
            <w:pPr>
              <w:rPr>
                <w:rFonts w:ascii="Arial" w:hAnsi="Arial"/>
                <w:szCs w:val="20"/>
                <w:lang w:val="en-GB"/>
              </w:rPr>
            </w:pPr>
            <w:r>
              <w:rPr>
                <w:rFonts w:hint="eastAsia" w:ascii="Arial" w:hAnsi="Arial"/>
                <w:szCs w:val="20"/>
                <w:lang w:val="en-GB"/>
              </w:rPr>
              <w:t>搅拌浆：2平1斜桨叶</w:t>
            </w:r>
          </w:p>
        </w:tc>
      </w:tr>
      <w:tr w14:paraId="7AB5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5706538B">
            <w:pPr>
              <w:rPr>
                <w:rFonts w:hint="eastAsia"/>
              </w:rPr>
            </w:pPr>
          </w:p>
        </w:tc>
        <w:tc>
          <w:tcPr>
            <w:tcW w:w="1680" w:type="dxa"/>
            <w:vMerge w:val="continue"/>
            <w:vAlign w:val="center"/>
          </w:tcPr>
          <w:p w14:paraId="28BFF149">
            <w:pPr>
              <w:rPr>
                <w:rFonts w:ascii="Arial" w:hAnsi="Arial"/>
                <w:szCs w:val="20"/>
                <w:lang w:val="en-GB"/>
              </w:rPr>
            </w:pPr>
          </w:p>
        </w:tc>
        <w:tc>
          <w:tcPr>
            <w:tcW w:w="7200" w:type="dxa"/>
            <w:vAlign w:val="center"/>
          </w:tcPr>
          <w:p w14:paraId="669845AC">
            <w:pPr>
              <w:rPr>
                <w:rFonts w:ascii="Arial" w:hAnsi="Arial"/>
                <w:szCs w:val="20"/>
                <w:lang w:val="en-GB"/>
              </w:rPr>
            </w:pPr>
            <w:r>
              <w:rPr>
                <w:rFonts w:hint="eastAsia" w:ascii="Arial" w:hAnsi="Arial"/>
                <w:szCs w:val="20"/>
                <w:lang w:val="en-GB"/>
              </w:rPr>
              <w:t>电机：德国</w:t>
            </w:r>
            <w:r>
              <w:rPr>
                <w:rFonts w:ascii="Arial" w:hAnsi="Arial"/>
                <w:szCs w:val="20"/>
                <w:lang w:val="en-GB"/>
              </w:rPr>
              <w:t>SEW交流变频调速电机（无级调速）,调速控制器。</w:t>
            </w:r>
          </w:p>
        </w:tc>
      </w:tr>
      <w:tr w14:paraId="2515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2CAA71EA">
            <w:pPr>
              <w:rPr>
                <w:rFonts w:hint="eastAsia"/>
              </w:rPr>
            </w:pPr>
          </w:p>
        </w:tc>
        <w:tc>
          <w:tcPr>
            <w:tcW w:w="1680" w:type="dxa"/>
            <w:vMerge w:val="continue"/>
            <w:vAlign w:val="center"/>
          </w:tcPr>
          <w:p w14:paraId="21E0E09F">
            <w:pPr>
              <w:rPr>
                <w:rFonts w:ascii="Arial" w:hAnsi="Arial"/>
                <w:szCs w:val="20"/>
                <w:lang w:val="en-GB"/>
              </w:rPr>
            </w:pPr>
          </w:p>
        </w:tc>
        <w:tc>
          <w:tcPr>
            <w:tcW w:w="7200" w:type="dxa"/>
            <w:vAlign w:val="center"/>
          </w:tcPr>
          <w:p w14:paraId="4B15F998">
            <w:pPr>
              <w:rPr>
                <w:rFonts w:ascii="Arial" w:hAnsi="Arial"/>
                <w:szCs w:val="20"/>
                <w:lang w:val="en-GB"/>
              </w:rPr>
            </w:pPr>
            <w:r>
              <w:rPr>
                <w:rFonts w:ascii="Arial" w:hAnsi="Arial"/>
                <w:szCs w:val="20"/>
                <w:lang w:val="en-GB"/>
              </w:rPr>
              <w:t>搅拌轴</w:t>
            </w:r>
            <w:r>
              <w:rPr>
                <w:rFonts w:hint="eastAsia" w:ascii="Arial" w:hAnsi="Arial"/>
                <w:szCs w:val="20"/>
                <w:lang w:val="en-GB"/>
              </w:rPr>
              <w:t>：</w:t>
            </w:r>
            <w:r>
              <w:rPr>
                <w:rFonts w:ascii="Arial" w:hAnsi="Arial"/>
                <w:szCs w:val="20"/>
                <w:lang w:val="en-GB"/>
              </w:rPr>
              <w:t>采用</w:t>
            </w:r>
            <w:r>
              <w:rPr>
                <w:rFonts w:hint="eastAsia" w:ascii="Arial" w:hAnsi="Arial"/>
                <w:szCs w:val="20"/>
              </w:rPr>
              <w:t>316</w:t>
            </w:r>
            <w:r>
              <w:rPr>
                <w:rFonts w:ascii="Arial" w:hAnsi="Arial"/>
                <w:szCs w:val="20"/>
                <w:lang w:val="en-GB"/>
              </w:rPr>
              <w:t xml:space="preserve">不锈钢，上下轴比例适当，保证转速平稳且不偏离 </w:t>
            </w:r>
          </w:p>
        </w:tc>
      </w:tr>
      <w:tr w14:paraId="68C7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36A57BFB">
            <w:pPr>
              <w:rPr>
                <w:rFonts w:hint="eastAsia"/>
              </w:rPr>
            </w:pPr>
          </w:p>
        </w:tc>
        <w:tc>
          <w:tcPr>
            <w:tcW w:w="1680" w:type="dxa"/>
            <w:vMerge w:val="continue"/>
            <w:vAlign w:val="center"/>
          </w:tcPr>
          <w:p w14:paraId="05922979">
            <w:pPr>
              <w:rPr>
                <w:rFonts w:ascii="Arial" w:hAnsi="Arial"/>
                <w:szCs w:val="20"/>
                <w:lang w:val="en-GB"/>
              </w:rPr>
            </w:pPr>
          </w:p>
        </w:tc>
        <w:tc>
          <w:tcPr>
            <w:tcW w:w="7200" w:type="dxa"/>
            <w:vAlign w:val="center"/>
          </w:tcPr>
          <w:p w14:paraId="534DBFE7">
            <w:pPr>
              <w:rPr>
                <w:rFonts w:ascii="Arial" w:hAnsi="Arial"/>
                <w:szCs w:val="20"/>
                <w:lang w:val="en-GB"/>
              </w:rPr>
            </w:pPr>
            <w:r>
              <w:rPr>
                <w:rFonts w:ascii="Arial" w:hAnsi="Arial"/>
                <w:szCs w:val="20"/>
                <w:lang w:val="en-GB"/>
              </w:rPr>
              <w:t>转速范围：50~</w:t>
            </w:r>
            <w:r>
              <w:rPr>
                <w:rFonts w:hint="eastAsia" w:ascii="Arial" w:hAnsi="Arial"/>
                <w:szCs w:val="20"/>
              </w:rPr>
              <w:t>1000</w:t>
            </w:r>
            <w:r>
              <w:rPr>
                <w:rFonts w:ascii="Arial" w:hAnsi="Arial"/>
                <w:szCs w:val="20"/>
                <w:lang w:val="en-GB"/>
              </w:rPr>
              <w:t>rpm</w:t>
            </w:r>
          </w:p>
        </w:tc>
      </w:tr>
      <w:tr w14:paraId="1CD6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vAlign w:val="center"/>
          </w:tcPr>
          <w:p w14:paraId="5665130B">
            <w:pPr>
              <w:rPr>
                <w:rFonts w:hint="eastAsia"/>
              </w:rPr>
            </w:pPr>
            <w:r>
              <w:rPr>
                <w:rFonts w:hint="eastAsia"/>
              </w:rPr>
              <w:t>3</w:t>
            </w:r>
          </w:p>
        </w:tc>
        <w:tc>
          <w:tcPr>
            <w:tcW w:w="1680" w:type="dxa"/>
            <w:vMerge w:val="restart"/>
            <w:vAlign w:val="center"/>
          </w:tcPr>
          <w:p w14:paraId="7E987691">
            <w:pPr>
              <w:rPr>
                <w:rFonts w:ascii="Arial" w:hAnsi="Arial"/>
                <w:szCs w:val="20"/>
                <w:lang w:val="en-GB"/>
              </w:rPr>
            </w:pPr>
            <w:r>
              <w:rPr>
                <w:rFonts w:hint="eastAsia" w:ascii="Arial" w:hAnsi="Arial"/>
                <w:szCs w:val="20"/>
                <w:lang w:val="en-GB"/>
              </w:rPr>
              <w:t>通气系统</w:t>
            </w:r>
          </w:p>
        </w:tc>
        <w:tc>
          <w:tcPr>
            <w:tcW w:w="7200" w:type="dxa"/>
            <w:vAlign w:val="center"/>
          </w:tcPr>
          <w:p w14:paraId="3A099642">
            <w:pPr>
              <w:rPr>
                <w:rFonts w:ascii="Arial" w:hAnsi="Arial"/>
                <w:szCs w:val="20"/>
                <w:lang w:val="en-GB"/>
              </w:rPr>
            </w:pPr>
            <w:r>
              <w:rPr>
                <w:rFonts w:ascii="Arial" w:hAnsi="Arial"/>
                <w:szCs w:val="20"/>
                <w:lang w:val="en-GB"/>
              </w:rPr>
              <w:t>通气：转子流量计手动控制</w:t>
            </w:r>
          </w:p>
        </w:tc>
      </w:tr>
      <w:tr w14:paraId="4876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5E7A385C">
            <w:pPr>
              <w:rPr>
                <w:rFonts w:hint="eastAsia"/>
              </w:rPr>
            </w:pPr>
          </w:p>
        </w:tc>
        <w:tc>
          <w:tcPr>
            <w:tcW w:w="1680" w:type="dxa"/>
            <w:vMerge w:val="continue"/>
            <w:vAlign w:val="center"/>
          </w:tcPr>
          <w:p w14:paraId="11D108E7">
            <w:pPr>
              <w:rPr>
                <w:rFonts w:ascii="Arial" w:hAnsi="Arial"/>
                <w:szCs w:val="20"/>
                <w:lang w:val="en-GB"/>
              </w:rPr>
            </w:pPr>
          </w:p>
        </w:tc>
        <w:tc>
          <w:tcPr>
            <w:tcW w:w="7200" w:type="dxa"/>
            <w:vAlign w:val="center"/>
          </w:tcPr>
          <w:p w14:paraId="1B4F337A">
            <w:pPr>
              <w:rPr>
                <w:rFonts w:ascii="Arial" w:hAnsi="Arial"/>
                <w:szCs w:val="20"/>
                <w:lang w:val="en-GB"/>
              </w:rPr>
            </w:pPr>
            <w:r>
              <w:rPr>
                <w:rFonts w:ascii="Arial" w:hAnsi="Arial"/>
                <w:szCs w:val="20"/>
                <w:lang w:val="en-GB"/>
              </w:rPr>
              <w:t>空气系统</w:t>
            </w:r>
            <w:r>
              <w:rPr>
                <w:rFonts w:hint="eastAsia" w:ascii="Arial" w:hAnsi="Arial"/>
                <w:szCs w:val="20"/>
                <w:lang w:val="en-GB"/>
              </w:rPr>
              <w:t>：</w:t>
            </w:r>
            <w:r>
              <w:rPr>
                <w:rFonts w:ascii="Arial" w:hAnsi="Arial"/>
                <w:szCs w:val="20"/>
                <w:lang w:val="en-GB"/>
              </w:rPr>
              <w:t>转子流量计、空气精过滤器、隔膜阀、止回阀</w:t>
            </w:r>
          </w:p>
        </w:tc>
      </w:tr>
      <w:tr w14:paraId="23F1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5" w:type="dxa"/>
            <w:vMerge w:val="continue"/>
            <w:vAlign w:val="center"/>
          </w:tcPr>
          <w:p w14:paraId="080880D1">
            <w:pPr>
              <w:rPr>
                <w:rFonts w:hint="eastAsia"/>
              </w:rPr>
            </w:pPr>
          </w:p>
        </w:tc>
        <w:tc>
          <w:tcPr>
            <w:tcW w:w="1680" w:type="dxa"/>
            <w:vMerge w:val="continue"/>
            <w:vAlign w:val="center"/>
          </w:tcPr>
          <w:p w14:paraId="4942828E">
            <w:pPr>
              <w:rPr>
                <w:rFonts w:ascii="Arial" w:hAnsi="Arial"/>
                <w:szCs w:val="20"/>
                <w:lang w:val="en-GB"/>
              </w:rPr>
            </w:pPr>
          </w:p>
        </w:tc>
        <w:tc>
          <w:tcPr>
            <w:tcW w:w="7200" w:type="dxa"/>
            <w:vAlign w:val="center"/>
          </w:tcPr>
          <w:p w14:paraId="17975702">
            <w:pPr>
              <w:rPr>
                <w:rFonts w:ascii="Arial" w:hAnsi="Arial"/>
                <w:szCs w:val="20"/>
                <w:lang w:val="en-GB"/>
              </w:rPr>
            </w:pPr>
            <w:r>
              <w:rPr>
                <w:rFonts w:ascii="Arial" w:hAnsi="Arial"/>
                <w:szCs w:val="20"/>
                <w:lang w:val="en-GB"/>
              </w:rPr>
              <w:t>精过滤</w:t>
            </w:r>
            <w:r>
              <w:rPr>
                <w:rFonts w:hint="eastAsia" w:ascii="Arial" w:hAnsi="Arial"/>
                <w:szCs w:val="20"/>
                <w:lang w:val="en-GB"/>
              </w:rPr>
              <w:t>器</w:t>
            </w:r>
            <w:r>
              <w:rPr>
                <w:rFonts w:ascii="Arial" w:hAnsi="Arial"/>
                <w:szCs w:val="20"/>
                <w:lang w:val="en-GB"/>
              </w:rPr>
              <w:t>精度：0.</w:t>
            </w:r>
            <w:r>
              <w:rPr>
                <w:rFonts w:hint="eastAsia" w:ascii="Arial" w:hAnsi="Arial"/>
                <w:szCs w:val="20"/>
                <w:lang w:val="en-GB"/>
              </w:rPr>
              <w:t>2</w:t>
            </w:r>
            <w:r>
              <w:rPr>
                <w:rFonts w:ascii="Arial" w:hAnsi="Arial"/>
                <w:szCs w:val="20"/>
                <w:lang w:val="en-GB"/>
              </w:rPr>
              <w:t>um</w:t>
            </w:r>
            <w:r>
              <w:rPr>
                <w:rFonts w:hint="eastAsia" w:ascii="Arial" w:hAnsi="Arial"/>
                <w:szCs w:val="20"/>
                <w:lang w:val="en-GB"/>
              </w:rPr>
              <w:t>。</w:t>
            </w:r>
          </w:p>
        </w:tc>
      </w:tr>
      <w:tr w14:paraId="7D24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vAlign w:val="center"/>
          </w:tcPr>
          <w:p w14:paraId="074366E9">
            <w:pPr>
              <w:rPr>
                <w:rFonts w:hint="eastAsia"/>
              </w:rPr>
            </w:pPr>
            <w:r>
              <w:rPr>
                <w:rFonts w:hint="eastAsia"/>
              </w:rPr>
              <w:t>4</w:t>
            </w:r>
          </w:p>
        </w:tc>
        <w:tc>
          <w:tcPr>
            <w:tcW w:w="1680" w:type="dxa"/>
            <w:vMerge w:val="restart"/>
            <w:vAlign w:val="center"/>
          </w:tcPr>
          <w:p w14:paraId="3FCFB0C4">
            <w:pPr>
              <w:rPr>
                <w:rFonts w:hint="eastAsia"/>
              </w:rPr>
            </w:pPr>
            <w:r>
              <w:rPr>
                <w:rFonts w:hint="eastAsia"/>
              </w:rPr>
              <w:t>设备检测及控制参数</w:t>
            </w:r>
          </w:p>
        </w:tc>
        <w:tc>
          <w:tcPr>
            <w:tcW w:w="7200" w:type="dxa"/>
            <w:vAlign w:val="center"/>
          </w:tcPr>
          <w:p w14:paraId="1DBD2AEB">
            <w:pPr>
              <w:rPr>
                <w:rFonts w:hint="eastAsia"/>
                <w:b/>
              </w:rPr>
            </w:pPr>
            <w:r>
              <w:rPr>
                <w:b/>
              </w:rPr>
              <w:t>温度控制</w:t>
            </w:r>
            <w:r>
              <w:rPr>
                <w:rFonts w:hint="eastAsia"/>
                <w:b/>
              </w:rPr>
              <w:t>：</w:t>
            </w:r>
          </w:p>
        </w:tc>
      </w:tr>
      <w:tr w14:paraId="6EA5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71BC3CC6">
            <w:pPr>
              <w:rPr>
                <w:rFonts w:hint="eastAsia"/>
              </w:rPr>
            </w:pPr>
          </w:p>
        </w:tc>
        <w:tc>
          <w:tcPr>
            <w:tcW w:w="1680" w:type="dxa"/>
            <w:vMerge w:val="continue"/>
            <w:vAlign w:val="center"/>
          </w:tcPr>
          <w:p w14:paraId="5D747608">
            <w:pPr>
              <w:rPr>
                <w:rFonts w:hint="eastAsia"/>
              </w:rPr>
            </w:pPr>
          </w:p>
        </w:tc>
        <w:tc>
          <w:tcPr>
            <w:tcW w:w="7200" w:type="dxa"/>
            <w:vAlign w:val="center"/>
          </w:tcPr>
          <w:p w14:paraId="57E105B8">
            <w:pPr>
              <w:rPr>
                <w:rFonts w:ascii="Arial" w:hAnsi="Arial"/>
                <w:szCs w:val="20"/>
                <w:lang w:val="en-GB"/>
              </w:rPr>
            </w:pPr>
            <w:r>
              <w:rPr>
                <w:rFonts w:hint="eastAsia" w:ascii="Arial" w:hAnsi="Arial"/>
                <w:szCs w:val="20"/>
                <w:lang w:val="en-GB"/>
              </w:rPr>
              <w:t>控温方式：</w:t>
            </w:r>
            <w:r>
              <w:rPr>
                <w:rFonts w:ascii="Arial" w:hAnsi="Arial"/>
                <w:szCs w:val="20"/>
                <w:lang w:val="en-GB"/>
              </w:rPr>
              <w:t>蒸汽</w:t>
            </w:r>
            <w:r>
              <w:rPr>
                <w:rFonts w:hint="eastAsia" w:ascii="Arial" w:hAnsi="Arial"/>
                <w:szCs w:val="20"/>
              </w:rPr>
              <w:t>和电</w:t>
            </w:r>
            <w:r>
              <w:rPr>
                <w:rFonts w:ascii="Arial" w:hAnsi="Arial"/>
                <w:szCs w:val="20"/>
                <w:lang w:val="en-GB"/>
              </w:rPr>
              <w:t>加热，水冷却</w:t>
            </w:r>
          </w:p>
        </w:tc>
      </w:tr>
      <w:tr w14:paraId="2FE0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5541C87A">
            <w:pPr>
              <w:rPr>
                <w:rFonts w:hint="eastAsia"/>
              </w:rPr>
            </w:pPr>
          </w:p>
        </w:tc>
        <w:tc>
          <w:tcPr>
            <w:tcW w:w="1680" w:type="dxa"/>
            <w:vMerge w:val="continue"/>
            <w:vAlign w:val="center"/>
          </w:tcPr>
          <w:p w14:paraId="57B4D266">
            <w:pPr>
              <w:rPr>
                <w:rFonts w:hint="eastAsia"/>
              </w:rPr>
            </w:pPr>
          </w:p>
        </w:tc>
        <w:tc>
          <w:tcPr>
            <w:tcW w:w="7200" w:type="dxa"/>
            <w:vAlign w:val="center"/>
          </w:tcPr>
          <w:p w14:paraId="4EF88A57">
            <w:pPr>
              <w:rPr>
                <w:rFonts w:ascii="Arial" w:hAnsi="Arial"/>
                <w:szCs w:val="20"/>
                <w:lang w:val="en-GB"/>
              </w:rPr>
            </w:pPr>
            <w:r>
              <w:rPr>
                <w:rFonts w:hint="eastAsia" w:ascii="Arial" w:hAnsi="Arial"/>
                <w:szCs w:val="20"/>
                <w:lang w:val="en-GB"/>
              </w:rPr>
              <w:t>控温</w:t>
            </w:r>
            <w:r>
              <w:rPr>
                <w:rFonts w:ascii="Arial" w:hAnsi="Arial"/>
                <w:szCs w:val="20"/>
                <w:lang w:val="en-GB"/>
              </w:rPr>
              <w:t>范围：+5</w:t>
            </w:r>
            <w:r>
              <w:rPr>
                <w:rFonts w:hint="eastAsia" w:ascii="Arial" w:hAnsi="Arial"/>
                <w:szCs w:val="20"/>
                <w:lang w:val="en-GB"/>
              </w:rPr>
              <w:t>℃</w:t>
            </w:r>
            <w:r>
              <w:rPr>
                <w:rFonts w:ascii="Arial" w:hAnsi="Arial"/>
                <w:szCs w:val="20"/>
                <w:lang w:val="en-GB"/>
              </w:rPr>
              <w:t>-</w:t>
            </w:r>
            <w:r>
              <w:rPr>
                <w:rFonts w:hint="eastAsia" w:ascii="Arial" w:hAnsi="Arial"/>
                <w:szCs w:val="20"/>
                <w:lang w:val="en-GB"/>
              </w:rPr>
              <w:t>6</w:t>
            </w:r>
            <w:r>
              <w:rPr>
                <w:rFonts w:ascii="Arial" w:hAnsi="Arial"/>
                <w:szCs w:val="20"/>
                <w:lang w:val="en-GB"/>
              </w:rPr>
              <w:t>5</w:t>
            </w:r>
            <w:r>
              <w:rPr>
                <w:rFonts w:hint="eastAsia" w:ascii="Arial" w:hAnsi="Arial"/>
                <w:szCs w:val="20"/>
                <w:lang w:val="en-GB"/>
              </w:rPr>
              <w:t>℃</w:t>
            </w:r>
            <w:r>
              <w:rPr>
                <w:rFonts w:ascii="Arial" w:hAnsi="Arial"/>
                <w:szCs w:val="20"/>
                <w:lang w:val="en-GB"/>
              </w:rPr>
              <w:t>±0.2</w:t>
            </w:r>
            <w:r>
              <w:rPr>
                <w:rFonts w:hint="eastAsia" w:ascii="Arial" w:hAnsi="Arial"/>
                <w:szCs w:val="20"/>
                <w:lang w:val="en-GB"/>
              </w:rPr>
              <w:t>℃</w:t>
            </w:r>
            <w:r>
              <w:rPr>
                <w:rFonts w:ascii="Arial" w:hAnsi="Arial"/>
                <w:szCs w:val="20"/>
                <w:lang w:val="en-GB"/>
              </w:rPr>
              <w:t>，分辨率：0.1</w:t>
            </w:r>
            <w:r>
              <w:rPr>
                <w:rFonts w:hint="eastAsia" w:ascii="Arial" w:hAnsi="Arial"/>
                <w:szCs w:val="20"/>
                <w:lang w:val="en-GB"/>
              </w:rPr>
              <w:t>℃</w:t>
            </w:r>
          </w:p>
        </w:tc>
      </w:tr>
      <w:tr w14:paraId="36F3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413AACB5">
            <w:pPr>
              <w:rPr>
                <w:rFonts w:hint="eastAsia"/>
              </w:rPr>
            </w:pPr>
          </w:p>
        </w:tc>
        <w:tc>
          <w:tcPr>
            <w:tcW w:w="1680" w:type="dxa"/>
            <w:vMerge w:val="continue"/>
            <w:vAlign w:val="center"/>
          </w:tcPr>
          <w:p w14:paraId="030063C4">
            <w:pPr>
              <w:rPr>
                <w:rFonts w:hint="eastAsia"/>
              </w:rPr>
            </w:pPr>
          </w:p>
        </w:tc>
        <w:tc>
          <w:tcPr>
            <w:tcW w:w="7200" w:type="dxa"/>
            <w:vAlign w:val="center"/>
          </w:tcPr>
          <w:p w14:paraId="40FFF8AC">
            <w:pPr>
              <w:rPr>
                <w:rFonts w:ascii="Arial" w:hAnsi="Arial"/>
                <w:szCs w:val="20"/>
                <w:lang w:val="en-GB"/>
              </w:rPr>
            </w:pPr>
            <w:r>
              <w:rPr>
                <w:rFonts w:hint="eastAsia" w:ascii="Arial" w:hAnsi="Arial"/>
                <w:szCs w:val="20"/>
                <w:lang w:val="en-GB"/>
              </w:rPr>
              <w:t>温度传感器：</w:t>
            </w:r>
            <w:r>
              <w:rPr>
                <w:rFonts w:ascii="Arial" w:hAnsi="Arial"/>
                <w:szCs w:val="20"/>
                <w:lang w:val="en-GB"/>
              </w:rPr>
              <w:t>德国PT100温度电极元件</w:t>
            </w:r>
          </w:p>
        </w:tc>
      </w:tr>
      <w:tr w14:paraId="159B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3C63CE50">
            <w:pPr>
              <w:rPr>
                <w:rFonts w:hint="eastAsia"/>
              </w:rPr>
            </w:pPr>
          </w:p>
        </w:tc>
        <w:tc>
          <w:tcPr>
            <w:tcW w:w="1680" w:type="dxa"/>
            <w:vMerge w:val="continue"/>
            <w:vAlign w:val="center"/>
          </w:tcPr>
          <w:p w14:paraId="5BEEB644">
            <w:pPr>
              <w:rPr>
                <w:rFonts w:hint="eastAsia"/>
              </w:rPr>
            </w:pPr>
          </w:p>
        </w:tc>
        <w:tc>
          <w:tcPr>
            <w:tcW w:w="7200" w:type="dxa"/>
            <w:vAlign w:val="center"/>
          </w:tcPr>
          <w:p w14:paraId="6FD33B6C">
            <w:pPr>
              <w:rPr>
                <w:rFonts w:hint="eastAsia"/>
                <w:b/>
              </w:rPr>
            </w:pPr>
            <w:r>
              <w:rPr>
                <w:b/>
              </w:rPr>
              <w:t>压力控制</w:t>
            </w:r>
          </w:p>
        </w:tc>
      </w:tr>
      <w:tr w14:paraId="1A5B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0B933D9C">
            <w:pPr>
              <w:rPr>
                <w:rFonts w:hint="eastAsia"/>
              </w:rPr>
            </w:pPr>
          </w:p>
        </w:tc>
        <w:tc>
          <w:tcPr>
            <w:tcW w:w="1680" w:type="dxa"/>
            <w:vMerge w:val="continue"/>
            <w:vAlign w:val="center"/>
          </w:tcPr>
          <w:p w14:paraId="2AAF5128">
            <w:pPr>
              <w:rPr>
                <w:rFonts w:hint="eastAsia"/>
              </w:rPr>
            </w:pPr>
          </w:p>
        </w:tc>
        <w:tc>
          <w:tcPr>
            <w:tcW w:w="7200" w:type="dxa"/>
            <w:vAlign w:val="center"/>
          </w:tcPr>
          <w:p w14:paraId="22C929F3">
            <w:pPr>
              <w:rPr>
                <w:rFonts w:ascii="Arial" w:hAnsi="Arial"/>
                <w:szCs w:val="20"/>
                <w:lang w:val="en-GB"/>
              </w:rPr>
            </w:pPr>
            <w:r>
              <w:rPr>
                <w:rFonts w:hint="eastAsia" w:ascii="Arial" w:hAnsi="Arial"/>
                <w:szCs w:val="20"/>
                <w:lang w:val="en-GB"/>
              </w:rPr>
              <w:t>控制方式：</w:t>
            </w:r>
            <w:r>
              <w:rPr>
                <w:rFonts w:ascii="Arial" w:hAnsi="Arial"/>
                <w:szCs w:val="20"/>
                <w:lang w:val="en-GB"/>
              </w:rPr>
              <w:t>手动控制，压力表显示</w:t>
            </w:r>
          </w:p>
        </w:tc>
      </w:tr>
      <w:tr w14:paraId="2401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3248C37B">
            <w:pPr>
              <w:rPr>
                <w:rFonts w:hint="eastAsia"/>
              </w:rPr>
            </w:pPr>
          </w:p>
        </w:tc>
        <w:tc>
          <w:tcPr>
            <w:tcW w:w="1680" w:type="dxa"/>
            <w:vMerge w:val="continue"/>
            <w:vAlign w:val="center"/>
          </w:tcPr>
          <w:p w14:paraId="2C80243F">
            <w:pPr>
              <w:rPr>
                <w:rFonts w:hint="eastAsia"/>
              </w:rPr>
            </w:pPr>
          </w:p>
        </w:tc>
        <w:tc>
          <w:tcPr>
            <w:tcW w:w="7200" w:type="dxa"/>
            <w:vAlign w:val="center"/>
          </w:tcPr>
          <w:p w14:paraId="4AFB4134">
            <w:pPr>
              <w:rPr>
                <w:rFonts w:ascii="Arial" w:hAnsi="Arial"/>
                <w:szCs w:val="20"/>
                <w:lang w:val="en-GB"/>
              </w:rPr>
            </w:pPr>
            <w:r>
              <w:rPr>
                <w:rFonts w:ascii="Arial" w:hAnsi="Arial"/>
                <w:szCs w:val="20"/>
                <w:lang w:val="en-GB"/>
              </w:rPr>
              <w:t>控制范围：0-0.4MPa</w:t>
            </w:r>
          </w:p>
        </w:tc>
      </w:tr>
      <w:tr w14:paraId="10AC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608845FD">
            <w:pPr>
              <w:rPr>
                <w:rFonts w:hint="eastAsia"/>
              </w:rPr>
            </w:pPr>
          </w:p>
        </w:tc>
        <w:tc>
          <w:tcPr>
            <w:tcW w:w="1680" w:type="dxa"/>
            <w:vMerge w:val="continue"/>
            <w:vAlign w:val="center"/>
          </w:tcPr>
          <w:p w14:paraId="66F1F557">
            <w:pPr>
              <w:rPr>
                <w:rFonts w:hint="eastAsia"/>
              </w:rPr>
            </w:pPr>
          </w:p>
        </w:tc>
        <w:tc>
          <w:tcPr>
            <w:tcW w:w="7200" w:type="dxa"/>
            <w:vAlign w:val="center"/>
          </w:tcPr>
          <w:p w14:paraId="6B5E032A">
            <w:pPr>
              <w:rPr>
                <w:rFonts w:hint="eastAsia"/>
                <w:b/>
              </w:rPr>
            </w:pPr>
            <w:r>
              <w:rPr>
                <w:b/>
              </w:rPr>
              <w:t>泡沫控制</w:t>
            </w:r>
            <w:r>
              <w:rPr>
                <w:rFonts w:hint="eastAsia"/>
                <w:b/>
              </w:rPr>
              <w:t>：</w:t>
            </w:r>
          </w:p>
        </w:tc>
      </w:tr>
      <w:tr w14:paraId="624F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3C08AB8E">
            <w:pPr>
              <w:rPr>
                <w:rFonts w:hint="eastAsia"/>
              </w:rPr>
            </w:pPr>
          </w:p>
        </w:tc>
        <w:tc>
          <w:tcPr>
            <w:tcW w:w="1680" w:type="dxa"/>
            <w:vMerge w:val="continue"/>
            <w:vAlign w:val="center"/>
          </w:tcPr>
          <w:p w14:paraId="33AA34F6">
            <w:pPr>
              <w:rPr>
                <w:rFonts w:hint="eastAsia"/>
              </w:rPr>
            </w:pPr>
          </w:p>
        </w:tc>
        <w:tc>
          <w:tcPr>
            <w:tcW w:w="7200" w:type="dxa"/>
            <w:vAlign w:val="center"/>
          </w:tcPr>
          <w:p w14:paraId="23BE9B0F">
            <w:pPr>
              <w:rPr>
                <w:rFonts w:ascii="Arial" w:hAnsi="Arial"/>
                <w:szCs w:val="20"/>
                <w:lang w:val="en-GB"/>
              </w:rPr>
            </w:pPr>
            <w:r>
              <w:rPr>
                <w:rFonts w:hint="eastAsia" w:ascii="Arial" w:hAnsi="Arial"/>
                <w:szCs w:val="20"/>
                <w:lang w:val="en-GB"/>
              </w:rPr>
              <w:t>检测：</w:t>
            </w:r>
            <w:r>
              <w:rPr>
                <w:rFonts w:ascii="Arial" w:hAnsi="Arial"/>
                <w:szCs w:val="20"/>
                <w:lang w:val="en-GB"/>
              </w:rPr>
              <w:t>电极自动检测泡沫或液位</w:t>
            </w:r>
          </w:p>
        </w:tc>
      </w:tr>
      <w:tr w14:paraId="5106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1810B6B5">
            <w:pPr>
              <w:rPr>
                <w:rFonts w:hint="eastAsia"/>
              </w:rPr>
            </w:pPr>
          </w:p>
        </w:tc>
        <w:tc>
          <w:tcPr>
            <w:tcW w:w="1680" w:type="dxa"/>
            <w:vMerge w:val="continue"/>
            <w:vAlign w:val="center"/>
          </w:tcPr>
          <w:p w14:paraId="543E0B3B">
            <w:pPr>
              <w:rPr>
                <w:rFonts w:hint="eastAsia"/>
              </w:rPr>
            </w:pPr>
          </w:p>
        </w:tc>
        <w:tc>
          <w:tcPr>
            <w:tcW w:w="7200" w:type="dxa"/>
            <w:vAlign w:val="center"/>
          </w:tcPr>
          <w:p w14:paraId="6B41A93A">
            <w:pPr>
              <w:rPr>
                <w:rFonts w:ascii="Arial" w:hAnsi="Arial"/>
                <w:szCs w:val="20"/>
                <w:lang w:val="en-GB"/>
              </w:rPr>
            </w:pPr>
            <w:r>
              <w:rPr>
                <w:rFonts w:hint="eastAsia" w:ascii="Arial" w:hAnsi="Arial"/>
                <w:szCs w:val="20"/>
                <w:lang w:val="en-GB"/>
              </w:rPr>
              <w:t>控制方式：</w:t>
            </w:r>
            <w:r>
              <w:rPr>
                <w:rFonts w:ascii="Arial" w:hAnsi="Arial"/>
                <w:szCs w:val="20"/>
                <w:lang w:val="en-GB"/>
              </w:rPr>
              <w:t>蠕动泵自动添加消泡剂或补料，并计量</w:t>
            </w:r>
          </w:p>
        </w:tc>
      </w:tr>
      <w:tr w14:paraId="66AC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6FEAC01C">
            <w:pPr>
              <w:rPr>
                <w:rFonts w:hint="eastAsia"/>
              </w:rPr>
            </w:pPr>
          </w:p>
        </w:tc>
        <w:tc>
          <w:tcPr>
            <w:tcW w:w="1680" w:type="dxa"/>
            <w:vMerge w:val="continue"/>
            <w:vAlign w:val="center"/>
          </w:tcPr>
          <w:p w14:paraId="1BD8E9E9">
            <w:pPr>
              <w:rPr>
                <w:rFonts w:hint="eastAsia"/>
              </w:rPr>
            </w:pPr>
          </w:p>
        </w:tc>
        <w:tc>
          <w:tcPr>
            <w:tcW w:w="7200" w:type="dxa"/>
            <w:vAlign w:val="center"/>
          </w:tcPr>
          <w:p w14:paraId="6B924D4F">
            <w:pPr>
              <w:rPr>
                <w:rFonts w:ascii="Arial" w:hAnsi="Arial"/>
                <w:szCs w:val="20"/>
                <w:lang w:val="en-GB"/>
              </w:rPr>
            </w:pPr>
            <w:r>
              <w:rPr>
                <w:rFonts w:hint="eastAsia" w:ascii="Arial" w:hAnsi="Arial"/>
                <w:szCs w:val="20"/>
                <w:lang w:val="en-GB"/>
              </w:rPr>
              <w:t>功能：</w:t>
            </w:r>
            <w:r>
              <w:rPr>
                <w:rFonts w:ascii="Arial" w:hAnsi="Arial"/>
                <w:szCs w:val="20"/>
                <w:lang w:val="en-GB"/>
              </w:rPr>
              <w:t>全自动PID控制与报警</w:t>
            </w:r>
          </w:p>
        </w:tc>
      </w:tr>
      <w:tr w14:paraId="580D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0BC2647F">
            <w:pPr>
              <w:rPr>
                <w:rFonts w:hint="eastAsia"/>
              </w:rPr>
            </w:pPr>
          </w:p>
        </w:tc>
        <w:tc>
          <w:tcPr>
            <w:tcW w:w="1680" w:type="dxa"/>
            <w:vMerge w:val="continue"/>
            <w:vAlign w:val="center"/>
          </w:tcPr>
          <w:p w14:paraId="3B961E86">
            <w:pPr>
              <w:rPr>
                <w:rFonts w:hint="eastAsia"/>
              </w:rPr>
            </w:pPr>
          </w:p>
        </w:tc>
        <w:tc>
          <w:tcPr>
            <w:tcW w:w="7200" w:type="dxa"/>
            <w:vAlign w:val="center"/>
          </w:tcPr>
          <w:p w14:paraId="091DD1FA">
            <w:pPr>
              <w:rPr>
                <w:rFonts w:hint="eastAsia"/>
                <w:b/>
              </w:rPr>
            </w:pPr>
            <w:r>
              <w:rPr>
                <w:b/>
              </w:rPr>
              <w:t>pH控制</w:t>
            </w:r>
          </w:p>
        </w:tc>
      </w:tr>
      <w:tr w14:paraId="4FDC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07078A05">
            <w:pPr>
              <w:rPr>
                <w:rFonts w:hint="eastAsia"/>
              </w:rPr>
            </w:pPr>
          </w:p>
        </w:tc>
        <w:tc>
          <w:tcPr>
            <w:tcW w:w="1680" w:type="dxa"/>
            <w:vMerge w:val="continue"/>
            <w:vAlign w:val="center"/>
          </w:tcPr>
          <w:p w14:paraId="4746A34E">
            <w:pPr>
              <w:rPr>
                <w:rFonts w:hint="eastAsia"/>
              </w:rPr>
            </w:pPr>
          </w:p>
        </w:tc>
        <w:tc>
          <w:tcPr>
            <w:tcW w:w="7200" w:type="dxa"/>
            <w:vAlign w:val="center"/>
          </w:tcPr>
          <w:p w14:paraId="7BF3B7BB">
            <w:pPr>
              <w:rPr>
                <w:rFonts w:ascii="Arial" w:hAnsi="Arial"/>
                <w:szCs w:val="20"/>
                <w:lang w:val="en-GB"/>
              </w:rPr>
            </w:pPr>
            <w:r>
              <w:rPr>
                <w:rFonts w:hint="eastAsia" w:ascii="Arial" w:hAnsi="Arial"/>
                <w:szCs w:val="20"/>
                <w:lang w:val="en-GB"/>
              </w:rPr>
              <w:t>电极：</w:t>
            </w:r>
            <w:r>
              <w:rPr>
                <w:rFonts w:ascii="Arial" w:hAnsi="Arial"/>
                <w:szCs w:val="20"/>
                <w:lang w:val="en-GB"/>
              </w:rPr>
              <w:t>瑞士</w:t>
            </w:r>
            <w:r>
              <w:rPr>
                <w:rFonts w:hint="eastAsia" w:ascii="Arial" w:hAnsi="Arial"/>
                <w:szCs w:val="20"/>
              </w:rPr>
              <w:t>梅特勒</w:t>
            </w:r>
            <w:r>
              <w:rPr>
                <w:rFonts w:ascii="Arial" w:hAnsi="Arial"/>
                <w:szCs w:val="20"/>
                <w:lang w:val="en-GB"/>
              </w:rPr>
              <w:t xml:space="preserve">可耐高温消毒的玻璃凝胶电极和导线； </w:t>
            </w:r>
          </w:p>
        </w:tc>
      </w:tr>
      <w:tr w14:paraId="3723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58C053FB">
            <w:pPr>
              <w:rPr>
                <w:rFonts w:hint="eastAsia"/>
              </w:rPr>
            </w:pPr>
          </w:p>
        </w:tc>
        <w:tc>
          <w:tcPr>
            <w:tcW w:w="1680" w:type="dxa"/>
            <w:vMerge w:val="continue"/>
            <w:vAlign w:val="center"/>
          </w:tcPr>
          <w:p w14:paraId="6562AFEE">
            <w:pPr>
              <w:rPr>
                <w:rFonts w:hint="eastAsia"/>
              </w:rPr>
            </w:pPr>
          </w:p>
        </w:tc>
        <w:tc>
          <w:tcPr>
            <w:tcW w:w="7200" w:type="dxa"/>
            <w:vAlign w:val="center"/>
          </w:tcPr>
          <w:p w14:paraId="16041EF2">
            <w:pPr>
              <w:rPr>
                <w:rFonts w:ascii="Arial" w:hAnsi="Arial"/>
                <w:szCs w:val="20"/>
                <w:lang w:val="en-GB"/>
              </w:rPr>
            </w:pPr>
            <w:r>
              <w:rPr>
                <w:rFonts w:hint="eastAsia" w:ascii="Arial" w:hAnsi="Arial"/>
                <w:szCs w:val="20"/>
                <w:lang w:val="en-GB"/>
              </w:rPr>
              <w:t>控制方式：</w:t>
            </w:r>
            <w:r>
              <w:rPr>
                <w:rFonts w:ascii="Arial" w:hAnsi="Arial"/>
                <w:szCs w:val="20"/>
                <w:lang w:val="en-GB"/>
              </w:rPr>
              <w:t>2台蠕动泵开关控制流加酸碱，自动控制，自动计量</w:t>
            </w:r>
            <w:r>
              <w:rPr>
                <w:rFonts w:hint="eastAsia" w:ascii="Arial" w:hAnsi="Arial"/>
                <w:szCs w:val="20"/>
                <w:lang w:val="en-GB"/>
              </w:rPr>
              <w:t>（</w:t>
            </w:r>
            <w:r>
              <w:rPr>
                <w:rFonts w:hint="eastAsia" w:ascii="Arial" w:hAnsi="Arial"/>
                <w:szCs w:val="20"/>
              </w:rPr>
              <w:t>客户配</w:t>
            </w:r>
            <w:r>
              <w:rPr>
                <w:rFonts w:hint="eastAsia" w:ascii="Arial" w:hAnsi="Arial"/>
                <w:szCs w:val="20"/>
                <w:lang w:val="en-GB"/>
              </w:rPr>
              <w:t>）</w:t>
            </w:r>
          </w:p>
        </w:tc>
      </w:tr>
      <w:tr w14:paraId="7C5C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77BFE22D">
            <w:pPr>
              <w:rPr>
                <w:rFonts w:hint="eastAsia"/>
              </w:rPr>
            </w:pPr>
          </w:p>
        </w:tc>
        <w:tc>
          <w:tcPr>
            <w:tcW w:w="1680" w:type="dxa"/>
            <w:vMerge w:val="continue"/>
            <w:vAlign w:val="center"/>
          </w:tcPr>
          <w:p w14:paraId="1754CCCA">
            <w:pPr>
              <w:rPr>
                <w:rFonts w:hint="eastAsia"/>
              </w:rPr>
            </w:pPr>
          </w:p>
        </w:tc>
        <w:tc>
          <w:tcPr>
            <w:tcW w:w="7200" w:type="dxa"/>
            <w:vAlign w:val="center"/>
          </w:tcPr>
          <w:p w14:paraId="2B411F5A">
            <w:pPr>
              <w:rPr>
                <w:rFonts w:ascii="Arial" w:hAnsi="Arial"/>
                <w:szCs w:val="20"/>
                <w:lang w:val="en-GB"/>
              </w:rPr>
            </w:pPr>
            <w:r>
              <w:rPr>
                <w:rFonts w:ascii="Arial" w:hAnsi="Arial"/>
                <w:szCs w:val="20"/>
                <w:lang w:val="en-GB"/>
              </w:rPr>
              <w:t>显示范围：0.00~14.00±0.01，全自动控制范围：2.00~12.00±0.02</w:t>
            </w:r>
          </w:p>
        </w:tc>
      </w:tr>
      <w:tr w14:paraId="43A8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02FA424E">
            <w:pPr>
              <w:rPr>
                <w:rFonts w:hint="eastAsia"/>
              </w:rPr>
            </w:pPr>
          </w:p>
        </w:tc>
        <w:tc>
          <w:tcPr>
            <w:tcW w:w="1680" w:type="dxa"/>
            <w:vMerge w:val="continue"/>
            <w:vAlign w:val="center"/>
          </w:tcPr>
          <w:p w14:paraId="55CE605C">
            <w:pPr>
              <w:rPr>
                <w:rFonts w:hint="eastAsia"/>
              </w:rPr>
            </w:pPr>
          </w:p>
        </w:tc>
        <w:tc>
          <w:tcPr>
            <w:tcW w:w="7200" w:type="dxa"/>
            <w:vAlign w:val="center"/>
          </w:tcPr>
          <w:p w14:paraId="695381D6">
            <w:pPr>
              <w:rPr>
                <w:rFonts w:hint="eastAsia"/>
                <w:b/>
              </w:rPr>
            </w:pPr>
            <w:r>
              <w:rPr>
                <w:b/>
              </w:rPr>
              <w:t>DO控制</w:t>
            </w:r>
          </w:p>
        </w:tc>
      </w:tr>
      <w:tr w14:paraId="01E6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4284AFDB">
            <w:pPr>
              <w:rPr>
                <w:rFonts w:hint="eastAsia"/>
              </w:rPr>
            </w:pPr>
          </w:p>
        </w:tc>
        <w:tc>
          <w:tcPr>
            <w:tcW w:w="1680" w:type="dxa"/>
            <w:vMerge w:val="continue"/>
            <w:vAlign w:val="center"/>
          </w:tcPr>
          <w:p w14:paraId="775B2C7D">
            <w:pPr>
              <w:rPr>
                <w:rFonts w:hint="eastAsia"/>
              </w:rPr>
            </w:pPr>
          </w:p>
        </w:tc>
        <w:tc>
          <w:tcPr>
            <w:tcW w:w="7200" w:type="dxa"/>
            <w:vAlign w:val="center"/>
          </w:tcPr>
          <w:p w14:paraId="7FC69FA2">
            <w:pPr>
              <w:rPr>
                <w:rFonts w:ascii="Arial" w:hAnsi="Arial"/>
                <w:szCs w:val="20"/>
                <w:lang w:val="en-GB"/>
              </w:rPr>
            </w:pPr>
            <w:r>
              <w:rPr>
                <w:rFonts w:hint="eastAsia" w:ascii="Arial" w:hAnsi="Arial"/>
                <w:szCs w:val="20"/>
                <w:lang w:val="en-GB"/>
              </w:rPr>
              <w:t>电极：</w:t>
            </w:r>
            <w:r>
              <w:rPr>
                <w:rFonts w:ascii="Arial" w:hAnsi="Arial"/>
                <w:szCs w:val="20"/>
                <w:lang w:val="en-GB"/>
              </w:rPr>
              <w:t>瑞士</w:t>
            </w:r>
            <w:r>
              <w:rPr>
                <w:rFonts w:hint="eastAsia" w:ascii="Arial" w:hAnsi="Arial"/>
                <w:szCs w:val="20"/>
              </w:rPr>
              <w:t>梅特勒</w:t>
            </w:r>
            <w:r>
              <w:rPr>
                <w:rFonts w:ascii="Arial" w:hAnsi="Arial"/>
                <w:szCs w:val="20"/>
                <w:lang w:val="en-GB"/>
              </w:rPr>
              <w:t>电极及屏蔽导线</w:t>
            </w:r>
          </w:p>
        </w:tc>
      </w:tr>
      <w:tr w14:paraId="4E6D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158B2314">
            <w:pPr>
              <w:rPr>
                <w:rFonts w:hint="eastAsia"/>
              </w:rPr>
            </w:pPr>
          </w:p>
        </w:tc>
        <w:tc>
          <w:tcPr>
            <w:tcW w:w="1680" w:type="dxa"/>
            <w:vMerge w:val="continue"/>
            <w:vAlign w:val="center"/>
          </w:tcPr>
          <w:p w14:paraId="15CD828C">
            <w:pPr>
              <w:rPr>
                <w:rFonts w:hint="eastAsia"/>
              </w:rPr>
            </w:pPr>
          </w:p>
        </w:tc>
        <w:tc>
          <w:tcPr>
            <w:tcW w:w="7200" w:type="dxa"/>
            <w:vAlign w:val="center"/>
          </w:tcPr>
          <w:p w14:paraId="0815FBE5">
            <w:pPr>
              <w:rPr>
                <w:rFonts w:ascii="Arial" w:hAnsi="Arial"/>
                <w:szCs w:val="20"/>
                <w:lang w:val="en-GB"/>
              </w:rPr>
            </w:pPr>
            <w:r>
              <w:rPr>
                <w:rFonts w:ascii="Arial" w:hAnsi="Arial"/>
                <w:szCs w:val="20"/>
                <w:lang w:val="en-GB"/>
              </w:rPr>
              <w:t>测量范围</w:t>
            </w:r>
            <w:r>
              <w:rPr>
                <w:rFonts w:hint="eastAsia" w:ascii="Arial" w:hAnsi="Arial"/>
                <w:szCs w:val="20"/>
                <w:lang w:val="en-GB"/>
              </w:rPr>
              <w:t>：</w:t>
            </w:r>
            <w:r>
              <w:rPr>
                <w:rFonts w:ascii="Arial" w:hAnsi="Arial"/>
                <w:szCs w:val="20"/>
                <w:lang w:val="en-GB"/>
              </w:rPr>
              <w:t>0.1~150%</w:t>
            </w:r>
          </w:p>
        </w:tc>
      </w:tr>
      <w:tr w14:paraId="00F9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4F836BDC">
            <w:pPr>
              <w:rPr>
                <w:rFonts w:hint="eastAsia"/>
              </w:rPr>
            </w:pPr>
          </w:p>
        </w:tc>
        <w:tc>
          <w:tcPr>
            <w:tcW w:w="1680" w:type="dxa"/>
            <w:vMerge w:val="continue"/>
            <w:vAlign w:val="center"/>
          </w:tcPr>
          <w:p w14:paraId="7FCDBA33">
            <w:pPr>
              <w:rPr>
                <w:rFonts w:hint="eastAsia"/>
              </w:rPr>
            </w:pPr>
          </w:p>
        </w:tc>
        <w:tc>
          <w:tcPr>
            <w:tcW w:w="7200" w:type="dxa"/>
            <w:vAlign w:val="center"/>
          </w:tcPr>
          <w:p w14:paraId="126D2A38">
            <w:pPr>
              <w:rPr>
                <w:rFonts w:ascii="Arial" w:hAnsi="Arial"/>
                <w:szCs w:val="20"/>
                <w:lang w:val="en-GB"/>
              </w:rPr>
            </w:pPr>
            <w:r>
              <w:rPr>
                <w:rFonts w:ascii="Arial" w:hAnsi="Arial"/>
                <w:szCs w:val="20"/>
                <w:lang w:val="en-GB"/>
              </w:rPr>
              <w:t>控制精度：±3%,</w:t>
            </w:r>
          </w:p>
        </w:tc>
      </w:tr>
      <w:tr w14:paraId="15CA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7B9280F4">
            <w:pPr>
              <w:rPr>
                <w:rFonts w:hint="eastAsia"/>
              </w:rPr>
            </w:pPr>
          </w:p>
        </w:tc>
        <w:tc>
          <w:tcPr>
            <w:tcW w:w="1680" w:type="dxa"/>
            <w:vMerge w:val="continue"/>
            <w:vAlign w:val="center"/>
          </w:tcPr>
          <w:p w14:paraId="3E6A1364">
            <w:pPr>
              <w:rPr>
                <w:rFonts w:hint="eastAsia"/>
              </w:rPr>
            </w:pPr>
          </w:p>
        </w:tc>
        <w:tc>
          <w:tcPr>
            <w:tcW w:w="7200" w:type="dxa"/>
            <w:vAlign w:val="center"/>
          </w:tcPr>
          <w:p w14:paraId="0676C75C">
            <w:pPr>
              <w:rPr>
                <w:rFonts w:ascii="Arial" w:hAnsi="Arial"/>
                <w:szCs w:val="20"/>
                <w:lang w:val="en-GB"/>
              </w:rPr>
            </w:pPr>
            <w:r>
              <w:rPr>
                <w:rFonts w:ascii="Arial" w:hAnsi="Arial"/>
                <w:szCs w:val="20"/>
                <w:lang w:val="en-GB"/>
              </w:rPr>
              <w:t>分辨率：0.1%</w:t>
            </w:r>
          </w:p>
        </w:tc>
      </w:tr>
      <w:tr w14:paraId="00C2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223513C5">
            <w:pPr>
              <w:rPr>
                <w:rFonts w:hint="eastAsia"/>
              </w:rPr>
            </w:pPr>
          </w:p>
        </w:tc>
        <w:tc>
          <w:tcPr>
            <w:tcW w:w="1680" w:type="dxa"/>
            <w:vMerge w:val="continue"/>
            <w:vAlign w:val="center"/>
          </w:tcPr>
          <w:p w14:paraId="69442104">
            <w:pPr>
              <w:rPr>
                <w:rFonts w:hint="eastAsia"/>
              </w:rPr>
            </w:pPr>
          </w:p>
        </w:tc>
        <w:tc>
          <w:tcPr>
            <w:tcW w:w="7200" w:type="dxa"/>
            <w:vAlign w:val="center"/>
          </w:tcPr>
          <w:p w14:paraId="75B375FC">
            <w:pPr>
              <w:rPr>
                <w:rFonts w:hint="eastAsia"/>
                <w:b/>
              </w:rPr>
            </w:pPr>
            <w:r>
              <w:rPr>
                <w:b/>
              </w:rPr>
              <w:t>排气控制</w:t>
            </w:r>
          </w:p>
        </w:tc>
      </w:tr>
      <w:tr w14:paraId="7F98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357B869A">
            <w:pPr>
              <w:rPr>
                <w:rFonts w:hint="eastAsia"/>
              </w:rPr>
            </w:pPr>
          </w:p>
        </w:tc>
        <w:tc>
          <w:tcPr>
            <w:tcW w:w="1680" w:type="dxa"/>
            <w:vMerge w:val="continue"/>
            <w:vAlign w:val="center"/>
          </w:tcPr>
          <w:p w14:paraId="5EE79437">
            <w:pPr>
              <w:rPr>
                <w:rFonts w:hint="eastAsia"/>
              </w:rPr>
            </w:pPr>
          </w:p>
        </w:tc>
        <w:tc>
          <w:tcPr>
            <w:tcW w:w="7200" w:type="dxa"/>
            <w:vAlign w:val="center"/>
          </w:tcPr>
          <w:p w14:paraId="752DF837">
            <w:pPr>
              <w:rPr>
                <w:rFonts w:ascii="Arial" w:hAnsi="Arial"/>
                <w:szCs w:val="20"/>
                <w:lang w:val="en-GB"/>
              </w:rPr>
            </w:pPr>
            <w:r>
              <w:rPr>
                <w:rFonts w:hint="eastAsia" w:ascii="Arial" w:hAnsi="Arial"/>
                <w:szCs w:val="20"/>
                <w:lang w:val="en-GB"/>
              </w:rPr>
              <w:t>显示方式：</w:t>
            </w:r>
            <w:r>
              <w:rPr>
                <w:rFonts w:ascii="Arial" w:hAnsi="Arial"/>
                <w:szCs w:val="20"/>
                <w:lang w:val="en-GB"/>
              </w:rPr>
              <w:t>采用压力表显示</w:t>
            </w:r>
            <w:r>
              <w:rPr>
                <w:rFonts w:hint="eastAsia" w:ascii="Arial" w:hAnsi="Arial"/>
                <w:szCs w:val="20"/>
                <w:lang w:val="en-GB"/>
              </w:rPr>
              <w:t>容器</w:t>
            </w:r>
            <w:r>
              <w:rPr>
                <w:rFonts w:ascii="Arial" w:hAnsi="Arial"/>
                <w:szCs w:val="20"/>
                <w:lang w:val="en-GB"/>
              </w:rPr>
              <w:t>压</w:t>
            </w:r>
            <w:r>
              <w:rPr>
                <w:rFonts w:hint="eastAsia" w:ascii="Arial" w:hAnsi="Arial"/>
                <w:szCs w:val="20"/>
                <w:lang w:val="en-GB"/>
              </w:rPr>
              <w:t>力</w:t>
            </w:r>
            <w:r>
              <w:rPr>
                <w:rFonts w:ascii="Arial" w:hAnsi="Arial"/>
                <w:szCs w:val="20"/>
                <w:lang w:val="en-GB"/>
              </w:rPr>
              <w:t>,</w:t>
            </w:r>
          </w:p>
        </w:tc>
      </w:tr>
      <w:tr w14:paraId="61F2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100CF365">
            <w:pPr>
              <w:rPr>
                <w:rFonts w:hint="eastAsia"/>
              </w:rPr>
            </w:pPr>
          </w:p>
        </w:tc>
        <w:tc>
          <w:tcPr>
            <w:tcW w:w="1680" w:type="dxa"/>
            <w:vMerge w:val="continue"/>
            <w:vAlign w:val="center"/>
          </w:tcPr>
          <w:p w14:paraId="5BE2337F">
            <w:pPr>
              <w:rPr>
                <w:rFonts w:hint="eastAsia"/>
              </w:rPr>
            </w:pPr>
          </w:p>
        </w:tc>
        <w:tc>
          <w:tcPr>
            <w:tcW w:w="7200" w:type="dxa"/>
            <w:vAlign w:val="center"/>
          </w:tcPr>
          <w:p w14:paraId="0FDE65C2">
            <w:pPr>
              <w:rPr>
                <w:rFonts w:ascii="Arial" w:hAnsi="Arial"/>
                <w:szCs w:val="20"/>
                <w:lang w:val="en-GB"/>
              </w:rPr>
            </w:pPr>
            <w:r>
              <w:rPr>
                <w:rFonts w:ascii="Arial" w:hAnsi="Arial"/>
                <w:szCs w:val="20"/>
                <w:lang w:val="en-GB"/>
              </w:rPr>
              <w:t>显示范围：0-0.4MPa。</w:t>
            </w:r>
          </w:p>
        </w:tc>
      </w:tr>
      <w:tr w14:paraId="0E19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2DA7C1DE">
            <w:pPr>
              <w:rPr>
                <w:rFonts w:hint="eastAsia"/>
              </w:rPr>
            </w:pPr>
          </w:p>
        </w:tc>
        <w:tc>
          <w:tcPr>
            <w:tcW w:w="1680" w:type="dxa"/>
            <w:vMerge w:val="continue"/>
            <w:vAlign w:val="center"/>
          </w:tcPr>
          <w:p w14:paraId="17C51FC4">
            <w:pPr>
              <w:rPr>
                <w:rFonts w:hint="eastAsia"/>
              </w:rPr>
            </w:pPr>
          </w:p>
        </w:tc>
        <w:tc>
          <w:tcPr>
            <w:tcW w:w="7200" w:type="dxa"/>
            <w:vAlign w:val="center"/>
          </w:tcPr>
          <w:p w14:paraId="00606BF0">
            <w:pPr>
              <w:rPr>
                <w:rFonts w:ascii="Arial" w:hAnsi="Arial"/>
                <w:szCs w:val="20"/>
                <w:lang w:val="en-GB"/>
              </w:rPr>
            </w:pPr>
            <w:r>
              <w:rPr>
                <w:rFonts w:hint="eastAsia" w:ascii="Arial" w:hAnsi="Arial"/>
                <w:szCs w:val="20"/>
                <w:lang w:val="en-GB"/>
              </w:rPr>
              <w:t>调节方式：</w:t>
            </w:r>
            <w:r>
              <w:rPr>
                <w:rFonts w:ascii="Arial" w:hAnsi="Arial"/>
                <w:szCs w:val="20"/>
                <w:lang w:val="en-GB"/>
              </w:rPr>
              <w:t>手动调节通风量，带尾气排放</w:t>
            </w:r>
          </w:p>
        </w:tc>
      </w:tr>
      <w:tr w14:paraId="779C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033C2206">
            <w:pPr>
              <w:rPr>
                <w:rFonts w:hint="eastAsia"/>
              </w:rPr>
            </w:pPr>
          </w:p>
        </w:tc>
        <w:tc>
          <w:tcPr>
            <w:tcW w:w="1680" w:type="dxa"/>
            <w:vMerge w:val="continue"/>
            <w:vAlign w:val="center"/>
          </w:tcPr>
          <w:p w14:paraId="34F1F297">
            <w:pPr>
              <w:rPr>
                <w:rFonts w:hint="eastAsia"/>
              </w:rPr>
            </w:pPr>
          </w:p>
        </w:tc>
        <w:tc>
          <w:tcPr>
            <w:tcW w:w="7200" w:type="dxa"/>
            <w:vAlign w:val="center"/>
          </w:tcPr>
          <w:p w14:paraId="40F44F8C">
            <w:pPr>
              <w:rPr>
                <w:rFonts w:ascii="Arial" w:hAnsi="Arial"/>
                <w:szCs w:val="20"/>
                <w:lang w:val="en-GB"/>
              </w:rPr>
            </w:pPr>
            <w:r>
              <w:rPr>
                <w:rFonts w:ascii="Arial" w:hAnsi="Arial"/>
                <w:szCs w:val="20"/>
                <w:lang w:val="en-GB"/>
              </w:rPr>
              <w:t>冷凝系统</w:t>
            </w:r>
            <w:r>
              <w:rPr>
                <w:rFonts w:hint="eastAsia" w:ascii="Arial" w:hAnsi="Arial"/>
                <w:szCs w:val="20"/>
                <w:lang w:val="en-GB"/>
              </w:rPr>
              <w:t>：</w:t>
            </w:r>
            <w:r>
              <w:rPr>
                <w:rFonts w:ascii="Arial" w:hAnsi="Arial"/>
                <w:szCs w:val="20"/>
                <w:lang w:val="en-GB"/>
              </w:rPr>
              <w:t>隔膜阀控制尾气排放</w:t>
            </w:r>
          </w:p>
        </w:tc>
      </w:tr>
      <w:tr w14:paraId="7960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4D2C8749">
            <w:pPr>
              <w:rPr>
                <w:rFonts w:hint="eastAsia"/>
              </w:rPr>
            </w:pPr>
          </w:p>
        </w:tc>
        <w:tc>
          <w:tcPr>
            <w:tcW w:w="1680" w:type="dxa"/>
            <w:vMerge w:val="continue"/>
            <w:vAlign w:val="center"/>
          </w:tcPr>
          <w:p w14:paraId="404EC7DF">
            <w:pPr>
              <w:rPr>
                <w:rFonts w:hint="eastAsia"/>
              </w:rPr>
            </w:pPr>
          </w:p>
        </w:tc>
        <w:tc>
          <w:tcPr>
            <w:tcW w:w="7200" w:type="dxa"/>
            <w:vAlign w:val="center"/>
          </w:tcPr>
          <w:p w14:paraId="29569360">
            <w:pPr>
              <w:rPr>
                <w:rFonts w:hint="eastAsia"/>
                <w:b/>
              </w:rPr>
            </w:pPr>
            <w:r>
              <w:rPr>
                <w:b/>
              </w:rPr>
              <w:t>消泡控制</w:t>
            </w:r>
          </w:p>
        </w:tc>
      </w:tr>
      <w:tr w14:paraId="1739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0792E1E7">
            <w:pPr>
              <w:rPr>
                <w:rFonts w:hint="eastAsia"/>
              </w:rPr>
            </w:pPr>
          </w:p>
        </w:tc>
        <w:tc>
          <w:tcPr>
            <w:tcW w:w="1680" w:type="dxa"/>
            <w:vMerge w:val="continue"/>
            <w:vAlign w:val="center"/>
          </w:tcPr>
          <w:p w14:paraId="28F11464">
            <w:pPr>
              <w:rPr>
                <w:rFonts w:hint="eastAsia"/>
              </w:rPr>
            </w:pPr>
          </w:p>
        </w:tc>
        <w:tc>
          <w:tcPr>
            <w:tcW w:w="7200" w:type="dxa"/>
            <w:vAlign w:val="center"/>
          </w:tcPr>
          <w:p w14:paraId="43A80004">
            <w:pPr>
              <w:rPr>
                <w:rFonts w:ascii="Arial" w:hAnsi="Arial"/>
                <w:szCs w:val="20"/>
                <w:lang w:val="en-GB"/>
              </w:rPr>
            </w:pPr>
            <w:r>
              <w:rPr>
                <w:rFonts w:ascii="Arial" w:hAnsi="Arial"/>
                <w:szCs w:val="20"/>
                <w:lang w:val="en-GB"/>
              </w:rPr>
              <w:t>灵敏度</w:t>
            </w:r>
            <w:r>
              <w:rPr>
                <w:rFonts w:hint="eastAsia" w:ascii="Arial" w:hAnsi="Arial"/>
                <w:szCs w:val="20"/>
                <w:lang w:val="en-GB"/>
              </w:rPr>
              <w:t>：</w:t>
            </w:r>
            <w:r>
              <w:rPr>
                <w:rFonts w:ascii="Arial" w:hAnsi="Arial"/>
                <w:szCs w:val="20"/>
                <w:lang w:val="en-GB"/>
              </w:rPr>
              <w:t>100 ~100000Ω</w:t>
            </w:r>
          </w:p>
          <w:p w14:paraId="1F15826E">
            <w:pPr>
              <w:rPr>
                <w:rFonts w:ascii="Arial" w:hAnsi="Arial"/>
                <w:szCs w:val="20"/>
                <w:lang w:val="en-GB"/>
              </w:rPr>
            </w:pPr>
            <w:r>
              <w:rPr>
                <w:rFonts w:hint="eastAsia" w:ascii="Arial" w:hAnsi="Arial"/>
                <w:szCs w:val="20"/>
                <w:lang w:val="en-GB"/>
              </w:rPr>
              <w:t>检测：</w:t>
            </w:r>
            <w:r>
              <w:rPr>
                <w:rFonts w:ascii="Arial" w:hAnsi="Arial"/>
                <w:szCs w:val="20"/>
                <w:lang w:val="en-GB"/>
              </w:rPr>
              <w:t>自动检测泡沫</w:t>
            </w:r>
          </w:p>
        </w:tc>
      </w:tr>
      <w:tr w14:paraId="6D8D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134EFFAD">
            <w:pPr>
              <w:rPr>
                <w:rFonts w:hint="eastAsia"/>
              </w:rPr>
            </w:pPr>
          </w:p>
        </w:tc>
        <w:tc>
          <w:tcPr>
            <w:tcW w:w="1680" w:type="dxa"/>
            <w:vMerge w:val="continue"/>
            <w:vAlign w:val="center"/>
          </w:tcPr>
          <w:p w14:paraId="58B35D06">
            <w:pPr>
              <w:rPr>
                <w:rFonts w:hint="eastAsia"/>
              </w:rPr>
            </w:pPr>
          </w:p>
        </w:tc>
        <w:tc>
          <w:tcPr>
            <w:tcW w:w="7200" w:type="dxa"/>
            <w:vAlign w:val="center"/>
          </w:tcPr>
          <w:p w14:paraId="74048C76">
            <w:pPr>
              <w:rPr>
                <w:rFonts w:ascii="Arial" w:hAnsi="Arial"/>
                <w:szCs w:val="20"/>
                <w:lang w:val="en-GB"/>
              </w:rPr>
            </w:pPr>
            <w:r>
              <w:rPr>
                <w:rFonts w:hint="eastAsia" w:ascii="Arial" w:hAnsi="Arial"/>
                <w:szCs w:val="20"/>
                <w:lang w:val="en-GB"/>
              </w:rPr>
              <w:t>消泡方式：</w:t>
            </w:r>
            <w:r>
              <w:rPr>
                <w:rFonts w:ascii="Arial" w:hAnsi="Arial"/>
                <w:szCs w:val="20"/>
                <w:lang w:val="en-GB"/>
              </w:rPr>
              <w:t>蠕动泵自动添加消泡剂</w:t>
            </w:r>
          </w:p>
        </w:tc>
      </w:tr>
      <w:tr w14:paraId="713D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vAlign w:val="center"/>
          </w:tcPr>
          <w:p w14:paraId="6AEED9C5">
            <w:pPr>
              <w:rPr>
                <w:rFonts w:hint="eastAsia"/>
              </w:rPr>
            </w:pPr>
            <w:r>
              <w:rPr>
                <w:rFonts w:hint="eastAsia"/>
              </w:rPr>
              <w:t>5</w:t>
            </w:r>
          </w:p>
        </w:tc>
        <w:tc>
          <w:tcPr>
            <w:tcW w:w="1680" w:type="dxa"/>
            <w:vMerge w:val="restart"/>
            <w:vAlign w:val="center"/>
          </w:tcPr>
          <w:p w14:paraId="68253A19">
            <w:pPr>
              <w:rPr>
                <w:rFonts w:hint="eastAsia"/>
              </w:rPr>
            </w:pPr>
            <w:r>
              <w:t>补料</w:t>
            </w:r>
            <w:r>
              <w:rPr>
                <w:rFonts w:hint="eastAsia"/>
              </w:rPr>
              <w:t>系统</w:t>
            </w:r>
          </w:p>
        </w:tc>
        <w:tc>
          <w:tcPr>
            <w:tcW w:w="7200" w:type="dxa"/>
            <w:vAlign w:val="center"/>
          </w:tcPr>
          <w:p w14:paraId="7732C1B2">
            <w:pPr>
              <w:rPr>
                <w:rFonts w:ascii="Arial" w:hAnsi="Arial"/>
                <w:szCs w:val="20"/>
                <w:lang w:val="en-GB"/>
              </w:rPr>
            </w:pPr>
            <w:r>
              <w:rPr>
                <w:rFonts w:hint="eastAsia" w:ascii="Arial" w:hAnsi="Arial"/>
                <w:szCs w:val="20"/>
                <w:lang w:val="en-GB"/>
              </w:rPr>
              <w:t>控制方式：</w:t>
            </w:r>
            <w:r>
              <w:rPr>
                <w:rFonts w:ascii="Arial" w:hAnsi="Arial"/>
                <w:szCs w:val="20"/>
                <w:lang w:val="en-GB"/>
              </w:rPr>
              <w:t>间隙式蠕动泵控制，有手动、自动、关闭三个档位相互切换</w:t>
            </w:r>
          </w:p>
        </w:tc>
      </w:tr>
      <w:tr w14:paraId="737F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6A7EBB14">
            <w:pPr>
              <w:rPr>
                <w:rFonts w:hint="eastAsia"/>
              </w:rPr>
            </w:pPr>
          </w:p>
        </w:tc>
        <w:tc>
          <w:tcPr>
            <w:tcW w:w="1680" w:type="dxa"/>
            <w:vMerge w:val="continue"/>
            <w:vAlign w:val="center"/>
          </w:tcPr>
          <w:p w14:paraId="1ADBEFAB">
            <w:pPr>
              <w:rPr>
                <w:rFonts w:hint="eastAsia"/>
              </w:rPr>
            </w:pPr>
          </w:p>
        </w:tc>
        <w:tc>
          <w:tcPr>
            <w:tcW w:w="7200" w:type="dxa"/>
            <w:vAlign w:val="center"/>
          </w:tcPr>
          <w:p w14:paraId="02864133">
            <w:pPr>
              <w:rPr>
                <w:rFonts w:hint="eastAsia"/>
              </w:rPr>
            </w:pPr>
            <w:r>
              <w:rPr>
                <w:rFonts w:hint="eastAsia"/>
              </w:rPr>
              <w:t>流速：</w:t>
            </w:r>
            <w:r>
              <w:t>手动或者自动控制流</w:t>
            </w:r>
            <w:r>
              <w:rPr>
                <w:rFonts w:hint="eastAsia"/>
              </w:rPr>
              <w:t>速</w:t>
            </w:r>
            <w:r>
              <w:t>并计量。</w:t>
            </w:r>
          </w:p>
        </w:tc>
      </w:tr>
      <w:tr w14:paraId="5F6A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1073A732">
            <w:pPr>
              <w:rPr>
                <w:rFonts w:hint="eastAsia"/>
              </w:rPr>
            </w:pPr>
          </w:p>
        </w:tc>
        <w:tc>
          <w:tcPr>
            <w:tcW w:w="1680" w:type="dxa"/>
            <w:vMerge w:val="continue"/>
            <w:vAlign w:val="center"/>
          </w:tcPr>
          <w:p w14:paraId="3FE1D3A6">
            <w:pPr>
              <w:rPr>
                <w:rFonts w:hint="eastAsia"/>
              </w:rPr>
            </w:pPr>
          </w:p>
        </w:tc>
        <w:tc>
          <w:tcPr>
            <w:tcW w:w="7200" w:type="dxa"/>
            <w:vAlign w:val="center"/>
          </w:tcPr>
          <w:p w14:paraId="558160C5">
            <w:pPr>
              <w:rPr>
                <w:rFonts w:hint="eastAsia"/>
              </w:rPr>
            </w:pPr>
            <w:r>
              <w:rPr>
                <w:rFonts w:hint="eastAsia"/>
              </w:rPr>
              <w:t>补料瓶：两个罗纹补料瓶，可高压灭菌</w:t>
            </w:r>
          </w:p>
        </w:tc>
      </w:tr>
      <w:tr w14:paraId="0BA0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vAlign w:val="center"/>
          </w:tcPr>
          <w:p w14:paraId="095D127A">
            <w:pPr>
              <w:rPr>
                <w:rFonts w:hint="eastAsia"/>
              </w:rPr>
            </w:pPr>
            <w:r>
              <w:rPr>
                <w:rFonts w:hint="eastAsia"/>
              </w:rPr>
              <w:t>6</w:t>
            </w:r>
          </w:p>
        </w:tc>
        <w:tc>
          <w:tcPr>
            <w:tcW w:w="1680" w:type="dxa"/>
            <w:vMerge w:val="restart"/>
            <w:vAlign w:val="center"/>
          </w:tcPr>
          <w:p w14:paraId="529A784F">
            <w:pPr>
              <w:rPr>
                <w:rFonts w:ascii="Arial" w:hAnsi="Arial"/>
                <w:szCs w:val="20"/>
                <w:lang w:val="en-GB"/>
              </w:rPr>
            </w:pPr>
            <w:r>
              <w:rPr>
                <w:rFonts w:ascii="Arial" w:hAnsi="Arial"/>
                <w:szCs w:val="20"/>
                <w:lang w:val="en-GB"/>
              </w:rPr>
              <w:t>阀门管件</w:t>
            </w:r>
          </w:p>
        </w:tc>
        <w:tc>
          <w:tcPr>
            <w:tcW w:w="7200" w:type="dxa"/>
            <w:vAlign w:val="center"/>
          </w:tcPr>
          <w:p w14:paraId="0B064C10">
            <w:pPr>
              <w:rPr>
                <w:rFonts w:ascii="Arial" w:hAnsi="Arial"/>
                <w:szCs w:val="20"/>
                <w:lang w:val="en-GB"/>
              </w:rPr>
            </w:pPr>
            <w:r>
              <w:rPr>
                <w:rFonts w:ascii="Arial" w:hAnsi="Arial"/>
                <w:szCs w:val="20"/>
                <w:lang w:val="en-GB"/>
              </w:rPr>
              <w:t>选用</w:t>
            </w:r>
            <w:r>
              <w:rPr>
                <w:rFonts w:hint="eastAsia" w:ascii="Arial" w:hAnsi="Arial"/>
                <w:szCs w:val="20"/>
                <w:lang w:val="en-GB"/>
              </w:rPr>
              <w:t>卫生级</w:t>
            </w:r>
            <w:r>
              <w:rPr>
                <w:rFonts w:ascii="Arial" w:hAnsi="Arial"/>
                <w:szCs w:val="20"/>
                <w:lang w:val="en-GB"/>
              </w:rPr>
              <w:t>不锈阀门及扩培专用阀门，</w:t>
            </w:r>
            <w:r>
              <w:rPr>
                <w:rFonts w:hint="eastAsia" w:ascii="Arial" w:hAnsi="Arial"/>
                <w:szCs w:val="20"/>
                <w:lang w:val="en-GB"/>
              </w:rPr>
              <w:t>扩培底基</w:t>
            </w:r>
            <w:r>
              <w:rPr>
                <w:rFonts w:ascii="Arial" w:hAnsi="Arial"/>
                <w:szCs w:val="20"/>
                <w:lang w:val="en-GB"/>
              </w:rPr>
              <w:t>阀门采用</w:t>
            </w:r>
            <w:r>
              <w:rPr>
                <w:rFonts w:hint="eastAsia" w:ascii="Arial" w:hAnsi="Arial"/>
                <w:szCs w:val="20"/>
              </w:rPr>
              <w:t>优质</w:t>
            </w:r>
            <w:r>
              <w:rPr>
                <w:rFonts w:ascii="Arial" w:hAnsi="Arial"/>
                <w:szCs w:val="20"/>
                <w:lang w:val="en-GB"/>
              </w:rPr>
              <w:t>隔膜阀；</w:t>
            </w:r>
          </w:p>
        </w:tc>
      </w:tr>
      <w:tr w14:paraId="5204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3134D416">
            <w:pPr>
              <w:rPr>
                <w:rFonts w:hint="eastAsia"/>
              </w:rPr>
            </w:pPr>
          </w:p>
        </w:tc>
        <w:tc>
          <w:tcPr>
            <w:tcW w:w="1680" w:type="dxa"/>
            <w:vMerge w:val="continue"/>
            <w:vAlign w:val="center"/>
          </w:tcPr>
          <w:p w14:paraId="52B92FD3">
            <w:pPr>
              <w:rPr>
                <w:rFonts w:ascii="Arial" w:hAnsi="Arial"/>
                <w:szCs w:val="20"/>
                <w:lang w:val="en-GB"/>
              </w:rPr>
            </w:pPr>
          </w:p>
        </w:tc>
        <w:tc>
          <w:tcPr>
            <w:tcW w:w="7200" w:type="dxa"/>
            <w:vAlign w:val="center"/>
          </w:tcPr>
          <w:p w14:paraId="256C97B5">
            <w:pPr>
              <w:rPr>
                <w:rFonts w:ascii="Arial" w:hAnsi="Arial"/>
                <w:szCs w:val="20"/>
                <w:lang w:val="en-GB"/>
              </w:rPr>
            </w:pPr>
            <w:r>
              <w:rPr>
                <w:rFonts w:ascii="Arial" w:hAnsi="Arial"/>
                <w:szCs w:val="20"/>
                <w:lang w:val="en-GB"/>
              </w:rPr>
              <w:t>外抛光不锈钢管道及配件，</w:t>
            </w:r>
            <w:r>
              <w:rPr>
                <w:rFonts w:hint="eastAsia" w:ascii="Arial" w:hAnsi="Arial"/>
                <w:szCs w:val="20"/>
                <w:lang w:val="en-GB"/>
              </w:rPr>
              <w:t>扩培底基</w:t>
            </w:r>
            <w:r>
              <w:rPr>
                <w:rFonts w:ascii="Arial" w:hAnsi="Arial"/>
                <w:szCs w:val="20"/>
                <w:lang w:val="en-GB"/>
              </w:rPr>
              <w:t xml:space="preserve">管路卫生级内外抛光管； </w:t>
            </w:r>
          </w:p>
        </w:tc>
      </w:tr>
      <w:tr w14:paraId="200A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1AE184FC">
            <w:pPr>
              <w:rPr>
                <w:rFonts w:hint="eastAsia"/>
              </w:rPr>
            </w:pPr>
          </w:p>
        </w:tc>
        <w:tc>
          <w:tcPr>
            <w:tcW w:w="1680" w:type="dxa"/>
            <w:vMerge w:val="continue"/>
            <w:vAlign w:val="center"/>
          </w:tcPr>
          <w:p w14:paraId="58B7761C">
            <w:pPr>
              <w:rPr>
                <w:rFonts w:ascii="Arial" w:hAnsi="Arial"/>
                <w:szCs w:val="20"/>
                <w:lang w:val="en-GB"/>
              </w:rPr>
            </w:pPr>
          </w:p>
        </w:tc>
        <w:tc>
          <w:tcPr>
            <w:tcW w:w="7200" w:type="dxa"/>
            <w:vAlign w:val="center"/>
          </w:tcPr>
          <w:p w14:paraId="113B03B7">
            <w:pPr>
              <w:rPr>
                <w:rFonts w:ascii="Arial" w:hAnsi="Arial"/>
                <w:szCs w:val="20"/>
                <w:lang w:val="en-GB"/>
              </w:rPr>
            </w:pPr>
            <w:r>
              <w:rPr>
                <w:rFonts w:ascii="Arial" w:hAnsi="Arial"/>
                <w:szCs w:val="20"/>
                <w:lang w:val="en-GB"/>
              </w:rPr>
              <w:t>包括空气管路、蒸汽管路、循环水路、扩培底基管路和排污管路</w:t>
            </w:r>
            <w:r>
              <w:rPr>
                <w:rFonts w:hint="eastAsia" w:ascii="Arial" w:hAnsi="Arial"/>
                <w:szCs w:val="20"/>
                <w:lang w:val="en-GB"/>
              </w:rPr>
              <w:t>；</w:t>
            </w:r>
          </w:p>
        </w:tc>
      </w:tr>
      <w:tr w14:paraId="66CE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436F60BA">
            <w:pPr>
              <w:rPr>
                <w:rFonts w:hint="eastAsia"/>
              </w:rPr>
            </w:pPr>
          </w:p>
        </w:tc>
        <w:tc>
          <w:tcPr>
            <w:tcW w:w="1680" w:type="dxa"/>
            <w:vMerge w:val="continue"/>
            <w:vAlign w:val="center"/>
          </w:tcPr>
          <w:p w14:paraId="22DE9B36">
            <w:pPr>
              <w:rPr>
                <w:rFonts w:ascii="Arial" w:hAnsi="Arial"/>
                <w:szCs w:val="20"/>
                <w:lang w:val="en-GB"/>
              </w:rPr>
            </w:pPr>
          </w:p>
        </w:tc>
        <w:tc>
          <w:tcPr>
            <w:tcW w:w="7200" w:type="dxa"/>
            <w:vAlign w:val="center"/>
          </w:tcPr>
          <w:p w14:paraId="50F51FB6">
            <w:pPr>
              <w:rPr>
                <w:rFonts w:ascii="Arial" w:hAnsi="Arial"/>
                <w:szCs w:val="20"/>
                <w:lang w:val="en-GB"/>
              </w:rPr>
            </w:pPr>
            <w:r>
              <w:rPr>
                <w:rFonts w:ascii="Arial" w:hAnsi="Arial"/>
                <w:szCs w:val="20"/>
                <w:lang w:val="en-GB"/>
              </w:rPr>
              <w:t>所有管件阀门都可以正面操作，设计合理，操作方便</w:t>
            </w:r>
            <w:r>
              <w:rPr>
                <w:rFonts w:hint="eastAsia" w:ascii="Arial" w:hAnsi="Arial"/>
                <w:szCs w:val="20"/>
                <w:lang w:val="en-GB"/>
              </w:rPr>
              <w:t>；</w:t>
            </w:r>
          </w:p>
        </w:tc>
      </w:tr>
      <w:tr w14:paraId="59B4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Align w:val="center"/>
          </w:tcPr>
          <w:p w14:paraId="1912C785">
            <w:pPr>
              <w:rPr>
                <w:rFonts w:hint="eastAsia"/>
              </w:rPr>
            </w:pPr>
            <w:r>
              <w:rPr>
                <w:rFonts w:hint="eastAsia"/>
              </w:rPr>
              <w:t>7</w:t>
            </w:r>
          </w:p>
        </w:tc>
        <w:tc>
          <w:tcPr>
            <w:tcW w:w="1680" w:type="dxa"/>
            <w:vAlign w:val="center"/>
          </w:tcPr>
          <w:p w14:paraId="007CFD48">
            <w:pPr>
              <w:rPr>
                <w:rFonts w:ascii="Arial" w:hAnsi="Arial"/>
                <w:szCs w:val="20"/>
                <w:lang w:val="en-GB"/>
              </w:rPr>
            </w:pPr>
            <w:r>
              <w:rPr>
                <w:rFonts w:ascii="Arial" w:hAnsi="Arial"/>
                <w:szCs w:val="20"/>
                <w:lang w:val="en-GB"/>
              </w:rPr>
              <w:t>控制</w:t>
            </w:r>
            <w:r>
              <w:rPr>
                <w:rFonts w:hint="eastAsia" w:ascii="Arial" w:hAnsi="Arial"/>
                <w:szCs w:val="20"/>
                <w:lang w:val="en-GB"/>
              </w:rPr>
              <w:t>器</w:t>
            </w:r>
          </w:p>
        </w:tc>
        <w:tc>
          <w:tcPr>
            <w:tcW w:w="7200" w:type="dxa"/>
            <w:vAlign w:val="center"/>
          </w:tcPr>
          <w:p w14:paraId="560D5CF7">
            <w:pPr>
              <w:rPr>
                <w:rFonts w:ascii="Arial" w:hAnsi="Arial"/>
                <w:szCs w:val="20"/>
                <w:lang w:val="en-GB"/>
              </w:rPr>
            </w:pPr>
            <w:r>
              <w:rPr>
                <w:rFonts w:ascii="Arial" w:hAnsi="Arial"/>
                <w:szCs w:val="20"/>
                <w:lang w:val="en-GB"/>
              </w:rPr>
              <w:t>BIOTECH-</w:t>
            </w:r>
            <w:r>
              <w:rPr>
                <w:rFonts w:hint="eastAsia" w:ascii="Arial" w:hAnsi="Arial"/>
                <w:szCs w:val="20"/>
              </w:rPr>
              <w:t>3</w:t>
            </w:r>
            <w:r>
              <w:rPr>
                <w:rFonts w:ascii="Arial" w:hAnsi="Arial"/>
                <w:szCs w:val="20"/>
                <w:lang w:val="en-GB"/>
              </w:rPr>
              <w:t>000生物过程控制器（见后面控制器介绍）</w:t>
            </w:r>
          </w:p>
        </w:tc>
      </w:tr>
      <w:tr w14:paraId="4053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vAlign w:val="center"/>
          </w:tcPr>
          <w:p w14:paraId="76826BA2">
            <w:pPr>
              <w:rPr>
                <w:rFonts w:hint="eastAsia"/>
              </w:rPr>
            </w:pPr>
            <w:r>
              <w:rPr>
                <w:rFonts w:hint="eastAsia"/>
              </w:rPr>
              <w:t>8</w:t>
            </w:r>
          </w:p>
        </w:tc>
        <w:tc>
          <w:tcPr>
            <w:tcW w:w="1680" w:type="dxa"/>
            <w:vMerge w:val="restart"/>
            <w:vAlign w:val="center"/>
          </w:tcPr>
          <w:p w14:paraId="04682ED3">
            <w:pPr>
              <w:rPr>
                <w:rFonts w:ascii="Arial" w:hAnsi="Arial"/>
                <w:szCs w:val="20"/>
                <w:lang w:val="en-GB"/>
              </w:rPr>
            </w:pPr>
            <w:r>
              <w:rPr>
                <w:rFonts w:ascii="Arial" w:hAnsi="Arial"/>
                <w:szCs w:val="20"/>
                <w:lang w:val="en-GB"/>
              </w:rPr>
              <w:t>配件</w:t>
            </w:r>
          </w:p>
        </w:tc>
        <w:tc>
          <w:tcPr>
            <w:tcW w:w="7200" w:type="dxa"/>
            <w:vAlign w:val="center"/>
          </w:tcPr>
          <w:p w14:paraId="2BD909A1">
            <w:pPr>
              <w:rPr>
                <w:rFonts w:ascii="Arial" w:hAnsi="Arial"/>
                <w:szCs w:val="20"/>
                <w:lang w:val="en-GB"/>
              </w:rPr>
            </w:pPr>
            <w:r>
              <w:rPr>
                <w:rFonts w:ascii="Arial" w:hAnsi="Arial"/>
                <w:szCs w:val="20"/>
                <w:lang w:val="en-GB"/>
              </w:rPr>
              <w:t>SUS316L DO电极护套一个</w:t>
            </w:r>
          </w:p>
        </w:tc>
      </w:tr>
      <w:tr w14:paraId="66AB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515B9199">
            <w:pPr>
              <w:rPr>
                <w:rFonts w:hint="eastAsia"/>
              </w:rPr>
            </w:pPr>
          </w:p>
        </w:tc>
        <w:tc>
          <w:tcPr>
            <w:tcW w:w="1680" w:type="dxa"/>
            <w:vMerge w:val="continue"/>
            <w:vAlign w:val="center"/>
          </w:tcPr>
          <w:p w14:paraId="40ED704D">
            <w:pPr>
              <w:rPr>
                <w:rFonts w:ascii="Arial" w:hAnsi="Arial"/>
                <w:szCs w:val="20"/>
                <w:lang w:val="en-GB"/>
              </w:rPr>
            </w:pPr>
          </w:p>
        </w:tc>
        <w:tc>
          <w:tcPr>
            <w:tcW w:w="7200" w:type="dxa"/>
            <w:vAlign w:val="center"/>
          </w:tcPr>
          <w:p w14:paraId="6FFA0C04">
            <w:pPr>
              <w:rPr>
                <w:rFonts w:ascii="Arial" w:hAnsi="Arial"/>
                <w:szCs w:val="20"/>
                <w:lang w:val="en-GB"/>
              </w:rPr>
            </w:pPr>
            <w:r>
              <w:rPr>
                <w:rFonts w:ascii="Arial" w:hAnsi="Arial"/>
                <w:szCs w:val="20"/>
                <w:lang w:val="en-GB"/>
              </w:rPr>
              <w:t>pH电极护套一个</w:t>
            </w:r>
          </w:p>
        </w:tc>
      </w:tr>
      <w:tr w14:paraId="12E0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6D63A6B4">
            <w:pPr>
              <w:rPr>
                <w:rFonts w:hint="eastAsia"/>
              </w:rPr>
            </w:pPr>
          </w:p>
        </w:tc>
        <w:tc>
          <w:tcPr>
            <w:tcW w:w="1680" w:type="dxa"/>
            <w:vMerge w:val="continue"/>
            <w:vAlign w:val="center"/>
          </w:tcPr>
          <w:p w14:paraId="22FF4952">
            <w:pPr>
              <w:rPr>
                <w:rFonts w:ascii="Arial" w:hAnsi="Arial"/>
                <w:szCs w:val="20"/>
                <w:lang w:val="en-GB"/>
              </w:rPr>
            </w:pPr>
          </w:p>
        </w:tc>
        <w:tc>
          <w:tcPr>
            <w:tcW w:w="7200" w:type="dxa"/>
            <w:vAlign w:val="center"/>
          </w:tcPr>
          <w:p w14:paraId="36AC8111">
            <w:pPr>
              <w:rPr>
                <w:rFonts w:ascii="Arial" w:hAnsi="Arial"/>
                <w:szCs w:val="20"/>
                <w:lang w:val="en-GB"/>
              </w:rPr>
            </w:pPr>
            <w:r>
              <w:rPr>
                <w:rFonts w:ascii="Arial" w:hAnsi="Arial"/>
                <w:szCs w:val="20"/>
                <w:lang w:val="en-GB"/>
              </w:rPr>
              <w:t>空气过滤滤芯、呼吸过滤器</w:t>
            </w:r>
          </w:p>
        </w:tc>
      </w:tr>
      <w:tr w14:paraId="728E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3FC86A04">
            <w:pPr>
              <w:rPr>
                <w:rFonts w:hint="eastAsia"/>
              </w:rPr>
            </w:pPr>
          </w:p>
        </w:tc>
        <w:tc>
          <w:tcPr>
            <w:tcW w:w="1680" w:type="dxa"/>
            <w:vMerge w:val="continue"/>
            <w:vAlign w:val="center"/>
          </w:tcPr>
          <w:p w14:paraId="0697E3B0">
            <w:pPr>
              <w:rPr>
                <w:rFonts w:ascii="Arial" w:hAnsi="Arial"/>
                <w:szCs w:val="20"/>
                <w:lang w:val="en-GB"/>
              </w:rPr>
            </w:pPr>
          </w:p>
        </w:tc>
        <w:tc>
          <w:tcPr>
            <w:tcW w:w="7200" w:type="dxa"/>
            <w:vAlign w:val="center"/>
          </w:tcPr>
          <w:p w14:paraId="0C068E50">
            <w:pPr>
              <w:rPr>
                <w:rFonts w:ascii="Arial" w:hAnsi="Arial"/>
                <w:szCs w:val="20"/>
                <w:lang w:val="en-GB"/>
              </w:rPr>
            </w:pPr>
            <w:r>
              <w:rPr>
                <w:rFonts w:ascii="Arial" w:hAnsi="Arial"/>
                <w:szCs w:val="20"/>
                <w:lang w:val="en-GB"/>
              </w:rPr>
              <w:t>SUS316L补料针</w:t>
            </w:r>
          </w:p>
        </w:tc>
      </w:tr>
      <w:tr w14:paraId="6E27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588AFE6A">
            <w:pPr>
              <w:rPr>
                <w:rFonts w:hint="eastAsia"/>
              </w:rPr>
            </w:pPr>
          </w:p>
        </w:tc>
        <w:tc>
          <w:tcPr>
            <w:tcW w:w="1680" w:type="dxa"/>
            <w:vMerge w:val="continue"/>
            <w:vAlign w:val="center"/>
          </w:tcPr>
          <w:p w14:paraId="674F0A4A">
            <w:pPr>
              <w:rPr>
                <w:rFonts w:ascii="Arial" w:hAnsi="Arial"/>
                <w:szCs w:val="20"/>
                <w:lang w:val="en-GB"/>
              </w:rPr>
            </w:pPr>
          </w:p>
        </w:tc>
        <w:tc>
          <w:tcPr>
            <w:tcW w:w="7200" w:type="dxa"/>
            <w:vAlign w:val="center"/>
          </w:tcPr>
          <w:p w14:paraId="5E4A944B">
            <w:pPr>
              <w:rPr>
                <w:rFonts w:ascii="Arial" w:hAnsi="Arial"/>
                <w:szCs w:val="20"/>
                <w:lang w:val="en-GB"/>
              </w:rPr>
            </w:pPr>
            <w:r>
              <w:rPr>
                <w:rFonts w:ascii="Arial" w:hAnsi="Arial"/>
                <w:szCs w:val="20"/>
                <w:lang w:val="en-GB"/>
              </w:rPr>
              <w:t>橡皮塞足量、o型圈，保险丝等</w:t>
            </w:r>
          </w:p>
        </w:tc>
      </w:tr>
    </w:tbl>
    <w:p w14:paraId="61B5E9C5">
      <w:pPr>
        <w:spacing w:line="360" w:lineRule="auto"/>
        <w:rPr>
          <w:rFonts w:ascii="Times New Roman" w:hAnsi="Times New Roman" w:eastAsia="宋体" w:cs="Times New Roman"/>
          <w:sz w:val="24"/>
          <w:szCs w:val="24"/>
          <w:lang w:val="en-GB"/>
        </w:rPr>
      </w:pPr>
    </w:p>
    <w:p w14:paraId="28F108F3">
      <w:pPr>
        <w:spacing w:line="360" w:lineRule="auto"/>
        <w:rPr>
          <w:rFonts w:ascii="Times New Roman" w:hAnsi="Times New Roman" w:eastAsia="宋体" w:cs="Times New Roman"/>
          <w:sz w:val="24"/>
          <w:szCs w:val="24"/>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80"/>
        <w:gridCol w:w="7200"/>
      </w:tblGrid>
      <w:tr w14:paraId="07CF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5" w:type="dxa"/>
            <w:shd w:val="clear" w:color="auto" w:fill="C0C0C0"/>
            <w:vAlign w:val="center"/>
          </w:tcPr>
          <w:p w14:paraId="4BCB2844">
            <w:pPr>
              <w:rPr>
                <w:rFonts w:hint="eastAsia"/>
                <w:b/>
              </w:rPr>
            </w:pPr>
            <w:r>
              <w:rPr>
                <w:rFonts w:hint="eastAsia"/>
                <w:b/>
              </w:rPr>
              <w:t>序号</w:t>
            </w:r>
          </w:p>
        </w:tc>
        <w:tc>
          <w:tcPr>
            <w:tcW w:w="1680" w:type="dxa"/>
            <w:shd w:val="clear" w:color="auto" w:fill="C0C0C0"/>
            <w:vAlign w:val="center"/>
          </w:tcPr>
          <w:p w14:paraId="4BD49850">
            <w:pPr>
              <w:jc w:val="center"/>
              <w:rPr>
                <w:rFonts w:hint="eastAsia"/>
                <w:b/>
              </w:rPr>
            </w:pPr>
            <w:r>
              <w:rPr>
                <w:rFonts w:hint="eastAsia"/>
                <w:b/>
              </w:rPr>
              <w:t>主要组成系统</w:t>
            </w:r>
          </w:p>
        </w:tc>
        <w:tc>
          <w:tcPr>
            <w:tcW w:w="7200" w:type="dxa"/>
            <w:shd w:val="clear" w:color="auto" w:fill="C0C0C0"/>
            <w:vAlign w:val="center"/>
          </w:tcPr>
          <w:p w14:paraId="35E40636">
            <w:pPr>
              <w:jc w:val="center"/>
              <w:rPr>
                <w:rFonts w:hint="eastAsia"/>
                <w:b/>
              </w:rPr>
            </w:pPr>
            <w:r>
              <w:rPr>
                <w:rFonts w:hint="eastAsia"/>
                <w:b/>
              </w:rPr>
              <w:t>详细参数</w:t>
            </w:r>
          </w:p>
        </w:tc>
      </w:tr>
      <w:tr w14:paraId="361B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vAlign w:val="center"/>
          </w:tcPr>
          <w:p w14:paraId="2E55CFEE">
            <w:pPr>
              <w:jc w:val="center"/>
              <w:rPr>
                <w:rFonts w:hint="eastAsia"/>
              </w:rPr>
            </w:pPr>
            <w:r>
              <w:t>1</w:t>
            </w:r>
          </w:p>
        </w:tc>
        <w:tc>
          <w:tcPr>
            <w:tcW w:w="1680" w:type="dxa"/>
            <w:vMerge w:val="restart"/>
            <w:vAlign w:val="center"/>
          </w:tcPr>
          <w:p w14:paraId="2D16A698">
            <w:pPr>
              <w:rPr>
                <w:rFonts w:ascii="Arial" w:hAnsi="Arial"/>
                <w:szCs w:val="20"/>
                <w:lang w:val="en-GB"/>
              </w:rPr>
            </w:pPr>
            <w:r>
              <w:rPr>
                <w:rFonts w:hint="eastAsia" w:ascii="Arial" w:hAnsi="Arial"/>
                <w:szCs w:val="20"/>
                <w:lang w:val="en-GB"/>
              </w:rPr>
              <w:t>反应器</w:t>
            </w:r>
            <w:r>
              <w:rPr>
                <w:rFonts w:ascii="Arial" w:hAnsi="Arial"/>
                <w:szCs w:val="20"/>
                <w:lang w:val="en-GB"/>
              </w:rPr>
              <w:t>系统</w:t>
            </w:r>
          </w:p>
        </w:tc>
        <w:tc>
          <w:tcPr>
            <w:tcW w:w="7200" w:type="dxa"/>
            <w:vAlign w:val="center"/>
          </w:tcPr>
          <w:p w14:paraId="5901D37C">
            <w:pPr>
              <w:rPr>
                <w:rFonts w:ascii="Arial" w:hAnsi="Arial"/>
                <w:szCs w:val="20"/>
                <w:lang w:val="en-GB"/>
              </w:rPr>
            </w:pPr>
            <w:r>
              <w:rPr>
                <w:rFonts w:hint="eastAsia" w:ascii="Arial" w:hAnsi="Arial"/>
                <w:szCs w:val="20"/>
                <w:lang w:val="en-GB"/>
              </w:rPr>
              <w:t>容量：</w:t>
            </w:r>
            <w:r>
              <w:rPr>
                <w:rFonts w:hint="eastAsia" w:ascii="Arial" w:hAnsi="Arial"/>
                <w:szCs w:val="20"/>
              </w:rPr>
              <w:t>50</w:t>
            </w:r>
            <w:r>
              <w:rPr>
                <w:rFonts w:hint="eastAsia" w:ascii="Arial" w:hAnsi="Arial"/>
                <w:szCs w:val="20"/>
                <w:lang w:val="en-GB"/>
              </w:rPr>
              <w:t>0</w:t>
            </w:r>
            <w:r>
              <w:rPr>
                <w:rFonts w:ascii="Arial" w:hAnsi="Arial"/>
                <w:szCs w:val="20"/>
                <w:lang w:val="en-GB"/>
              </w:rPr>
              <w:t>L，工作容积：70%</w:t>
            </w:r>
          </w:p>
        </w:tc>
      </w:tr>
      <w:tr w14:paraId="67E7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47D01AE3">
            <w:pPr>
              <w:jc w:val="center"/>
              <w:rPr>
                <w:rFonts w:hint="eastAsia"/>
              </w:rPr>
            </w:pPr>
          </w:p>
        </w:tc>
        <w:tc>
          <w:tcPr>
            <w:tcW w:w="1680" w:type="dxa"/>
            <w:vMerge w:val="continue"/>
            <w:vAlign w:val="center"/>
          </w:tcPr>
          <w:p w14:paraId="15A45447">
            <w:pPr>
              <w:rPr>
                <w:rFonts w:ascii="Arial" w:hAnsi="Arial"/>
                <w:szCs w:val="20"/>
                <w:lang w:val="en-GB"/>
              </w:rPr>
            </w:pPr>
          </w:p>
        </w:tc>
        <w:tc>
          <w:tcPr>
            <w:tcW w:w="7200" w:type="dxa"/>
            <w:vAlign w:val="center"/>
          </w:tcPr>
          <w:p w14:paraId="5C41EB27">
            <w:pPr>
              <w:rPr>
                <w:rFonts w:ascii="Arial" w:hAnsi="Arial"/>
                <w:szCs w:val="20"/>
                <w:lang w:val="en-GB"/>
              </w:rPr>
            </w:pPr>
            <w:r>
              <w:rPr>
                <w:rFonts w:ascii="Arial" w:hAnsi="Arial"/>
                <w:szCs w:val="20"/>
                <w:lang w:val="en-GB"/>
              </w:rPr>
              <w:t>灭菌方式：</w:t>
            </w:r>
            <w:r>
              <w:rPr>
                <w:rFonts w:hint="eastAsia" w:ascii="Arial" w:hAnsi="Arial"/>
                <w:szCs w:val="20"/>
                <w:lang w:val="en-GB"/>
              </w:rPr>
              <w:t>在</w:t>
            </w:r>
            <w:r>
              <w:rPr>
                <w:rFonts w:ascii="Arial" w:hAnsi="Arial"/>
                <w:szCs w:val="20"/>
                <w:lang w:val="en-GB"/>
              </w:rPr>
              <w:t>位灭菌</w:t>
            </w:r>
            <w:r>
              <w:rPr>
                <w:rFonts w:hint="eastAsia" w:ascii="Arial" w:hAnsi="Arial"/>
                <w:szCs w:val="20"/>
                <w:lang w:val="en-GB"/>
              </w:rPr>
              <w:t>，</w:t>
            </w:r>
            <w:r>
              <w:rPr>
                <w:rFonts w:ascii="Arial" w:hAnsi="Arial"/>
                <w:szCs w:val="20"/>
                <w:lang w:val="en-GB"/>
              </w:rPr>
              <w:t>灭菌同时可以搅拌</w:t>
            </w:r>
          </w:p>
        </w:tc>
      </w:tr>
      <w:tr w14:paraId="25F0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283657DF">
            <w:pPr>
              <w:jc w:val="center"/>
              <w:rPr>
                <w:rFonts w:hint="eastAsia"/>
              </w:rPr>
            </w:pPr>
          </w:p>
        </w:tc>
        <w:tc>
          <w:tcPr>
            <w:tcW w:w="1680" w:type="dxa"/>
            <w:vMerge w:val="continue"/>
            <w:vAlign w:val="center"/>
          </w:tcPr>
          <w:p w14:paraId="47D5D6EF">
            <w:pPr>
              <w:rPr>
                <w:rFonts w:ascii="Arial" w:hAnsi="Arial"/>
                <w:szCs w:val="20"/>
                <w:lang w:val="en-GB"/>
              </w:rPr>
            </w:pPr>
          </w:p>
        </w:tc>
        <w:tc>
          <w:tcPr>
            <w:tcW w:w="7200" w:type="dxa"/>
            <w:vAlign w:val="center"/>
          </w:tcPr>
          <w:p w14:paraId="71A36F41">
            <w:pPr>
              <w:rPr>
                <w:rFonts w:ascii="Arial" w:hAnsi="Arial"/>
                <w:szCs w:val="20"/>
                <w:lang w:val="en-GB"/>
              </w:rPr>
            </w:pPr>
            <w:r>
              <w:rPr>
                <w:rFonts w:ascii="Arial" w:hAnsi="Arial"/>
                <w:szCs w:val="20"/>
                <w:lang w:val="en-GB"/>
              </w:rPr>
              <w:t>材质：SUS3</w:t>
            </w:r>
            <w:r>
              <w:rPr>
                <w:rFonts w:hint="eastAsia" w:ascii="Arial" w:hAnsi="Arial"/>
                <w:szCs w:val="20"/>
              </w:rPr>
              <w:t>16L</w:t>
            </w:r>
            <w:r>
              <w:rPr>
                <w:rFonts w:ascii="Arial" w:hAnsi="Arial"/>
                <w:szCs w:val="20"/>
                <w:lang w:val="en-GB"/>
              </w:rPr>
              <w:t>，</w:t>
            </w:r>
            <w:r>
              <w:rPr>
                <w:rFonts w:hint="eastAsia" w:ascii="Arial" w:hAnsi="Arial"/>
                <w:szCs w:val="20"/>
                <w:lang w:val="en-GB"/>
              </w:rPr>
              <w:t xml:space="preserve">夹套SUS304 </w:t>
            </w:r>
          </w:p>
        </w:tc>
      </w:tr>
      <w:tr w14:paraId="49CC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0471A2E2">
            <w:pPr>
              <w:jc w:val="center"/>
              <w:rPr>
                <w:rFonts w:hint="eastAsia"/>
              </w:rPr>
            </w:pPr>
          </w:p>
        </w:tc>
        <w:tc>
          <w:tcPr>
            <w:tcW w:w="1680" w:type="dxa"/>
            <w:vMerge w:val="continue"/>
            <w:vAlign w:val="center"/>
          </w:tcPr>
          <w:p w14:paraId="16826882">
            <w:pPr>
              <w:rPr>
                <w:rFonts w:ascii="Arial" w:hAnsi="Arial"/>
                <w:szCs w:val="20"/>
                <w:lang w:val="en-GB"/>
              </w:rPr>
            </w:pPr>
          </w:p>
        </w:tc>
        <w:tc>
          <w:tcPr>
            <w:tcW w:w="7200" w:type="dxa"/>
            <w:vAlign w:val="center"/>
          </w:tcPr>
          <w:p w14:paraId="23F003BE">
            <w:pPr>
              <w:rPr>
                <w:rFonts w:ascii="Arial" w:hAnsi="Arial"/>
                <w:szCs w:val="20"/>
                <w:lang w:val="en-GB"/>
              </w:rPr>
            </w:pPr>
            <w:r>
              <w:rPr>
                <w:rFonts w:ascii="Arial" w:hAnsi="Arial"/>
                <w:szCs w:val="20"/>
                <w:lang w:val="en-GB"/>
              </w:rPr>
              <w:t>径高比：1：2（可更改）。</w:t>
            </w:r>
          </w:p>
        </w:tc>
      </w:tr>
      <w:tr w14:paraId="7389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3E881D2E">
            <w:pPr>
              <w:jc w:val="center"/>
              <w:rPr>
                <w:rFonts w:hint="eastAsia"/>
              </w:rPr>
            </w:pPr>
          </w:p>
        </w:tc>
        <w:tc>
          <w:tcPr>
            <w:tcW w:w="1680" w:type="dxa"/>
            <w:vMerge w:val="continue"/>
            <w:vAlign w:val="center"/>
          </w:tcPr>
          <w:p w14:paraId="06D43067">
            <w:pPr>
              <w:rPr>
                <w:rFonts w:ascii="Arial" w:hAnsi="Arial"/>
                <w:szCs w:val="20"/>
                <w:lang w:val="en-GB"/>
              </w:rPr>
            </w:pPr>
          </w:p>
        </w:tc>
        <w:tc>
          <w:tcPr>
            <w:tcW w:w="7200" w:type="dxa"/>
            <w:vAlign w:val="center"/>
          </w:tcPr>
          <w:p w14:paraId="155185DC">
            <w:pPr>
              <w:rPr>
                <w:rFonts w:ascii="Arial" w:hAnsi="Arial"/>
                <w:szCs w:val="20"/>
                <w:lang w:val="en-GB"/>
              </w:rPr>
            </w:pPr>
            <w:r>
              <w:rPr>
                <w:rFonts w:hint="eastAsia" w:ascii="Arial" w:hAnsi="Arial"/>
                <w:szCs w:val="20"/>
                <w:lang w:val="en-GB"/>
              </w:rPr>
              <w:t>设计压力：0</w:t>
            </w:r>
            <w:r>
              <w:rPr>
                <w:rFonts w:ascii="Arial" w:hAnsi="Arial"/>
                <w:szCs w:val="20"/>
                <w:lang w:val="en-GB"/>
              </w:rPr>
              <w:t>.</w:t>
            </w:r>
            <w:r>
              <w:rPr>
                <w:rFonts w:hint="eastAsia" w:ascii="Arial" w:hAnsi="Arial"/>
                <w:szCs w:val="20"/>
                <w:lang w:val="en-GB"/>
              </w:rPr>
              <w:t>3Mpa，工作压力：0</w:t>
            </w:r>
            <w:r>
              <w:rPr>
                <w:rFonts w:ascii="Arial" w:hAnsi="Arial"/>
                <w:szCs w:val="20"/>
                <w:lang w:val="en-GB"/>
              </w:rPr>
              <w:t>.</w:t>
            </w:r>
            <w:r>
              <w:rPr>
                <w:rFonts w:hint="eastAsia" w:ascii="Arial" w:hAnsi="Arial"/>
                <w:szCs w:val="20"/>
                <w:lang w:val="en-GB"/>
              </w:rPr>
              <w:t>15Mpa</w:t>
            </w:r>
          </w:p>
        </w:tc>
      </w:tr>
      <w:tr w14:paraId="372C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6A52FAB2">
            <w:pPr>
              <w:jc w:val="center"/>
              <w:rPr>
                <w:rFonts w:hint="eastAsia"/>
              </w:rPr>
            </w:pPr>
          </w:p>
        </w:tc>
        <w:tc>
          <w:tcPr>
            <w:tcW w:w="1680" w:type="dxa"/>
            <w:vMerge w:val="continue"/>
            <w:vAlign w:val="center"/>
          </w:tcPr>
          <w:p w14:paraId="0C687EDF">
            <w:pPr>
              <w:rPr>
                <w:rFonts w:ascii="Arial" w:hAnsi="Arial"/>
                <w:szCs w:val="20"/>
                <w:lang w:val="en-GB"/>
              </w:rPr>
            </w:pPr>
          </w:p>
        </w:tc>
        <w:tc>
          <w:tcPr>
            <w:tcW w:w="7200" w:type="dxa"/>
            <w:vAlign w:val="center"/>
          </w:tcPr>
          <w:p w14:paraId="1FD7DC53">
            <w:pPr>
              <w:rPr>
                <w:rFonts w:ascii="Arial" w:hAnsi="Arial"/>
                <w:szCs w:val="20"/>
                <w:lang w:val="en-GB"/>
              </w:rPr>
            </w:pPr>
            <w:r>
              <w:rPr>
                <w:rFonts w:hint="eastAsia" w:ascii="Arial" w:hAnsi="Arial"/>
                <w:szCs w:val="20"/>
                <w:lang w:val="en-GB"/>
              </w:rPr>
              <w:t>抛光：</w:t>
            </w:r>
            <w:r>
              <w:rPr>
                <w:rFonts w:ascii="Arial" w:hAnsi="Arial"/>
                <w:szCs w:val="20"/>
                <w:lang w:val="en-GB"/>
              </w:rPr>
              <w:t>内外抛光，粗糙度Ra≤0.</w:t>
            </w:r>
            <w:r>
              <w:rPr>
                <w:rFonts w:hint="eastAsia" w:ascii="Arial" w:hAnsi="Arial"/>
                <w:szCs w:val="20"/>
                <w:lang w:val="en-GB"/>
              </w:rPr>
              <w:t>4，管道抛光，</w:t>
            </w:r>
            <w:r>
              <w:rPr>
                <w:rFonts w:ascii="Arial" w:hAnsi="Arial"/>
                <w:szCs w:val="20"/>
                <w:lang w:val="en-GB"/>
              </w:rPr>
              <w:t>粗糙度Ra≤0.</w:t>
            </w:r>
            <w:r>
              <w:rPr>
                <w:rFonts w:hint="eastAsia" w:ascii="Arial" w:hAnsi="Arial"/>
                <w:szCs w:val="20"/>
                <w:lang w:val="en-GB"/>
              </w:rPr>
              <w:t>4</w:t>
            </w:r>
          </w:p>
        </w:tc>
      </w:tr>
      <w:tr w14:paraId="1A71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304F25F0">
            <w:pPr>
              <w:jc w:val="center"/>
              <w:rPr>
                <w:rFonts w:hint="eastAsia"/>
              </w:rPr>
            </w:pPr>
          </w:p>
        </w:tc>
        <w:tc>
          <w:tcPr>
            <w:tcW w:w="1680" w:type="dxa"/>
            <w:vMerge w:val="continue"/>
            <w:vAlign w:val="center"/>
          </w:tcPr>
          <w:p w14:paraId="676F33F0">
            <w:pPr>
              <w:rPr>
                <w:rFonts w:ascii="Arial" w:hAnsi="Arial"/>
                <w:szCs w:val="20"/>
                <w:lang w:val="en-GB"/>
              </w:rPr>
            </w:pPr>
          </w:p>
        </w:tc>
        <w:tc>
          <w:tcPr>
            <w:tcW w:w="7200" w:type="dxa"/>
            <w:vAlign w:val="center"/>
          </w:tcPr>
          <w:p w14:paraId="30287088">
            <w:pPr>
              <w:rPr>
                <w:rFonts w:ascii="Arial" w:hAnsi="Arial"/>
                <w:szCs w:val="20"/>
                <w:lang w:val="en-GB"/>
              </w:rPr>
            </w:pPr>
            <w:r>
              <w:rPr>
                <w:rFonts w:ascii="Arial" w:hAnsi="Arial"/>
                <w:szCs w:val="20"/>
                <w:lang w:val="en-GB"/>
              </w:rPr>
              <w:t>内筒结构：大视角</w:t>
            </w:r>
            <w:r>
              <w:rPr>
                <w:rFonts w:hint="eastAsia" w:ascii="Arial" w:hAnsi="Arial"/>
                <w:szCs w:val="20"/>
                <w:lang w:val="en-GB"/>
              </w:rPr>
              <w:t>玻璃观察窗</w:t>
            </w:r>
            <w:r>
              <w:rPr>
                <w:rFonts w:ascii="Arial" w:hAnsi="Arial"/>
                <w:szCs w:val="20"/>
                <w:lang w:val="en-GB"/>
              </w:rPr>
              <w:t>，T、ph、DO、补料插口和多个备用口</w:t>
            </w:r>
          </w:p>
        </w:tc>
      </w:tr>
      <w:tr w14:paraId="29BC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05" w:type="dxa"/>
            <w:vMerge w:val="continue"/>
            <w:vAlign w:val="center"/>
          </w:tcPr>
          <w:p w14:paraId="1AA9179F">
            <w:pPr>
              <w:jc w:val="center"/>
              <w:rPr>
                <w:rFonts w:hint="eastAsia"/>
              </w:rPr>
            </w:pPr>
          </w:p>
        </w:tc>
        <w:tc>
          <w:tcPr>
            <w:tcW w:w="1680" w:type="dxa"/>
            <w:vMerge w:val="continue"/>
            <w:vAlign w:val="center"/>
          </w:tcPr>
          <w:p w14:paraId="63FBDE0A">
            <w:pPr>
              <w:rPr>
                <w:rFonts w:ascii="Arial" w:hAnsi="Arial"/>
                <w:szCs w:val="20"/>
                <w:lang w:val="en-GB"/>
              </w:rPr>
            </w:pPr>
          </w:p>
        </w:tc>
        <w:tc>
          <w:tcPr>
            <w:tcW w:w="7200" w:type="dxa"/>
            <w:vAlign w:val="center"/>
          </w:tcPr>
          <w:p w14:paraId="50821713">
            <w:pPr>
              <w:rPr>
                <w:rFonts w:ascii="Arial" w:hAnsi="Arial"/>
                <w:szCs w:val="20"/>
                <w:lang w:val="en-GB"/>
              </w:rPr>
            </w:pPr>
            <w:r>
              <w:rPr>
                <w:rFonts w:hint="eastAsia" w:ascii="Arial" w:hAnsi="Arial"/>
                <w:szCs w:val="20"/>
                <w:lang w:val="en-GB"/>
              </w:rPr>
              <w:t>顶部接口：</w:t>
            </w:r>
            <w:r>
              <w:rPr>
                <w:rFonts w:ascii="Arial" w:hAnsi="Arial"/>
                <w:szCs w:val="20"/>
                <w:lang w:val="en-GB"/>
              </w:rPr>
              <w:t>火焰圈接种</w:t>
            </w:r>
            <w:r>
              <w:rPr>
                <w:rFonts w:hint="eastAsia" w:ascii="Arial" w:hAnsi="Arial"/>
                <w:szCs w:val="20"/>
                <w:lang w:val="en-GB"/>
              </w:rPr>
              <w:t>、</w:t>
            </w:r>
            <w:r>
              <w:rPr>
                <w:rFonts w:ascii="Arial" w:hAnsi="Arial"/>
                <w:szCs w:val="20"/>
                <w:lang w:val="en-GB"/>
              </w:rPr>
              <w:t>温度传感器接口</w:t>
            </w:r>
            <w:r>
              <w:rPr>
                <w:rFonts w:hint="eastAsia" w:ascii="Arial" w:hAnsi="Arial"/>
                <w:szCs w:val="20"/>
                <w:lang w:val="en-GB"/>
              </w:rPr>
              <w:t>、</w:t>
            </w:r>
            <w:r>
              <w:rPr>
                <w:rFonts w:ascii="Arial" w:hAnsi="Arial"/>
                <w:szCs w:val="20"/>
                <w:lang w:val="en-GB"/>
              </w:rPr>
              <w:t>2个备用口（可作补料，加消泡剂和加酸碱用）</w:t>
            </w:r>
            <w:r>
              <w:rPr>
                <w:rFonts w:hint="eastAsia" w:ascii="Arial" w:hAnsi="Arial"/>
                <w:szCs w:val="20"/>
                <w:lang w:val="en-GB"/>
              </w:rPr>
              <w:t>、</w:t>
            </w:r>
            <w:r>
              <w:rPr>
                <w:rFonts w:ascii="Arial" w:hAnsi="Arial"/>
                <w:szCs w:val="20"/>
                <w:lang w:val="en-GB"/>
              </w:rPr>
              <w:t>带泡沫传感器</w:t>
            </w:r>
            <w:r>
              <w:rPr>
                <w:rFonts w:hint="eastAsia" w:ascii="Arial" w:hAnsi="Arial"/>
                <w:szCs w:val="20"/>
                <w:lang w:val="en-GB"/>
              </w:rPr>
              <w:t>、</w:t>
            </w:r>
            <w:r>
              <w:rPr>
                <w:rFonts w:ascii="Arial" w:hAnsi="Arial"/>
                <w:szCs w:val="20"/>
                <w:lang w:val="en-GB"/>
              </w:rPr>
              <w:t>冷凝装置的排气口</w:t>
            </w:r>
          </w:p>
        </w:tc>
      </w:tr>
      <w:tr w14:paraId="5064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5" w:type="dxa"/>
            <w:vMerge w:val="continue"/>
            <w:vAlign w:val="center"/>
          </w:tcPr>
          <w:p w14:paraId="2E6DC370">
            <w:pPr>
              <w:jc w:val="center"/>
              <w:rPr>
                <w:rFonts w:hint="eastAsia"/>
              </w:rPr>
            </w:pPr>
          </w:p>
        </w:tc>
        <w:tc>
          <w:tcPr>
            <w:tcW w:w="1680" w:type="dxa"/>
            <w:vMerge w:val="continue"/>
            <w:vAlign w:val="center"/>
          </w:tcPr>
          <w:p w14:paraId="43EF70D6">
            <w:pPr>
              <w:rPr>
                <w:rFonts w:ascii="Arial" w:hAnsi="Arial"/>
                <w:szCs w:val="20"/>
                <w:lang w:val="en-GB"/>
              </w:rPr>
            </w:pPr>
          </w:p>
        </w:tc>
        <w:tc>
          <w:tcPr>
            <w:tcW w:w="7200" w:type="dxa"/>
            <w:vAlign w:val="center"/>
          </w:tcPr>
          <w:p w14:paraId="53C890B7">
            <w:pPr>
              <w:rPr>
                <w:rFonts w:ascii="Arial" w:hAnsi="Arial"/>
                <w:szCs w:val="20"/>
                <w:lang w:val="en-GB"/>
              </w:rPr>
            </w:pPr>
            <w:r>
              <w:rPr>
                <w:rFonts w:hint="eastAsia" w:ascii="Arial" w:hAnsi="Arial"/>
                <w:szCs w:val="20"/>
                <w:lang w:val="en-GB"/>
              </w:rPr>
              <w:t>底部接口</w:t>
            </w:r>
            <w:r>
              <w:rPr>
                <w:rFonts w:ascii="Arial" w:hAnsi="Arial"/>
                <w:szCs w:val="20"/>
                <w:lang w:val="en-GB"/>
              </w:rPr>
              <w:t>：专用取样、放料阀（带蒸汽灭菌）、移种管路（带蒸汽灭菌）和底阀，设计无死角和积液</w:t>
            </w:r>
            <w:r>
              <w:rPr>
                <w:rFonts w:hint="eastAsia" w:ascii="Arial" w:hAnsi="Arial"/>
                <w:szCs w:val="20"/>
                <w:lang w:val="en-GB"/>
              </w:rPr>
              <w:t xml:space="preserve"> </w:t>
            </w:r>
          </w:p>
        </w:tc>
      </w:tr>
      <w:tr w14:paraId="52AF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5" w:type="dxa"/>
            <w:vMerge w:val="continue"/>
            <w:vAlign w:val="center"/>
          </w:tcPr>
          <w:p w14:paraId="407CBBB7">
            <w:pPr>
              <w:jc w:val="center"/>
              <w:rPr>
                <w:rFonts w:hint="eastAsia"/>
              </w:rPr>
            </w:pPr>
          </w:p>
        </w:tc>
        <w:tc>
          <w:tcPr>
            <w:tcW w:w="1680" w:type="dxa"/>
            <w:vMerge w:val="continue"/>
            <w:vAlign w:val="center"/>
          </w:tcPr>
          <w:p w14:paraId="0C3A401D">
            <w:pPr>
              <w:rPr>
                <w:rFonts w:ascii="Arial" w:hAnsi="Arial"/>
                <w:szCs w:val="20"/>
                <w:lang w:val="en-GB"/>
              </w:rPr>
            </w:pPr>
          </w:p>
        </w:tc>
        <w:tc>
          <w:tcPr>
            <w:tcW w:w="7200" w:type="dxa"/>
            <w:vAlign w:val="center"/>
          </w:tcPr>
          <w:p w14:paraId="31BA49D7">
            <w:pPr>
              <w:rPr>
                <w:rFonts w:ascii="Arial" w:hAnsi="Arial"/>
                <w:szCs w:val="20"/>
                <w:lang w:val="en-GB"/>
              </w:rPr>
            </w:pPr>
            <w:r>
              <w:rPr>
                <w:rFonts w:hint="eastAsia" w:ascii="Arial" w:hAnsi="Arial"/>
                <w:szCs w:val="20"/>
                <w:lang w:val="en-GB"/>
              </w:rPr>
              <w:t>传热方式：</w:t>
            </w:r>
            <w:r>
              <w:rPr>
                <w:rFonts w:ascii="Arial" w:hAnsi="Arial"/>
                <w:szCs w:val="20"/>
                <w:lang w:val="en-GB"/>
              </w:rPr>
              <w:t>夹套传热</w:t>
            </w:r>
          </w:p>
        </w:tc>
      </w:tr>
      <w:tr w14:paraId="701A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vAlign w:val="center"/>
          </w:tcPr>
          <w:p w14:paraId="327B7367">
            <w:pPr>
              <w:jc w:val="center"/>
              <w:rPr>
                <w:rFonts w:hint="eastAsia"/>
              </w:rPr>
            </w:pPr>
            <w:r>
              <w:rPr>
                <w:rFonts w:hint="eastAsia"/>
              </w:rPr>
              <w:t>2</w:t>
            </w:r>
          </w:p>
        </w:tc>
        <w:tc>
          <w:tcPr>
            <w:tcW w:w="1680" w:type="dxa"/>
            <w:vMerge w:val="restart"/>
            <w:vAlign w:val="center"/>
          </w:tcPr>
          <w:p w14:paraId="4506F9C7">
            <w:pPr>
              <w:jc w:val="center"/>
              <w:rPr>
                <w:rFonts w:ascii="Arial" w:hAnsi="Arial"/>
                <w:szCs w:val="20"/>
                <w:lang w:val="en-GB"/>
              </w:rPr>
            </w:pPr>
            <w:r>
              <w:rPr>
                <w:rFonts w:ascii="Arial" w:hAnsi="Arial"/>
                <w:szCs w:val="20"/>
                <w:lang w:val="en-GB"/>
              </w:rPr>
              <w:t>搅拌系统</w:t>
            </w:r>
          </w:p>
        </w:tc>
        <w:tc>
          <w:tcPr>
            <w:tcW w:w="7200" w:type="dxa"/>
            <w:vAlign w:val="center"/>
          </w:tcPr>
          <w:p w14:paraId="37A92C72">
            <w:pPr>
              <w:rPr>
                <w:rFonts w:ascii="Arial" w:hAnsi="Arial"/>
                <w:szCs w:val="20"/>
                <w:lang w:val="en-GB"/>
              </w:rPr>
            </w:pPr>
            <w:r>
              <w:rPr>
                <w:rFonts w:hint="eastAsia" w:ascii="Arial" w:hAnsi="Arial"/>
                <w:szCs w:val="20"/>
                <w:lang w:val="en-GB"/>
              </w:rPr>
              <w:t>搅拌方式：</w:t>
            </w:r>
            <w:r>
              <w:rPr>
                <w:rFonts w:ascii="Arial" w:hAnsi="Arial"/>
                <w:szCs w:val="20"/>
                <w:lang w:val="en-GB"/>
              </w:rPr>
              <w:t>采用顶式机械</w:t>
            </w:r>
            <w:r>
              <w:rPr>
                <w:rFonts w:hint="eastAsia" w:ascii="Arial" w:hAnsi="Arial"/>
                <w:szCs w:val="20"/>
                <w:lang w:val="en-GB"/>
              </w:rPr>
              <w:t>搅拌</w:t>
            </w:r>
          </w:p>
        </w:tc>
      </w:tr>
      <w:tr w14:paraId="74B2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54FC200F">
            <w:pPr>
              <w:jc w:val="center"/>
              <w:rPr>
                <w:rFonts w:hint="eastAsia"/>
              </w:rPr>
            </w:pPr>
          </w:p>
        </w:tc>
        <w:tc>
          <w:tcPr>
            <w:tcW w:w="1680" w:type="dxa"/>
            <w:vMerge w:val="continue"/>
            <w:vAlign w:val="center"/>
          </w:tcPr>
          <w:p w14:paraId="6766BFE1">
            <w:pPr>
              <w:jc w:val="center"/>
              <w:rPr>
                <w:rFonts w:ascii="Arial" w:hAnsi="Arial"/>
                <w:szCs w:val="20"/>
                <w:lang w:val="en-GB"/>
              </w:rPr>
            </w:pPr>
          </w:p>
        </w:tc>
        <w:tc>
          <w:tcPr>
            <w:tcW w:w="7200" w:type="dxa"/>
            <w:vAlign w:val="center"/>
          </w:tcPr>
          <w:p w14:paraId="6BDC122C">
            <w:pPr>
              <w:rPr>
                <w:rFonts w:ascii="Arial" w:hAnsi="Arial"/>
                <w:szCs w:val="20"/>
                <w:lang w:val="en-GB"/>
              </w:rPr>
            </w:pPr>
            <w:r>
              <w:rPr>
                <w:rFonts w:ascii="Arial" w:hAnsi="Arial"/>
                <w:szCs w:val="20"/>
                <w:lang w:val="en-GB"/>
              </w:rPr>
              <w:t>密封系统</w:t>
            </w:r>
            <w:r>
              <w:rPr>
                <w:rFonts w:hint="eastAsia" w:ascii="Arial" w:hAnsi="Arial"/>
                <w:szCs w:val="20"/>
                <w:lang w:val="en-GB"/>
              </w:rPr>
              <w:t>：单端面</w:t>
            </w:r>
            <w:r>
              <w:rPr>
                <w:rFonts w:ascii="Arial" w:hAnsi="Arial"/>
                <w:szCs w:val="20"/>
                <w:lang w:val="en-GB"/>
              </w:rPr>
              <w:t>机械密封，密封性能好；</w:t>
            </w:r>
          </w:p>
        </w:tc>
      </w:tr>
      <w:tr w14:paraId="3790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6E2A3BF6">
            <w:pPr>
              <w:jc w:val="center"/>
              <w:rPr>
                <w:rFonts w:hint="eastAsia"/>
              </w:rPr>
            </w:pPr>
          </w:p>
        </w:tc>
        <w:tc>
          <w:tcPr>
            <w:tcW w:w="1680" w:type="dxa"/>
            <w:vMerge w:val="continue"/>
            <w:vAlign w:val="center"/>
          </w:tcPr>
          <w:p w14:paraId="654B4287">
            <w:pPr>
              <w:jc w:val="center"/>
              <w:rPr>
                <w:rFonts w:ascii="Arial" w:hAnsi="Arial"/>
                <w:szCs w:val="20"/>
                <w:lang w:val="en-GB"/>
              </w:rPr>
            </w:pPr>
          </w:p>
        </w:tc>
        <w:tc>
          <w:tcPr>
            <w:tcW w:w="7200" w:type="dxa"/>
            <w:vAlign w:val="center"/>
          </w:tcPr>
          <w:p w14:paraId="1344201E">
            <w:pPr>
              <w:rPr>
                <w:rFonts w:ascii="Arial" w:hAnsi="Arial"/>
                <w:szCs w:val="20"/>
                <w:lang w:val="en-GB"/>
              </w:rPr>
            </w:pPr>
            <w:r>
              <w:rPr>
                <w:rFonts w:hint="eastAsia" w:ascii="Arial" w:hAnsi="Arial"/>
                <w:szCs w:val="20"/>
                <w:lang w:val="en-GB"/>
              </w:rPr>
              <w:t>搅拌浆：2平1斜桨叶</w:t>
            </w:r>
          </w:p>
        </w:tc>
      </w:tr>
      <w:tr w14:paraId="39C7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4D22392C">
            <w:pPr>
              <w:jc w:val="center"/>
              <w:rPr>
                <w:rFonts w:hint="eastAsia"/>
              </w:rPr>
            </w:pPr>
          </w:p>
        </w:tc>
        <w:tc>
          <w:tcPr>
            <w:tcW w:w="1680" w:type="dxa"/>
            <w:vMerge w:val="continue"/>
            <w:vAlign w:val="center"/>
          </w:tcPr>
          <w:p w14:paraId="34F824A7">
            <w:pPr>
              <w:jc w:val="center"/>
              <w:rPr>
                <w:rFonts w:ascii="Arial" w:hAnsi="Arial"/>
                <w:szCs w:val="20"/>
                <w:lang w:val="en-GB"/>
              </w:rPr>
            </w:pPr>
          </w:p>
        </w:tc>
        <w:tc>
          <w:tcPr>
            <w:tcW w:w="7200" w:type="dxa"/>
            <w:vAlign w:val="center"/>
          </w:tcPr>
          <w:p w14:paraId="2EA2E213">
            <w:pPr>
              <w:rPr>
                <w:rFonts w:ascii="Arial" w:hAnsi="Arial"/>
                <w:szCs w:val="20"/>
                <w:lang w:val="en-GB"/>
              </w:rPr>
            </w:pPr>
            <w:r>
              <w:rPr>
                <w:rFonts w:hint="eastAsia" w:ascii="Arial" w:hAnsi="Arial"/>
                <w:szCs w:val="20"/>
                <w:lang w:val="en-GB"/>
              </w:rPr>
              <w:t>电机：德国</w:t>
            </w:r>
            <w:r>
              <w:rPr>
                <w:rFonts w:ascii="Arial" w:hAnsi="Arial"/>
                <w:szCs w:val="20"/>
                <w:lang w:val="en-GB"/>
              </w:rPr>
              <w:t>SEW交流变频调速电机（无级调速）,调速控制器。</w:t>
            </w:r>
          </w:p>
        </w:tc>
      </w:tr>
      <w:tr w14:paraId="55DF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419EBFD7">
            <w:pPr>
              <w:jc w:val="center"/>
              <w:rPr>
                <w:rFonts w:hint="eastAsia"/>
              </w:rPr>
            </w:pPr>
          </w:p>
        </w:tc>
        <w:tc>
          <w:tcPr>
            <w:tcW w:w="1680" w:type="dxa"/>
            <w:vMerge w:val="continue"/>
            <w:vAlign w:val="center"/>
          </w:tcPr>
          <w:p w14:paraId="02328043">
            <w:pPr>
              <w:jc w:val="center"/>
              <w:rPr>
                <w:rFonts w:ascii="Arial" w:hAnsi="Arial"/>
                <w:szCs w:val="20"/>
                <w:lang w:val="en-GB"/>
              </w:rPr>
            </w:pPr>
          </w:p>
        </w:tc>
        <w:tc>
          <w:tcPr>
            <w:tcW w:w="7200" w:type="dxa"/>
            <w:vAlign w:val="center"/>
          </w:tcPr>
          <w:p w14:paraId="666F460E">
            <w:pPr>
              <w:rPr>
                <w:rFonts w:ascii="Arial" w:hAnsi="Arial"/>
                <w:szCs w:val="20"/>
                <w:lang w:val="en-GB"/>
              </w:rPr>
            </w:pPr>
            <w:r>
              <w:rPr>
                <w:rFonts w:ascii="Arial" w:hAnsi="Arial"/>
                <w:szCs w:val="20"/>
                <w:lang w:val="en-GB"/>
              </w:rPr>
              <w:t>搅拌轴</w:t>
            </w:r>
            <w:r>
              <w:rPr>
                <w:rFonts w:hint="eastAsia" w:ascii="Arial" w:hAnsi="Arial"/>
                <w:szCs w:val="20"/>
                <w:lang w:val="en-GB"/>
              </w:rPr>
              <w:t>：</w:t>
            </w:r>
            <w:r>
              <w:rPr>
                <w:rFonts w:ascii="Arial" w:hAnsi="Arial"/>
                <w:szCs w:val="20"/>
                <w:lang w:val="en-GB"/>
              </w:rPr>
              <w:t>采用</w:t>
            </w:r>
            <w:r>
              <w:rPr>
                <w:rFonts w:hint="eastAsia" w:ascii="Arial" w:hAnsi="Arial"/>
                <w:szCs w:val="20"/>
              </w:rPr>
              <w:t>316</w:t>
            </w:r>
            <w:r>
              <w:rPr>
                <w:rFonts w:ascii="Arial" w:hAnsi="Arial"/>
                <w:szCs w:val="20"/>
                <w:lang w:val="en-GB"/>
              </w:rPr>
              <w:t xml:space="preserve">不锈钢，上下轴比例适当，保证转速平稳且不偏离 </w:t>
            </w:r>
          </w:p>
        </w:tc>
      </w:tr>
      <w:tr w14:paraId="0943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79FFF9F2">
            <w:pPr>
              <w:jc w:val="center"/>
              <w:rPr>
                <w:rFonts w:hint="eastAsia"/>
              </w:rPr>
            </w:pPr>
          </w:p>
        </w:tc>
        <w:tc>
          <w:tcPr>
            <w:tcW w:w="1680" w:type="dxa"/>
            <w:vMerge w:val="continue"/>
            <w:vAlign w:val="center"/>
          </w:tcPr>
          <w:p w14:paraId="6C24A748">
            <w:pPr>
              <w:jc w:val="center"/>
              <w:rPr>
                <w:rFonts w:ascii="Arial" w:hAnsi="Arial"/>
                <w:szCs w:val="20"/>
                <w:lang w:val="en-GB"/>
              </w:rPr>
            </w:pPr>
          </w:p>
        </w:tc>
        <w:tc>
          <w:tcPr>
            <w:tcW w:w="7200" w:type="dxa"/>
            <w:vAlign w:val="center"/>
          </w:tcPr>
          <w:p w14:paraId="5532646C">
            <w:pPr>
              <w:rPr>
                <w:rFonts w:ascii="Arial" w:hAnsi="Arial"/>
                <w:szCs w:val="20"/>
                <w:lang w:val="en-GB"/>
              </w:rPr>
            </w:pPr>
            <w:r>
              <w:rPr>
                <w:rFonts w:ascii="Arial" w:hAnsi="Arial"/>
                <w:szCs w:val="20"/>
                <w:lang w:val="en-GB"/>
              </w:rPr>
              <w:t>转速范围：50~</w:t>
            </w:r>
            <w:r>
              <w:rPr>
                <w:rFonts w:hint="eastAsia" w:ascii="Arial" w:hAnsi="Arial"/>
                <w:szCs w:val="20"/>
              </w:rPr>
              <w:t>450</w:t>
            </w:r>
            <w:r>
              <w:rPr>
                <w:rFonts w:ascii="Arial" w:hAnsi="Arial"/>
                <w:szCs w:val="20"/>
                <w:lang w:val="en-GB"/>
              </w:rPr>
              <w:t>rpm</w:t>
            </w:r>
          </w:p>
        </w:tc>
      </w:tr>
      <w:tr w14:paraId="0826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vAlign w:val="center"/>
          </w:tcPr>
          <w:p w14:paraId="7C9502B0">
            <w:pPr>
              <w:jc w:val="center"/>
              <w:rPr>
                <w:rFonts w:hint="eastAsia"/>
              </w:rPr>
            </w:pPr>
            <w:r>
              <w:rPr>
                <w:rFonts w:hint="eastAsia"/>
              </w:rPr>
              <w:t>3</w:t>
            </w:r>
          </w:p>
        </w:tc>
        <w:tc>
          <w:tcPr>
            <w:tcW w:w="1680" w:type="dxa"/>
            <w:vMerge w:val="restart"/>
            <w:vAlign w:val="center"/>
          </w:tcPr>
          <w:p w14:paraId="7B950276">
            <w:pPr>
              <w:jc w:val="center"/>
              <w:rPr>
                <w:rFonts w:ascii="Arial" w:hAnsi="Arial"/>
                <w:szCs w:val="20"/>
                <w:lang w:val="en-GB"/>
              </w:rPr>
            </w:pPr>
            <w:r>
              <w:rPr>
                <w:rFonts w:hint="eastAsia" w:ascii="Arial" w:hAnsi="Arial"/>
                <w:szCs w:val="20"/>
                <w:lang w:val="en-GB"/>
              </w:rPr>
              <w:t>通气系统</w:t>
            </w:r>
          </w:p>
        </w:tc>
        <w:tc>
          <w:tcPr>
            <w:tcW w:w="7200" w:type="dxa"/>
            <w:vAlign w:val="center"/>
          </w:tcPr>
          <w:p w14:paraId="1E8C51B2">
            <w:pPr>
              <w:rPr>
                <w:rFonts w:ascii="Arial" w:hAnsi="Arial"/>
                <w:szCs w:val="20"/>
                <w:lang w:val="en-GB"/>
              </w:rPr>
            </w:pPr>
            <w:r>
              <w:rPr>
                <w:rFonts w:ascii="Arial" w:hAnsi="Arial"/>
                <w:szCs w:val="20"/>
                <w:lang w:val="en-GB"/>
              </w:rPr>
              <w:t>通气：转子流量计手动控制</w:t>
            </w:r>
          </w:p>
        </w:tc>
      </w:tr>
      <w:tr w14:paraId="08BD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544527FD">
            <w:pPr>
              <w:jc w:val="center"/>
              <w:rPr>
                <w:rFonts w:hint="eastAsia"/>
              </w:rPr>
            </w:pPr>
          </w:p>
        </w:tc>
        <w:tc>
          <w:tcPr>
            <w:tcW w:w="1680" w:type="dxa"/>
            <w:vMerge w:val="continue"/>
            <w:vAlign w:val="center"/>
          </w:tcPr>
          <w:p w14:paraId="7C1C0393">
            <w:pPr>
              <w:jc w:val="center"/>
              <w:rPr>
                <w:rFonts w:ascii="Arial" w:hAnsi="Arial"/>
                <w:szCs w:val="20"/>
                <w:lang w:val="en-GB"/>
              </w:rPr>
            </w:pPr>
          </w:p>
        </w:tc>
        <w:tc>
          <w:tcPr>
            <w:tcW w:w="7200" w:type="dxa"/>
            <w:vAlign w:val="center"/>
          </w:tcPr>
          <w:p w14:paraId="59C22978">
            <w:pPr>
              <w:rPr>
                <w:rFonts w:ascii="Arial" w:hAnsi="Arial"/>
                <w:szCs w:val="20"/>
                <w:lang w:val="en-GB"/>
              </w:rPr>
            </w:pPr>
            <w:r>
              <w:rPr>
                <w:rFonts w:ascii="Arial" w:hAnsi="Arial"/>
                <w:szCs w:val="20"/>
                <w:lang w:val="en-GB"/>
              </w:rPr>
              <w:t>空气系统</w:t>
            </w:r>
            <w:r>
              <w:rPr>
                <w:rFonts w:hint="eastAsia" w:ascii="Arial" w:hAnsi="Arial"/>
                <w:szCs w:val="20"/>
                <w:lang w:val="en-GB"/>
              </w:rPr>
              <w:t>：</w:t>
            </w:r>
            <w:r>
              <w:rPr>
                <w:rFonts w:ascii="Arial" w:hAnsi="Arial"/>
                <w:szCs w:val="20"/>
                <w:lang w:val="en-GB"/>
              </w:rPr>
              <w:t>转子流量计、空气精过滤器、隔膜阀、止回阀</w:t>
            </w:r>
          </w:p>
        </w:tc>
      </w:tr>
      <w:tr w14:paraId="2ED4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5" w:type="dxa"/>
            <w:vMerge w:val="continue"/>
            <w:vAlign w:val="center"/>
          </w:tcPr>
          <w:p w14:paraId="725DFDB7">
            <w:pPr>
              <w:jc w:val="center"/>
              <w:rPr>
                <w:rFonts w:hint="eastAsia"/>
              </w:rPr>
            </w:pPr>
          </w:p>
        </w:tc>
        <w:tc>
          <w:tcPr>
            <w:tcW w:w="1680" w:type="dxa"/>
            <w:vMerge w:val="continue"/>
            <w:vAlign w:val="center"/>
          </w:tcPr>
          <w:p w14:paraId="1ADB5A08">
            <w:pPr>
              <w:jc w:val="center"/>
              <w:rPr>
                <w:rFonts w:ascii="Arial" w:hAnsi="Arial"/>
                <w:szCs w:val="20"/>
                <w:lang w:val="en-GB"/>
              </w:rPr>
            </w:pPr>
          </w:p>
        </w:tc>
        <w:tc>
          <w:tcPr>
            <w:tcW w:w="7200" w:type="dxa"/>
            <w:vAlign w:val="center"/>
          </w:tcPr>
          <w:p w14:paraId="6C19A4D1">
            <w:pPr>
              <w:rPr>
                <w:rFonts w:ascii="Arial" w:hAnsi="Arial"/>
                <w:szCs w:val="20"/>
                <w:lang w:val="en-GB"/>
              </w:rPr>
            </w:pPr>
            <w:r>
              <w:rPr>
                <w:rFonts w:ascii="Arial" w:hAnsi="Arial"/>
                <w:szCs w:val="20"/>
                <w:lang w:val="en-GB"/>
              </w:rPr>
              <w:t>精过滤</w:t>
            </w:r>
            <w:r>
              <w:rPr>
                <w:rFonts w:hint="eastAsia" w:ascii="Arial" w:hAnsi="Arial"/>
                <w:szCs w:val="20"/>
                <w:lang w:val="en-GB"/>
              </w:rPr>
              <w:t>器</w:t>
            </w:r>
            <w:r>
              <w:rPr>
                <w:rFonts w:ascii="Arial" w:hAnsi="Arial"/>
                <w:szCs w:val="20"/>
                <w:lang w:val="en-GB"/>
              </w:rPr>
              <w:t>精度：0.</w:t>
            </w:r>
            <w:r>
              <w:rPr>
                <w:rFonts w:hint="eastAsia" w:ascii="Arial" w:hAnsi="Arial"/>
                <w:szCs w:val="20"/>
                <w:lang w:val="en-GB"/>
              </w:rPr>
              <w:t>2</w:t>
            </w:r>
            <w:r>
              <w:rPr>
                <w:rFonts w:ascii="Arial" w:hAnsi="Arial"/>
                <w:szCs w:val="20"/>
                <w:lang w:val="en-GB"/>
              </w:rPr>
              <w:t>um</w:t>
            </w:r>
            <w:r>
              <w:rPr>
                <w:rFonts w:hint="eastAsia" w:ascii="Arial" w:hAnsi="Arial"/>
                <w:szCs w:val="20"/>
                <w:lang w:val="en-GB"/>
              </w:rPr>
              <w:t>。</w:t>
            </w:r>
          </w:p>
        </w:tc>
      </w:tr>
      <w:tr w14:paraId="23E1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vAlign w:val="center"/>
          </w:tcPr>
          <w:p w14:paraId="383435AC">
            <w:pPr>
              <w:jc w:val="center"/>
              <w:rPr>
                <w:rFonts w:hint="eastAsia"/>
              </w:rPr>
            </w:pPr>
            <w:r>
              <w:rPr>
                <w:rFonts w:hint="eastAsia"/>
              </w:rPr>
              <w:t>4</w:t>
            </w:r>
          </w:p>
        </w:tc>
        <w:tc>
          <w:tcPr>
            <w:tcW w:w="1680" w:type="dxa"/>
            <w:vMerge w:val="restart"/>
            <w:vAlign w:val="center"/>
          </w:tcPr>
          <w:p w14:paraId="45FBC72C">
            <w:pPr>
              <w:jc w:val="center"/>
              <w:rPr>
                <w:rFonts w:hint="eastAsia"/>
              </w:rPr>
            </w:pPr>
            <w:r>
              <w:rPr>
                <w:rFonts w:hint="eastAsia"/>
              </w:rPr>
              <w:t>设备检测及控制参数</w:t>
            </w:r>
          </w:p>
        </w:tc>
        <w:tc>
          <w:tcPr>
            <w:tcW w:w="7200" w:type="dxa"/>
            <w:vAlign w:val="center"/>
          </w:tcPr>
          <w:p w14:paraId="6714CBF5">
            <w:pPr>
              <w:rPr>
                <w:rFonts w:hint="eastAsia"/>
                <w:b/>
              </w:rPr>
            </w:pPr>
            <w:r>
              <w:rPr>
                <w:b/>
              </w:rPr>
              <w:t>温度控制</w:t>
            </w:r>
            <w:r>
              <w:rPr>
                <w:rFonts w:hint="eastAsia"/>
                <w:b/>
              </w:rPr>
              <w:t>：</w:t>
            </w:r>
          </w:p>
        </w:tc>
      </w:tr>
      <w:tr w14:paraId="1154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18812375">
            <w:pPr>
              <w:jc w:val="center"/>
              <w:rPr>
                <w:rFonts w:hint="eastAsia"/>
              </w:rPr>
            </w:pPr>
          </w:p>
        </w:tc>
        <w:tc>
          <w:tcPr>
            <w:tcW w:w="1680" w:type="dxa"/>
            <w:vMerge w:val="continue"/>
            <w:vAlign w:val="center"/>
          </w:tcPr>
          <w:p w14:paraId="2D3A0CAE">
            <w:pPr>
              <w:jc w:val="center"/>
              <w:rPr>
                <w:rFonts w:hint="eastAsia"/>
              </w:rPr>
            </w:pPr>
          </w:p>
        </w:tc>
        <w:tc>
          <w:tcPr>
            <w:tcW w:w="7200" w:type="dxa"/>
            <w:vAlign w:val="center"/>
          </w:tcPr>
          <w:p w14:paraId="27054C80">
            <w:pPr>
              <w:rPr>
                <w:rFonts w:ascii="Arial" w:hAnsi="Arial"/>
                <w:szCs w:val="20"/>
                <w:lang w:val="en-GB"/>
              </w:rPr>
            </w:pPr>
            <w:r>
              <w:rPr>
                <w:rFonts w:hint="eastAsia" w:ascii="Arial" w:hAnsi="Arial"/>
                <w:szCs w:val="20"/>
                <w:lang w:val="en-GB"/>
              </w:rPr>
              <w:t>控温方式：</w:t>
            </w:r>
            <w:r>
              <w:rPr>
                <w:rFonts w:ascii="Arial" w:hAnsi="Arial"/>
                <w:szCs w:val="20"/>
                <w:lang w:val="en-GB"/>
              </w:rPr>
              <w:t>蒸汽</w:t>
            </w:r>
            <w:r>
              <w:rPr>
                <w:rFonts w:hint="eastAsia" w:ascii="Arial" w:hAnsi="Arial"/>
                <w:szCs w:val="20"/>
              </w:rPr>
              <w:t>和电</w:t>
            </w:r>
            <w:r>
              <w:rPr>
                <w:rFonts w:ascii="Arial" w:hAnsi="Arial"/>
                <w:szCs w:val="20"/>
                <w:lang w:val="en-GB"/>
              </w:rPr>
              <w:t>加热，水冷却</w:t>
            </w:r>
          </w:p>
        </w:tc>
      </w:tr>
      <w:tr w14:paraId="5521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7243880C">
            <w:pPr>
              <w:jc w:val="center"/>
              <w:rPr>
                <w:rFonts w:hint="eastAsia"/>
              </w:rPr>
            </w:pPr>
          </w:p>
        </w:tc>
        <w:tc>
          <w:tcPr>
            <w:tcW w:w="1680" w:type="dxa"/>
            <w:vMerge w:val="continue"/>
            <w:vAlign w:val="center"/>
          </w:tcPr>
          <w:p w14:paraId="23C73A2F">
            <w:pPr>
              <w:jc w:val="center"/>
              <w:rPr>
                <w:rFonts w:hint="eastAsia"/>
              </w:rPr>
            </w:pPr>
          </w:p>
        </w:tc>
        <w:tc>
          <w:tcPr>
            <w:tcW w:w="7200" w:type="dxa"/>
            <w:vAlign w:val="center"/>
          </w:tcPr>
          <w:p w14:paraId="2D0FE070">
            <w:pPr>
              <w:rPr>
                <w:rFonts w:ascii="Arial" w:hAnsi="Arial"/>
                <w:szCs w:val="20"/>
                <w:lang w:val="en-GB"/>
              </w:rPr>
            </w:pPr>
            <w:r>
              <w:rPr>
                <w:rFonts w:hint="eastAsia" w:ascii="Arial" w:hAnsi="Arial"/>
                <w:szCs w:val="20"/>
                <w:lang w:val="en-GB"/>
              </w:rPr>
              <w:t>控温</w:t>
            </w:r>
            <w:r>
              <w:rPr>
                <w:rFonts w:ascii="Arial" w:hAnsi="Arial"/>
                <w:szCs w:val="20"/>
                <w:lang w:val="en-GB"/>
              </w:rPr>
              <w:t>范围：+5</w:t>
            </w:r>
            <w:r>
              <w:rPr>
                <w:rFonts w:hint="eastAsia" w:ascii="Arial" w:hAnsi="Arial"/>
                <w:szCs w:val="20"/>
                <w:lang w:val="en-GB"/>
              </w:rPr>
              <w:t>℃</w:t>
            </w:r>
            <w:r>
              <w:rPr>
                <w:rFonts w:ascii="Arial" w:hAnsi="Arial"/>
                <w:szCs w:val="20"/>
                <w:lang w:val="en-GB"/>
              </w:rPr>
              <w:t>-</w:t>
            </w:r>
            <w:r>
              <w:rPr>
                <w:rFonts w:hint="eastAsia" w:ascii="Arial" w:hAnsi="Arial"/>
                <w:szCs w:val="20"/>
                <w:lang w:val="en-GB"/>
              </w:rPr>
              <w:t>6</w:t>
            </w:r>
            <w:r>
              <w:rPr>
                <w:rFonts w:ascii="Arial" w:hAnsi="Arial"/>
                <w:szCs w:val="20"/>
                <w:lang w:val="en-GB"/>
              </w:rPr>
              <w:t>5</w:t>
            </w:r>
            <w:r>
              <w:rPr>
                <w:rFonts w:hint="eastAsia" w:ascii="Arial" w:hAnsi="Arial"/>
                <w:szCs w:val="20"/>
                <w:lang w:val="en-GB"/>
              </w:rPr>
              <w:t>℃</w:t>
            </w:r>
            <w:r>
              <w:rPr>
                <w:rFonts w:ascii="Arial" w:hAnsi="Arial"/>
                <w:szCs w:val="20"/>
                <w:lang w:val="en-GB"/>
              </w:rPr>
              <w:t>±0.2</w:t>
            </w:r>
            <w:r>
              <w:rPr>
                <w:rFonts w:hint="eastAsia" w:ascii="Arial" w:hAnsi="Arial"/>
                <w:szCs w:val="20"/>
                <w:lang w:val="en-GB"/>
              </w:rPr>
              <w:t>℃</w:t>
            </w:r>
            <w:r>
              <w:rPr>
                <w:rFonts w:ascii="Arial" w:hAnsi="Arial"/>
                <w:szCs w:val="20"/>
                <w:lang w:val="en-GB"/>
              </w:rPr>
              <w:t>，分辨率：0.1</w:t>
            </w:r>
            <w:r>
              <w:rPr>
                <w:rFonts w:hint="eastAsia" w:ascii="Arial" w:hAnsi="Arial"/>
                <w:szCs w:val="20"/>
                <w:lang w:val="en-GB"/>
              </w:rPr>
              <w:t>℃</w:t>
            </w:r>
          </w:p>
        </w:tc>
      </w:tr>
      <w:tr w14:paraId="33AC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10BA1568">
            <w:pPr>
              <w:jc w:val="center"/>
              <w:rPr>
                <w:rFonts w:hint="eastAsia"/>
              </w:rPr>
            </w:pPr>
          </w:p>
        </w:tc>
        <w:tc>
          <w:tcPr>
            <w:tcW w:w="1680" w:type="dxa"/>
            <w:vMerge w:val="continue"/>
            <w:vAlign w:val="center"/>
          </w:tcPr>
          <w:p w14:paraId="4DD3E157">
            <w:pPr>
              <w:jc w:val="center"/>
              <w:rPr>
                <w:rFonts w:hint="eastAsia"/>
              </w:rPr>
            </w:pPr>
          </w:p>
        </w:tc>
        <w:tc>
          <w:tcPr>
            <w:tcW w:w="7200" w:type="dxa"/>
            <w:vAlign w:val="center"/>
          </w:tcPr>
          <w:p w14:paraId="5478A70A">
            <w:pPr>
              <w:rPr>
                <w:rFonts w:ascii="Arial" w:hAnsi="Arial"/>
                <w:szCs w:val="20"/>
                <w:lang w:val="en-GB"/>
              </w:rPr>
            </w:pPr>
            <w:r>
              <w:rPr>
                <w:rFonts w:hint="eastAsia" w:ascii="Arial" w:hAnsi="Arial"/>
                <w:szCs w:val="20"/>
                <w:lang w:val="en-GB"/>
              </w:rPr>
              <w:t>温度传感器：</w:t>
            </w:r>
            <w:r>
              <w:rPr>
                <w:rFonts w:ascii="Arial" w:hAnsi="Arial"/>
                <w:szCs w:val="20"/>
                <w:lang w:val="en-GB"/>
              </w:rPr>
              <w:t>德国PT100温度电极元件</w:t>
            </w:r>
          </w:p>
        </w:tc>
      </w:tr>
      <w:tr w14:paraId="097F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0E4116C3">
            <w:pPr>
              <w:jc w:val="center"/>
              <w:rPr>
                <w:rFonts w:hint="eastAsia"/>
              </w:rPr>
            </w:pPr>
          </w:p>
        </w:tc>
        <w:tc>
          <w:tcPr>
            <w:tcW w:w="1680" w:type="dxa"/>
            <w:vMerge w:val="continue"/>
            <w:vAlign w:val="center"/>
          </w:tcPr>
          <w:p w14:paraId="7212FFAB">
            <w:pPr>
              <w:jc w:val="center"/>
              <w:rPr>
                <w:rFonts w:hint="eastAsia"/>
              </w:rPr>
            </w:pPr>
          </w:p>
        </w:tc>
        <w:tc>
          <w:tcPr>
            <w:tcW w:w="7200" w:type="dxa"/>
            <w:vAlign w:val="center"/>
          </w:tcPr>
          <w:p w14:paraId="5DE7323D">
            <w:pPr>
              <w:rPr>
                <w:rFonts w:hint="eastAsia"/>
                <w:b/>
              </w:rPr>
            </w:pPr>
            <w:r>
              <w:rPr>
                <w:b/>
              </w:rPr>
              <w:t>压力控制</w:t>
            </w:r>
          </w:p>
        </w:tc>
      </w:tr>
      <w:tr w14:paraId="02E0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705640D7">
            <w:pPr>
              <w:jc w:val="center"/>
              <w:rPr>
                <w:rFonts w:hint="eastAsia"/>
              </w:rPr>
            </w:pPr>
          </w:p>
        </w:tc>
        <w:tc>
          <w:tcPr>
            <w:tcW w:w="1680" w:type="dxa"/>
            <w:vMerge w:val="continue"/>
            <w:vAlign w:val="center"/>
          </w:tcPr>
          <w:p w14:paraId="38025FE2">
            <w:pPr>
              <w:jc w:val="center"/>
              <w:rPr>
                <w:rFonts w:hint="eastAsia"/>
              </w:rPr>
            </w:pPr>
          </w:p>
        </w:tc>
        <w:tc>
          <w:tcPr>
            <w:tcW w:w="7200" w:type="dxa"/>
            <w:vAlign w:val="center"/>
          </w:tcPr>
          <w:p w14:paraId="4E252A9B">
            <w:pPr>
              <w:rPr>
                <w:rFonts w:ascii="Arial" w:hAnsi="Arial"/>
                <w:szCs w:val="20"/>
                <w:lang w:val="en-GB"/>
              </w:rPr>
            </w:pPr>
            <w:r>
              <w:rPr>
                <w:rFonts w:hint="eastAsia" w:ascii="Arial" w:hAnsi="Arial"/>
                <w:szCs w:val="20"/>
                <w:lang w:val="en-GB"/>
              </w:rPr>
              <w:t>控制方式：</w:t>
            </w:r>
            <w:r>
              <w:rPr>
                <w:rFonts w:ascii="Arial" w:hAnsi="Arial"/>
                <w:szCs w:val="20"/>
                <w:lang w:val="en-GB"/>
              </w:rPr>
              <w:t>手动控制，压力表显示</w:t>
            </w:r>
          </w:p>
        </w:tc>
      </w:tr>
      <w:tr w14:paraId="2A4A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746C94EE">
            <w:pPr>
              <w:jc w:val="center"/>
              <w:rPr>
                <w:rFonts w:hint="eastAsia"/>
              </w:rPr>
            </w:pPr>
          </w:p>
        </w:tc>
        <w:tc>
          <w:tcPr>
            <w:tcW w:w="1680" w:type="dxa"/>
            <w:vMerge w:val="continue"/>
            <w:vAlign w:val="center"/>
          </w:tcPr>
          <w:p w14:paraId="049A5E1C">
            <w:pPr>
              <w:jc w:val="center"/>
              <w:rPr>
                <w:rFonts w:hint="eastAsia"/>
              </w:rPr>
            </w:pPr>
          </w:p>
        </w:tc>
        <w:tc>
          <w:tcPr>
            <w:tcW w:w="7200" w:type="dxa"/>
            <w:vAlign w:val="center"/>
          </w:tcPr>
          <w:p w14:paraId="31191517">
            <w:pPr>
              <w:rPr>
                <w:rFonts w:ascii="Arial" w:hAnsi="Arial"/>
                <w:szCs w:val="20"/>
                <w:lang w:val="en-GB"/>
              </w:rPr>
            </w:pPr>
            <w:r>
              <w:rPr>
                <w:rFonts w:ascii="Arial" w:hAnsi="Arial"/>
                <w:szCs w:val="20"/>
                <w:lang w:val="en-GB"/>
              </w:rPr>
              <w:t>控制范围：0-0.4MPa</w:t>
            </w:r>
          </w:p>
        </w:tc>
      </w:tr>
      <w:tr w14:paraId="6942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159A5E70">
            <w:pPr>
              <w:jc w:val="center"/>
              <w:rPr>
                <w:rFonts w:hint="eastAsia"/>
              </w:rPr>
            </w:pPr>
          </w:p>
        </w:tc>
        <w:tc>
          <w:tcPr>
            <w:tcW w:w="1680" w:type="dxa"/>
            <w:vMerge w:val="continue"/>
            <w:vAlign w:val="center"/>
          </w:tcPr>
          <w:p w14:paraId="5E259F64">
            <w:pPr>
              <w:jc w:val="center"/>
              <w:rPr>
                <w:rFonts w:hint="eastAsia"/>
              </w:rPr>
            </w:pPr>
          </w:p>
        </w:tc>
        <w:tc>
          <w:tcPr>
            <w:tcW w:w="7200" w:type="dxa"/>
            <w:vAlign w:val="center"/>
          </w:tcPr>
          <w:p w14:paraId="64609BB6">
            <w:pPr>
              <w:rPr>
                <w:rFonts w:hint="eastAsia"/>
                <w:b/>
              </w:rPr>
            </w:pPr>
            <w:r>
              <w:rPr>
                <w:b/>
              </w:rPr>
              <w:t>泡沫控制</w:t>
            </w:r>
            <w:r>
              <w:rPr>
                <w:rFonts w:hint="eastAsia"/>
                <w:b/>
              </w:rPr>
              <w:t>：</w:t>
            </w:r>
          </w:p>
        </w:tc>
      </w:tr>
      <w:tr w14:paraId="5F14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3A309EEB">
            <w:pPr>
              <w:jc w:val="center"/>
              <w:rPr>
                <w:rFonts w:hint="eastAsia"/>
              </w:rPr>
            </w:pPr>
          </w:p>
        </w:tc>
        <w:tc>
          <w:tcPr>
            <w:tcW w:w="1680" w:type="dxa"/>
            <w:vMerge w:val="continue"/>
            <w:vAlign w:val="center"/>
          </w:tcPr>
          <w:p w14:paraId="764D7855">
            <w:pPr>
              <w:jc w:val="center"/>
              <w:rPr>
                <w:rFonts w:hint="eastAsia"/>
              </w:rPr>
            </w:pPr>
          </w:p>
        </w:tc>
        <w:tc>
          <w:tcPr>
            <w:tcW w:w="7200" w:type="dxa"/>
            <w:vAlign w:val="center"/>
          </w:tcPr>
          <w:p w14:paraId="150E425A">
            <w:pPr>
              <w:rPr>
                <w:rFonts w:ascii="Arial" w:hAnsi="Arial"/>
                <w:szCs w:val="20"/>
                <w:lang w:val="en-GB"/>
              </w:rPr>
            </w:pPr>
            <w:r>
              <w:rPr>
                <w:rFonts w:hint="eastAsia" w:ascii="Arial" w:hAnsi="Arial"/>
                <w:szCs w:val="20"/>
                <w:lang w:val="en-GB"/>
              </w:rPr>
              <w:t>检测：</w:t>
            </w:r>
            <w:r>
              <w:rPr>
                <w:rFonts w:ascii="Arial" w:hAnsi="Arial"/>
                <w:szCs w:val="20"/>
                <w:lang w:val="en-GB"/>
              </w:rPr>
              <w:t>电极自动检测泡沫或液位</w:t>
            </w:r>
          </w:p>
        </w:tc>
      </w:tr>
      <w:tr w14:paraId="5E25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25D05292">
            <w:pPr>
              <w:jc w:val="center"/>
              <w:rPr>
                <w:rFonts w:hint="eastAsia"/>
              </w:rPr>
            </w:pPr>
          </w:p>
        </w:tc>
        <w:tc>
          <w:tcPr>
            <w:tcW w:w="1680" w:type="dxa"/>
            <w:vMerge w:val="continue"/>
            <w:vAlign w:val="center"/>
          </w:tcPr>
          <w:p w14:paraId="43FC6436">
            <w:pPr>
              <w:jc w:val="center"/>
              <w:rPr>
                <w:rFonts w:hint="eastAsia"/>
              </w:rPr>
            </w:pPr>
          </w:p>
        </w:tc>
        <w:tc>
          <w:tcPr>
            <w:tcW w:w="7200" w:type="dxa"/>
            <w:vAlign w:val="center"/>
          </w:tcPr>
          <w:p w14:paraId="449D35CC">
            <w:pPr>
              <w:rPr>
                <w:rFonts w:ascii="Arial" w:hAnsi="Arial"/>
                <w:szCs w:val="20"/>
                <w:lang w:val="en-GB"/>
              </w:rPr>
            </w:pPr>
            <w:r>
              <w:rPr>
                <w:rFonts w:hint="eastAsia" w:ascii="Arial" w:hAnsi="Arial"/>
                <w:szCs w:val="20"/>
                <w:lang w:val="en-GB"/>
              </w:rPr>
              <w:t>控制方式：</w:t>
            </w:r>
            <w:r>
              <w:rPr>
                <w:rFonts w:ascii="Arial" w:hAnsi="Arial"/>
                <w:szCs w:val="20"/>
                <w:lang w:val="en-GB"/>
              </w:rPr>
              <w:t>蠕动泵自动添加消泡剂或补料，并计量</w:t>
            </w:r>
          </w:p>
        </w:tc>
      </w:tr>
      <w:tr w14:paraId="3100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65660396">
            <w:pPr>
              <w:jc w:val="center"/>
              <w:rPr>
                <w:rFonts w:hint="eastAsia"/>
              </w:rPr>
            </w:pPr>
          </w:p>
        </w:tc>
        <w:tc>
          <w:tcPr>
            <w:tcW w:w="1680" w:type="dxa"/>
            <w:vMerge w:val="continue"/>
            <w:vAlign w:val="center"/>
          </w:tcPr>
          <w:p w14:paraId="15A48483">
            <w:pPr>
              <w:jc w:val="center"/>
              <w:rPr>
                <w:rFonts w:hint="eastAsia"/>
              </w:rPr>
            </w:pPr>
          </w:p>
        </w:tc>
        <w:tc>
          <w:tcPr>
            <w:tcW w:w="7200" w:type="dxa"/>
            <w:vAlign w:val="center"/>
          </w:tcPr>
          <w:p w14:paraId="637C4218">
            <w:pPr>
              <w:rPr>
                <w:rFonts w:ascii="Arial" w:hAnsi="Arial"/>
                <w:szCs w:val="20"/>
                <w:lang w:val="en-GB"/>
              </w:rPr>
            </w:pPr>
            <w:r>
              <w:rPr>
                <w:rFonts w:hint="eastAsia" w:ascii="Arial" w:hAnsi="Arial"/>
                <w:szCs w:val="20"/>
                <w:lang w:val="en-GB"/>
              </w:rPr>
              <w:t>功能：</w:t>
            </w:r>
            <w:r>
              <w:rPr>
                <w:rFonts w:ascii="Arial" w:hAnsi="Arial"/>
                <w:szCs w:val="20"/>
                <w:lang w:val="en-GB"/>
              </w:rPr>
              <w:t>全自动PID控制与报警</w:t>
            </w:r>
          </w:p>
        </w:tc>
      </w:tr>
      <w:tr w14:paraId="6A7E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7D760063">
            <w:pPr>
              <w:jc w:val="center"/>
              <w:rPr>
                <w:rFonts w:hint="eastAsia"/>
              </w:rPr>
            </w:pPr>
          </w:p>
        </w:tc>
        <w:tc>
          <w:tcPr>
            <w:tcW w:w="1680" w:type="dxa"/>
            <w:vMerge w:val="continue"/>
            <w:vAlign w:val="center"/>
          </w:tcPr>
          <w:p w14:paraId="32F9CE13">
            <w:pPr>
              <w:jc w:val="center"/>
              <w:rPr>
                <w:rFonts w:hint="eastAsia"/>
              </w:rPr>
            </w:pPr>
          </w:p>
        </w:tc>
        <w:tc>
          <w:tcPr>
            <w:tcW w:w="7200" w:type="dxa"/>
            <w:vAlign w:val="center"/>
          </w:tcPr>
          <w:p w14:paraId="34638F56">
            <w:pPr>
              <w:rPr>
                <w:rFonts w:hint="eastAsia"/>
                <w:b/>
              </w:rPr>
            </w:pPr>
            <w:r>
              <w:rPr>
                <w:b/>
              </w:rPr>
              <w:t>pH控制</w:t>
            </w:r>
          </w:p>
        </w:tc>
      </w:tr>
      <w:tr w14:paraId="0838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17E5966F">
            <w:pPr>
              <w:jc w:val="center"/>
              <w:rPr>
                <w:rFonts w:hint="eastAsia"/>
              </w:rPr>
            </w:pPr>
          </w:p>
        </w:tc>
        <w:tc>
          <w:tcPr>
            <w:tcW w:w="1680" w:type="dxa"/>
            <w:vMerge w:val="continue"/>
            <w:vAlign w:val="center"/>
          </w:tcPr>
          <w:p w14:paraId="5DC8E927">
            <w:pPr>
              <w:jc w:val="center"/>
              <w:rPr>
                <w:rFonts w:hint="eastAsia"/>
              </w:rPr>
            </w:pPr>
          </w:p>
        </w:tc>
        <w:tc>
          <w:tcPr>
            <w:tcW w:w="7200" w:type="dxa"/>
            <w:vAlign w:val="center"/>
          </w:tcPr>
          <w:p w14:paraId="7FA56C48">
            <w:pPr>
              <w:rPr>
                <w:rFonts w:ascii="Arial" w:hAnsi="Arial"/>
                <w:szCs w:val="20"/>
                <w:lang w:val="en-GB"/>
              </w:rPr>
            </w:pPr>
            <w:r>
              <w:rPr>
                <w:rFonts w:hint="eastAsia" w:ascii="Arial" w:hAnsi="Arial"/>
                <w:szCs w:val="20"/>
                <w:lang w:val="en-GB"/>
              </w:rPr>
              <w:t>电极：</w:t>
            </w:r>
            <w:r>
              <w:rPr>
                <w:rFonts w:ascii="Arial" w:hAnsi="Arial"/>
                <w:szCs w:val="20"/>
                <w:lang w:val="en-GB"/>
              </w:rPr>
              <w:t>瑞士</w:t>
            </w:r>
            <w:r>
              <w:rPr>
                <w:rFonts w:hint="eastAsia" w:ascii="Arial" w:hAnsi="Arial"/>
                <w:szCs w:val="20"/>
              </w:rPr>
              <w:t>梅特勒</w:t>
            </w:r>
            <w:r>
              <w:rPr>
                <w:rFonts w:ascii="Arial" w:hAnsi="Arial"/>
                <w:szCs w:val="20"/>
                <w:lang w:val="en-GB"/>
              </w:rPr>
              <w:t xml:space="preserve">可耐高温消毒的玻璃凝胶电极和导线； </w:t>
            </w:r>
          </w:p>
        </w:tc>
      </w:tr>
      <w:tr w14:paraId="72B9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6A7DD08A">
            <w:pPr>
              <w:jc w:val="center"/>
              <w:rPr>
                <w:rFonts w:hint="eastAsia"/>
              </w:rPr>
            </w:pPr>
          </w:p>
        </w:tc>
        <w:tc>
          <w:tcPr>
            <w:tcW w:w="1680" w:type="dxa"/>
            <w:vMerge w:val="continue"/>
            <w:vAlign w:val="center"/>
          </w:tcPr>
          <w:p w14:paraId="77B637F7">
            <w:pPr>
              <w:jc w:val="center"/>
              <w:rPr>
                <w:rFonts w:hint="eastAsia"/>
              </w:rPr>
            </w:pPr>
          </w:p>
        </w:tc>
        <w:tc>
          <w:tcPr>
            <w:tcW w:w="7200" w:type="dxa"/>
            <w:vAlign w:val="center"/>
          </w:tcPr>
          <w:p w14:paraId="248DE5E9">
            <w:pPr>
              <w:rPr>
                <w:rFonts w:ascii="Arial" w:hAnsi="Arial"/>
                <w:szCs w:val="20"/>
                <w:lang w:val="en-GB"/>
              </w:rPr>
            </w:pPr>
            <w:r>
              <w:rPr>
                <w:rFonts w:hint="eastAsia" w:ascii="Arial" w:hAnsi="Arial"/>
                <w:szCs w:val="20"/>
                <w:lang w:val="en-GB"/>
              </w:rPr>
              <w:t>控制方式：</w:t>
            </w:r>
            <w:r>
              <w:rPr>
                <w:rFonts w:ascii="Arial" w:hAnsi="Arial"/>
                <w:szCs w:val="20"/>
                <w:lang w:val="en-GB"/>
              </w:rPr>
              <w:t>2台蠕动泵开关控制流加酸碱，自动控制，自动计量</w:t>
            </w:r>
            <w:r>
              <w:rPr>
                <w:rFonts w:hint="eastAsia" w:ascii="Arial" w:hAnsi="Arial"/>
                <w:szCs w:val="20"/>
                <w:lang w:val="en-GB"/>
              </w:rPr>
              <w:t>（</w:t>
            </w:r>
            <w:r>
              <w:rPr>
                <w:rFonts w:hint="eastAsia" w:ascii="Arial" w:hAnsi="Arial"/>
                <w:szCs w:val="20"/>
              </w:rPr>
              <w:t>客户配</w:t>
            </w:r>
            <w:r>
              <w:rPr>
                <w:rFonts w:hint="eastAsia" w:ascii="Arial" w:hAnsi="Arial"/>
                <w:szCs w:val="20"/>
                <w:lang w:val="en-GB"/>
              </w:rPr>
              <w:t>）</w:t>
            </w:r>
          </w:p>
        </w:tc>
      </w:tr>
      <w:tr w14:paraId="02B0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5DFDE1EA">
            <w:pPr>
              <w:jc w:val="center"/>
              <w:rPr>
                <w:rFonts w:hint="eastAsia"/>
              </w:rPr>
            </w:pPr>
          </w:p>
        </w:tc>
        <w:tc>
          <w:tcPr>
            <w:tcW w:w="1680" w:type="dxa"/>
            <w:vMerge w:val="continue"/>
            <w:vAlign w:val="center"/>
          </w:tcPr>
          <w:p w14:paraId="6FD0B46F">
            <w:pPr>
              <w:jc w:val="center"/>
              <w:rPr>
                <w:rFonts w:hint="eastAsia"/>
              </w:rPr>
            </w:pPr>
          </w:p>
        </w:tc>
        <w:tc>
          <w:tcPr>
            <w:tcW w:w="7200" w:type="dxa"/>
            <w:vAlign w:val="center"/>
          </w:tcPr>
          <w:p w14:paraId="34A6EBC7">
            <w:pPr>
              <w:rPr>
                <w:rFonts w:ascii="Arial" w:hAnsi="Arial"/>
                <w:szCs w:val="20"/>
                <w:lang w:val="en-GB"/>
              </w:rPr>
            </w:pPr>
            <w:r>
              <w:rPr>
                <w:rFonts w:ascii="Arial" w:hAnsi="Arial"/>
                <w:szCs w:val="20"/>
                <w:lang w:val="en-GB"/>
              </w:rPr>
              <w:t>显示范围：0.00~14.00±0.01，全自动控制范围：2.00~12.00±0.02</w:t>
            </w:r>
          </w:p>
        </w:tc>
      </w:tr>
      <w:tr w14:paraId="15A2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36576CA5">
            <w:pPr>
              <w:jc w:val="center"/>
              <w:rPr>
                <w:rFonts w:hint="eastAsia"/>
              </w:rPr>
            </w:pPr>
          </w:p>
        </w:tc>
        <w:tc>
          <w:tcPr>
            <w:tcW w:w="1680" w:type="dxa"/>
            <w:vMerge w:val="continue"/>
            <w:vAlign w:val="center"/>
          </w:tcPr>
          <w:p w14:paraId="52EFCFA2">
            <w:pPr>
              <w:jc w:val="center"/>
              <w:rPr>
                <w:rFonts w:hint="eastAsia"/>
              </w:rPr>
            </w:pPr>
          </w:p>
        </w:tc>
        <w:tc>
          <w:tcPr>
            <w:tcW w:w="7200" w:type="dxa"/>
            <w:vAlign w:val="center"/>
          </w:tcPr>
          <w:p w14:paraId="54FD5497">
            <w:pPr>
              <w:rPr>
                <w:rFonts w:hint="eastAsia"/>
                <w:b/>
              </w:rPr>
            </w:pPr>
            <w:r>
              <w:rPr>
                <w:b/>
              </w:rPr>
              <w:t>DO控制</w:t>
            </w:r>
          </w:p>
        </w:tc>
      </w:tr>
      <w:tr w14:paraId="4D71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28E0E689">
            <w:pPr>
              <w:jc w:val="center"/>
              <w:rPr>
                <w:rFonts w:hint="eastAsia"/>
              </w:rPr>
            </w:pPr>
          </w:p>
        </w:tc>
        <w:tc>
          <w:tcPr>
            <w:tcW w:w="1680" w:type="dxa"/>
            <w:vMerge w:val="continue"/>
            <w:vAlign w:val="center"/>
          </w:tcPr>
          <w:p w14:paraId="56F8E87D">
            <w:pPr>
              <w:jc w:val="center"/>
              <w:rPr>
                <w:rFonts w:hint="eastAsia"/>
              </w:rPr>
            </w:pPr>
          </w:p>
        </w:tc>
        <w:tc>
          <w:tcPr>
            <w:tcW w:w="7200" w:type="dxa"/>
            <w:vAlign w:val="center"/>
          </w:tcPr>
          <w:p w14:paraId="25FBF1A2">
            <w:pPr>
              <w:rPr>
                <w:rFonts w:ascii="Arial" w:hAnsi="Arial"/>
                <w:szCs w:val="20"/>
                <w:lang w:val="en-GB"/>
              </w:rPr>
            </w:pPr>
            <w:r>
              <w:rPr>
                <w:rFonts w:hint="eastAsia" w:ascii="Arial" w:hAnsi="Arial"/>
                <w:szCs w:val="20"/>
                <w:lang w:val="en-GB"/>
              </w:rPr>
              <w:t>电极：</w:t>
            </w:r>
            <w:r>
              <w:rPr>
                <w:rFonts w:ascii="Arial" w:hAnsi="Arial"/>
                <w:szCs w:val="20"/>
                <w:lang w:val="en-GB"/>
              </w:rPr>
              <w:t>瑞士</w:t>
            </w:r>
            <w:r>
              <w:rPr>
                <w:rFonts w:hint="eastAsia" w:ascii="Arial" w:hAnsi="Arial"/>
                <w:szCs w:val="20"/>
              </w:rPr>
              <w:t>梅特勒</w:t>
            </w:r>
            <w:r>
              <w:rPr>
                <w:rFonts w:ascii="Arial" w:hAnsi="Arial"/>
                <w:szCs w:val="20"/>
                <w:lang w:val="en-GB"/>
              </w:rPr>
              <w:t>电极及屏蔽导线</w:t>
            </w:r>
          </w:p>
        </w:tc>
      </w:tr>
      <w:tr w14:paraId="0C29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187E0663">
            <w:pPr>
              <w:jc w:val="center"/>
              <w:rPr>
                <w:rFonts w:hint="eastAsia"/>
              </w:rPr>
            </w:pPr>
          </w:p>
        </w:tc>
        <w:tc>
          <w:tcPr>
            <w:tcW w:w="1680" w:type="dxa"/>
            <w:vMerge w:val="continue"/>
            <w:vAlign w:val="center"/>
          </w:tcPr>
          <w:p w14:paraId="35C7C501">
            <w:pPr>
              <w:jc w:val="center"/>
              <w:rPr>
                <w:rFonts w:hint="eastAsia"/>
              </w:rPr>
            </w:pPr>
          </w:p>
        </w:tc>
        <w:tc>
          <w:tcPr>
            <w:tcW w:w="7200" w:type="dxa"/>
            <w:vAlign w:val="center"/>
          </w:tcPr>
          <w:p w14:paraId="4BDD8450">
            <w:pPr>
              <w:rPr>
                <w:rFonts w:ascii="Arial" w:hAnsi="Arial"/>
                <w:szCs w:val="20"/>
                <w:lang w:val="en-GB"/>
              </w:rPr>
            </w:pPr>
            <w:r>
              <w:rPr>
                <w:rFonts w:ascii="Arial" w:hAnsi="Arial"/>
                <w:szCs w:val="20"/>
                <w:lang w:val="en-GB"/>
              </w:rPr>
              <w:t>测量范围</w:t>
            </w:r>
            <w:r>
              <w:rPr>
                <w:rFonts w:hint="eastAsia" w:ascii="Arial" w:hAnsi="Arial"/>
                <w:szCs w:val="20"/>
                <w:lang w:val="en-GB"/>
              </w:rPr>
              <w:t>：</w:t>
            </w:r>
            <w:r>
              <w:rPr>
                <w:rFonts w:ascii="Arial" w:hAnsi="Arial"/>
                <w:szCs w:val="20"/>
                <w:lang w:val="en-GB"/>
              </w:rPr>
              <w:t>0.1~150%</w:t>
            </w:r>
          </w:p>
        </w:tc>
      </w:tr>
      <w:tr w14:paraId="10C0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3D7BCD82">
            <w:pPr>
              <w:jc w:val="center"/>
              <w:rPr>
                <w:rFonts w:hint="eastAsia"/>
              </w:rPr>
            </w:pPr>
          </w:p>
        </w:tc>
        <w:tc>
          <w:tcPr>
            <w:tcW w:w="1680" w:type="dxa"/>
            <w:vMerge w:val="continue"/>
            <w:vAlign w:val="center"/>
          </w:tcPr>
          <w:p w14:paraId="5187CEBD">
            <w:pPr>
              <w:jc w:val="center"/>
              <w:rPr>
                <w:rFonts w:hint="eastAsia"/>
              </w:rPr>
            </w:pPr>
          </w:p>
        </w:tc>
        <w:tc>
          <w:tcPr>
            <w:tcW w:w="7200" w:type="dxa"/>
            <w:vAlign w:val="center"/>
          </w:tcPr>
          <w:p w14:paraId="621312AF">
            <w:pPr>
              <w:rPr>
                <w:rFonts w:ascii="Arial" w:hAnsi="Arial"/>
                <w:szCs w:val="20"/>
                <w:lang w:val="en-GB"/>
              </w:rPr>
            </w:pPr>
            <w:r>
              <w:rPr>
                <w:rFonts w:ascii="Arial" w:hAnsi="Arial"/>
                <w:szCs w:val="20"/>
                <w:lang w:val="en-GB"/>
              </w:rPr>
              <w:t>控制精度：±3%,</w:t>
            </w:r>
          </w:p>
        </w:tc>
      </w:tr>
      <w:tr w14:paraId="6813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48835BC2">
            <w:pPr>
              <w:jc w:val="center"/>
              <w:rPr>
                <w:rFonts w:hint="eastAsia"/>
              </w:rPr>
            </w:pPr>
          </w:p>
        </w:tc>
        <w:tc>
          <w:tcPr>
            <w:tcW w:w="1680" w:type="dxa"/>
            <w:vMerge w:val="continue"/>
            <w:vAlign w:val="center"/>
          </w:tcPr>
          <w:p w14:paraId="7263F3E5">
            <w:pPr>
              <w:jc w:val="center"/>
              <w:rPr>
                <w:rFonts w:hint="eastAsia"/>
              </w:rPr>
            </w:pPr>
          </w:p>
        </w:tc>
        <w:tc>
          <w:tcPr>
            <w:tcW w:w="7200" w:type="dxa"/>
            <w:vAlign w:val="center"/>
          </w:tcPr>
          <w:p w14:paraId="7F9090E6">
            <w:pPr>
              <w:rPr>
                <w:rFonts w:ascii="Arial" w:hAnsi="Arial"/>
                <w:szCs w:val="20"/>
                <w:lang w:val="en-GB"/>
              </w:rPr>
            </w:pPr>
            <w:r>
              <w:rPr>
                <w:rFonts w:ascii="Arial" w:hAnsi="Arial"/>
                <w:szCs w:val="20"/>
                <w:lang w:val="en-GB"/>
              </w:rPr>
              <w:t>分辨率：0.1%</w:t>
            </w:r>
          </w:p>
        </w:tc>
      </w:tr>
      <w:tr w14:paraId="21C4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57BB480E">
            <w:pPr>
              <w:jc w:val="center"/>
              <w:rPr>
                <w:rFonts w:hint="eastAsia"/>
              </w:rPr>
            </w:pPr>
          </w:p>
        </w:tc>
        <w:tc>
          <w:tcPr>
            <w:tcW w:w="1680" w:type="dxa"/>
            <w:vMerge w:val="continue"/>
            <w:vAlign w:val="center"/>
          </w:tcPr>
          <w:p w14:paraId="46C8130F">
            <w:pPr>
              <w:jc w:val="center"/>
              <w:rPr>
                <w:rFonts w:hint="eastAsia"/>
              </w:rPr>
            </w:pPr>
          </w:p>
        </w:tc>
        <w:tc>
          <w:tcPr>
            <w:tcW w:w="7200" w:type="dxa"/>
          </w:tcPr>
          <w:p w14:paraId="048FF55A">
            <w:pPr>
              <w:rPr>
                <w:rFonts w:hint="eastAsia"/>
                <w:b/>
              </w:rPr>
            </w:pPr>
            <w:r>
              <w:rPr>
                <w:b/>
              </w:rPr>
              <w:t>排气控制</w:t>
            </w:r>
          </w:p>
        </w:tc>
      </w:tr>
      <w:tr w14:paraId="08DC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002904F1">
            <w:pPr>
              <w:jc w:val="center"/>
              <w:rPr>
                <w:rFonts w:hint="eastAsia"/>
              </w:rPr>
            </w:pPr>
          </w:p>
        </w:tc>
        <w:tc>
          <w:tcPr>
            <w:tcW w:w="1680" w:type="dxa"/>
            <w:vMerge w:val="continue"/>
            <w:vAlign w:val="center"/>
          </w:tcPr>
          <w:p w14:paraId="40AF4F71">
            <w:pPr>
              <w:jc w:val="center"/>
              <w:rPr>
                <w:rFonts w:hint="eastAsia"/>
              </w:rPr>
            </w:pPr>
          </w:p>
        </w:tc>
        <w:tc>
          <w:tcPr>
            <w:tcW w:w="7200" w:type="dxa"/>
          </w:tcPr>
          <w:p w14:paraId="20877D3E">
            <w:pPr>
              <w:rPr>
                <w:rFonts w:ascii="Arial" w:hAnsi="Arial"/>
                <w:szCs w:val="20"/>
                <w:lang w:val="en-GB"/>
              </w:rPr>
            </w:pPr>
            <w:r>
              <w:rPr>
                <w:rFonts w:hint="eastAsia" w:ascii="Arial" w:hAnsi="Arial"/>
                <w:szCs w:val="20"/>
                <w:lang w:val="en-GB"/>
              </w:rPr>
              <w:t>显示方式：</w:t>
            </w:r>
            <w:r>
              <w:rPr>
                <w:rFonts w:ascii="Arial" w:hAnsi="Arial"/>
                <w:szCs w:val="20"/>
                <w:lang w:val="en-GB"/>
              </w:rPr>
              <w:t>采用压力表显示罐压,</w:t>
            </w:r>
          </w:p>
        </w:tc>
      </w:tr>
      <w:tr w14:paraId="228F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0CE38018">
            <w:pPr>
              <w:jc w:val="center"/>
              <w:rPr>
                <w:rFonts w:hint="eastAsia"/>
              </w:rPr>
            </w:pPr>
          </w:p>
        </w:tc>
        <w:tc>
          <w:tcPr>
            <w:tcW w:w="1680" w:type="dxa"/>
            <w:vMerge w:val="continue"/>
            <w:vAlign w:val="center"/>
          </w:tcPr>
          <w:p w14:paraId="0EB5D5B7">
            <w:pPr>
              <w:jc w:val="center"/>
              <w:rPr>
                <w:rFonts w:hint="eastAsia"/>
              </w:rPr>
            </w:pPr>
          </w:p>
        </w:tc>
        <w:tc>
          <w:tcPr>
            <w:tcW w:w="7200" w:type="dxa"/>
          </w:tcPr>
          <w:p w14:paraId="70D47B69">
            <w:pPr>
              <w:rPr>
                <w:rFonts w:ascii="Arial" w:hAnsi="Arial"/>
                <w:szCs w:val="20"/>
                <w:lang w:val="en-GB"/>
              </w:rPr>
            </w:pPr>
            <w:r>
              <w:rPr>
                <w:rFonts w:ascii="Arial" w:hAnsi="Arial"/>
                <w:szCs w:val="20"/>
                <w:lang w:val="en-GB"/>
              </w:rPr>
              <w:t>显示范围：0-0.4MPa。</w:t>
            </w:r>
          </w:p>
        </w:tc>
      </w:tr>
      <w:tr w14:paraId="4EC7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6F531253">
            <w:pPr>
              <w:jc w:val="center"/>
              <w:rPr>
                <w:rFonts w:hint="eastAsia"/>
              </w:rPr>
            </w:pPr>
          </w:p>
        </w:tc>
        <w:tc>
          <w:tcPr>
            <w:tcW w:w="1680" w:type="dxa"/>
            <w:vMerge w:val="continue"/>
            <w:vAlign w:val="center"/>
          </w:tcPr>
          <w:p w14:paraId="60F2F961">
            <w:pPr>
              <w:jc w:val="center"/>
              <w:rPr>
                <w:rFonts w:hint="eastAsia"/>
              </w:rPr>
            </w:pPr>
          </w:p>
        </w:tc>
        <w:tc>
          <w:tcPr>
            <w:tcW w:w="7200" w:type="dxa"/>
          </w:tcPr>
          <w:p w14:paraId="6455E88F">
            <w:pPr>
              <w:rPr>
                <w:rFonts w:ascii="Arial" w:hAnsi="Arial"/>
                <w:szCs w:val="20"/>
                <w:lang w:val="en-GB"/>
              </w:rPr>
            </w:pPr>
            <w:r>
              <w:rPr>
                <w:rFonts w:hint="eastAsia" w:ascii="Arial" w:hAnsi="Arial"/>
                <w:szCs w:val="20"/>
                <w:lang w:val="en-GB"/>
              </w:rPr>
              <w:t>调节方式：</w:t>
            </w:r>
            <w:r>
              <w:rPr>
                <w:rFonts w:ascii="Arial" w:hAnsi="Arial"/>
                <w:szCs w:val="20"/>
                <w:lang w:val="en-GB"/>
              </w:rPr>
              <w:t>手动调节通风量，带尾气排放</w:t>
            </w:r>
          </w:p>
        </w:tc>
      </w:tr>
      <w:tr w14:paraId="74FD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5D30F885">
            <w:pPr>
              <w:jc w:val="center"/>
              <w:rPr>
                <w:rFonts w:hint="eastAsia"/>
              </w:rPr>
            </w:pPr>
          </w:p>
        </w:tc>
        <w:tc>
          <w:tcPr>
            <w:tcW w:w="1680" w:type="dxa"/>
            <w:vMerge w:val="continue"/>
            <w:vAlign w:val="center"/>
          </w:tcPr>
          <w:p w14:paraId="3ABB009A">
            <w:pPr>
              <w:jc w:val="center"/>
              <w:rPr>
                <w:rFonts w:hint="eastAsia"/>
              </w:rPr>
            </w:pPr>
          </w:p>
        </w:tc>
        <w:tc>
          <w:tcPr>
            <w:tcW w:w="7200" w:type="dxa"/>
          </w:tcPr>
          <w:p w14:paraId="3312D835">
            <w:pPr>
              <w:rPr>
                <w:rFonts w:ascii="Arial" w:hAnsi="Arial"/>
                <w:szCs w:val="20"/>
                <w:lang w:val="en-GB"/>
              </w:rPr>
            </w:pPr>
            <w:r>
              <w:rPr>
                <w:rFonts w:ascii="Arial" w:hAnsi="Arial"/>
                <w:szCs w:val="20"/>
                <w:lang w:val="en-GB"/>
              </w:rPr>
              <w:t>冷凝系统</w:t>
            </w:r>
            <w:r>
              <w:rPr>
                <w:rFonts w:hint="eastAsia" w:ascii="Arial" w:hAnsi="Arial"/>
                <w:szCs w:val="20"/>
                <w:lang w:val="en-GB"/>
              </w:rPr>
              <w:t>：</w:t>
            </w:r>
            <w:r>
              <w:rPr>
                <w:rFonts w:ascii="Arial" w:hAnsi="Arial"/>
                <w:szCs w:val="20"/>
                <w:lang w:val="en-GB"/>
              </w:rPr>
              <w:t>隔膜阀控制尾气排放</w:t>
            </w:r>
          </w:p>
        </w:tc>
      </w:tr>
      <w:tr w14:paraId="2F5A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2FFE842E">
            <w:pPr>
              <w:jc w:val="center"/>
              <w:rPr>
                <w:rFonts w:hint="eastAsia"/>
              </w:rPr>
            </w:pPr>
          </w:p>
        </w:tc>
        <w:tc>
          <w:tcPr>
            <w:tcW w:w="1680" w:type="dxa"/>
            <w:vMerge w:val="continue"/>
            <w:vAlign w:val="center"/>
          </w:tcPr>
          <w:p w14:paraId="5221AE34">
            <w:pPr>
              <w:jc w:val="center"/>
              <w:rPr>
                <w:rFonts w:hint="eastAsia"/>
              </w:rPr>
            </w:pPr>
          </w:p>
        </w:tc>
        <w:tc>
          <w:tcPr>
            <w:tcW w:w="7200" w:type="dxa"/>
            <w:vAlign w:val="center"/>
          </w:tcPr>
          <w:p w14:paraId="7124E465">
            <w:pPr>
              <w:rPr>
                <w:rFonts w:hint="eastAsia"/>
                <w:b/>
              </w:rPr>
            </w:pPr>
            <w:r>
              <w:rPr>
                <w:b/>
              </w:rPr>
              <w:t>消泡控制</w:t>
            </w:r>
          </w:p>
        </w:tc>
      </w:tr>
      <w:tr w14:paraId="5D60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4B40B4AB">
            <w:pPr>
              <w:jc w:val="center"/>
              <w:rPr>
                <w:rFonts w:hint="eastAsia"/>
              </w:rPr>
            </w:pPr>
          </w:p>
        </w:tc>
        <w:tc>
          <w:tcPr>
            <w:tcW w:w="1680" w:type="dxa"/>
            <w:vMerge w:val="continue"/>
            <w:vAlign w:val="center"/>
          </w:tcPr>
          <w:p w14:paraId="0C5FE349">
            <w:pPr>
              <w:jc w:val="center"/>
              <w:rPr>
                <w:rFonts w:hint="eastAsia"/>
              </w:rPr>
            </w:pPr>
          </w:p>
        </w:tc>
        <w:tc>
          <w:tcPr>
            <w:tcW w:w="7200" w:type="dxa"/>
            <w:vAlign w:val="center"/>
          </w:tcPr>
          <w:p w14:paraId="559F0EDB">
            <w:pPr>
              <w:rPr>
                <w:rFonts w:ascii="Arial" w:hAnsi="Arial"/>
                <w:szCs w:val="20"/>
                <w:lang w:val="en-GB"/>
              </w:rPr>
            </w:pPr>
            <w:r>
              <w:rPr>
                <w:rFonts w:ascii="Arial" w:hAnsi="Arial"/>
                <w:szCs w:val="20"/>
                <w:lang w:val="en-GB"/>
              </w:rPr>
              <w:t>灵敏度</w:t>
            </w:r>
            <w:r>
              <w:rPr>
                <w:rFonts w:hint="eastAsia" w:ascii="Arial" w:hAnsi="Arial"/>
                <w:szCs w:val="20"/>
                <w:lang w:val="en-GB"/>
              </w:rPr>
              <w:t>：</w:t>
            </w:r>
            <w:r>
              <w:rPr>
                <w:rFonts w:ascii="Arial" w:hAnsi="Arial"/>
                <w:szCs w:val="20"/>
                <w:lang w:val="en-GB"/>
              </w:rPr>
              <w:t>100 ~100000Ω</w:t>
            </w:r>
          </w:p>
          <w:p w14:paraId="5209CF42">
            <w:pPr>
              <w:rPr>
                <w:rFonts w:ascii="Arial" w:hAnsi="Arial"/>
                <w:szCs w:val="20"/>
                <w:lang w:val="en-GB"/>
              </w:rPr>
            </w:pPr>
            <w:r>
              <w:rPr>
                <w:rFonts w:hint="eastAsia" w:ascii="Arial" w:hAnsi="Arial"/>
                <w:szCs w:val="20"/>
                <w:lang w:val="en-GB"/>
              </w:rPr>
              <w:t>检测：</w:t>
            </w:r>
            <w:r>
              <w:rPr>
                <w:rFonts w:ascii="Arial" w:hAnsi="Arial"/>
                <w:szCs w:val="20"/>
                <w:lang w:val="en-GB"/>
              </w:rPr>
              <w:t>自动检测泡沫</w:t>
            </w:r>
          </w:p>
        </w:tc>
      </w:tr>
      <w:tr w14:paraId="25A8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6D4239BB">
            <w:pPr>
              <w:jc w:val="center"/>
              <w:rPr>
                <w:rFonts w:hint="eastAsia"/>
              </w:rPr>
            </w:pPr>
          </w:p>
        </w:tc>
        <w:tc>
          <w:tcPr>
            <w:tcW w:w="1680" w:type="dxa"/>
            <w:vMerge w:val="continue"/>
            <w:vAlign w:val="center"/>
          </w:tcPr>
          <w:p w14:paraId="20ADA81B">
            <w:pPr>
              <w:jc w:val="center"/>
              <w:rPr>
                <w:rFonts w:hint="eastAsia"/>
              </w:rPr>
            </w:pPr>
          </w:p>
        </w:tc>
        <w:tc>
          <w:tcPr>
            <w:tcW w:w="7200" w:type="dxa"/>
            <w:vAlign w:val="center"/>
          </w:tcPr>
          <w:p w14:paraId="4116E050">
            <w:pPr>
              <w:rPr>
                <w:rFonts w:ascii="Arial" w:hAnsi="Arial"/>
                <w:szCs w:val="20"/>
                <w:lang w:val="en-GB"/>
              </w:rPr>
            </w:pPr>
            <w:r>
              <w:rPr>
                <w:rFonts w:hint="eastAsia" w:ascii="Arial" w:hAnsi="Arial"/>
                <w:szCs w:val="20"/>
                <w:lang w:val="en-GB"/>
              </w:rPr>
              <w:t>消泡方式：</w:t>
            </w:r>
            <w:r>
              <w:rPr>
                <w:rFonts w:ascii="Arial" w:hAnsi="Arial"/>
                <w:szCs w:val="20"/>
                <w:lang w:val="en-GB"/>
              </w:rPr>
              <w:t>蠕动泵自动添加消泡剂</w:t>
            </w:r>
          </w:p>
        </w:tc>
      </w:tr>
      <w:tr w14:paraId="4BD5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vAlign w:val="center"/>
          </w:tcPr>
          <w:p w14:paraId="3E2D11AC">
            <w:pPr>
              <w:jc w:val="center"/>
              <w:rPr>
                <w:rFonts w:hint="eastAsia"/>
              </w:rPr>
            </w:pPr>
            <w:r>
              <w:rPr>
                <w:rFonts w:hint="eastAsia"/>
              </w:rPr>
              <w:t>5</w:t>
            </w:r>
          </w:p>
        </w:tc>
        <w:tc>
          <w:tcPr>
            <w:tcW w:w="1680" w:type="dxa"/>
            <w:vMerge w:val="restart"/>
            <w:vAlign w:val="center"/>
          </w:tcPr>
          <w:p w14:paraId="620BCBC0">
            <w:pPr>
              <w:jc w:val="center"/>
              <w:rPr>
                <w:rFonts w:hint="eastAsia"/>
              </w:rPr>
            </w:pPr>
            <w:r>
              <w:t>补料</w:t>
            </w:r>
            <w:r>
              <w:rPr>
                <w:rFonts w:hint="eastAsia"/>
              </w:rPr>
              <w:t>系统</w:t>
            </w:r>
          </w:p>
        </w:tc>
        <w:tc>
          <w:tcPr>
            <w:tcW w:w="7200" w:type="dxa"/>
            <w:vAlign w:val="center"/>
          </w:tcPr>
          <w:p w14:paraId="79945D89">
            <w:pPr>
              <w:rPr>
                <w:rFonts w:ascii="Arial" w:hAnsi="Arial"/>
                <w:szCs w:val="20"/>
                <w:lang w:val="en-GB"/>
              </w:rPr>
            </w:pPr>
            <w:r>
              <w:rPr>
                <w:rFonts w:hint="eastAsia" w:ascii="Arial" w:hAnsi="Arial"/>
                <w:szCs w:val="20"/>
                <w:lang w:val="en-GB"/>
              </w:rPr>
              <w:t>控制方式：</w:t>
            </w:r>
            <w:r>
              <w:rPr>
                <w:rFonts w:ascii="Arial" w:hAnsi="Arial"/>
                <w:szCs w:val="20"/>
                <w:lang w:val="en-GB"/>
              </w:rPr>
              <w:t>间隙式蠕动泵控制，有手动、自动、关闭三个档位相互切换</w:t>
            </w:r>
          </w:p>
        </w:tc>
      </w:tr>
      <w:tr w14:paraId="0D38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52F781F6">
            <w:pPr>
              <w:jc w:val="center"/>
              <w:rPr>
                <w:rFonts w:hint="eastAsia"/>
              </w:rPr>
            </w:pPr>
          </w:p>
        </w:tc>
        <w:tc>
          <w:tcPr>
            <w:tcW w:w="1680" w:type="dxa"/>
            <w:vMerge w:val="continue"/>
            <w:vAlign w:val="center"/>
          </w:tcPr>
          <w:p w14:paraId="7C41A9B5">
            <w:pPr>
              <w:jc w:val="center"/>
              <w:rPr>
                <w:rFonts w:hint="eastAsia"/>
              </w:rPr>
            </w:pPr>
          </w:p>
        </w:tc>
        <w:tc>
          <w:tcPr>
            <w:tcW w:w="7200" w:type="dxa"/>
            <w:vAlign w:val="center"/>
          </w:tcPr>
          <w:p w14:paraId="7E1881CE">
            <w:pPr>
              <w:rPr>
                <w:rFonts w:hint="eastAsia"/>
              </w:rPr>
            </w:pPr>
            <w:r>
              <w:rPr>
                <w:rFonts w:hint="eastAsia"/>
              </w:rPr>
              <w:t>流速：</w:t>
            </w:r>
            <w:r>
              <w:t>手动或者自动控制流</w:t>
            </w:r>
            <w:r>
              <w:rPr>
                <w:rFonts w:hint="eastAsia"/>
              </w:rPr>
              <w:t>速</w:t>
            </w:r>
            <w:r>
              <w:t>并计量。</w:t>
            </w:r>
          </w:p>
        </w:tc>
      </w:tr>
      <w:tr w14:paraId="585F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557E52C6">
            <w:pPr>
              <w:jc w:val="center"/>
              <w:rPr>
                <w:rFonts w:hint="eastAsia"/>
              </w:rPr>
            </w:pPr>
          </w:p>
        </w:tc>
        <w:tc>
          <w:tcPr>
            <w:tcW w:w="1680" w:type="dxa"/>
            <w:vMerge w:val="continue"/>
            <w:vAlign w:val="center"/>
          </w:tcPr>
          <w:p w14:paraId="6A3A5DA1">
            <w:pPr>
              <w:jc w:val="center"/>
              <w:rPr>
                <w:rFonts w:hint="eastAsia"/>
              </w:rPr>
            </w:pPr>
          </w:p>
        </w:tc>
        <w:tc>
          <w:tcPr>
            <w:tcW w:w="7200" w:type="dxa"/>
            <w:vAlign w:val="center"/>
          </w:tcPr>
          <w:p w14:paraId="5C26D250">
            <w:pPr>
              <w:rPr>
                <w:rFonts w:hint="eastAsia"/>
              </w:rPr>
            </w:pPr>
            <w:r>
              <w:rPr>
                <w:rFonts w:hint="eastAsia"/>
              </w:rPr>
              <w:t>补料瓶：两个罗纹补料瓶，可高压灭菌</w:t>
            </w:r>
          </w:p>
        </w:tc>
      </w:tr>
      <w:tr w14:paraId="4BAC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vAlign w:val="center"/>
          </w:tcPr>
          <w:p w14:paraId="5527A7F5">
            <w:pPr>
              <w:jc w:val="center"/>
              <w:rPr>
                <w:rFonts w:hint="eastAsia"/>
              </w:rPr>
            </w:pPr>
            <w:r>
              <w:rPr>
                <w:rFonts w:hint="eastAsia"/>
              </w:rPr>
              <w:t>6</w:t>
            </w:r>
          </w:p>
        </w:tc>
        <w:tc>
          <w:tcPr>
            <w:tcW w:w="1680" w:type="dxa"/>
            <w:vMerge w:val="restart"/>
            <w:vAlign w:val="center"/>
          </w:tcPr>
          <w:p w14:paraId="6D6354CB">
            <w:pPr>
              <w:jc w:val="center"/>
              <w:rPr>
                <w:rFonts w:ascii="Arial" w:hAnsi="Arial"/>
                <w:szCs w:val="20"/>
                <w:lang w:val="en-GB"/>
              </w:rPr>
            </w:pPr>
            <w:r>
              <w:rPr>
                <w:rFonts w:ascii="Arial" w:hAnsi="Arial"/>
                <w:szCs w:val="20"/>
                <w:lang w:val="en-GB"/>
              </w:rPr>
              <w:t>阀门管件</w:t>
            </w:r>
          </w:p>
        </w:tc>
        <w:tc>
          <w:tcPr>
            <w:tcW w:w="7200" w:type="dxa"/>
            <w:vAlign w:val="center"/>
          </w:tcPr>
          <w:p w14:paraId="16B8D414">
            <w:pPr>
              <w:rPr>
                <w:rFonts w:ascii="Arial" w:hAnsi="Arial"/>
                <w:szCs w:val="20"/>
                <w:lang w:val="en-GB"/>
              </w:rPr>
            </w:pPr>
            <w:r>
              <w:rPr>
                <w:rFonts w:ascii="Arial" w:hAnsi="Arial"/>
                <w:szCs w:val="20"/>
                <w:lang w:val="en-GB"/>
              </w:rPr>
              <w:t>选用</w:t>
            </w:r>
            <w:r>
              <w:rPr>
                <w:rFonts w:hint="eastAsia" w:ascii="Arial" w:hAnsi="Arial"/>
                <w:szCs w:val="20"/>
                <w:lang w:val="en-GB"/>
              </w:rPr>
              <w:t>卫生级</w:t>
            </w:r>
            <w:r>
              <w:rPr>
                <w:rFonts w:ascii="Arial" w:hAnsi="Arial"/>
                <w:szCs w:val="20"/>
                <w:lang w:val="en-GB"/>
              </w:rPr>
              <w:t>不锈阀门及扩培专用阀门，扩培底基阀门采用</w:t>
            </w:r>
            <w:r>
              <w:rPr>
                <w:rFonts w:hint="eastAsia" w:ascii="Arial" w:hAnsi="Arial"/>
                <w:szCs w:val="20"/>
              </w:rPr>
              <w:t>优质</w:t>
            </w:r>
            <w:r>
              <w:rPr>
                <w:rFonts w:ascii="Arial" w:hAnsi="Arial"/>
                <w:szCs w:val="20"/>
                <w:lang w:val="en-GB"/>
              </w:rPr>
              <w:t>隔膜阀；</w:t>
            </w:r>
          </w:p>
        </w:tc>
      </w:tr>
      <w:tr w14:paraId="52FA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3D2D5A36">
            <w:pPr>
              <w:jc w:val="center"/>
              <w:rPr>
                <w:rFonts w:hint="eastAsia"/>
              </w:rPr>
            </w:pPr>
          </w:p>
        </w:tc>
        <w:tc>
          <w:tcPr>
            <w:tcW w:w="1680" w:type="dxa"/>
            <w:vMerge w:val="continue"/>
            <w:vAlign w:val="center"/>
          </w:tcPr>
          <w:p w14:paraId="0FEAA1D0">
            <w:pPr>
              <w:jc w:val="center"/>
              <w:rPr>
                <w:rFonts w:ascii="Arial" w:hAnsi="Arial"/>
                <w:szCs w:val="20"/>
                <w:lang w:val="en-GB"/>
              </w:rPr>
            </w:pPr>
          </w:p>
        </w:tc>
        <w:tc>
          <w:tcPr>
            <w:tcW w:w="7200" w:type="dxa"/>
            <w:vAlign w:val="center"/>
          </w:tcPr>
          <w:p w14:paraId="374E5406">
            <w:pPr>
              <w:rPr>
                <w:rFonts w:ascii="Arial" w:hAnsi="Arial"/>
                <w:szCs w:val="20"/>
                <w:lang w:val="en-GB"/>
              </w:rPr>
            </w:pPr>
            <w:r>
              <w:rPr>
                <w:rFonts w:ascii="Arial" w:hAnsi="Arial"/>
                <w:szCs w:val="20"/>
                <w:lang w:val="en-GB"/>
              </w:rPr>
              <w:t xml:space="preserve">外抛光不锈钢管道及配件，扩培底基管路卫生级内外抛光管； </w:t>
            </w:r>
          </w:p>
        </w:tc>
      </w:tr>
      <w:tr w14:paraId="728C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6255F06C">
            <w:pPr>
              <w:jc w:val="center"/>
              <w:rPr>
                <w:rFonts w:hint="eastAsia"/>
              </w:rPr>
            </w:pPr>
          </w:p>
        </w:tc>
        <w:tc>
          <w:tcPr>
            <w:tcW w:w="1680" w:type="dxa"/>
            <w:vMerge w:val="continue"/>
            <w:vAlign w:val="center"/>
          </w:tcPr>
          <w:p w14:paraId="15F5521A">
            <w:pPr>
              <w:jc w:val="center"/>
              <w:rPr>
                <w:rFonts w:ascii="Arial" w:hAnsi="Arial"/>
                <w:szCs w:val="20"/>
                <w:lang w:val="en-GB"/>
              </w:rPr>
            </w:pPr>
          </w:p>
        </w:tc>
        <w:tc>
          <w:tcPr>
            <w:tcW w:w="7200" w:type="dxa"/>
            <w:vAlign w:val="center"/>
          </w:tcPr>
          <w:p w14:paraId="7F5B7460">
            <w:pPr>
              <w:rPr>
                <w:rFonts w:ascii="Arial" w:hAnsi="Arial"/>
                <w:szCs w:val="20"/>
                <w:lang w:val="en-GB"/>
              </w:rPr>
            </w:pPr>
            <w:r>
              <w:rPr>
                <w:rFonts w:ascii="Arial" w:hAnsi="Arial"/>
                <w:szCs w:val="20"/>
                <w:lang w:val="en-GB"/>
              </w:rPr>
              <w:t>包括空气管路、蒸汽管路、循环水路、扩培底基管路和排污管路</w:t>
            </w:r>
            <w:r>
              <w:rPr>
                <w:rFonts w:hint="eastAsia" w:ascii="Arial" w:hAnsi="Arial"/>
                <w:szCs w:val="20"/>
                <w:lang w:val="en-GB"/>
              </w:rPr>
              <w:t>；</w:t>
            </w:r>
          </w:p>
        </w:tc>
      </w:tr>
      <w:tr w14:paraId="60A9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14C7D4C6">
            <w:pPr>
              <w:jc w:val="center"/>
              <w:rPr>
                <w:rFonts w:hint="eastAsia"/>
              </w:rPr>
            </w:pPr>
          </w:p>
        </w:tc>
        <w:tc>
          <w:tcPr>
            <w:tcW w:w="1680" w:type="dxa"/>
            <w:vMerge w:val="continue"/>
            <w:vAlign w:val="center"/>
          </w:tcPr>
          <w:p w14:paraId="513A6966">
            <w:pPr>
              <w:jc w:val="center"/>
              <w:rPr>
                <w:rFonts w:ascii="Arial" w:hAnsi="Arial"/>
                <w:szCs w:val="20"/>
                <w:lang w:val="en-GB"/>
              </w:rPr>
            </w:pPr>
          </w:p>
        </w:tc>
        <w:tc>
          <w:tcPr>
            <w:tcW w:w="7200" w:type="dxa"/>
            <w:vAlign w:val="center"/>
          </w:tcPr>
          <w:p w14:paraId="48EA541B">
            <w:pPr>
              <w:rPr>
                <w:rFonts w:ascii="Arial" w:hAnsi="Arial"/>
                <w:szCs w:val="20"/>
                <w:lang w:val="en-GB"/>
              </w:rPr>
            </w:pPr>
            <w:r>
              <w:rPr>
                <w:rFonts w:ascii="Arial" w:hAnsi="Arial"/>
                <w:szCs w:val="20"/>
                <w:lang w:val="en-GB"/>
              </w:rPr>
              <w:t>所有管件阀门都可以正面操作，设计合理，操作方便</w:t>
            </w:r>
            <w:r>
              <w:rPr>
                <w:rFonts w:hint="eastAsia" w:ascii="Arial" w:hAnsi="Arial"/>
                <w:szCs w:val="20"/>
                <w:lang w:val="en-GB"/>
              </w:rPr>
              <w:t>；</w:t>
            </w:r>
          </w:p>
        </w:tc>
      </w:tr>
      <w:tr w14:paraId="06CF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Align w:val="center"/>
          </w:tcPr>
          <w:p w14:paraId="608B7CDA">
            <w:pPr>
              <w:jc w:val="center"/>
              <w:rPr>
                <w:rFonts w:hint="eastAsia"/>
              </w:rPr>
            </w:pPr>
            <w:r>
              <w:rPr>
                <w:rFonts w:hint="eastAsia"/>
              </w:rPr>
              <w:t>7</w:t>
            </w:r>
          </w:p>
        </w:tc>
        <w:tc>
          <w:tcPr>
            <w:tcW w:w="1680" w:type="dxa"/>
            <w:vAlign w:val="center"/>
          </w:tcPr>
          <w:p w14:paraId="62419C1F">
            <w:pPr>
              <w:jc w:val="center"/>
              <w:rPr>
                <w:rFonts w:ascii="Arial" w:hAnsi="Arial"/>
                <w:szCs w:val="20"/>
                <w:lang w:val="en-GB"/>
              </w:rPr>
            </w:pPr>
            <w:r>
              <w:rPr>
                <w:rFonts w:ascii="Arial" w:hAnsi="Arial"/>
                <w:szCs w:val="20"/>
                <w:lang w:val="en-GB"/>
              </w:rPr>
              <w:t>控制</w:t>
            </w:r>
            <w:r>
              <w:rPr>
                <w:rFonts w:hint="eastAsia" w:ascii="Arial" w:hAnsi="Arial"/>
                <w:szCs w:val="20"/>
                <w:lang w:val="en-GB"/>
              </w:rPr>
              <w:t>器</w:t>
            </w:r>
          </w:p>
        </w:tc>
        <w:tc>
          <w:tcPr>
            <w:tcW w:w="7200" w:type="dxa"/>
            <w:vAlign w:val="center"/>
          </w:tcPr>
          <w:p w14:paraId="0A0F44CE">
            <w:pPr>
              <w:rPr>
                <w:rFonts w:ascii="Arial" w:hAnsi="Arial"/>
                <w:szCs w:val="20"/>
                <w:lang w:val="en-GB"/>
              </w:rPr>
            </w:pPr>
            <w:r>
              <w:rPr>
                <w:rFonts w:ascii="Arial" w:hAnsi="Arial"/>
                <w:szCs w:val="20"/>
                <w:lang w:val="en-GB"/>
              </w:rPr>
              <w:t>BIOTECH-</w:t>
            </w:r>
            <w:r>
              <w:rPr>
                <w:rFonts w:hint="eastAsia" w:ascii="Arial" w:hAnsi="Arial"/>
                <w:szCs w:val="20"/>
              </w:rPr>
              <w:t>3</w:t>
            </w:r>
            <w:r>
              <w:rPr>
                <w:rFonts w:ascii="Arial" w:hAnsi="Arial"/>
                <w:szCs w:val="20"/>
                <w:lang w:val="en-GB"/>
              </w:rPr>
              <w:t>000生物过程控制器（见后面控制器介绍）</w:t>
            </w:r>
          </w:p>
        </w:tc>
      </w:tr>
      <w:tr w14:paraId="37BD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vAlign w:val="center"/>
          </w:tcPr>
          <w:p w14:paraId="594D76C9">
            <w:pPr>
              <w:jc w:val="center"/>
              <w:rPr>
                <w:rFonts w:hint="eastAsia"/>
              </w:rPr>
            </w:pPr>
            <w:r>
              <w:rPr>
                <w:rFonts w:hint="eastAsia"/>
              </w:rPr>
              <w:t>8</w:t>
            </w:r>
          </w:p>
        </w:tc>
        <w:tc>
          <w:tcPr>
            <w:tcW w:w="1680" w:type="dxa"/>
            <w:vMerge w:val="restart"/>
            <w:vAlign w:val="center"/>
          </w:tcPr>
          <w:p w14:paraId="0BD2D8A9">
            <w:pPr>
              <w:jc w:val="center"/>
              <w:rPr>
                <w:rFonts w:ascii="Arial" w:hAnsi="Arial"/>
                <w:szCs w:val="20"/>
                <w:lang w:val="en-GB"/>
              </w:rPr>
            </w:pPr>
            <w:r>
              <w:rPr>
                <w:rFonts w:ascii="Arial" w:hAnsi="Arial"/>
                <w:szCs w:val="20"/>
                <w:lang w:val="en-GB"/>
              </w:rPr>
              <w:t>配件</w:t>
            </w:r>
          </w:p>
        </w:tc>
        <w:tc>
          <w:tcPr>
            <w:tcW w:w="7200" w:type="dxa"/>
            <w:vAlign w:val="center"/>
          </w:tcPr>
          <w:p w14:paraId="32CE847E">
            <w:pPr>
              <w:rPr>
                <w:rFonts w:ascii="Arial" w:hAnsi="Arial"/>
                <w:szCs w:val="20"/>
                <w:lang w:val="en-GB"/>
              </w:rPr>
            </w:pPr>
            <w:r>
              <w:rPr>
                <w:rFonts w:ascii="Arial" w:hAnsi="Arial"/>
                <w:szCs w:val="20"/>
                <w:lang w:val="en-GB"/>
              </w:rPr>
              <w:t>SUS316L DO电极护套一个</w:t>
            </w:r>
          </w:p>
        </w:tc>
      </w:tr>
      <w:tr w14:paraId="1C3D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7FA2D2C3">
            <w:pPr>
              <w:jc w:val="center"/>
              <w:rPr>
                <w:rFonts w:hint="eastAsia"/>
              </w:rPr>
            </w:pPr>
          </w:p>
        </w:tc>
        <w:tc>
          <w:tcPr>
            <w:tcW w:w="1680" w:type="dxa"/>
            <w:vMerge w:val="continue"/>
            <w:vAlign w:val="center"/>
          </w:tcPr>
          <w:p w14:paraId="247C6D2A">
            <w:pPr>
              <w:rPr>
                <w:rFonts w:ascii="Arial" w:hAnsi="Arial"/>
                <w:szCs w:val="20"/>
                <w:lang w:val="en-GB"/>
              </w:rPr>
            </w:pPr>
          </w:p>
        </w:tc>
        <w:tc>
          <w:tcPr>
            <w:tcW w:w="7200" w:type="dxa"/>
            <w:vAlign w:val="center"/>
          </w:tcPr>
          <w:p w14:paraId="5474B481">
            <w:pPr>
              <w:rPr>
                <w:rFonts w:ascii="Arial" w:hAnsi="Arial"/>
                <w:szCs w:val="20"/>
                <w:lang w:val="en-GB"/>
              </w:rPr>
            </w:pPr>
            <w:r>
              <w:rPr>
                <w:rFonts w:ascii="Arial" w:hAnsi="Arial"/>
                <w:szCs w:val="20"/>
                <w:lang w:val="en-GB"/>
              </w:rPr>
              <w:t>pH电极护套一个</w:t>
            </w:r>
          </w:p>
        </w:tc>
      </w:tr>
      <w:tr w14:paraId="23E6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04485180">
            <w:pPr>
              <w:jc w:val="center"/>
              <w:rPr>
                <w:rFonts w:hint="eastAsia"/>
              </w:rPr>
            </w:pPr>
          </w:p>
        </w:tc>
        <w:tc>
          <w:tcPr>
            <w:tcW w:w="1680" w:type="dxa"/>
            <w:vMerge w:val="continue"/>
            <w:vAlign w:val="center"/>
          </w:tcPr>
          <w:p w14:paraId="656B6022">
            <w:pPr>
              <w:rPr>
                <w:rFonts w:ascii="Arial" w:hAnsi="Arial"/>
                <w:szCs w:val="20"/>
                <w:lang w:val="en-GB"/>
              </w:rPr>
            </w:pPr>
          </w:p>
        </w:tc>
        <w:tc>
          <w:tcPr>
            <w:tcW w:w="7200" w:type="dxa"/>
            <w:vAlign w:val="center"/>
          </w:tcPr>
          <w:p w14:paraId="6353E0E0">
            <w:pPr>
              <w:rPr>
                <w:rFonts w:ascii="Arial" w:hAnsi="Arial"/>
                <w:szCs w:val="20"/>
                <w:lang w:val="en-GB"/>
              </w:rPr>
            </w:pPr>
            <w:r>
              <w:rPr>
                <w:rFonts w:ascii="Arial" w:hAnsi="Arial"/>
                <w:szCs w:val="20"/>
                <w:lang w:val="en-GB"/>
              </w:rPr>
              <w:t>空气过滤滤芯、呼吸过滤器</w:t>
            </w:r>
          </w:p>
        </w:tc>
      </w:tr>
      <w:tr w14:paraId="1CEA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6A4AD4EA">
            <w:pPr>
              <w:jc w:val="center"/>
              <w:rPr>
                <w:rFonts w:hint="eastAsia"/>
              </w:rPr>
            </w:pPr>
          </w:p>
        </w:tc>
        <w:tc>
          <w:tcPr>
            <w:tcW w:w="1680" w:type="dxa"/>
            <w:vMerge w:val="continue"/>
            <w:vAlign w:val="center"/>
          </w:tcPr>
          <w:p w14:paraId="53D7064C">
            <w:pPr>
              <w:rPr>
                <w:rFonts w:ascii="Arial" w:hAnsi="Arial"/>
                <w:szCs w:val="20"/>
                <w:lang w:val="en-GB"/>
              </w:rPr>
            </w:pPr>
          </w:p>
        </w:tc>
        <w:tc>
          <w:tcPr>
            <w:tcW w:w="7200" w:type="dxa"/>
            <w:vAlign w:val="center"/>
          </w:tcPr>
          <w:p w14:paraId="7B198406">
            <w:pPr>
              <w:rPr>
                <w:rFonts w:ascii="Arial" w:hAnsi="Arial"/>
                <w:szCs w:val="20"/>
                <w:lang w:val="en-GB"/>
              </w:rPr>
            </w:pPr>
            <w:r>
              <w:rPr>
                <w:rFonts w:ascii="Arial" w:hAnsi="Arial"/>
                <w:szCs w:val="20"/>
                <w:lang w:val="en-GB"/>
              </w:rPr>
              <w:t>SUS316L补料针</w:t>
            </w:r>
          </w:p>
        </w:tc>
      </w:tr>
      <w:tr w14:paraId="039A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vAlign w:val="center"/>
          </w:tcPr>
          <w:p w14:paraId="75227D74">
            <w:pPr>
              <w:jc w:val="center"/>
              <w:rPr>
                <w:rFonts w:hint="eastAsia"/>
              </w:rPr>
            </w:pPr>
          </w:p>
        </w:tc>
        <w:tc>
          <w:tcPr>
            <w:tcW w:w="1680" w:type="dxa"/>
            <w:vMerge w:val="continue"/>
            <w:vAlign w:val="center"/>
          </w:tcPr>
          <w:p w14:paraId="4733AF18">
            <w:pPr>
              <w:rPr>
                <w:rFonts w:ascii="Arial" w:hAnsi="Arial"/>
                <w:szCs w:val="20"/>
                <w:lang w:val="en-GB"/>
              </w:rPr>
            </w:pPr>
          </w:p>
        </w:tc>
        <w:tc>
          <w:tcPr>
            <w:tcW w:w="7200" w:type="dxa"/>
            <w:vAlign w:val="center"/>
          </w:tcPr>
          <w:p w14:paraId="24D1118C">
            <w:pPr>
              <w:rPr>
                <w:rFonts w:ascii="Arial" w:hAnsi="Arial"/>
                <w:szCs w:val="20"/>
                <w:lang w:val="en-GB"/>
              </w:rPr>
            </w:pPr>
            <w:r>
              <w:rPr>
                <w:rFonts w:ascii="Arial" w:hAnsi="Arial"/>
                <w:szCs w:val="20"/>
                <w:lang w:val="en-GB"/>
              </w:rPr>
              <w:t>橡皮塞足量、o型圈，保险丝等</w:t>
            </w:r>
          </w:p>
        </w:tc>
      </w:tr>
    </w:tbl>
    <w:p w14:paraId="2E6D670A">
      <w:pPr>
        <w:spacing w:line="360" w:lineRule="auto"/>
        <w:rPr>
          <w:rFonts w:ascii="Times New Roman" w:hAnsi="Times New Roman" w:eastAsia="宋体" w:cs="Times New Roman"/>
          <w:sz w:val="24"/>
          <w:szCs w:val="24"/>
        </w:rPr>
      </w:pPr>
    </w:p>
    <w:p w14:paraId="174D9D8D">
      <w:pPr>
        <w:pStyle w:val="61"/>
        <w:ind w:left="0" w:leftChars="0" w:firstLine="0" w:firstLineChars="0"/>
        <w:rPr>
          <w:rFonts w:hint="eastAsia"/>
          <w:lang w:val="en-US" w:eastAsia="zh-CN"/>
        </w:rPr>
      </w:pPr>
    </w:p>
    <w:p w14:paraId="56A392A6">
      <w:pPr>
        <w:spacing w:line="360" w:lineRule="auto"/>
        <w:ind w:firstLine="281" w:firstLineChars="10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三、商务条款</w:t>
      </w:r>
    </w:p>
    <w:p w14:paraId="5889F3F7">
      <w:pPr>
        <w:widowControl/>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3.1、采购设备的总体要求：</w:t>
      </w:r>
    </w:p>
    <w:p w14:paraId="4065FAA4">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1、供应商保证所供商品(包括商品部件、配件）是202</w:t>
      </w:r>
      <w:r>
        <w:rPr>
          <w:rFonts w:hint="eastAsia" w:ascii="宋体" w:hAnsi="宋体" w:cs="宋体"/>
          <w:bCs/>
          <w:color w:val="auto"/>
          <w:sz w:val="24"/>
          <w:lang w:val="en-US" w:eastAsia="zh-CN"/>
        </w:rPr>
        <w:t>5</w:t>
      </w:r>
      <w:r>
        <w:rPr>
          <w:rFonts w:hint="eastAsia" w:ascii="宋体" w:hAnsi="宋体" w:eastAsia="宋体" w:cs="宋体"/>
          <w:bCs/>
          <w:color w:val="auto"/>
          <w:sz w:val="24"/>
        </w:rPr>
        <w:t>年1月1日以后新生产的、未使用过的，符合国家规定的技术规格和质量标准的合格产品，并且是完全符合本次招标文件(包括补充更正，如有）中采购货物要求所规定的技术参数和质量要求。</w:t>
      </w:r>
    </w:p>
    <w:p w14:paraId="30009184">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2、售后服务按国家质量监督管理总局和国家其他有关规定执行，国家没有规定的按厂商规定执行。国家规定标准低于厂商标准的按厂商标准执行，但最低免费原厂质保服务期不得少于2年。</w:t>
      </w:r>
    </w:p>
    <w:p w14:paraId="430BA77A">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3.2、售后服务</w:t>
      </w:r>
    </w:p>
    <w:p w14:paraId="1C0DD251">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cs="宋体"/>
          <w:bCs/>
          <w:color w:val="auto"/>
          <w:sz w:val="24"/>
          <w:lang w:val="en-US" w:eastAsia="zh-CN"/>
        </w:rPr>
        <w:t>、</w:t>
      </w:r>
      <w:r>
        <w:rPr>
          <w:rFonts w:hint="eastAsia" w:ascii="宋体" w:hAnsi="宋体" w:eastAsia="宋体" w:cs="宋体"/>
          <w:bCs/>
          <w:color w:val="auto"/>
          <w:sz w:val="24"/>
        </w:rPr>
        <w:t>本项目提供≥2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476EB72F">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cs="宋体"/>
          <w:bCs/>
          <w:color w:val="auto"/>
          <w:sz w:val="24"/>
          <w:lang w:eastAsia="zh-CN"/>
        </w:rPr>
        <w:t>、</w:t>
      </w:r>
      <w:r>
        <w:rPr>
          <w:rFonts w:hint="eastAsia" w:ascii="宋体" w:hAnsi="宋体" w:eastAsia="宋体" w:cs="宋体"/>
          <w:bCs/>
          <w:color w:val="auto"/>
          <w:sz w:val="24"/>
        </w:rPr>
        <w:t>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5E91CD19">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3、在质保期内，中标供应商应负责对其提供的设备进行现场维修、损坏件更换，不收取额外费用，响应时间必须满足采购人工作正常运行的要求。</w:t>
      </w:r>
    </w:p>
    <w:p w14:paraId="6A2D5599">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4、供应商在投标文件中须说明保修期内提供的服务计划。</w:t>
      </w:r>
    </w:p>
    <w:p w14:paraId="01F3DC91">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5、其他商务要求（包装和运输、保险等）。                        </w:t>
      </w:r>
    </w:p>
    <w:p w14:paraId="3AF58E89">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3.3、交货期限、地点及方式</w:t>
      </w:r>
    </w:p>
    <w:p w14:paraId="7D6F5A5B">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highlight w:val="none"/>
        </w:rPr>
        <w:t>1.中</w:t>
      </w:r>
      <w:r>
        <w:rPr>
          <w:rFonts w:hint="eastAsia" w:ascii="宋体" w:hAnsi="宋体" w:eastAsia="宋体" w:cs="宋体"/>
          <w:bCs/>
          <w:color w:val="auto"/>
          <w:sz w:val="24"/>
          <w:highlight w:val="none"/>
          <w:lang w:val="en-US" w:eastAsia="zh-CN"/>
        </w:rPr>
        <w:t>供应商中标签订合同后，采购人下达设备进场安装通知后80日历天内送达并安装调试完成</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安装、调试期：10天，安装完成后，要负责培训业主至其能独立操作，并掌握相关的检修、维护要点</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rPr>
        <w:t xml:space="preserve">。  </w:t>
      </w:r>
    </w:p>
    <w:p w14:paraId="63649E46">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2. 安装地点：采购单位指定。</w:t>
      </w:r>
    </w:p>
    <w:p w14:paraId="102035AB">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3. 安装标准：符合我国国家有关技术规范要求和技术标准，所有的软件和硬件必须保证同时安装到位。</w:t>
      </w:r>
    </w:p>
    <w:p w14:paraId="4855C01F">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4. 中标方免费提供中标设备（软件和硬件）的安装调试服务。</w:t>
      </w:r>
    </w:p>
    <w:p w14:paraId="786D1AEE">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5. 投标方应在投标文件中应提供安装计划、对安装场地和环境的要求。</w:t>
      </w:r>
    </w:p>
    <w:p w14:paraId="46C69842">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6.交付方式：中标方提供中标货物的安装、培训和技术指导。</w:t>
      </w:r>
    </w:p>
    <w:p w14:paraId="1F5CACCD">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7.中标方在设备交付安装过程中应遵守国家相关法律法规及行业相关规范，做到文明安全施工，在货物交付安装过程中发生的所有安全风险均由中标人承担，如发生安全事故或产生紧急损失（赔偿）等均由中标人承担与采购人无关。</w:t>
      </w:r>
    </w:p>
    <w:p w14:paraId="5F47072D">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3.4、验收方式及标准</w:t>
      </w:r>
    </w:p>
    <w:p w14:paraId="11657B04">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中标单位应提供系统设备的有效检验材料，经采购单位认可后，与合同的技术指标一起作为验收标准。安装调试完毕试运行1个月后的</w:t>
      </w:r>
      <w:r>
        <w:rPr>
          <w:rFonts w:hint="eastAsia" w:ascii="宋体" w:hAnsi="宋体" w:cs="宋体"/>
          <w:color w:val="auto"/>
          <w:sz w:val="24"/>
          <w:highlight w:val="none"/>
          <w:lang w:val="en-US" w:eastAsia="zh-CN"/>
        </w:rPr>
        <w:t>5个工作</w:t>
      </w:r>
      <w:r>
        <w:rPr>
          <w:rFonts w:hint="eastAsia" w:ascii="宋体" w:hAnsi="宋体" w:cs="宋体"/>
          <w:color w:val="auto"/>
          <w:sz w:val="24"/>
          <w:highlight w:val="none"/>
          <w:lang w:eastAsia="zh-CN"/>
        </w:rPr>
        <w:t>日内</w:t>
      </w:r>
      <w:r>
        <w:rPr>
          <w:rFonts w:hint="eastAsia" w:ascii="宋体" w:hAnsi="宋体" w:eastAsia="宋体" w:cs="宋体"/>
          <w:bCs/>
          <w:color w:val="auto"/>
          <w:sz w:val="24"/>
          <w:highlight w:val="none"/>
        </w:rPr>
        <w:t>进行项目验收，采购单位对系统设备验收合格后，在《建德市政府采购验收反馈表》上签署意见并加盖单位公章。验收中发现系统设备达不到验收标准或合同规定的技术指标，中标单位必须更换，并负担由此给采购单位造成的损失，直到验收合格为止。</w:t>
      </w:r>
    </w:p>
    <w:p w14:paraId="5B67A644">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投标方应于投标书中提供系统设备的验收标准和检测办法，并在验收中提供买方认可的相应检测手段，验收标准应符合中国有关的国家、地方、行业的标准，如若中标，经买方确认后作为验收的依据。</w:t>
      </w:r>
    </w:p>
    <w:p w14:paraId="770FC28B">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3、验收费用由产品供应商承担。</w:t>
      </w:r>
    </w:p>
    <w:p w14:paraId="19BE85BB">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3.5、资金支付的方式、时间和条件</w:t>
      </w:r>
    </w:p>
    <w:p w14:paraId="42C5B236">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采购单位根据合同、投标文件等资料进行验收。</w:t>
      </w:r>
    </w:p>
    <w:p w14:paraId="7D23E046">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rPr>
        <w:t>合同生效以及具备实施条件后7个工作日内，采购单位向中标单位支付合同价的50%预付款（供应商需提供相应金额的预付款保函至采购单位）；安装调试完毕试运行1个月，最终竣工验收合格通过后支付合同价的50%项目款。结算时供应商将结款申请1份、发票原件及复印件1份、合同复印件1份和经采购人验收确认的《建德市政府采购验收反馈表》提交采购人，采购人应自收到发</w:t>
      </w:r>
      <w:r>
        <w:rPr>
          <w:rFonts w:hint="eastAsia" w:ascii="宋体" w:hAnsi="宋体" w:eastAsia="宋体" w:cs="宋体"/>
          <w:bCs/>
          <w:color w:val="auto"/>
          <w:sz w:val="24"/>
          <w:highlight w:val="none"/>
        </w:rPr>
        <w:t>票后5个工作日内支付相应款项。</w:t>
      </w:r>
    </w:p>
    <w:p w14:paraId="590A3ED9">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3.6、履约保证金</w:t>
      </w:r>
    </w:p>
    <w:p w14:paraId="4E1A4EC3">
      <w:pPr>
        <w:widowControl/>
        <w:spacing w:line="360" w:lineRule="auto"/>
        <w:ind w:firstLine="480" w:firstLineChars="200"/>
        <w:jc w:val="left"/>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本项目不收取履约保证金。</w:t>
      </w:r>
    </w:p>
    <w:p w14:paraId="6B825AF3">
      <w:pPr>
        <w:spacing w:line="360" w:lineRule="auto"/>
        <w:jc w:val="center"/>
        <w:outlineLvl w:val="0"/>
        <w:rPr>
          <w:rFonts w:hint="eastAsia" w:ascii="宋体" w:hAnsi="宋体" w:eastAsia="宋体" w:cs="宋体"/>
          <w:b/>
          <w:color w:val="auto"/>
          <w:sz w:val="36"/>
          <w:szCs w:val="36"/>
        </w:rPr>
      </w:pPr>
    </w:p>
    <w:p w14:paraId="0235FEA9">
      <w:pPr>
        <w:spacing w:line="360" w:lineRule="auto"/>
        <w:jc w:val="center"/>
        <w:outlineLvl w:val="0"/>
        <w:rPr>
          <w:rFonts w:hint="eastAsia" w:ascii="宋体" w:hAnsi="宋体" w:eastAsia="宋体" w:cs="宋体"/>
          <w:b/>
          <w:color w:val="auto"/>
          <w:sz w:val="36"/>
          <w:szCs w:val="36"/>
        </w:rPr>
      </w:pPr>
    </w:p>
    <w:p w14:paraId="48192BE4">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41" w:name="_Toc184312084"/>
      <w:bookmarkEnd w:id="41"/>
      <w:bookmarkStart w:id="42" w:name="_Toc184312077"/>
      <w:bookmarkEnd w:id="42"/>
      <w:bookmarkStart w:id="43" w:name="_Toc184312070"/>
      <w:bookmarkEnd w:id="43"/>
      <w:bookmarkStart w:id="44" w:name="_Toc184312087"/>
      <w:bookmarkEnd w:id="44"/>
      <w:bookmarkStart w:id="45" w:name="_Toc184308041"/>
      <w:bookmarkEnd w:id="45"/>
      <w:bookmarkStart w:id="46" w:name="_Toc184308046"/>
      <w:bookmarkEnd w:id="46"/>
      <w:bookmarkStart w:id="47" w:name="_Toc184313242"/>
      <w:bookmarkEnd w:id="47"/>
      <w:bookmarkStart w:id="48" w:name="_Toc184310296"/>
      <w:bookmarkEnd w:id="48"/>
      <w:bookmarkStart w:id="49" w:name="_Toc184310293"/>
      <w:bookmarkEnd w:id="49"/>
      <w:bookmarkStart w:id="50" w:name="_Toc184310311"/>
      <w:bookmarkEnd w:id="50"/>
      <w:bookmarkStart w:id="51" w:name="_Toc184308052"/>
      <w:bookmarkEnd w:id="51"/>
      <w:bookmarkStart w:id="52" w:name="_Toc184308069"/>
      <w:bookmarkEnd w:id="52"/>
      <w:bookmarkStart w:id="53" w:name="_Toc184308045"/>
      <w:bookmarkEnd w:id="53"/>
      <w:bookmarkStart w:id="54" w:name="_Toc184312082"/>
      <w:bookmarkEnd w:id="54"/>
      <w:bookmarkStart w:id="55" w:name="_Toc184310321"/>
      <w:bookmarkEnd w:id="55"/>
      <w:bookmarkStart w:id="56" w:name="_Toc184313286"/>
      <w:bookmarkEnd w:id="56"/>
      <w:bookmarkStart w:id="57" w:name="_Toc184313302"/>
      <w:bookmarkEnd w:id="57"/>
      <w:bookmarkStart w:id="58" w:name="_Toc184313289"/>
      <w:bookmarkEnd w:id="58"/>
      <w:bookmarkStart w:id="59" w:name="_Toc184313262"/>
      <w:bookmarkEnd w:id="59"/>
      <w:bookmarkStart w:id="60" w:name="_Toc184313295"/>
      <w:bookmarkEnd w:id="60"/>
      <w:bookmarkStart w:id="61" w:name="_Toc184313284"/>
      <w:bookmarkEnd w:id="61"/>
      <w:bookmarkStart w:id="62" w:name="_Toc184312079"/>
      <w:bookmarkEnd w:id="62"/>
      <w:bookmarkStart w:id="63" w:name="_Toc184312068"/>
      <w:bookmarkEnd w:id="63"/>
      <w:bookmarkStart w:id="64" w:name="_Toc184313256"/>
      <w:bookmarkEnd w:id="64"/>
      <w:bookmarkStart w:id="65" w:name="_Toc184308073"/>
      <w:bookmarkEnd w:id="65"/>
      <w:bookmarkStart w:id="66" w:name="_Toc184312098"/>
      <w:bookmarkEnd w:id="66"/>
      <w:bookmarkStart w:id="67" w:name="_Toc184312067"/>
      <w:bookmarkEnd w:id="67"/>
      <w:bookmarkStart w:id="68" w:name="_Toc184313275"/>
      <w:bookmarkEnd w:id="68"/>
      <w:bookmarkStart w:id="69" w:name="_Toc184312130"/>
      <w:bookmarkEnd w:id="69"/>
      <w:bookmarkStart w:id="70" w:name="_Toc184308075"/>
      <w:bookmarkEnd w:id="70"/>
      <w:bookmarkStart w:id="71" w:name="_Toc184312083"/>
      <w:bookmarkEnd w:id="71"/>
      <w:bookmarkStart w:id="72" w:name="_Toc184312085"/>
      <w:bookmarkEnd w:id="72"/>
      <w:bookmarkStart w:id="73" w:name="_Toc184312103"/>
      <w:bookmarkEnd w:id="73"/>
      <w:bookmarkStart w:id="74" w:name="_Toc184310294"/>
      <w:bookmarkEnd w:id="74"/>
      <w:bookmarkStart w:id="75" w:name="_Toc184313279"/>
      <w:bookmarkEnd w:id="75"/>
      <w:bookmarkStart w:id="76" w:name="_Toc184312134"/>
      <w:bookmarkEnd w:id="76"/>
      <w:bookmarkStart w:id="77" w:name="_Toc184310306"/>
      <w:bookmarkEnd w:id="77"/>
      <w:bookmarkStart w:id="78" w:name="_Toc184314454"/>
      <w:bookmarkEnd w:id="78"/>
      <w:bookmarkStart w:id="79" w:name="_Toc184312119"/>
      <w:bookmarkEnd w:id="79"/>
      <w:bookmarkStart w:id="80" w:name="_Toc184310273"/>
      <w:bookmarkEnd w:id="80"/>
      <w:bookmarkStart w:id="81" w:name="_Toc184312110"/>
      <w:bookmarkEnd w:id="81"/>
      <w:bookmarkStart w:id="82" w:name="_Toc184310288"/>
      <w:bookmarkEnd w:id="82"/>
      <w:bookmarkStart w:id="83" w:name="_Toc184310301"/>
      <w:bookmarkEnd w:id="83"/>
      <w:bookmarkStart w:id="84" w:name="_Toc184313310"/>
      <w:bookmarkEnd w:id="84"/>
      <w:bookmarkStart w:id="85" w:name="_Toc184314430"/>
      <w:bookmarkEnd w:id="85"/>
      <w:bookmarkStart w:id="86" w:name="_Toc184310276"/>
      <w:bookmarkEnd w:id="86"/>
      <w:bookmarkStart w:id="87" w:name="_Toc184308107"/>
      <w:bookmarkEnd w:id="87"/>
      <w:bookmarkStart w:id="88" w:name="_Toc184312086"/>
      <w:bookmarkEnd w:id="88"/>
      <w:bookmarkStart w:id="89" w:name="_Toc184312100"/>
      <w:bookmarkEnd w:id="89"/>
      <w:bookmarkStart w:id="90" w:name="_Toc184313307"/>
      <w:bookmarkEnd w:id="90"/>
      <w:bookmarkStart w:id="91" w:name="_Toc184308072"/>
      <w:bookmarkEnd w:id="91"/>
      <w:bookmarkStart w:id="92" w:name="_Toc184314439"/>
      <w:bookmarkEnd w:id="92"/>
      <w:bookmarkStart w:id="93" w:name="_Toc184310338"/>
      <w:bookmarkEnd w:id="93"/>
      <w:bookmarkStart w:id="94" w:name="_Toc184313241"/>
      <w:bookmarkEnd w:id="94"/>
      <w:bookmarkStart w:id="95" w:name="_Toc184310284"/>
      <w:bookmarkEnd w:id="95"/>
      <w:bookmarkStart w:id="96" w:name="_Toc184310317"/>
      <w:bookmarkEnd w:id="96"/>
      <w:bookmarkStart w:id="97" w:name="_Toc184312136"/>
      <w:bookmarkEnd w:id="97"/>
      <w:bookmarkStart w:id="98" w:name="_Toc184308076"/>
      <w:bookmarkEnd w:id="98"/>
      <w:bookmarkStart w:id="99" w:name="_Toc184314440"/>
      <w:bookmarkEnd w:id="99"/>
      <w:bookmarkStart w:id="100" w:name="_Toc184314479"/>
      <w:bookmarkEnd w:id="100"/>
      <w:bookmarkStart w:id="101" w:name="_Toc184310315"/>
      <w:bookmarkEnd w:id="101"/>
      <w:bookmarkStart w:id="102" w:name="_Toc184313240"/>
      <w:bookmarkEnd w:id="102"/>
      <w:bookmarkStart w:id="103" w:name="_Toc184312099"/>
      <w:bookmarkEnd w:id="103"/>
      <w:bookmarkStart w:id="104" w:name="_Toc184312113"/>
      <w:bookmarkEnd w:id="104"/>
      <w:bookmarkStart w:id="105" w:name="_Toc184312106"/>
      <w:bookmarkEnd w:id="105"/>
      <w:bookmarkStart w:id="106" w:name="_Toc184312089"/>
      <w:bookmarkEnd w:id="106"/>
      <w:bookmarkStart w:id="107" w:name="_Toc184314472"/>
      <w:bookmarkEnd w:id="107"/>
      <w:bookmarkStart w:id="108" w:name="_Toc184312125"/>
      <w:bookmarkEnd w:id="108"/>
      <w:bookmarkStart w:id="109" w:name="_Toc184310320"/>
      <w:bookmarkEnd w:id="109"/>
      <w:bookmarkStart w:id="110" w:name="_Toc184313268"/>
      <w:bookmarkEnd w:id="110"/>
      <w:bookmarkStart w:id="111" w:name="_Toc184310314"/>
      <w:bookmarkEnd w:id="111"/>
      <w:bookmarkStart w:id="112" w:name="_Toc184314437"/>
      <w:bookmarkEnd w:id="112"/>
      <w:bookmarkStart w:id="113" w:name="_Toc184314415"/>
      <w:bookmarkEnd w:id="113"/>
      <w:bookmarkStart w:id="114" w:name="_Toc184312093"/>
      <w:bookmarkEnd w:id="114"/>
      <w:bookmarkStart w:id="115" w:name="_Toc184308060"/>
      <w:bookmarkEnd w:id="115"/>
      <w:bookmarkStart w:id="116" w:name="_Toc184308040"/>
      <w:bookmarkEnd w:id="116"/>
      <w:bookmarkStart w:id="117" w:name="_Toc184308083"/>
      <w:bookmarkEnd w:id="117"/>
      <w:bookmarkStart w:id="118" w:name="_Toc184308064"/>
      <w:bookmarkEnd w:id="118"/>
      <w:bookmarkStart w:id="119" w:name="_Toc184308085"/>
      <w:bookmarkEnd w:id="119"/>
      <w:bookmarkStart w:id="120" w:name="_Toc184312074"/>
      <w:bookmarkEnd w:id="120"/>
      <w:bookmarkStart w:id="121" w:name="_Toc184313243"/>
      <w:bookmarkEnd w:id="121"/>
      <w:bookmarkStart w:id="122" w:name="_Toc184308087"/>
      <w:bookmarkEnd w:id="122"/>
      <w:bookmarkStart w:id="123" w:name="_Toc184314466"/>
      <w:bookmarkEnd w:id="123"/>
      <w:bookmarkStart w:id="124" w:name="_Toc184308080"/>
      <w:bookmarkEnd w:id="124"/>
      <w:bookmarkStart w:id="125" w:name="_Toc184308074"/>
      <w:bookmarkEnd w:id="125"/>
      <w:bookmarkStart w:id="126" w:name="_Toc184308042"/>
      <w:bookmarkEnd w:id="126"/>
      <w:bookmarkStart w:id="127" w:name="_Toc184313264"/>
      <w:bookmarkEnd w:id="127"/>
      <w:bookmarkStart w:id="128" w:name="_Toc184314413"/>
      <w:bookmarkEnd w:id="128"/>
      <w:bookmarkStart w:id="129" w:name="_Toc184314421"/>
      <w:bookmarkEnd w:id="129"/>
      <w:bookmarkStart w:id="130" w:name="_Toc184314480"/>
      <w:bookmarkEnd w:id="130"/>
      <w:bookmarkStart w:id="131" w:name="_Toc184310339"/>
      <w:bookmarkEnd w:id="131"/>
      <w:bookmarkStart w:id="132" w:name="_Toc184314475"/>
      <w:bookmarkEnd w:id="132"/>
      <w:bookmarkStart w:id="133" w:name="_Toc184310312"/>
      <w:bookmarkEnd w:id="133"/>
      <w:bookmarkStart w:id="134" w:name="_Toc184314461"/>
      <w:bookmarkEnd w:id="134"/>
      <w:bookmarkStart w:id="135" w:name="_Toc184313285"/>
      <w:bookmarkEnd w:id="135"/>
      <w:bookmarkStart w:id="136" w:name="_Toc184308097"/>
      <w:bookmarkEnd w:id="136"/>
      <w:bookmarkStart w:id="137" w:name="_Toc184312111"/>
      <w:bookmarkEnd w:id="137"/>
      <w:bookmarkStart w:id="138" w:name="_Toc184313292"/>
      <w:bookmarkEnd w:id="138"/>
      <w:bookmarkStart w:id="139" w:name="_Toc184310302"/>
      <w:bookmarkEnd w:id="139"/>
      <w:bookmarkStart w:id="140" w:name="_Toc184310325"/>
      <w:bookmarkEnd w:id="140"/>
      <w:bookmarkStart w:id="141" w:name="_Toc184314424"/>
      <w:bookmarkEnd w:id="141"/>
      <w:bookmarkStart w:id="142" w:name="_Toc184314464"/>
      <w:bookmarkEnd w:id="142"/>
      <w:bookmarkStart w:id="143" w:name="_Toc184310280"/>
      <w:bookmarkEnd w:id="143"/>
      <w:bookmarkStart w:id="144" w:name="_Toc184314426"/>
      <w:bookmarkEnd w:id="144"/>
      <w:bookmarkStart w:id="145" w:name="_Toc184314469"/>
      <w:bookmarkEnd w:id="145"/>
      <w:bookmarkStart w:id="146" w:name="_Toc184308050"/>
      <w:bookmarkEnd w:id="146"/>
      <w:bookmarkStart w:id="147" w:name="_Toc184314474"/>
      <w:bookmarkEnd w:id="147"/>
      <w:bookmarkStart w:id="148" w:name="_Toc184312126"/>
      <w:bookmarkEnd w:id="148"/>
      <w:bookmarkStart w:id="149" w:name="_Toc184313251"/>
      <w:bookmarkEnd w:id="149"/>
      <w:bookmarkStart w:id="150" w:name="_Toc184312115"/>
      <w:bookmarkEnd w:id="150"/>
      <w:bookmarkStart w:id="151" w:name="_Toc184314422"/>
      <w:bookmarkEnd w:id="151"/>
      <w:bookmarkStart w:id="152" w:name="_Toc184310326"/>
      <w:bookmarkEnd w:id="152"/>
      <w:bookmarkStart w:id="153" w:name="_Toc184312137"/>
      <w:bookmarkEnd w:id="153"/>
      <w:bookmarkStart w:id="154" w:name="_Toc184314458"/>
      <w:bookmarkEnd w:id="154"/>
      <w:bookmarkStart w:id="155" w:name="_Toc184314456"/>
      <w:bookmarkEnd w:id="155"/>
      <w:bookmarkStart w:id="156" w:name="_Toc184313299"/>
      <w:bookmarkEnd w:id="156"/>
      <w:bookmarkStart w:id="157" w:name="_Toc184314446"/>
      <w:bookmarkEnd w:id="157"/>
      <w:bookmarkStart w:id="158" w:name="_Toc184313266"/>
      <w:bookmarkEnd w:id="158"/>
      <w:bookmarkStart w:id="159" w:name="_Toc184312105"/>
      <w:bookmarkEnd w:id="159"/>
      <w:bookmarkStart w:id="160" w:name="_Toc184312094"/>
      <w:bookmarkEnd w:id="160"/>
      <w:bookmarkStart w:id="161" w:name="_Toc184313269"/>
      <w:bookmarkEnd w:id="161"/>
      <w:bookmarkStart w:id="162" w:name="_Toc184310283"/>
      <w:bookmarkEnd w:id="162"/>
      <w:bookmarkStart w:id="163" w:name="_Toc184312135"/>
      <w:bookmarkEnd w:id="163"/>
      <w:bookmarkStart w:id="164" w:name="_Toc184312127"/>
      <w:bookmarkEnd w:id="164"/>
      <w:bookmarkStart w:id="165" w:name="_Toc184313257"/>
      <w:bookmarkEnd w:id="165"/>
      <w:bookmarkStart w:id="166" w:name="_Toc184308059"/>
      <w:bookmarkEnd w:id="166"/>
      <w:bookmarkStart w:id="167" w:name="_Toc184314449"/>
      <w:bookmarkEnd w:id="167"/>
      <w:bookmarkStart w:id="168" w:name="_Toc184310344"/>
      <w:bookmarkEnd w:id="168"/>
      <w:bookmarkStart w:id="169" w:name="_Toc184312132"/>
      <w:bookmarkEnd w:id="169"/>
      <w:bookmarkStart w:id="170" w:name="_Toc184310287"/>
      <w:bookmarkEnd w:id="170"/>
      <w:bookmarkStart w:id="171" w:name="_Toc184314476"/>
      <w:bookmarkEnd w:id="171"/>
      <w:bookmarkStart w:id="172" w:name="_Toc184312108"/>
      <w:bookmarkEnd w:id="172"/>
      <w:bookmarkStart w:id="173" w:name="_Toc184313306"/>
      <w:bookmarkEnd w:id="173"/>
      <w:bookmarkStart w:id="174" w:name="_Toc184308056"/>
      <w:bookmarkEnd w:id="174"/>
      <w:bookmarkStart w:id="175" w:name="_Toc184310291"/>
      <w:bookmarkEnd w:id="175"/>
      <w:bookmarkStart w:id="176" w:name="_Toc184310331"/>
      <w:bookmarkEnd w:id="176"/>
      <w:bookmarkStart w:id="177" w:name="_Toc184314462"/>
      <w:bookmarkEnd w:id="177"/>
      <w:bookmarkStart w:id="178" w:name="_Toc184312133"/>
      <w:bookmarkEnd w:id="178"/>
      <w:bookmarkStart w:id="179" w:name="_Toc184310313"/>
      <w:bookmarkEnd w:id="179"/>
      <w:bookmarkStart w:id="180" w:name="_Toc184314438"/>
      <w:bookmarkEnd w:id="180"/>
      <w:bookmarkStart w:id="181" w:name="_Toc184314445"/>
      <w:bookmarkEnd w:id="181"/>
      <w:bookmarkStart w:id="182" w:name="_Toc184308092"/>
      <w:bookmarkEnd w:id="182"/>
      <w:bookmarkStart w:id="183" w:name="_Toc184310333"/>
      <w:bookmarkEnd w:id="183"/>
      <w:bookmarkStart w:id="184" w:name="_Toc184310300"/>
      <w:bookmarkEnd w:id="184"/>
      <w:bookmarkStart w:id="185" w:name="_Toc184312090"/>
      <w:bookmarkEnd w:id="185"/>
      <w:bookmarkStart w:id="186" w:name="_Toc184313298"/>
      <w:bookmarkEnd w:id="186"/>
      <w:bookmarkStart w:id="187" w:name="_Toc184313245"/>
      <w:bookmarkEnd w:id="187"/>
      <w:bookmarkStart w:id="188" w:name="_Toc184312072"/>
      <w:bookmarkEnd w:id="188"/>
      <w:bookmarkStart w:id="189" w:name="_Toc184314418"/>
      <w:bookmarkEnd w:id="189"/>
      <w:bookmarkStart w:id="190" w:name="_Toc184310309"/>
      <w:bookmarkEnd w:id="190"/>
      <w:bookmarkStart w:id="191" w:name="_Toc184310341"/>
      <w:bookmarkEnd w:id="191"/>
      <w:bookmarkStart w:id="192" w:name="_Toc184308053"/>
      <w:bookmarkEnd w:id="192"/>
      <w:bookmarkStart w:id="193" w:name="_Toc184310343"/>
      <w:bookmarkEnd w:id="193"/>
      <w:bookmarkStart w:id="194" w:name="_Toc184312131"/>
      <w:bookmarkEnd w:id="194"/>
      <w:bookmarkStart w:id="195" w:name="_Toc184312112"/>
      <w:bookmarkEnd w:id="195"/>
      <w:bookmarkStart w:id="196" w:name="_Toc184308077"/>
      <w:bookmarkEnd w:id="196"/>
      <w:bookmarkStart w:id="197" w:name="_Toc184310335"/>
      <w:bookmarkEnd w:id="197"/>
      <w:bookmarkStart w:id="198" w:name="_Toc184314467"/>
      <w:bookmarkEnd w:id="198"/>
      <w:bookmarkStart w:id="199" w:name="_Toc184308078"/>
      <w:bookmarkEnd w:id="199"/>
      <w:bookmarkStart w:id="200" w:name="_Toc184314434"/>
      <w:bookmarkEnd w:id="200"/>
      <w:bookmarkStart w:id="201" w:name="_Toc184313244"/>
      <w:bookmarkEnd w:id="201"/>
      <w:bookmarkStart w:id="202" w:name="_Toc184313293"/>
      <w:bookmarkEnd w:id="202"/>
      <w:bookmarkStart w:id="203" w:name="_Toc184313309"/>
      <w:bookmarkEnd w:id="203"/>
      <w:bookmarkStart w:id="204" w:name="_Toc184313294"/>
      <w:bookmarkEnd w:id="204"/>
      <w:bookmarkStart w:id="205" w:name="_Toc184313263"/>
      <w:bookmarkEnd w:id="205"/>
      <w:bookmarkStart w:id="206" w:name="_Toc184308104"/>
      <w:bookmarkEnd w:id="206"/>
      <w:bookmarkStart w:id="207" w:name="_Toc184308098"/>
      <w:bookmarkEnd w:id="207"/>
      <w:bookmarkStart w:id="208" w:name="_Toc184308068"/>
      <w:bookmarkEnd w:id="208"/>
      <w:bookmarkStart w:id="209" w:name="_Toc184310337"/>
      <w:bookmarkEnd w:id="209"/>
      <w:bookmarkStart w:id="210" w:name="_Toc184314450"/>
      <w:bookmarkEnd w:id="210"/>
      <w:bookmarkStart w:id="211" w:name="_Toc184314457"/>
      <w:bookmarkEnd w:id="211"/>
      <w:bookmarkStart w:id="212" w:name="_Toc184308047"/>
      <w:bookmarkEnd w:id="212"/>
      <w:bookmarkStart w:id="213" w:name="_Toc184314463"/>
      <w:bookmarkEnd w:id="213"/>
      <w:bookmarkStart w:id="214" w:name="_Toc184308057"/>
      <w:bookmarkEnd w:id="214"/>
      <w:bookmarkStart w:id="215" w:name="_Toc184314428"/>
      <w:bookmarkEnd w:id="215"/>
      <w:bookmarkStart w:id="216" w:name="_Toc184313281"/>
      <w:bookmarkEnd w:id="216"/>
      <w:bookmarkStart w:id="217" w:name="_Toc184313255"/>
      <w:bookmarkEnd w:id="217"/>
      <w:bookmarkStart w:id="218" w:name="_Toc184310322"/>
      <w:bookmarkEnd w:id="218"/>
      <w:bookmarkStart w:id="219" w:name="_Toc184312081"/>
      <w:bookmarkEnd w:id="219"/>
      <w:bookmarkStart w:id="220" w:name="_Toc184314455"/>
      <w:bookmarkEnd w:id="220"/>
      <w:bookmarkStart w:id="221" w:name="_Toc184313287"/>
      <w:bookmarkEnd w:id="221"/>
      <w:bookmarkStart w:id="222" w:name="_Toc184314412"/>
      <w:bookmarkEnd w:id="222"/>
      <w:bookmarkStart w:id="223" w:name="_Toc184314423"/>
      <w:bookmarkEnd w:id="223"/>
      <w:bookmarkStart w:id="224" w:name="_Toc184310285"/>
      <w:bookmarkEnd w:id="224"/>
      <w:bookmarkStart w:id="225" w:name="_Toc184310279"/>
      <w:bookmarkEnd w:id="225"/>
      <w:bookmarkStart w:id="226" w:name="_Toc184310307"/>
      <w:bookmarkEnd w:id="226"/>
      <w:bookmarkStart w:id="227" w:name="_Toc184310318"/>
      <w:bookmarkEnd w:id="227"/>
      <w:bookmarkStart w:id="228" w:name="_Toc184313276"/>
      <w:bookmarkEnd w:id="228"/>
      <w:bookmarkStart w:id="229" w:name="_Toc184310329"/>
      <w:bookmarkEnd w:id="229"/>
      <w:bookmarkStart w:id="230" w:name="_Toc184314442"/>
      <w:bookmarkEnd w:id="230"/>
      <w:bookmarkStart w:id="231" w:name="_Toc184313280"/>
      <w:bookmarkEnd w:id="231"/>
      <w:bookmarkStart w:id="232" w:name="_Toc184313261"/>
      <w:bookmarkEnd w:id="232"/>
      <w:bookmarkStart w:id="233" w:name="_Toc184308071"/>
      <w:bookmarkEnd w:id="233"/>
      <w:bookmarkStart w:id="234" w:name="_Toc184313278"/>
      <w:bookmarkEnd w:id="234"/>
      <w:bookmarkStart w:id="235" w:name="_Toc184308094"/>
      <w:bookmarkEnd w:id="235"/>
      <w:bookmarkStart w:id="236" w:name="_Toc184314432"/>
      <w:bookmarkEnd w:id="236"/>
      <w:bookmarkStart w:id="237" w:name="_Toc184312122"/>
      <w:bookmarkEnd w:id="237"/>
      <w:bookmarkStart w:id="238" w:name="_Toc184308048"/>
      <w:bookmarkEnd w:id="238"/>
      <w:bookmarkStart w:id="239" w:name="_Toc184312139"/>
      <w:bookmarkEnd w:id="239"/>
      <w:bookmarkStart w:id="240" w:name="_Toc184313246"/>
      <w:bookmarkEnd w:id="240"/>
      <w:bookmarkStart w:id="241" w:name="_Toc184313288"/>
      <w:bookmarkEnd w:id="241"/>
      <w:bookmarkStart w:id="242" w:name="_Toc184312102"/>
      <w:bookmarkEnd w:id="242"/>
      <w:bookmarkStart w:id="243" w:name="_Toc184308089"/>
      <w:bookmarkEnd w:id="243"/>
      <w:bookmarkStart w:id="244" w:name="_Toc184308063"/>
      <w:bookmarkEnd w:id="244"/>
      <w:bookmarkStart w:id="245" w:name="_Toc184314447"/>
      <w:bookmarkEnd w:id="245"/>
      <w:bookmarkStart w:id="246" w:name="_Toc184308062"/>
      <w:bookmarkEnd w:id="246"/>
      <w:bookmarkStart w:id="247" w:name="_Toc184312069"/>
      <w:bookmarkEnd w:id="247"/>
      <w:bookmarkStart w:id="248" w:name="_Toc184308079"/>
      <w:bookmarkEnd w:id="248"/>
      <w:bookmarkStart w:id="249" w:name="_Toc184313249"/>
      <w:bookmarkEnd w:id="249"/>
      <w:bookmarkStart w:id="250" w:name="_Toc184314451"/>
      <w:bookmarkEnd w:id="250"/>
      <w:bookmarkStart w:id="251" w:name="_Toc184314429"/>
      <w:bookmarkEnd w:id="251"/>
      <w:bookmarkStart w:id="252" w:name="_Toc184310292"/>
      <w:bookmarkEnd w:id="252"/>
      <w:bookmarkStart w:id="253" w:name="_Toc184313270"/>
      <w:bookmarkEnd w:id="253"/>
      <w:bookmarkStart w:id="254" w:name="_Toc184310305"/>
      <w:bookmarkEnd w:id="254"/>
      <w:bookmarkStart w:id="255" w:name="_Toc184308043"/>
      <w:bookmarkEnd w:id="255"/>
      <w:bookmarkStart w:id="256" w:name="_Toc184308037"/>
      <w:bookmarkEnd w:id="256"/>
      <w:bookmarkStart w:id="257" w:name="_Toc184314444"/>
      <w:bookmarkEnd w:id="257"/>
      <w:bookmarkStart w:id="258" w:name="_Toc184310274"/>
      <w:bookmarkEnd w:id="258"/>
      <w:bookmarkStart w:id="259" w:name="_Toc184314410"/>
      <w:bookmarkEnd w:id="259"/>
      <w:bookmarkStart w:id="260" w:name="_Toc184310328"/>
      <w:bookmarkEnd w:id="260"/>
      <w:bookmarkStart w:id="261" w:name="_Toc184308096"/>
      <w:bookmarkEnd w:id="261"/>
      <w:bookmarkStart w:id="262" w:name="_Toc184313283"/>
      <w:bookmarkEnd w:id="262"/>
      <w:bookmarkStart w:id="263" w:name="_Toc184310281"/>
      <w:bookmarkEnd w:id="263"/>
      <w:bookmarkStart w:id="264" w:name="_Toc184310308"/>
      <w:bookmarkEnd w:id="264"/>
      <w:bookmarkStart w:id="265" w:name="_Toc184314441"/>
      <w:bookmarkEnd w:id="265"/>
      <w:bookmarkStart w:id="266" w:name="_Toc184314416"/>
      <w:bookmarkEnd w:id="266"/>
      <w:bookmarkStart w:id="267" w:name="_Toc184312121"/>
      <w:bookmarkEnd w:id="267"/>
      <w:bookmarkStart w:id="268" w:name="_Toc184308100"/>
      <w:bookmarkEnd w:id="268"/>
      <w:bookmarkStart w:id="269" w:name="_Toc184312123"/>
      <w:bookmarkEnd w:id="269"/>
      <w:bookmarkStart w:id="270" w:name="_Toc184312104"/>
      <w:bookmarkEnd w:id="270"/>
      <w:bookmarkStart w:id="271" w:name="_Toc184313254"/>
      <w:bookmarkEnd w:id="271"/>
      <w:bookmarkStart w:id="272" w:name="_Toc184308061"/>
      <w:bookmarkEnd w:id="272"/>
      <w:bookmarkStart w:id="273" w:name="_Toc184313265"/>
      <w:bookmarkEnd w:id="273"/>
      <w:bookmarkStart w:id="274" w:name="_Toc184312096"/>
      <w:bookmarkEnd w:id="274"/>
      <w:bookmarkStart w:id="275" w:name="_Toc184308081"/>
      <w:bookmarkEnd w:id="275"/>
      <w:bookmarkStart w:id="276" w:name="_Toc184314460"/>
      <w:bookmarkEnd w:id="276"/>
      <w:bookmarkStart w:id="277" w:name="_Toc184312097"/>
      <w:bookmarkEnd w:id="277"/>
      <w:bookmarkStart w:id="278" w:name="_Toc184310323"/>
      <w:bookmarkEnd w:id="278"/>
      <w:bookmarkStart w:id="279" w:name="_Toc184314411"/>
      <w:bookmarkEnd w:id="279"/>
      <w:bookmarkStart w:id="280" w:name="_Toc184312128"/>
      <w:bookmarkEnd w:id="280"/>
      <w:bookmarkStart w:id="281" w:name="_Toc184312078"/>
      <w:bookmarkEnd w:id="281"/>
      <w:bookmarkStart w:id="282" w:name="_Toc184308090"/>
      <w:bookmarkEnd w:id="282"/>
      <w:bookmarkStart w:id="283" w:name="_Toc184308066"/>
      <w:bookmarkEnd w:id="283"/>
      <w:bookmarkStart w:id="284" w:name="_Toc184313271"/>
      <w:bookmarkEnd w:id="284"/>
      <w:bookmarkStart w:id="285" w:name="_Toc184308108"/>
      <w:bookmarkEnd w:id="285"/>
      <w:bookmarkStart w:id="286" w:name="_Toc184308049"/>
      <w:bookmarkEnd w:id="286"/>
      <w:bookmarkStart w:id="287" w:name="_Toc184312101"/>
      <w:bookmarkEnd w:id="287"/>
      <w:bookmarkStart w:id="288" w:name="_Toc184313304"/>
      <w:bookmarkEnd w:id="288"/>
      <w:bookmarkStart w:id="289" w:name="_Toc184314431"/>
      <w:bookmarkEnd w:id="289"/>
      <w:bookmarkStart w:id="290" w:name="_Toc184313297"/>
      <w:bookmarkEnd w:id="290"/>
      <w:bookmarkStart w:id="291" w:name="_Toc184314433"/>
      <w:bookmarkEnd w:id="291"/>
      <w:bookmarkStart w:id="292" w:name="_Toc184313303"/>
      <w:bookmarkEnd w:id="292"/>
      <w:bookmarkStart w:id="293" w:name="_Toc184313239"/>
      <w:bookmarkEnd w:id="293"/>
      <w:bookmarkStart w:id="294" w:name="_Toc184310297"/>
      <w:bookmarkEnd w:id="294"/>
      <w:bookmarkStart w:id="295" w:name="_Toc184308105"/>
      <w:bookmarkEnd w:id="295"/>
      <w:bookmarkStart w:id="296" w:name="_Toc184313238"/>
      <w:bookmarkEnd w:id="296"/>
      <w:bookmarkStart w:id="297" w:name="_Toc184308103"/>
      <w:bookmarkEnd w:id="297"/>
      <w:bookmarkStart w:id="298" w:name="_Toc184308051"/>
      <w:bookmarkEnd w:id="298"/>
      <w:bookmarkStart w:id="299" w:name="_Toc184308054"/>
      <w:bookmarkEnd w:id="299"/>
      <w:bookmarkStart w:id="300" w:name="_Toc184310278"/>
      <w:bookmarkEnd w:id="300"/>
      <w:bookmarkStart w:id="301" w:name="_Toc184314452"/>
      <w:bookmarkEnd w:id="301"/>
      <w:bookmarkStart w:id="302" w:name="_Toc184308067"/>
      <w:bookmarkEnd w:id="302"/>
      <w:bookmarkStart w:id="303" w:name="_Toc184308102"/>
      <w:bookmarkEnd w:id="303"/>
      <w:bookmarkStart w:id="304" w:name="_Toc184310324"/>
      <w:bookmarkEnd w:id="304"/>
      <w:bookmarkStart w:id="305" w:name="_Toc184313247"/>
      <w:bookmarkEnd w:id="305"/>
      <w:bookmarkStart w:id="306" w:name="_Toc184308095"/>
      <w:bookmarkEnd w:id="306"/>
      <w:bookmarkStart w:id="307" w:name="_Toc184313248"/>
      <w:bookmarkEnd w:id="307"/>
      <w:bookmarkStart w:id="308" w:name="_Toc184308036"/>
      <w:bookmarkEnd w:id="308"/>
      <w:bookmarkStart w:id="309" w:name="_Toc184314425"/>
      <w:bookmarkEnd w:id="309"/>
      <w:bookmarkStart w:id="310" w:name="_Toc184314420"/>
      <w:bookmarkEnd w:id="310"/>
      <w:bookmarkStart w:id="311" w:name="_Toc184310295"/>
      <w:bookmarkEnd w:id="311"/>
      <w:bookmarkStart w:id="312" w:name="_Toc184308065"/>
      <w:bookmarkEnd w:id="312"/>
      <w:bookmarkStart w:id="313" w:name="_Toc184312088"/>
      <w:bookmarkEnd w:id="313"/>
      <w:bookmarkStart w:id="314" w:name="_Toc184310336"/>
      <w:bookmarkEnd w:id="314"/>
      <w:bookmarkStart w:id="315" w:name="_Toc184310282"/>
      <w:bookmarkEnd w:id="315"/>
      <w:bookmarkStart w:id="316" w:name="_Toc184308086"/>
      <w:bookmarkEnd w:id="316"/>
      <w:bookmarkStart w:id="317" w:name="_Toc184313253"/>
      <w:bookmarkEnd w:id="317"/>
      <w:bookmarkStart w:id="318" w:name="_Toc184313291"/>
      <w:bookmarkEnd w:id="318"/>
      <w:bookmarkStart w:id="319" w:name="_Toc184314473"/>
      <w:bookmarkEnd w:id="319"/>
      <w:bookmarkStart w:id="320" w:name="_Toc184310286"/>
      <w:bookmarkEnd w:id="320"/>
      <w:bookmarkStart w:id="321" w:name="_Toc184314459"/>
      <w:bookmarkEnd w:id="321"/>
      <w:bookmarkStart w:id="322" w:name="_Toc184310275"/>
      <w:bookmarkEnd w:id="322"/>
      <w:bookmarkStart w:id="323" w:name="_Toc184310330"/>
      <w:bookmarkEnd w:id="323"/>
      <w:bookmarkStart w:id="324" w:name="_Toc184314478"/>
      <w:bookmarkEnd w:id="324"/>
      <w:bookmarkStart w:id="325" w:name="_Toc184314465"/>
      <w:bookmarkEnd w:id="325"/>
      <w:bookmarkStart w:id="326" w:name="_Toc184314448"/>
      <w:bookmarkEnd w:id="326"/>
      <w:bookmarkStart w:id="327" w:name="_Toc184310304"/>
      <w:bookmarkEnd w:id="327"/>
      <w:bookmarkStart w:id="328" w:name="_Toc184312071"/>
      <w:bookmarkEnd w:id="328"/>
      <w:bookmarkStart w:id="329" w:name="_Toc184312124"/>
      <w:bookmarkEnd w:id="329"/>
      <w:bookmarkStart w:id="330" w:name="_Toc184310316"/>
      <w:bookmarkEnd w:id="330"/>
      <w:bookmarkStart w:id="331" w:name="_Toc184313252"/>
      <w:bookmarkEnd w:id="331"/>
      <w:bookmarkStart w:id="332" w:name="_Toc184314417"/>
      <w:bookmarkEnd w:id="332"/>
      <w:bookmarkStart w:id="333" w:name="_Toc184314427"/>
      <w:bookmarkEnd w:id="333"/>
      <w:bookmarkStart w:id="334" w:name="_Toc184314453"/>
      <w:bookmarkEnd w:id="334"/>
      <w:bookmarkStart w:id="335" w:name="_Toc184310303"/>
      <w:bookmarkEnd w:id="335"/>
      <w:bookmarkStart w:id="336" w:name="_Toc184308084"/>
      <w:bookmarkEnd w:id="336"/>
      <w:bookmarkStart w:id="337" w:name="_Toc184312117"/>
      <w:bookmarkEnd w:id="337"/>
      <w:bookmarkStart w:id="338" w:name="_Toc184308088"/>
      <w:bookmarkEnd w:id="338"/>
      <w:bookmarkStart w:id="339" w:name="_Toc184313272"/>
      <w:bookmarkEnd w:id="339"/>
      <w:bookmarkStart w:id="340" w:name="_Toc184313305"/>
      <w:bookmarkEnd w:id="340"/>
      <w:bookmarkStart w:id="341" w:name="_Toc184314470"/>
      <w:bookmarkEnd w:id="341"/>
      <w:bookmarkStart w:id="342" w:name="_Toc184310290"/>
      <w:bookmarkEnd w:id="342"/>
      <w:bookmarkStart w:id="343" w:name="_Toc184310310"/>
      <w:bookmarkEnd w:id="343"/>
      <w:bookmarkStart w:id="344" w:name="_Toc184314482"/>
      <w:bookmarkEnd w:id="344"/>
      <w:bookmarkStart w:id="345" w:name="_Toc184310327"/>
      <w:bookmarkEnd w:id="345"/>
      <w:bookmarkStart w:id="346" w:name="_Toc184310272"/>
      <w:bookmarkEnd w:id="346"/>
      <w:bookmarkStart w:id="347" w:name="_Toc184313250"/>
      <w:bookmarkEnd w:id="347"/>
      <w:bookmarkStart w:id="348" w:name="_Toc184310299"/>
      <w:bookmarkEnd w:id="348"/>
      <w:bookmarkStart w:id="349" w:name="_Toc184313273"/>
      <w:bookmarkEnd w:id="349"/>
      <w:bookmarkStart w:id="350" w:name="_Toc184312114"/>
      <w:bookmarkEnd w:id="350"/>
      <w:bookmarkStart w:id="351" w:name="_Toc184312120"/>
      <w:bookmarkEnd w:id="351"/>
      <w:bookmarkStart w:id="352" w:name="_Toc184308044"/>
      <w:bookmarkEnd w:id="352"/>
      <w:bookmarkStart w:id="353" w:name="_Toc184308038"/>
      <w:bookmarkEnd w:id="353"/>
      <w:bookmarkStart w:id="354" w:name="_Toc184310340"/>
      <w:bookmarkEnd w:id="354"/>
      <w:bookmarkStart w:id="355" w:name="_Toc184313258"/>
      <w:bookmarkEnd w:id="355"/>
      <w:bookmarkStart w:id="356" w:name="_Toc184313308"/>
      <w:bookmarkEnd w:id="356"/>
      <w:bookmarkStart w:id="357" w:name="_Toc184308101"/>
      <w:bookmarkEnd w:id="357"/>
      <w:bookmarkStart w:id="358" w:name="_Toc184314477"/>
      <w:bookmarkEnd w:id="358"/>
      <w:bookmarkStart w:id="359" w:name="_Toc184312080"/>
      <w:bookmarkEnd w:id="359"/>
      <w:bookmarkStart w:id="360" w:name="_Toc184312118"/>
      <w:bookmarkEnd w:id="360"/>
      <w:bookmarkStart w:id="361" w:name="_Toc184313301"/>
      <w:bookmarkEnd w:id="361"/>
      <w:bookmarkStart w:id="362" w:name="_Toc184308058"/>
      <w:bookmarkEnd w:id="362"/>
      <w:bookmarkStart w:id="363" w:name="_Toc184314481"/>
      <w:bookmarkEnd w:id="363"/>
      <w:bookmarkStart w:id="364" w:name="_Toc184312107"/>
      <w:bookmarkEnd w:id="364"/>
      <w:bookmarkStart w:id="365" w:name="_Toc184308070"/>
      <w:bookmarkEnd w:id="365"/>
      <w:bookmarkStart w:id="366" w:name="_Toc184308099"/>
      <w:bookmarkEnd w:id="366"/>
      <w:bookmarkStart w:id="367" w:name="_Toc184314435"/>
      <w:bookmarkEnd w:id="367"/>
      <w:bookmarkStart w:id="368" w:name="_Toc184314436"/>
      <w:bookmarkEnd w:id="368"/>
      <w:bookmarkStart w:id="369" w:name="_Toc184314471"/>
      <w:bookmarkEnd w:id="369"/>
      <w:bookmarkStart w:id="370" w:name="_Toc184312092"/>
      <w:bookmarkEnd w:id="370"/>
      <w:bookmarkStart w:id="371" w:name="_Toc184312138"/>
      <w:bookmarkEnd w:id="371"/>
      <w:bookmarkStart w:id="372" w:name="_Toc184312091"/>
      <w:bookmarkEnd w:id="372"/>
      <w:bookmarkStart w:id="373" w:name="_Toc184313282"/>
      <w:bookmarkEnd w:id="373"/>
      <w:bookmarkStart w:id="374" w:name="_Toc184310319"/>
      <w:bookmarkEnd w:id="374"/>
      <w:bookmarkStart w:id="375" w:name="_Toc184310332"/>
      <w:bookmarkEnd w:id="375"/>
      <w:bookmarkStart w:id="376" w:name="_Toc184313274"/>
      <w:bookmarkEnd w:id="376"/>
      <w:bookmarkStart w:id="377" w:name="_Toc184313300"/>
      <w:bookmarkEnd w:id="377"/>
      <w:bookmarkStart w:id="378" w:name="_Toc184312073"/>
      <w:bookmarkEnd w:id="378"/>
      <w:bookmarkStart w:id="379" w:name="_Toc184310298"/>
      <w:bookmarkEnd w:id="379"/>
      <w:bookmarkStart w:id="380" w:name="_Toc184310277"/>
      <w:bookmarkEnd w:id="380"/>
      <w:bookmarkStart w:id="381" w:name="_Toc184313277"/>
      <w:bookmarkEnd w:id="381"/>
      <w:bookmarkStart w:id="382" w:name="_Toc184308093"/>
      <w:bookmarkEnd w:id="382"/>
      <w:bookmarkStart w:id="383" w:name="_Toc184310289"/>
      <w:bookmarkEnd w:id="383"/>
      <w:bookmarkStart w:id="384" w:name="_Toc184312076"/>
      <w:bookmarkEnd w:id="384"/>
      <w:bookmarkStart w:id="385" w:name="_Toc184312109"/>
      <w:bookmarkEnd w:id="385"/>
      <w:bookmarkStart w:id="386" w:name="_Toc184308055"/>
      <w:bookmarkEnd w:id="386"/>
      <w:bookmarkStart w:id="387" w:name="_Toc184308091"/>
      <w:bookmarkEnd w:id="387"/>
      <w:bookmarkStart w:id="388" w:name="_Toc184314468"/>
      <w:bookmarkEnd w:id="388"/>
      <w:bookmarkStart w:id="389" w:name="_Toc184310334"/>
      <w:bookmarkEnd w:id="389"/>
      <w:bookmarkStart w:id="390" w:name="_Toc184313296"/>
      <w:bookmarkEnd w:id="390"/>
      <w:bookmarkStart w:id="391" w:name="_Toc184312075"/>
      <w:bookmarkEnd w:id="391"/>
      <w:bookmarkStart w:id="392" w:name="_Toc184313267"/>
      <w:bookmarkEnd w:id="392"/>
      <w:bookmarkStart w:id="393" w:name="_Toc184312095"/>
      <w:bookmarkEnd w:id="393"/>
      <w:bookmarkStart w:id="394" w:name="_Toc184314414"/>
      <w:bookmarkEnd w:id="394"/>
      <w:bookmarkStart w:id="395" w:name="_Toc184313290"/>
      <w:bookmarkEnd w:id="395"/>
      <w:bookmarkStart w:id="396" w:name="_Toc184308082"/>
      <w:bookmarkEnd w:id="396"/>
      <w:bookmarkStart w:id="397" w:name="_Toc184313259"/>
      <w:bookmarkEnd w:id="397"/>
      <w:bookmarkStart w:id="398" w:name="_Toc184314443"/>
      <w:bookmarkEnd w:id="398"/>
      <w:bookmarkStart w:id="399" w:name="_Toc184314419"/>
      <w:bookmarkEnd w:id="399"/>
      <w:bookmarkStart w:id="400" w:name="_Toc184308106"/>
      <w:bookmarkEnd w:id="400"/>
      <w:bookmarkStart w:id="401" w:name="_Toc184308039"/>
      <w:bookmarkEnd w:id="401"/>
      <w:bookmarkStart w:id="402" w:name="_Toc184310342"/>
      <w:bookmarkEnd w:id="402"/>
      <w:bookmarkStart w:id="403" w:name="_Toc184312129"/>
      <w:bookmarkEnd w:id="403"/>
      <w:bookmarkStart w:id="404" w:name="_Toc184313260"/>
      <w:bookmarkEnd w:id="404"/>
      <w:bookmarkStart w:id="405" w:name="_Toc184312116"/>
      <w:bookmarkEnd w:id="405"/>
      <w:r>
        <w:rPr>
          <w:rFonts w:hint="eastAsia" w:ascii="宋体" w:hAnsi="宋体" w:eastAsia="宋体" w:cs="宋体"/>
          <w:b/>
          <w:color w:val="auto"/>
          <w:sz w:val="36"/>
          <w:szCs w:val="36"/>
        </w:rPr>
        <w:t>评标办法</w:t>
      </w:r>
    </w:p>
    <w:p w14:paraId="22805057">
      <w:pPr>
        <w:snapToGrid w:val="0"/>
        <w:spacing w:line="360" w:lineRule="auto"/>
        <w:jc w:val="center"/>
        <w:rPr>
          <w:rFonts w:hint="eastAsia" w:ascii="宋体" w:hAnsi="宋体" w:eastAsia="宋体" w:cs="宋体"/>
          <w:color w:val="auto"/>
          <w:sz w:val="20"/>
          <w:szCs w:val="20"/>
          <w:shd w:val="clear" w:color="auto" w:fill="FFFFFF"/>
        </w:rPr>
      </w:pPr>
      <w:r>
        <w:rPr>
          <w:rFonts w:hint="eastAsia" w:ascii="宋体" w:hAnsi="宋体" w:eastAsia="宋体" w:cs="宋体"/>
          <w:b/>
          <w:color w:val="auto"/>
          <w:sz w:val="32"/>
          <w:szCs w:val="20"/>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4672"/>
        <w:gridCol w:w="719"/>
        <w:gridCol w:w="1000"/>
        <w:gridCol w:w="1503"/>
      </w:tblGrid>
      <w:tr w14:paraId="1938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601" w:type="dxa"/>
            <w:vAlign w:val="center"/>
          </w:tcPr>
          <w:p w14:paraId="3935B741">
            <w:pPr>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序号</w:t>
            </w:r>
          </w:p>
        </w:tc>
        <w:tc>
          <w:tcPr>
            <w:tcW w:w="4672" w:type="dxa"/>
            <w:vAlign w:val="center"/>
          </w:tcPr>
          <w:p w14:paraId="4C6FC3BE">
            <w:pPr>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评标标准</w:t>
            </w:r>
          </w:p>
        </w:tc>
        <w:tc>
          <w:tcPr>
            <w:tcW w:w="719" w:type="dxa"/>
            <w:vAlign w:val="center"/>
          </w:tcPr>
          <w:p w14:paraId="70FB18E7">
            <w:pPr>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权重</w:t>
            </w:r>
          </w:p>
        </w:tc>
        <w:tc>
          <w:tcPr>
            <w:tcW w:w="1000" w:type="dxa"/>
            <w:vAlign w:val="center"/>
          </w:tcPr>
          <w:p w14:paraId="11E7EE71">
            <w:pPr>
              <w:snapToGrid w:val="0"/>
              <w:spacing w:line="360" w:lineRule="auto"/>
              <w:jc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主观分/客观分属性</w:t>
            </w:r>
          </w:p>
        </w:tc>
        <w:tc>
          <w:tcPr>
            <w:tcW w:w="1503" w:type="dxa"/>
          </w:tcPr>
          <w:p w14:paraId="30FF51C0">
            <w:pPr>
              <w:snapToGrid w:val="0"/>
              <w:spacing w:line="360" w:lineRule="auto"/>
              <w:jc w:val="center"/>
              <w:rPr>
                <w:rFonts w:hint="eastAsia" w:ascii="仿宋" w:hAnsi="仿宋" w:eastAsia="仿宋" w:cs="仿宋"/>
                <w:color w:val="000000"/>
                <w:kern w:val="0"/>
                <w:sz w:val="24"/>
              </w:rPr>
            </w:pPr>
            <w:r>
              <w:rPr>
                <w:rFonts w:hint="eastAsia" w:ascii="仿宋" w:hAnsi="仿宋" w:eastAsia="仿宋" w:cs="仿宋"/>
                <w:bCs/>
                <w:color w:val="000000"/>
                <w:kern w:val="0"/>
                <w:sz w:val="24"/>
              </w:rPr>
              <w:t>投标文件中评标标准相应的商务技术资料目录*</w:t>
            </w:r>
          </w:p>
        </w:tc>
      </w:tr>
      <w:tr w14:paraId="4C92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4E9DF57">
            <w:pPr>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4672" w:type="dxa"/>
            <w:vAlign w:val="center"/>
          </w:tcPr>
          <w:p w14:paraId="26312B77">
            <w:pPr>
              <w:snapToGrid w:val="0"/>
              <w:spacing w:line="273" w:lineRule="auto"/>
              <w:rPr>
                <w:rFonts w:hint="eastAsia" w:ascii="仿宋" w:hAnsi="仿宋" w:eastAsia="仿宋" w:cs="仿宋"/>
                <w:color w:val="000000"/>
                <w:kern w:val="0"/>
                <w:sz w:val="24"/>
              </w:rPr>
            </w:pPr>
            <w:r>
              <w:rPr>
                <w:rFonts w:hint="eastAsia" w:ascii="仿宋" w:hAnsi="仿宋" w:eastAsia="仿宋" w:cs="仿宋"/>
                <w:color w:val="000000"/>
                <w:kern w:val="2"/>
                <w:sz w:val="24"/>
              </w:rPr>
              <w:t>提供202</w:t>
            </w:r>
            <w:r>
              <w:rPr>
                <w:rFonts w:hint="eastAsia" w:ascii="仿宋" w:hAnsi="仿宋" w:eastAsia="仿宋" w:cs="仿宋"/>
                <w:color w:val="000000"/>
                <w:kern w:val="2"/>
                <w:sz w:val="24"/>
                <w:lang w:val="en-US" w:eastAsia="zh-CN"/>
              </w:rPr>
              <w:t>2</w:t>
            </w:r>
            <w:r>
              <w:rPr>
                <w:rFonts w:hint="eastAsia" w:ascii="仿宋" w:hAnsi="仿宋" w:eastAsia="仿宋" w:cs="仿宋"/>
                <w:color w:val="000000"/>
                <w:kern w:val="2"/>
                <w:sz w:val="24"/>
              </w:rPr>
              <w:t>年后（以合同签订时间为准）类似项目案例，提供1个案例得</w:t>
            </w:r>
            <w:r>
              <w:rPr>
                <w:rFonts w:hint="eastAsia" w:ascii="仿宋" w:hAnsi="仿宋" w:eastAsia="仿宋" w:cs="仿宋"/>
                <w:color w:val="000000"/>
                <w:kern w:val="2"/>
                <w:sz w:val="24"/>
                <w:lang w:val="en-US" w:eastAsia="zh-CN"/>
              </w:rPr>
              <w:t>1.5</w:t>
            </w:r>
            <w:r>
              <w:rPr>
                <w:rFonts w:hint="eastAsia" w:ascii="仿宋" w:hAnsi="仿宋" w:eastAsia="仿宋" w:cs="仿宋"/>
                <w:color w:val="000000"/>
                <w:kern w:val="2"/>
                <w:sz w:val="24"/>
              </w:rPr>
              <w:t>分，本项最高得</w:t>
            </w:r>
            <w:r>
              <w:rPr>
                <w:rFonts w:hint="eastAsia" w:ascii="仿宋" w:hAnsi="仿宋" w:eastAsia="仿宋" w:cs="仿宋"/>
                <w:color w:val="000000"/>
                <w:kern w:val="2"/>
                <w:sz w:val="24"/>
                <w:lang w:val="en-US" w:eastAsia="zh-CN"/>
              </w:rPr>
              <w:t>3</w:t>
            </w:r>
            <w:r>
              <w:rPr>
                <w:rFonts w:hint="eastAsia" w:ascii="仿宋" w:hAnsi="仿宋" w:eastAsia="仿宋" w:cs="仿宋"/>
                <w:color w:val="000000"/>
                <w:kern w:val="2"/>
                <w:sz w:val="24"/>
              </w:rPr>
              <w:t>分。要求合同复印件</w:t>
            </w:r>
            <w:r>
              <w:rPr>
                <w:rFonts w:hint="eastAsia" w:ascii="仿宋" w:hAnsi="仿宋" w:eastAsia="仿宋" w:cs="仿宋"/>
                <w:color w:val="000000"/>
                <w:kern w:val="2"/>
                <w:sz w:val="24"/>
                <w:lang w:eastAsia="zh-CN"/>
              </w:rPr>
              <w:t>，中标通知书复印件，无中标通知书提供该项目发票及银行回执单并</w:t>
            </w:r>
            <w:r>
              <w:rPr>
                <w:rFonts w:hint="eastAsia" w:ascii="仿宋" w:hAnsi="仿宋" w:eastAsia="仿宋" w:cs="仿宋"/>
                <w:color w:val="000000"/>
                <w:kern w:val="2"/>
                <w:sz w:val="24"/>
              </w:rPr>
              <w:t>加盖投标单位公章，否则不得分。</w:t>
            </w:r>
          </w:p>
        </w:tc>
        <w:tc>
          <w:tcPr>
            <w:tcW w:w="719" w:type="dxa"/>
            <w:vAlign w:val="center"/>
          </w:tcPr>
          <w:p w14:paraId="1565854F">
            <w:pPr>
              <w:widowControl/>
              <w:jc w:val="center"/>
              <w:textAlignment w:val="center"/>
              <w:rPr>
                <w:rFonts w:hint="eastAsia" w:ascii="宋体" w:eastAsia="宋体" w:cs="宋体"/>
                <w:kern w:val="0"/>
                <w:sz w:val="24"/>
                <w:lang w:eastAsia="zh-CN"/>
              </w:rPr>
            </w:pPr>
            <w:r>
              <w:rPr>
                <w:rFonts w:hint="eastAsia" w:ascii="仿宋" w:hAnsi="仿宋" w:eastAsia="仿宋"/>
                <w:kern w:val="0"/>
                <w:sz w:val="24"/>
                <w:lang w:val="en-US" w:eastAsia="zh-CN"/>
              </w:rPr>
              <w:t>3</w:t>
            </w:r>
          </w:p>
        </w:tc>
        <w:tc>
          <w:tcPr>
            <w:tcW w:w="1000" w:type="dxa"/>
            <w:vAlign w:val="center"/>
          </w:tcPr>
          <w:p w14:paraId="209AF537">
            <w:pPr>
              <w:snapToGrid w:val="0"/>
              <w:spacing w:line="360" w:lineRule="auto"/>
              <w:jc w:val="center"/>
              <w:rPr>
                <w:rFonts w:hint="eastAsia" w:ascii="仿宋" w:hAnsi="仿宋" w:eastAsia="仿宋" w:cs="仿宋"/>
                <w:color w:val="000000"/>
                <w:kern w:val="0"/>
                <w:sz w:val="24"/>
              </w:rPr>
            </w:pPr>
            <w:r>
              <w:rPr>
                <w:rFonts w:hint="eastAsia" w:ascii="仿宋" w:hAnsi="仿宋" w:eastAsia="仿宋" w:cs="仿宋"/>
                <w:bCs/>
                <w:color w:val="000000"/>
                <w:kern w:val="0"/>
                <w:sz w:val="24"/>
              </w:rPr>
              <w:t>客观分</w:t>
            </w:r>
          </w:p>
        </w:tc>
        <w:tc>
          <w:tcPr>
            <w:tcW w:w="1503" w:type="dxa"/>
            <w:vAlign w:val="center"/>
          </w:tcPr>
          <w:p w14:paraId="4A9396D0">
            <w:pPr>
              <w:snapToGrid w:val="0"/>
              <w:spacing w:line="360" w:lineRule="auto"/>
              <w:jc w:val="center"/>
              <w:rPr>
                <w:rFonts w:hint="eastAsia" w:ascii="仿宋" w:hAnsi="仿宋" w:eastAsia="仿宋" w:cs="仿宋"/>
                <w:color w:val="000000"/>
                <w:kern w:val="0"/>
                <w:sz w:val="24"/>
              </w:rPr>
            </w:pPr>
          </w:p>
        </w:tc>
      </w:tr>
      <w:tr w14:paraId="5AF6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10FA271">
            <w:pPr>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4672" w:type="dxa"/>
          </w:tcPr>
          <w:p w14:paraId="276F5F96">
            <w:pPr>
              <w:snapToGrid w:val="0"/>
              <w:spacing w:line="273" w:lineRule="auto"/>
              <w:rPr>
                <w:rFonts w:hint="eastAsia" w:ascii="仿宋" w:hAnsi="仿宋" w:eastAsia="仿宋" w:cs="仿宋"/>
                <w:color w:val="000000"/>
                <w:kern w:val="0"/>
                <w:sz w:val="24"/>
              </w:rPr>
            </w:pPr>
            <w:r>
              <w:rPr>
                <w:rFonts w:hint="eastAsia" w:ascii="仿宋" w:hAnsi="仿宋" w:eastAsia="仿宋" w:cs="仿宋"/>
                <w:color w:val="000000"/>
                <w:kern w:val="2"/>
                <w:sz w:val="24"/>
              </w:rPr>
              <w:t>投标人同时具有有效期内的质量管理体系认证证书、环境管理体系认证证书、职业健康安全体系认证证书、3A级企业信用等级证书，每个证书得1分，共4分。提供有效证书复印件加盖投标单位公章，否则不得分。</w:t>
            </w:r>
          </w:p>
        </w:tc>
        <w:tc>
          <w:tcPr>
            <w:tcW w:w="719" w:type="dxa"/>
            <w:vAlign w:val="center"/>
          </w:tcPr>
          <w:p w14:paraId="03589096">
            <w:pPr>
              <w:spacing w:line="360" w:lineRule="auto"/>
              <w:jc w:val="center"/>
              <w:outlineLvl w:val="0"/>
              <w:rPr>
                <w:rFonts w:hint="eastAsia" w:ascii="仿宋" w:hAnsi="仿宋" w:eastAsia="仿宋" w:cs="仿宋"/>
                <w:color w:val="000000"/>
                <w:kern w:val="0"/>
                <w:sz w:val="24"/>
              </w:rPr>
            </w:pPr>
            <w:r>
              <w:rPr>
                <w:rFonts w:hint="eastAsia" w:ascii="仿宋" w:hAnsi="仿宋" w:eastAsia="仿宋" w:cs="仿宋"/>
                <w:color w:val="000000"/>
                <w:kern w:val="2"/>
                <w:sz w:val="24"/>
              </w:rPr>
              <w:t>4</w:t>
            </w:r>
          </w:p>
        </w:tc>
        <w:tc>
          <w:tcPr>
            <w:tcW w:w="1000" w:type="dxa"/>
            <w:vAlign w:val="center"/>
          </w:tcPr>
          <w:p w14:paraId="02A9ACB1">
            <w:pPr>
              <w:snapToGrid w:val="0"/>
              <w:spacing w:line="360" w:lineRule="auto"/>
              <w:jc w:val="center"/>
              <w:rPr>
                <w:rFonts w:hint="eastAsia" w:ascii="仿宋" w:hAnsi="仿宋" w:eastAsia="仿宋" w:cs="仿宋"/>
                <w:color w:val="000000"/>
                <w:kern w:val="0"/>
                <w:sz w:val="24"/>
              </w:rPr>
            </w:pPr>
            <w:r>
              <w:rPr>
                <w:rFonts w:hint="eastAsia" w:ascii="仿宋" w:hAnsi="仿宋" w:eastAsia="仿宋" w:cs="仿宋"/>
                <w:bCs/>
                <w:color w:val="000000"/>
                <w:kern w:val="0"/>
                <w:sz w:val="24"/>
              </w:rPr>
              <w:t>客观分</w:t>
            </w:r>
          </w:p>
        </w:tc>
        <w:tc>
          <w:tcPr>
            <w:tcW w:w="1503" w:type="dxa"/>
            <w:vAlign w:val="center"/>
          </w:tcPr>
          <w:p w14:paraId="24934976">
            <w:pPr>
              <w:snapToGrid w:val="0"/>
              <w:spacing w:line="360" w:lineRule="auto"/>
              <w:jc w:val="center"/>
              <w:rPr>
                <w:rFonts w:hint="eastAsia" w:ascii="仿宋" w:hAnsi="仿宋" w:eastAsia="仿宋" w:cs="仿宋"/>
                <w:color w:val="000000"/>
                <w:kern w:val="0"/>
                <w:sz w:val="24"/>
              </w:rPr>
            </w:pPr>
          </w:p>
        </w:tc>
      </w:tr>
      <w:tr w14:paraId="59E5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2C11DD3">
            <w:pPr>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4672" w:type="dxa"/>
          </w:tcPr>
          <w:p w14:paraId="336FB221">
            <w:pPr>
              <w:snapToGrid w:val="0"/>
              <w:spacing w:line="273" w:lineRule="auto"/>
              <w:rPr>
                <w:rFonts w:hint="eastAsia" w:ascii="仿宋" w:hAnsi="仿宋" w:eastAsia="仿宋" w:cs="仿宋"/>
                <w:color w:val="auto"/>
                <w:kern w:val="0"/>
                <w:sz w:val="24"/>
              </w:rPr>
            </w:pPr>
            <w:r>
              <w:rPr>
                <w:rFonts w:hint="eastAsia" w:ascii="仿宋" w:hAnsi="仿宋" w:eastAsia="仿宋" w:cs="仿宋"/>
                <w:color w:val="auto"/>
                <w:kern w:val="0"/>
                <w:sz w:val="24"/>
              </w:rPr>
              <w:t>所投扩培设备的生产厂家具有有效期内的《特种设备生产许可证》的得</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分。（需提供原厂授权）</w:t>
            </w:r>
          </w:p>
        </w:tc>
        <w:tc>
          <w:tcPr>
            <w:tcW w:w="719" w:type="dxa"/>
            <w:vAlign w:val="center"/>
          </w:tcPr>
          <w:p w14:paraId="4505681B">
            <w:pPr>
              <w:spacing w:line="360" w:lineRule="auto"/>
              <w:jc w:val="center"/>
              <w:outlineLvl w:val="0"/>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2</w:t>
            </w:r>
          </w:p>
        </w:tc>
        <w:tc>
          <w:tcPr>
            <w:tcW w:w="1000" w:type="dxa"/>
            <w:vAlign w:val="center"/>
          </w:tcPr>
          <w:p w14:paraId="776E7573">
            <w:pPr>
              <w:snapToGrid w:val="0"/>
              <w:spacing w:line="36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客观分</w:t>
            </w:r>
          </w:p>
        </w:tc>
        <w:tc>
          <w:tcPr>
            <w:tcW w:w="1503" w:type="dxa"/>
            <w:vAlign w:val="center"/>
          </w:tcPr>
          <w:p w14:paraId="2BAA6AC9">
            <w:pPr>
              <w:snapToGrid w:val="0"/>
              <w:spacing w:line="360" w:lineRule="auto"/>
              <w:jc w:val="center"/>
              <w:rPr>
                <w:rFonts w:hint="eastAsia" w:ascii="仿宋" w:hAnsi="仿宋" w:eastAsia="仿宋" w:cs="仿宋"/>
                <w:color w:val="000000"/>
                <w:kern w:val="0"/>
                <w:sz w:val="24"/>
              </w:rPr>
            </w:pPr>
          </w:p>
        </w:tc>
      </w:tr>
      <w:tr w14:paraId="5CAD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9FA0F14">
            <w:pPr>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4672" w:type="dxa"/>
          </w:tcPr>
          <w:p w14:paraId="3F4D73EF">
            <w:pPr>
              <w:snapToGrid w:val="0"/>
              <w:spacing w:line="273" w:lineRule="auto"/>
              <w:rPr>
                <w:rFonts w:hint="eastAsia" w:ascii="仿宋" w:hAnsi="仿宋" w:eastAsia="仿宋" w:cs="仿宋"/>
                <w:color w:val="000000"/>
                <w:kern w:val="0"/>
                <w:sz w:val="24"/>
              </w:rPr>
            </w:pPr>
            <w:r>
              <w:rPr>
                <w:rFonts w:hint="eastAsia" w:ascii="仿宋" w:hAnsi="仿宋" w:eastAsia="仿宋" w:cs="仿宋"/>
                <w:color w:val="000000"/>
                <w:kern w:val="2"/>
                <w:sz w:val="24"/>
              </w:rPr>
              <w:t>所有指标均满足采购文件（第三部分采购需求、主要技术参数、性能）主要技术参数、性能等要求的，得31分；采购需求中技术参数带▲负偏离或未响应或未按要求提供证明材料的，每项扣2分，采购需求中技术参数带★负偏离或未响应，每项扣1分，采购需求中技术参数未带▲/★负偏离或未响应，每项扣0.5分，扣完为止。</w:t>
            </w:r>
          </w:p>
        </w:tc>
        <w:tc>
          <w:tcPr>
            <w:tcW w:w="719" w:type="dxa"/>
            <w:vAlign w:val="center"/>
          </w:tcPr>
          <w:p w14:paraId="0DBFD553">
            <w:pPr>
              <w:spacing w:line="360" w:lineRule="auto"/>
              <w:jc w:val="center"/>
              <w:outlineLvl w:val="0"/>
              <w:rPr>
                <w:rFonts w:hint="eastAsia" w:ascii="仿宋" w:hAnsi="仿宋" w:eastAsia="仿宋" w:cs="仿宋"/>
                <w:color w:val="000000"/>
                <w:kern w:val="0"/>
                <w:sz w:val="24"/>
              </w:rPr>
            </w:pPr>
            <w:r>
              <w:rPr>
                <w:rFonts w:hint="eastAsia" w:ascii="仿宋" w:hAnsi="仿宋" w:eastAsia="仿宋" w:cs="仿宋"/>
                <w:color w:val="000000"/>
                <w:kern w:val="2"/>
                <w:sz w:val="24"/>
              </w:rPr>
              <w:t>31</w:t>
            </w:r>
          </w:p>
        </w:tc>
        <w:tc>
          <w:tcPr>
            <w:tcW w:w="1000" w:type="dxa"/>
            <w:vAlign w:val="center"/>
          </w:tcPr>
          <w:p w14:paraId="67490AE4">
            <w:pPr>
              <w:snapToGrid w:val="0"/>
              <w:spacing w:line="360" w:lineRule="auto"/>
              <w:jc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客观分</w:t>
            </w:r>
          </w:p>
        </w:tc>
        <w:tc>
          <w:tcPr>
            <w:tcW w:w="1503" w:type="dxa"/>
            <w:vAlign w:val="center"/>
          </w:tcPr>
          <w:p w14:paraId="09CE4613">
            <w:pPr>
              <w:snapToGrid w:val="0"/>
              <w:spacing w:line="360" w:lineRule="auto"/>
              <w:jc w:val="center"/>
              <w:rPr>
                <w:rFonts w:hint="eastAsia" w:ascii="仿宋" w:hAnsi="仿宋" w:eastAsia="仿宋" w:cs="仿宋"/>
                <w:color w:val="000000"/>
                <w:kern w:val="0"/>
                <w:sz w:val="24"/>
              </w:rPr>
            </w:pPr>
          </w:p>
        </w:tc>
      </w:tr>
      <w:tr w14:paraId="1126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2F48339">
            <w:pPr>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4672" w:type="dxa"/>
          </w:tcPr>
          <w:p w14:paraId="09BF214A">
            <w:pPr>
              <w:snapToGrid w:val="0"/>
              <w:spacing w:line="273" w:lineRule="auto"/>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eastAsia="zh-CN"/>
              </w:rPr>
              <w:t>所有设备响应招标文件最低质保期的不得分，质保期每增加</w:t>
            </w:r>
            <w:r>
              <w:rPr>
                <w:rFonts w:hint="eastAsia" w:ascii="仿宋" w:hAnsi="仿宋" w:eastAsia="仿宋" w:cs="仿宋"/>
                <w:color w:val="000000"/>
                <w:kern w:val="0"/>
                <w:sz w:val="24"/>
                <w:lang w:val="en-US" w:eastAsia="zh-CN"/>
              </w:rPr>
              <w:t>1年得1分，最高分3分。</w:t>
            </w:r>
          </w:p>
        </w:tc>
        <w:tc>
          <w:tcPr>
            <w:tcW w:w="719" w:type="dxa"/>
            <w:vAlign w:val="center"/>
          </w:tcPr>
          <w:p w14:paraId="73CF338E">
            <w:pPr>
              <w:spacing w:line="360" w:lineRule="auto"/>
              <w:jc w:val="center"/>
              <w:outlineLvl w:val="0"/>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3</w:t>
            </w:r>
          </w:p>
        </w:tc>
        <w:tc>
          <w:tcPr>
            <w:tcW w:w="1000" w:type="dxa"/>
            <w:vAlign w:val="center"/>
          </w:tcPr>
          <w:p w14:paraId="30523AEA">
            <w:pPr>
              <w:snapToGrid w:val="0"/>
              <w:spacing w:line="360" w:lineRule="auto"/>
              <w:jc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客观分</w:t>
            </w:r>
          </w:p>
        </w:tc>
        <w:tc>
          <w:tcPr>
            <w:tcW w:w="1503" w:type="dxa"/>
            <w:vAlign w:val="center"/>
          </w:tcPr>
          <w:p w14:paraId="61574FED">
            <w:pPr>
              <w:snapToGrid w:val="0"/>
              <w:spacing w:line="360" w:lineRule="auto"/>
              <w:jc w:val="center"/>
              <w:rPr>
                <w:rFonts w:hint="eastAsia" w:ascii="仿宋" w:hAnsi="仿宋" w:eastAsia="仿宋" w:cs="仿宋"/>
                <w:color w:val="000000"/>
                <w:kern w:val="0"/>
                <w:sz w:val="24"/>
              </w:rPr>
            </w:pPr>
          </w:p>
        </w:tc>
      </w:tr>
      <w:tr w14:paraId="7260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A393806">
            <w:pPr>
              <w:snapToGrid w:val="0"/>
              <w:spacing w:line="36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6</w:t>
            </w:r>
          </w:p>
        </w:tc>
        <w:tc>
          <w:tcPr>
            <w:tcW w:w="4672" w:type="dxa"/>
          </w:tcPr>
          <w:p w14:paraId="2CCBD5D4">
            <w:pPr>
              <w:snapToGrid w:val="0"/>
              <w:spacing w:line="273" w:lineRule="auto"/>
              <w:rPr>
                <w:rFonts w:hint="eastAsia" w:ascii="仿宋" w:hAnsi="仿宋" w:eastAsia="仿宋" w:cs="仿宋"/>
                <w:color w:val="000000"/>
                <w:kern w:val="0"/>
                <w:sz w:val="24"/>
                <w:lang w:eastAsia="zh-CN"/>
              </w:rPr>
            </w:pPr>
            <w:r>
              <w:rPr>
                <w:rFonts w:hint="eastAsia" w:ascii="仿宋" w:hAnsi="仿宋" w:eastAsia="仿宋" w:cs="仿宋"/>
                <w:color w:val="auto"/>
                <w:kern w:val="0"/>
                <w:sz w:val="24"/>
                <w:lang w:eastAsia="zh-CN"/>
              </w:rPr>
              <w:t>投标人已设立或承诺中标后7日历天内在建德地区范围内设立售后服务网点在的得</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lang w:eastAsia="zh-CN"/>
              </w:rPr>
              <w:t>分，在杭州地区范围内的得</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eastAsia="zh-CN"/>
              </w:rPr>
              <w:t>分，</w:t>
            </w:r>
            <w:r>
              <w:rPr>
                <w:rFonts w:hint="eastAsia" w:ascii="仿宋" w:hAnsi="仿宋" w:eastAsia="仿宋" w:cs="仿宋"/>
                <w:color w:val="auto"/>
                <w:kern w:val="0"/>
                <w:sz w:val="24"/>
                <w:lang w:val="en-US" w:eastAsia="zh-CN"/>
              </w:rPr>
              <w:t>其余不得分</w:t>
            </w:r>
            <w:r>
              <w:rPr>
                <w:rFonts w:hint="eastAsia" w:ascii="仿宋" w:hAnsi="仿宋" w:eastAsia="仿宋" w:cs="仿宋"/>
                <w:color w:val="auto"/>
                <w:kern w:val="0"/>
                <w:sz w:val="24"/>
                <w:lang w:eastAsia="zh-CN"/>
              </w:rPr>
              <w:t>。（售后服务网点需具备设备维修能力，提供营业执照或售后服务合同或承诺等证明材料）</w:t>
            </w:r>
          </w:p>
        </w:tc>
        <w:tc>
          <w:tcPr>
            <w:tcW w:w="719" w:type="dxa"/>
            <w:vAlign w:val="center"/>
          </w:tcPr>
          <w:p w14:paraId="67CC3B1F">
            <w:pPr>
              <w:spacing w:line="360" w:lineRule="auto"/>
              <w:jc w:val="center"/>
              <w:outlineLvl w:val="0"/>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w:t>
            </w:r>
          </w:p>
        </w:tc>
        <w:tc>
          <w:tcPr>
            <w:tcW w:w="1000" w:type="dxa"/>
            <w:vAlign w:val="center"/>
          </w:tcPr>
          <w:p w14:paraId="3ECA71C7">
            <w:pPr>
              <w:snapToGrid w:val="0"/>
              <w:spacing w:line="360" w:lineRule="auto"/>
              <w:jc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客观分</w:t>
            </w:r>
          </w:p>
        </w:tc>
        <w:tc>
          <w:tcPr>
            <w:tcW w:w="1503" w:type="dxa"/>
            <w:vAlign w:val="center"/>
          </w:tcPr>
          <w:p w14:paraId="53739E22">
            <w:pPr>
              <w:snapToGrid w:val="0"/>
              <w:spacing w:line="360" w:lineRule="auto"/>
              <w:jc w:val="center"/>
              <w:rPr>
                <w:rFonts w:hint="eastAsia" w:ascii="仿宋" w:hAnsi="仿宋" w:eastAsia="仿宋" w:cs="仿宋"/>
                <w:color w:val="000000"/>
                <w:kern w:val="0"/>
                <w:sz w:val="24"/>
              </w:rPr>
            </w:pPr>
          </w:p>
        </w:tc>
      </w:tr>
      <w:tr w14:paraId="2B0A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9" w:hRule="atLeast"/>
        </w:trPr>
        <w:tc>
          <w:tcPr>
            <w:tcW w:w="601" w:type="dxa"/>
            <w:vAlign w:val="center"/>
          </w:tcPr>
          <w:p w14:paraId="72F7E8FE">
            <w:pPr>
              <w:snapToGrid w:val="0"/>
              <w:spacing w:line="360" w:lineRule="auto"/>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7</w:t>
            </w:r>
          </w:p>
        </w:tc>
        <w:tc>
          <w:tcPr>
            <w:tcW w:w="4672" w:type="dxa"/>
          </w:tcPr>
          <w:p w14:paraId="7E61A5B2">
            <w:pPr>
              <w:snapToGrid w:val="0"/>
              <w:spacing w:line="273" w:lineRule="auto"/>
              <w:rPr>
                <w:rFonts w:hint="eastAsia" w:ascii="仿宋" w:hAnsi="仿宋" w:eastAsia="仿宋" w:cs="仿宋"/>
                <w:color w:val="000000"/>
                <w:kern w:val="0"/>
                <w:sz w:val="24"/>
              </w:rPr>
            </w:pPr>
            <w:r>
              <w:rPr>
                <w:rFonts w:hint="eastAsia" w:ascii="仿宋" w:hAnsi="仿宋" w:eastAsia="仿宋" w:cs="仿宋"/>
                <w:color w:val="000000"/>
                <w:kern w:val="0"/>
                <w:sz w:val="24"/>
              </w:rPr>
              <w:t>根据投标人对项目的总体理解、工艺技术深化方案等情况进行评价打分，最高得</w:t>
            </w: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分。</w:t>
            </w:r>
          </w:p>
          <w:p w14:paraId="7C7020FA">
            <w:pPr>
              <w:snapToGrid w:val="0"/>
              <w:spacing w:line="273" w:lineRule="auto"/>
              <w:rPr>
                <w:rFonts w:hint="eastAsia" w:ascii="仿宋" w:hAnsi="仿宋" w:eastAsia="仿宋" w:cs="仿宋"/>
                <w:color w:val="000000"/>
                <w:kern w:val="0"/>
                <w:sz w:val="24"/>
              </w:rPr>
            </w:pPr>
            <w:r>
              <w:rPr>
                <w:rFonts w:hint="eastAsia" w:ascii="仿宋" w:hAnsi="仿宋" w:eastAsia="仿宋" w:cs="仿宋"/>
                <w:color w:val="000000"/>
                <w:kern w:val="0"/>
                <w:sz w:val="24"/>
              </w:rPr>
              <w:t>对项目理解深刻，经现场踏勘后的设计方案符合本项目要求且内容完整，科学合理，提供针对性和可操作性强的工艺流程图、设备布局图的得</w:t>
            </w: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rPr>
              <w:t>分；</w:t>
            </w:r>
          </w:p>
          <w:p w14:paraId="3D305F8F">
            <w:pPr>
              <w:snapToGrid w:val="0"/>
              <w:spacing w:line="273" w:lineRule="auto"/>
              <w:rPr>
                <w:rFonts w:hint="eastAsia" w:ascii="仿宋" w:hAnsi="仿宋" w:eastAsia="仿宋" w:cs="仿宋"/>
                <w:color w:val="000000"/>
                <w:kern w:val="0"/>
                <w:sz w:val="24"/>
              </w:rPr>
            </w:pPr>
            <w:r>
              <w:rPr>
                <w:rFonts w:hint="eastAsia" w:ascii="仿宋" w:hAnsi="仿宋" w:eastAsia="仿宋" w:cs="仿宋"/>
                <w:color w:val="000000"/>
                <w:kern w:val="0"/>
                <w:sz w:val="24"/>
              </w:rPr>
              <w:t>对项目理解较为深刻，方案符合本项目要求，内容完整，科学合理，提供有一定的针对性和可操作性的工艺流程图、设备布局图的得</w:t>
            </w: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分；</w:t>
            </w:r>
          </w:p>
          <w:p w14:paraId="13291E7D">
            <w:pPr>
              <w:snapToGrid w:val="0"/>
              <w:spacing w:line="273" w:lineRule="auto"/>
              <w:rPr>
                <w:rFonts w:hint="eastAsia" w:ascii="仿宋" w:hAnsi="仿宋" w:eastAsia="仿宋" w:cs="仿宋"/>
                <w:color w:val="000000"/>
                <w:kern w:val="0"/>
                <w:sz w:val="24"/>
              </w:rPr>
            </w:pPr>
            <w:r>
              <w:rPr>
                <w:rFonts w:hint="eastAsia" w:ascii="仿宋" w:hAnsi="仿宋" w:eastAsia="仿宋" w:cs="仿宋"/>
                <w:color w:val="000000"/>
                <w:kern w:val="0"/>
                <w:sz w:val="24"/>
              </w:rPr>
              <w:t>方案合理可行，但完整性科学性等有所欠缺的得</w:t>
            </w: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分；</w:t>
            </w:r>
          </w:p>
          <w:p w14:paraId="070A2DF4">
            <w:pPr>
              <w:snapToGrid w:val="0"/>
              <w:spacing w:line="273" w:lineRule="auto"/>
              <w:rPr>
                <w:rFonts w:hint="eastAsia" w:ascii="仿宋" w:hAnsi="仿宋" w:eastAsia="仿宋" w:cs="仿宋"/>
                <w:color w:val="000000"/>
                <w:kern w:val="0"/>
                <w:sz w:val="24"/>
              </w:rPr>
            </w:pPr>
            <w:r>
              <w:rPr>
                <w:rFonts w:hint="eastAsia" w:ascii="仿宋" w:hAnsi="仿宋" w:eastAsia="仿宋" w:cs="仿宋"/>
                <w:color w:val="000000"/>
                <w:kern w:val="0"/>
                <w:sz w:val="24"/>
              </w:rPr>
              <w:t>方案内容极少或与项目需求不贴切的得1分；</w:t>
            </w:r>
          </w:p>
          <w:p w14:paraId="5843E666">
            <w:pPr>
              <w:snapToGrid w:val="0"/>
              <w:spacing w:line="273" w:lineRule="auto"/>
              <w:rPr>
                <w:rFonts w:hint="eastAsia" w:ascii="仿宋" w:hAnsi="仿宋" w:eastAsia="仿宋" w:cs="仿宋"/>
                <w:color w:val="000000"/>
                <w:kern w:val="0"/>
                <w:sz w:val="24"/>
              </w:rPr>
            </w:pPr>
            <w:r>
              <w:rPr>
                <w:rFonts w:hint="eastAsia" w:ascii="仿宋" w:hAnsi="仿宋" w:eastAsia="仿宋" w:cs="仿宋"/>
                <w:color w:val="000000"/>
                <w:kern w:val="0"/>
                <w:sz w:val="24"/>
              </w:rPr>
              <w:t>方案未提出或所提方案与本项目要求完全不符的不得分。</w:t>
            </w:r>
          </w:p>
        </w:tc>
        <w:tc>
          <w:tcPr>
            <w:tcW w:w="719" w:type="dxa"/>
            <w:vAlign w:val="center"/>
          </w:tcPr>
          <w:p w14:paraId="118462DC">
            <w:pPr>
              <w:spacing w:line="360" w:lineRule="auto"/>
              <w:jc w:val="center"/>
              <w:outlineLvl w:val="0"/>
              <w:rPr>
                <w:rFonts w:hint="eastAsia" w:ascii="仿宋" w:hAnsi="仿宋" w:eastAsia="仿宋" w:cs="仿宋"/>
                <w:color w:val="000000"/>
                <w:kern w:val="0"/>
                <w:sz w:val="24"/>
                <w:lang w:eastAsia="zh-CN"/>
              </w:rPr>
            </w:pPr>
            <w:r>
              <w:rPr>
                <w:rFonts w:hint="eastAsia" w:ascii="仿宋" w:hAnsi="仿宋" w:eastAsia="仿宋" w:cs="仿宋"/>
                <w:color w:val="000000"/>
                <w:kern w:val="2"/>
                <w:sz w:val="24"/>
                <w:lang w:val="en-US" w:eastAsia="zh-CN"/>
              </w:rPr>
              <w:t>6</w:t>
            </w:r>
          </w:p>
        </w:tc>
        <w:tc>
          <w:tcPr>
            <w:tcW w:w="1000" w:type="dxa"/>
            <w:vAlign w:val="center"/>
          </w:tcPr>
          <w:p w14:paraId="07B73F65">
            <w:pPr>
              <w:snapToGrid w:val="0"/>
              <w:spacing w:line="360" w:lineRule="auto"/>
              <w:jc w:val="center"/>
              <w:rPr>
                <w:rFonts w:hint="eastAsia" w:ascii="仿宋" w:hAnsi="仿宋" w:eastAsia="仿宋" w:cs="仿宋"/>
                <w:bCs/>
                <w:color w:val="000000"/>
                <w:kern w:val="0"/>
                <w:sz w:val="24"/>
              </w:rPr>
            </w:pPr>
            <w:r>
              <w:rPr>
                <w:rFonts w:hint="eastAsia" w:ascii="仿宋" w:hAnsi="仿宋" w:eastAsia="仿宋" w:cs="仿宋"/>
                <w:color w:val="000000"/>
                <w:kern w:val="0"/>
                <w:sz w:val="24"/>
              </w:rPr>
              <w:t>主观分</w:t>
            </w:r>
          </w:p>
        </w:tc>
        <w:tc>
          <w:tcPr>
            <w:tcW w:w="1503" w:type="dxa"/>
            <w:vAlign w:val="center"/>
          </w:tcPr>
          <w:p w14:paraId="3AE9BF03">
            <w:pPr>
              <w:snapToGrid w:val="0"/>
              <w:spacing w:line="360" w:lineRule="auto"/>
              <w:jc w:val="center"/>
              <w:rPr>
                <w:rFonts w:hint="eastAsia" w:ascii="仿宋" w:hAnsi="仿宋" w:eastAsia="仿宋" w:cs="仿宋"/>
                <w:color w:val="000000"/>
                <w:kern w:val="0"/>
                <w:sz w:val="24"/>
              </w:rPr>
            </w:pPr>
          </w:p>
        </w:tc>
      </w:tr>
      <w:tr w14:paraId="36FB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0E79FB3">
            <w:pPr>
              <w:snapToGrid w:val="0"/>
              <w:spacing w:line="360" w:lineRule="auto"/>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8</w:t>
            </w:r>
          </w:p>
        </w:tc>
        <w:tc>
          <w:tcPr>
            <w:tcW w:w="4672" w:type="dxa"/>
          </w:tcPr>
          <w:p w14:paraId="429B40AE">
            <w:pPr>
              <w:snapToGrid w:val="0"/>
              <w:spacing w:line="273" w:lineRule="auto"/>
              <w:rPr>
                <w:rFonts w:hint="eastAsia" w:ascii="仿宋" w:hAnsi="仿宋" w:eastAsia="仿宋" w:cs="仿宋"/>
                <w:color w:val="000000"/>
                <w:kern w:val="0"/>
                <w:sz w:val="24"/>
              </w:rPr>
            </w:pPr>
            <w:r>
              <w:rPr>
                <w:rFonts w:hint="eastAsia" w:ascii="仿宋" w:hAnsi="仿宋" w:eastAsia="仿宋" w:cs="仿宋"/>
                <w:color w:val="000000"/>
                <w:kern w:val="2"/>
                <w:sz w:val="24"/>
              </w:rPr>
              <w:t>项目实施方案详细完整程度，包括但不限于成交后有效地组织技术和人员力量,按时保质地完成产品运输、交货，方案内容全面、计划合理可行的得</w:t>
            </w:r>
            <w:r>
              <w:rPr>
                <w:rFonts w:hint="eastAsia" w:ascii="仿宋" w:hAnsi="仿宋" w:eastAsia="仿宋" w:cs="仿宋"/>
                <w:color w:val="000000"/>
                <w:kern w:val="2"/>
                <w:sz w:val="24"/>
                <w:lang w:val="en-US" w:eastAsia="zh-CN"/>
              </w:rPr>
              <w:t>4</w:t>
            </w:r>
            <w:r>
              <w:rPr>
                <w:rFonts w:hint="eastAsia" w:ascii="仿宋" w:hAnsi="仿宋" w:eastAsia="仿宋" w:cs="仿宋"/>
                <w:color w:val="000000"/>
                <w:kern w:val="2"/>
                <w:sz w:val="24"/>
              </w:rPr>
              <w:t>分；内容基本符合的得</w:t>
            </w:r>
            <w:r>
              <w:rPr>
                <w:rFonts w:hint="eastAsia" w:ascii="仿宋" w:hAnsi="仿宋" w:eastAsia="仿宋" w:cs="仿宋"/>
                <w:color w:val="000000"/>
                <w:kern w:val="2"/>
                <w:sz w:val="24"/>
                <w:lang w:val="en-US" w:eastAsia="zh-CN"/>
              </w:rPr>
              <w:t>3</w:t>
            </w:r>
            <w:r>
              <w:rPr>
                <w:rFonts w:hint="eastAsia" w:ascii="仿宋" w:hAnsi="仿宋" w:eastAsia="仿宋" w:cs="仿宋"/>
                <w:color w:val="000000"/>
                <w:kern w:val="2"/>
                <w:sz w:val="24"/>
              </w:rPr>
              <w:t>分；</w:t>
            </w:r>
            <w:r>
              <w:rPr>
                <w:rFonts w:hint="eastAsia" w:ascii="仿宋" w:hAnsi="仿宋" w:eastAsia="仿宋" w:cs="仿宋"/>
                <w:color w:val="000000"/>
                <w:kern w:val="0"/>
                <w:sz w:val="24"/>
              </w:rPr>
              <w:t>内容有所欠缺得</w:t>
            </w: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分；内容极少</w:t>
            </w:r>
            <w:r>
              <w:rPr>
                <w:rFonts w:hint="eastAsia" w:ascii="仿宋" w:hAnsi="仿宋" w:eastAsia="仿宋" w:cs="仿宋"/>
                <w:color w:val="000000"/>
                <w:kern w:val="0"/>
                <w:sz w:val="24"/>
                <w:lang w:eastAsia="zh-CN"/>
              </w:rPr>
              <w:t>得</w:t>
            </w:r>
            <w:r>
              <w:rPr>
                <w:rFonts w:hint="eastAsia" w:ascii="仿宋" w:hAnsi="仿宋" w:eastAsia="仿宋" w:cs="仿宋"/>
                <w:color w:val="000000"/>
                <w:kern w:val="0"/>
                <w:sz w:val="24"/>
                <w:lang w:val="en-US" w:eastAsia="zh-CN"/>
              </w:rPr>
              <w:t>1分；</w:t>
            </w:r>
            <w:r>
              <w:rPr>
                <w:rFonts w:hint="eastAsia" w:ascii="仿宋" w:hAnsi="仿宋" w:eastAsia="仿宋" w:cs="仿宋"/>
                <w:color w:val="000000"/>
                <w:kern w:val="2"/>
                <w:sz w:val="24"/>
              </w:rPr>
              <w:t>无有效内容的不得分。</w:t>
            </w:r>
          </w:p>
        </w:tc>
        <w:tc>
          <w:tcPr>
            <w:tcW w:w="719" w:type="dxa"/>
            <w:vAlign w:val="center"/>
          </w:tcPr>
          <w:p w14:paraId="4F75D6D5">
            <w:pPr>
              <w:spacing w:line="360" w:lineRule="auto"/>
              <w:jc w:val="center"/>
              <w:outlineLvl w:val="0"/>
              <w:rPr>
                <w:rFonts w:hint="eastAsia" w:ascii="仿宋" w:hAnsi="仿宋" w:eastAsia="仿宋" w:cs="仿宋"/>
                <w:color w:val="000000"/>
                <w:kern w:val="0"/>
                <w:sz w:val="24"/>
                <w:lang w:eastAsia="zh-CN"/>
              </w:rPr>
            </w:pPr>
            <w:r>
              <w:rPr>
                <w:rFonts w:hint="eastAsia" w:ascii="仿宋" w:hAnsi="仿宋" w:eastAsia="仿宋" w:cs="仿宋"/>
                <w:color w:val="000000"/>
                <w:kern w:val="2"/>
                <w:sz w:val="24"/>
                <w:lang w:val="en-US" w:eastAsia="zh-CN"/>
              </w:rPr>
              <w:t>4</w:t>
            </w:r>
          </w:p>
        </w:tc>
        <w:tc>
          <w:tcPr>
            <w:tcW w:w="1000" w:type="dxa"/>
            <w:vAlign w:val="center"/>
          </w:tcPr>
          <w:p w14:paraId="62823E9D">
            <w:pPr>
              <w:snapToGrid w:val="0"/>
              <w:spacing w:line="360" w:lineRule="auto"/>
              <w:jc w:val="center"/>
              <w:rPr>
                <w:rFonts w:hint="eastAsia" w:ascii="仿宋" w:hAnsi="仿宋" w:eastAsia="仿宋" w:cs="仿宋"/>
                <w:bCs/>
                <w:color w:val="000000"/>
                <w:kern w:val="0"/>
                <w:sz w:val="24"/>
              </w:rPr>
            </w:pPr>
            <w:r>
              <w:rPr>
                <w:rFonts w:hint="eastAsia" w:ascii="仿宋" w:hAnsi="仿宋" w:eastAsia="仿宋" w:cs="仿宋"/>
                <w:color w:val="000000"/>
                <w:kern w:val="0"/>
                <w:sz w:val="24"/>
              </w:rPr>
              <w:t>主观分</w:t>
            </w:r>
          </w:p>
        </w:tc>
        <w:tc>
          <w:tcPr>
            <w:tcW w:w="1503" w:type="dxa"/>
            <w:vAlign w:val="center"/>
          </w:tcPr>
          <w:p w14:paraId="7C1D3219">
            <w:pPr>
              <w:snapToGrid w:val="0"/>
              <w:spacing w:line="360" w:lineRule="auto"/>
              <w:jc w:val="center"/>
              <w:rPr>
                <w:rFonts w:hint="eastAsia" w:ascii="仿宋" w:hAnsi="仿宋" w:eastAsia="仿宋" w:cs="仿宋"/>
                <w:color w:val="000000"/>
                <w:kern w:val="0"/>
                <w:sz w:val="24"/>
              </w:rPr>
            </w:pPr>
          </w:p>
        </w:tc>
      </w:tr>
      <w:tr w14:paraId="13BB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318DEB6">
            <w:pPr>
              <w:snapToGrid w:val="0"/>
              <w:spacing w:line="360" w:lineRule="auto"/>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9</w:t>
            </w:r>
          </w:p>
        </w:tc>
        <w:tc>
          <w:tcPr>
            <w:tcW w:w="4672" w:type="dxa"/>
          </w:tcPr>
          <w:p w14:paraId="2FF76FDE">
            <w:pPr>
              <w:snapToGrid w:val="0"/>
              <w:spacing w:line="273" w:lineRule="auto"/>
              <w:rPr>
                <w:rFonts w:hint="eastAsia" w:ascii="仿宋" w:hAnsi="仿宋" w:eastAsia="仿宋" w:cs="仿宋"/>
                <w:color w:val="000000"/>
                <w:kern w:val="0"/>
                <w:sz w:val="24"/>
              </w:rPr>
            </w:pPr>
            <w:r>
              <w:rPr>
                <w:rFonts w:hint="eastAsia" w:ascii="仿宋" w:hAnsi="仿宋" w:eastAsia="仿宋" w:cs="仿宋"/>
                <w:color w:val="000000"/>
                <w:kern w:val="2"/>
                <w:sz w:val="24"/>
              </w:rPr>
              <w:t>施工进度计划编制合理、可行，安装思路清晰、准确、完整。保证措施可靠、操作性强的得4分；内容基本符合的得</w:t>
            </w:r>
            <w:r>
              <w:rPr>
                <w:rFonts w:hint="eastAsia" w:ascii="仿宋" w:hAnsi="仿宋" w:eastAsia="仿宋" w:cs="仿宋"/>
                <w:color w:val="000000"/>
                <w:kern w:val="2"/>
                <w:sz w:val="24"/>
                <w:lang w:val="en-US" w:eastAsia="zh-CN"/>
              </w:rPr>
              <w:t>3</w:t>
            </w:r>
            <w:r>
              <w:rPr>
                <w:rFonts w:hint="eastAsia" w:ascii="仿宋" w:hAnsi="仿宋" w:eastAsia="仿宋" w:cs="仿宋"/>
                <w:color w:val="000000"/>
                <w:kern w:val="2"/>
                <w:sz w:val="24"/>
              </w:rPr>
              <w:t>分；</w:t>
            </w:r>
            <w:r>
              <w:rPr>
                <w:rFonts w:hint="eastAsia" w:ascii="仿宋" w:hAnsi="仿宋" w:eastAsia="仿宋" w:cs="仿宋"/>
                <w:color w:val="000000"/>
                <w:kern w:val="0"/>
                <w:sz w:val="24"/>
              </w:rPr>
              <w:t>内容有所欠缺得</w:t>
            </w: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分；内容极少</w:t>
            </w:r>
            <w:r>
              <w:rPr>
                <w:rFonts w:hint="eastAsia" w:ascii="仿宋" w:hAnsi="仿宋" w:eastAsia="仿宋" w:cs="仿宋"/>
                <w:color w:val="000000"/>
                <w:kern w:val="0"/>
                <w:sz w:val="24"/>
                <w:lang w:eastAsia="zh-CN"/>
              </w:rPr>
              <w:t>得</w:t>
            </w:r>
            <w:r>
              <w:rPr>
                <w:rFonts w:hint="eastAsia" w:ascii="仿宋" w:hAnsi="仿宋" w:eastAsia="仿宋" w:cs="仿宋"/>
                <w:color w:val="000000"/>
                <w:kern w:val="0"/>
                <w:sz w:val="24"/>
                <w:lang w:val="en-US" w:eastAsia="zh-CN"/>
              </w:rPr>
              <w:t>1分；</w:t>
            </w:r>
            <w:r>
              <w:rPr>
                <w:rFonts w:hint="eastAsia" w:ascii="仿宋" w:hAnsi="仿宋" w:eastAsia="仿宋" w:cs="仿宋"/>
                <w:color w:val="000000"/>
                <w:kern w:val="2"/>
                <w:sz w:val="24"/>
              </w:rPr>
              <w:t>无有效内容的不得分。</w:t>
            </w:r>
          </w:p>
        </w:tc>
        <w:tc>
          <w:tcPr>
            <w:tcW w:w="719" w:type="dxa"/>
            <w:vAlign w:val="center"/>
          </w:tcPr>
          <w:p w14:paraId="5B019EEA">
            <w:pPr>
              <w:spacing w:line="360" w:lineRule="auto"/>
              <w:jc w:val="center"/>
              <w:outlineLvl w:val="0"/>
              <w:rPr>
                <w:rFonts w:hint="eastAsia" w:ascii="仿宋" w:hAnsi="仿宋" w:eastAsia="仿宋" w:cs="仿宋"/>
                <w:color w:val="000000"/>
                <w:kern w:val="0"/>
                <w:sz w:val="24"/>
              </w:rPr>
            </w:pPr>
            <w:r>
              <w:rPr>
                <w:rFonts w:hint="eastAsia" w:ascii="仿宋" w:hAnsi="仿宋" w:eastAsia="仿宋" w:cs="仿宋"/>
                <w:color w:val="000000"/>
                <w:kern w:val="2"/>
                <w:sz w:val="24"/>
              </w:rPr>
              <w:t>4</w:t>
            </w:r>
          </w:p>
        </w:tc>
        <w:tc>
          <w:tcPr>
            <w:tcW w:w="1000" w:type="dxa"/>
            <w:vAlign w:val="center"/>
          </w:tcPr>
          <w:p w14:paraId="30DAEAB1">
            <w:pPr>
              <w:snapToGrid w:val="0"/>
              <w:spacing w:line="360" w:lineRule="auto"/>
              <w:jc w:val="center"/>
              <w:rPr>
                <w:rFonts w:hint="eastAsia" w:ascii="仿宋" w:hAnsi="仿宋" w:eastAsia="仿宋" w:cs="仿宋"/>
                <w:bCs/>
                <w:color w:val="000000"/>
                <w:kern w:val="0"/>
                <w:sz w:val="24"/>
              </w:rPr>
            </w:pPr>
            <w:r>
              <w:rPr>
                <w:rFonts w:hint="eastAsia" w:ascii="仿宋" w:hAnsi="仿宋" w:eastAsia="仿宋" w:cs="仿宋"/>
                <w:color w:val="000000"/>
                <w:kern w:val="0"/>
                <w:sz w:val="24"/>
              </w:rPr>
              <w:t>主观分</w:t>
            </w:r>
          </w:p>
        </w:tc>
        <w:tc>
          <w:tcPr>
            <w:tcW w:w="1503" w:type="dxa"/>
            <w:vAlign w:val="center"/>
          </w:tcPr>
          <w:p w14:paraId="256ED5AA">
            <w:pPr>
              <w:snapToGrid w:val="0"/>
              <w:spacing w:line="360" w:lineRule="auto"/>
              <w:jc w:val="center"/>
              <w:rPr>
                <w:rFonts w:hint="eastAsia" w:ascii="仿宋" w:hAnsi="仿宋" w:eastAsia="仿宋" w:cs="仿宋"/>
                <w:color w:val="000000"/>
                <w:kern w:val="0"/>
                <w:sz w:val="24"/>
              </w:rPr>
            </w:pPr>
          </w:p>
        </w:tc>
      </w:tr>
      <w:tr w14:paraId="0DF5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0D5C430">
            <w:pPr>
              <w:snapToGrid w:val="0"/>
              <w:spacing w:line="360" w:lineRule="auto"/>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2"/>
                <w:sz w:val="24"/>
                <w:lang w:val="en-US" w:eastAsia="zh-CN"/>
              </w:rPr>
              <w:t>10</w:t>
            </w:r>
          </w:p>
        </w:tc>
        <w:tc>
          <w:tcPr>
            <w:tcW w:w="4672" w:type="dxa"/>
          </w:tcPr>
          <w:p w14:paraId="36AB2A34">
            <w:pPr>
              <w:snapToGrid w:val="0"/>
              <w:spacing w:line="273" w:lineRule="auto"/>
              <w:rPr>
                <w:rFonts w:hint="eastAsia" w:ascii="仿宋" w:hAnsi="仿宋" w:eastAsia="仿宋" w:cs="仿宋"/>
                <w:color w:val="000000"/>
                <w:kern w:val="0"/>
                <w:sz w:val="24"/>
              </w:rPr>
            </w:pPr>
            <w:r>
              <w:rPr>
                <w:rFonts w:hint="eastAsia" w:ascii="仿宋" w:hAnsi="仿宋" w:eastAsia="仿宋" w:cs="仿宋"/>
                <w:color w:val="000000"/>
                <w:kern w:val="2"/>
                <w:sz w:val="24"/>
              </w:rPr>
              <w:t>应急预案：项目实施有应急预案；安全施工预案；有切实可行的安全预案。</w:t>
            </w:r>
          </w:p>
          <w:p w14:paraId="321EA111">
            <w:pPr>
              <w:snapToGrid w:val="0"/>
              <w:spacing w:line="273" w:lineRule="auto"/>
              <w:rPr>
                <w:rFonts w:hint="eastAsia" w:ascii="仿宋" w:hAnsi="仿宋" w:eastAsia="仿宋" w:cs="仿宋"/>
                <w:color w:val="000000"/>
                <w:kern w:val="0"/>
                <w:sz w:val="24"/>
              </w:rPr>
            </w:pPr>
            <w:r>
              <w:rPr>
                <w:rFonts w:hint="eastAsia" w:ascii="仿宋" w:hAnsi="仿宋" w:eastAsia="仿宋" w:cs="仿宋"/>
                <w:color w:val="000000"/>
                <w:kern w:val="2"/>
                <w:sz w:val="24"/>
              </w:rPr>
              <w:t>项目应急预案全面合理且可操作性高的得3分；项目应急预案较为全面合理且有可操作性的得2分；项目应急预案欠妥的得1分；项目应急预案有明显缺陷的或未提供方案的不得分。</w:t>
            </w:r>
          </w:p>
        </w:tc>
        <w:tc>
          <w:tcPr>
            <w:tcW w:w="719" w:type="dxa"/>
            <w:vAlign w:val="center"/>
          </w:tcPr>
          <w:p w14:paraId="3D8DD51C">
            <w:pPr>
              <w:jc w:val="center"/>
              <w:rPr>
                <w:rFonts w:hint="eastAsia" w:ascii="仿宋" w:hAnsi="仿宋" w:eastAsia="仿宋" w:cs="仿宋"/>
                <w:color w:val="000000"/>
                <w:kern w:val="0"/>
                <w:sz w:val="24"/>
              </w:rPr>
            </w:pPr>
            <w:r>
              <w:rPr>
                <w:rFonts w:hint="eastAsia" w:ascii="仿宋" w:hAnsi="仿宋" w:eastAsia="仿宋" w:cs="仿宋"/>
                <w:color w:val="000000"/>
                <w:kern w:val="2"/>
                <w:sz w:val="24"/>
              </w:rPr>
              <w:t>3</w:t>
            </w:r>
          </w:p>
        </w:tc>
        <w:tc>
          <w:tcPr>
            <w:tcW w:w="1000" w:type="dxa"/>
            <w:vAlign w:val="center"/>
          </w:tcPr>
          <w:p w14:paraId="3ED6AD23">
            <w:pPr>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主观分</w:t>
            </w:r>
          </w:p>
        </w:tc>
        <w:tc>
          <w:tcPr>
            <w:tcW w:w="1503" w:type="dxa"/>
            <w:vAlign w:val="center"/>
          </w:tcPr>
          <w:p w14:paraId="1E7F5857">
            <w:pPr>
              <w:snapToGrid w:val="0"/>
              <w:spacing w:line="360" w:lineRule="auto"/>
              <w:jc w:val="center"/>
              <w:rPr>
                <w:rFonts w:hint="eastAsia" w:ascii="仿宋" w:hAnsi="仿宋" w:eastAsia="仿宋" w:cs="仿宋"/>
                <w:color w:val="000000"/>
                <w:kern w:val="0"/>
                <w:sz w:val="24"/>
              </w:rPr>
            </w:pPr>
          </w:p>
        </w:tc>
      </w:tr>
      <w:tr w14:paraId="616E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7E8A2FE">
            <w:pPr>
              <w:snapToGrid w:val="0"/>
              <w:spacing w:line="360" w:lineRule="auto"/>
              <w:jc w:val="center"/>
              <w:rPr>
                <w:rFonts w:hint="eastAsia" w:ascii="仿宋" w:hAnsi="仿宋" w:eastAsia="仿宋" w:cs="仿宋"/>
                <w:color w:val="000000"/>
                <w:kern w:val="0"/>
                <w:sz w:val="24"/>
                <w:lang w:eastAsia="zh-CN"/>
              </w:rPr>
            </w:pPr>
            <w:r>
              <w:rPr>
                <w:rFonts w:hint="eastAsia" w:ascii="仿宋" w:hAnsi="仿宋" w:eastAsia="仿宋" w:cs="仿宋"/>
                <w:color w:val="000000"/>
                <w:kern w:val="2"/>
                <w:sz w:val="24"/>
              </w:rPr>
              <w:t>1</w:t>
            </w:r>
            <w:r>
              <w:rPr>
                <w:rFonts w:hint="eastAsia" w:ascii="仿宋" w:hAnsi="仿宋" w:eastAsia="仿宋" w:cs="仿宋"/>
                <w:color w:val="000000"/>
                <w:kern w:val="2"/>
                <w:sz w:val="24"/>
                <w:lang w:val="en-US" w:eastAsia="zh-CN"/>
              </w:rPr>
              <w:t>1</w:t>
            </w:r>
          </w:p>
        </w:tc>
        <w:tc>
          <w:tcPr>
            <w:tcW w:w="4672" w:type="dxa"/>
          </w:tcPr>
          <w:p w14:paraId="72DF4A62">
            <w:pPr>
              <w:snapToGrid w:val="0"/>
              <w:spacing w:line="273" w:lineRule="auto"/>
              <w:rPr>
                <w:rFonts w:hint="eastAsia" w:ascii="仿宋" w:hAnsi="仿宋" w:eastAsia="仿宋" w:cs="仿宋"/>
                <w:color w:val="000000"/>
                <w:kern w:val="0"/>
                <w:sz w:val="24"/>
              </w:rPr>
            </w:pPr>
            <w:r>
              <w:rPr>
                <w:rFonts w:hint="eastAsia" w:ascii="仿宋" w:hAnsi="仿宋" w:eastAsia="仿宋" w:cs="仿宋"/>
                <w:color w:val="000000"/>
                <w:kern w:val="2"/>
                <w:sz w:val="24"/>
              </w:rPr>
              <w:t>根据对投标产品或材料的适用性及结构安全稳定性保证及说明，完全符合的得</w:t>
            </w:r>
            <w:r>
              <w:rPr>
                <w:rFonts w:hint="eastAsia" w:ascii="仿宋" w:hAnsi="仿宋" w:eastAsia="仿宋" w:cs="仿宋"/>
                <w:color w:val="000000"/>
                <w:kern w:val="2"/>
                <w:sz w:val="24"/>
                <w:lang w:val="en-US" w:eastAsia="zh-CN"/>
              </w:rPr>
              <w:t>4</w:t>
            </w:r>
            <w:r>
              <w:rPr>
                <w:rFonts w:hint="eastAsia" w:ascii="仿宋" w:hAnsi="仿宋" w:eastAsia="仿宋" w:cs="仿宋"/>
                <w:color w:val="000000"/>
                <w:kern w:val="2"/>
                <w:sz w:val="24"/>
              </w:rPr>
              <w:t>分；内容基本符合的得</w:t>
            </w:r>
            <w:r>
              <w:rPr>
                <w:rFonts w:hint="eastAsia" w:ascii="仿宋" w:hAnsi="仿宋" w:eastAsia="仿宋" w:cs="仿宋"/>
                <w:color w:val="000000"/>
                <w:kern w:val="2"/>
                <w:sz w:val="24"/>
                <w:lang w:val="en-US" w:eastAsia="zh-CN"/>
              </w:rPr>
              <w:t>3</w:t>
            </w:r>
            <w:r>
              <w:rPr>
                <w:rFonts w:hint="eastAsia" w:ascii="仿宋" w:hAnsi="仿宋" w:eastAsia="仿宋" w:cs="仿宋"/>
                <w:color w:val="000000"/>
                <w:kern w:val="2"/>
                <w:sz w:val="24"/>
              </w:rPr>
              <w:t>分；</w:t>
            </w:r>
            <w:r>
              <w:rPr>
                <w:rFonts w:hint="eastAsia" w:ascii="仿宋" w:hAnsi="仿宋" w:eastAsia="仿宋" w:cs="仿宋"/>
                <w:color w:val="000000"/>
                <w:kern w:val="0"/>
                <w:sz w:val="24"/>
              </w:rPr>
              <w:t>内容有所欠缺得</w:t>
            </w: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分</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内容极少</w:t>
            </w:r>
            <w:r>
              <w:rPr>
                <w:rFonts w:hint="eastAsia" w:ascii="仿宋" w:hAnsi="仿宋" w:eastAsia="仿宋" w:cs="仿宋"/>
                <w:color w:val="000000"/>
                <w:kern w:val="0"/>
                <w:sz w:val="24"/>
                <w:lang w:eastAsia="zh-CN"/>
              </w:rPr>
              <w:t>得</w:t>
            </w:r>
            <w:r>
              <w:rPr>
                <w:rFonts w:hint="eastAsia" w:ascii="仿宋" w:hAnsi="仿宋" w:eastAsia="仿宋" w:cs="仿宋"/>
                <w:color w:val="000000"/>
                <w:kern w:val="0"/>
                <w:sz w:val="24"/>
                <w:lang w:val="en-US" w:eastAsia="zh-CN"/>
              </w:rPr>
              <w:t>1分；</w:t>
            </w:r>
            <w:r>
              <w:rPr>
                <w:rFonts w:hint="eastAsia" w:ascii="仿宋" w:hAnsi="仿宋" w:eastAsia="仿宋" w:cs="仿宋"/>
                <w:color w:val="000000"/>
                <w:kern w:val="2"/>
                <w:sz w:val="24"/>
              </w:rPr>
              <w:t>无有效内容的不得分。</w:t>
            </w:r>
          </w:p>
        </w:tc>
        <w:tc>
          <w:tcPr>
            <w:tcW w:w="719" w:type="dxa"/>
            <w:vAlign w:val="center"/>
          </w:tcPr>
          <w:p w14:paraId="690BB8D2">
            <w:pPr>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w:t>
            </w:r>
          </w:p>
        </w:tc>
        <w:tc>
          <w:tcPr>
            <w:tcW w:w="1000" w:type="dxa"/>
            <w:vAlign w:val="center"/>
          </w:tcPr>
          <w:p w14:paraId="4E27AED3">
            <w:pPr>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主观分</w:t>
            </w:r>
          </w:p>
        </w:tc>
        <w:tc>
          <w:tcPr>
            <w:tcW w:w="1503" w:type="dxa"/>
            <w:vAlign w:val="center"/>
          </w:tcPr>
          <w:p w14:paraId="10EC2CB8">
            <w:pPr>
              <w:snapToGrid w:val="0"/>
              <w:spacing w:line="360" w:lineRule="auto"/>
              <w:jc w:val="center"/>
              <w:rPr>
                <w:rFonts w:hint="eastAsia" w:ascii="仿宋" w:hAnsi="仿宋" w:eastAsia="仿宋" w:cs="仿宋"/>
                <w:color w:val="000000"/>
                <w:kern w:val="0"/>
                <w:sz w:val="24"/>
              </w:rPr>
            </w:pPr>
          </w:p>
        </w:tc>
      </w:tr>
      <w:tr w14:paraId="036F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90A598A">
            <w:pPr>
              <w:snapToGrid w:val="0"/>
              <w:spacing w:line="360" w:lineRule="auto"/>
              <w:jc w:val="center"/>
              <w:rPr>
                <w:rFonts w:hint="eastAsia" w:ascii="仿宋" w:hAnsi="仿宋" w:eastAsia="仿宋" w:cs="仿宋"/>
                <w:color w:val="000000"/>
                <w:kern w:val="0"/>
                <w:sz w:val="24"/>
                <w:lang w:eastAsia="zh-CN"/>
              </w:rPr>
            </w:pPr>
            <w:r>
              <w:rPr>
                <w:rFonts w:hint="eastAsia" w:ascii="仿宋" w:hAnsi="仿宋" w:eastAsia="仿宋" w:cs="仿宋"/>
                <w:color w:val="000000"/>
                <w:kern w:val="2"/>
                <w:sz w:val="24"/>
              </w:rPr>
              <w:t>1</w:t>
            </w:r>
            <w:r>
              <w:rPr>
                <w:rFonts w:hint="eastAsia" w:ascii="仿宋" w:hAnsi="仿宋" w:eastAsia="仿宋" w:cs="仿宋"/>
                <w:color w:val="000000"/>
                <w:kern w:val="2"/>
                <w:sz w:val="24"/>
                <w:lang w:val="en-US" w:eastAsia="zh-CN"/>
              </w:rPr>
              <w:t>2</w:t>
            </w:r>
          </w:p>
        </w:tc>
        <w:tc>
          <w:tcPr>
            <w:tcW w:w="4672" w:type="dxa"/>
          </w:tcPr>
          <w:p w14:paraId="67FFFB65">
            <w:pPr>
              <w:snapToGrid w:val="0"/>
              <w:spacing w:line="273" w:lineRule="auto"/>
              <w:rPr>
                <w:rFonts w:hint="eastAsia" w:ascii="仿宋" w:hAnsi="仿宋" w:eastAsia="仿宋" w:cs="仿宋"/>
                <w:color w:val="000000"/>
                <w:kern w:val="0"/>
                <w:sz w:val="24"/>
              </w:rPr>
            </w:pPr>
            <w:r>
              <w:rPr>
                <w:rFonts w:hint="eastAsia" w:ascii="仿宋" w:hAnsi="仿宋" w:eastAsia="仿宋" w:cs="仿宋"/>
                <w:color w:val="000000"/>
                <w:kern w:val="2"/>
                <w:sz w:val="24"/>
              </w:rPr>
              <w:t>服务承诺是否可行性、完整性；服务承诺落实的保障措施；质保期内外的后续技术支持；维护能力是否合理性、全面性、可执行性，完全符合的得</w:t>
            </w:r>
            <w:r>
              <w:rPr>
                <w:rFonts w:hint="eastAsia" w:ascii="仿宋" w:hAnsi="仿宋" w:eastAsia="仿宋" w:cs="仿宋"/>
                <w:color w:val="000000"/>
                <w:kern w:val="2"/>
                <w:sz w:val="24"/>
                <w:lang w:val="en-US" w:eastAsia="zh-CN"/>
              </w:rPr>
              <w:t>4</w:t>
            </w:r>
            <w:r>
              <w:rPr>
                <w:rFonts w:hint="eastAsia" w:ascii="仿宋" w:hAnsi="仿宋" w:eastAsia="仿宋" w:cs="仿宋"/>
                <w:color w:val="000000"/>
                <w:kern w:val="2"/>
                <w:sz w:val="24"/>
              </w:rPr>
              <w:t>分；内容基本符合的得3分；</w:t>
            </w:r>
            <w:r>
              <w:rPr>
                <w:rFonts w:hint="eastAsia" w:ascii="仿宋" w:hAnsi="仿宋" w:eastAsia="仿宋" w:cs="仿宋"/>
                <w:color w:val="000000"/>
                <w:kern w:val="0"/>
                <w:sz w:val="24"/>
              </w:rPr>
              <w:t>内容有所欠缺得</w:t>
            </w: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分；内容极少</w:t>
            </w:r>
            <w:r>
              <w:rPr>
                <w:rFonts w:hint="eastAsia" w:ascii="仿宋" w:hAnsi="仿宋" w:eastAsia="仿宋" w:cs="仿宋"/>
                <w:color w:val="000000"/>
                <w:kern w:val="0"/>
                <w:sz w:val="24"/>
                <w:lang w:eastAsia="zh-CN"/>
              </w:rPr>
              <w:t>得</w:t>
            </w:r>
            <w:r>
              <w:rPr>
                <w:rFonts w:hint="eastAsia" w:ascii="仿宋" w:hAnsi="仿宋" w:eastAsia="仿宋" w:cs="仿宋"/>
                <w:color w:val="000000"/>
                <w:kern w:val="0"/>
                <w:sz w:val="24"/>
                <w:lang w:val="en-US" w:eastAsia="zh-CN"/>
              </w:rPr>
              <w:t>1分</w:t>
            </w:r>
            <w:r>
              <w:rPr>
                <w:rFonts w:hint="eastAsia" w:ascii="仿宋" w:hAnsi="仿宋" w:eastAsia="仿宋" w:cs="仿宋"/>
                <w:color w:val="000000"/>
                <w:kern w:val="2"/>
                <w:sz w:val="24"/>
              </w:rPr>
              <w:t>；无内容的不得分。</w:t>
            </w:r>
          </w:p>
        </w:tc>
        <w:tc>
          <w:tcPr>
            <w:tcW w:w="719" w:type="dxa"/>
            <w:vAlign w:val="center"/>
          </w:tcPr>
          <w:p w14:paraId="7BC1B058">
            <w:pPr>
              <w:jc w:val="center"/>
              <w:rPr>
                <w:rFonts w:hint="eastAsia" w:ascii="仿宋" w:hAnsi="仿宋" w:eastAsia="仿宋" w:cs="仿宋"/>
                <w:color w:val="000000"/>
                <w:kern w:val="0"/>
                <w:sz w:val="24"/>
                <w:lang w:eastAsia="zh-CN"/>
              </w:rPr>
            </w:pPr>
            <w:r>
              <w:rPr>
                <w:rFonts w:hint="eastAsia" w:ascii="仿宋" w:hAnsi="仿宋" w:eastAsia="仿宋" w:cs="仿宋"/>
                <w:color w:val="000000"/>
                <w:kern w:val="2"/>
                <w:sz w:val="24"/>
                <w:lang w:val="en-US" w:eastAsia="zh-CN"/>
              </w:rPr>
              <w:t>4</w:t>
            </w:r>
          </w:p>
        </w:tc>
        <w:tc>
          <w:tcPr>
            <w:tcW w:w="1000" w:type="dxa"/>
            <w:vAlign w:val="center"/>
          </w:tcPr>
          <w:p w14:paraId="36B0627A">
            <w:pPr>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主观分</w:t>
            </w:r>
          </w:p>
        </w:tc>
        <w:tc>
          <w:tcPr>
            <w:tcW w:w="1503" w:type="dxa"/>
            <w:vAlign w:val="center"/>
          </w:tcPr>
          <w:p w14:paraId="24BBBF0B">
            <w:pPr>
              <w:snapToGrid w:val="0"/>
              <w:spacing w:line="360" w:lineRule="auto"/>
              <w:jc w:val="center"/>
              <w:rPr>
                <w:rFonts w:hint="eastAsia" w:ascii="仿宋" w:hAnsi="仿宋" w:eastAsia="仿宋" w:cs="仿宋"/>
                <w:color w:val="000000"/>
                <w:kern w:val="0"/>
                <w:sz w:val="24"/>
              </w:rPr>
            </w:pPr>
          </w:p>
        </w:tc>
      </w:tr>
      <w:tr w14:paraId="730D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1AF2718">
            <w:pPr>
              <w:snapToGrid w:val="0"/>
              <w:spacing w:line="360" w:lineRule="auto"/>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3</w:t>
            </w:r>
          </w:p>
        </w:tc>
        <w:tc>
          <w:tcPr>
            <w:tcW w:w="4672" w:type="dxa"/>
          </w:tcPr>
          <w:p w14:paraId="6452A127">
            <w:pPr>
              <w:snapToGrid w:val="0"/>
              <w:spacing w:line="273" w:lineRule="auto"/>
              <w:rPr>
                <w:rFonts w:hint="eastAsia" w:ascii="仿宋" w:hAnsi="仿宋" w:eastAsia="仿宋" w:cs="仿宋"/>
                <w:color w:val="000000"/>
                <w:kern w:val="0"/>
                <w:sz w:val="24"/>
              </w:rPr>
            </w:pPr>
            <w:r>
              <w:rPr>
                <w:rFonts w:hint="eastAsia" w:ascii="仿宋" w:hAnsi="仿宋" w:eastAsia="仿宋" w:cs="仿宋"/>
                <w:color w:val="000000"/>
                <w:kern w:val="2"/>
                <w:sz w:val="24"/>
              </w:rPr>
              <w:t>有效投标报价的最低价作为评标基准价，其最低报价为满分；按［投标报价得分=（评标基准价/投标报价）*权重］的计算公式计算。</w:t>
            </w:r>
          </w:p>
          <w:p w14:paraId="527878DD">
            <w:pPr>
              <w:snapToGrid w:val="0"/>
              <w:spacing w:line="273" w:lineRule="auto"/>
              <w:rPr>
                <w:rFonts w:hint="eastAsia" w:ascii="仿宋" w:hAnsi="仿宋" w:eastAsia="仿宋" w:cs="仿宋"/>
                <w:color w:val="000000"/>
                <w:kern w:val="0"/>
                <w:sz w:val="24"/>
              </w:rPr>
            </w:pPr>
            <w:r>
              <w:rPr>
                <w:rFonts w:hint="eastAsia" w:ascii="仿宋" w:hAnsi="仿宋" w:eastAsia="仿宋" w:cs="仿宋"/>
                <w:color w:val="000000"/>
                <w:kern w:val="2"/>
                <w:sz w:val="24"/>
              </w:rPr>
              <w:t>评标过程中，不得去掉报价中的最高报价和最低报价。</w:t>
            </w:r>
          </w:p>
          <w:p w14:paraId="0CAB2AC9">
            <w:pPr>
              <w:snapToGrid w:val="0"/>
              <w:spacing w:line="273" w:lineRule="auto"/>
              <w:rPr>
                <w:rFonts w:hint="eastAsia" w:ascii="仿宋" w:hAnsi="仿宋" w:eastAsia="仿宋" w:cs="仿宋"/>
                <w:color w:val="000000"/>
                <w:kern w:val="0"/>
                <w:sz w:val="24"/>
              </w:rPr>
            </w:pPr>
            <w:r>
              <w:rPr>
                <w:rFonts w:hint="eastAsia" w:ascii="仿宋" w:hAnsi="仿宋" w:eastAsia="仿宋" w:cs="仿宋"/>
                <w:color w:val="000000"/>
                <w:kern w:val="2"/>
                <w:sz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Pr>
                <w:rFonts w:hint="eastAsia"/>
                <w:kern w:val="0"/>
                <w:sz w:val="24"/>
                <w:szCs w:val="32"/>
              </w:rPr>
              <w:t>30%</w:t>
            </w:r>
            <w:r>
              <w:rPr>
                <w:rFonts w:hint="eastAsia" w:ascii="仿宋" w:hAnsi="仿宋" w:eastAsia="仿宋" w:cs="仿宋"/>
                <w:color w:val="000000"/>
                <w:kern w:val="2"/>
                <w:sz w:val="24"/>
              </w:rPr>
              <w:t>以上的，对联合体或者大中型企业的报价给予4%的扣除，用扣除后的价格参加评审。</w:t>
            </w:r>
          </w:p>
        </w:tc>
        <w:tc>
          <w:tcPr>
            <w:tcW w:w="719" w:type="dxa"/>
            <w:vAlign w:val="center"/>
          </w:tcPr>
          <w:p w14:paraId="3E89221C">
            <w:pPr>
              <w:snapToGrid w:val="0"/>
              <w:spacing w:line="273" w:lineRule="auto"/>
              <w:jc w:val="center"/>
              <w:rPr>
                <w:rFonts w:hint="eastAsia" w:ascii="仿宋" w:hAnsi="仿宋" w:eastAsia="仿宋" w:cs="仿宋"/>
                <w:color w:val="000000"/>
                <w:kern w:val="0"/>
                <w:sz w:val="24"/>
              </w:rPr>
            </w:pPr>
            <w:r>
              <w:rPr>
                <w:rFonts w:hint="eastAsia" w:ascii="仿宋" w:hAnsi="仿宋" w:eastAsia="仿宋" w:cs="仿宋"/>
                <w:color w:val="000000"/>
                <w:kern w:val="2"/>
                <w:sz w:val="24"/>
              </w:rPr>
              <w:t>30</w:t>
            </w:r>
          </w:p>
        </w:tc>
        <w:tc>
          <w:tcPr>
            <w:tcW w:w="1000" w:type="dxa"/>
            <w:vAlign w:val="center"/>
          </w:tcPr>
          <w:p w14:paraId="4A7EBAAF">
            <w:pPr>
              <w:spacing w:line="360" w:lineRule="auto"/>
              <w:jc w:val="center"/>
              <w:outlineLvl w:val="0"/>
              <w:rPr>
                <w:rFonts w:hint="eastAsia" w:ascii="仿宋" w:hAnsi="仿宋" w:eastAsia="仿宋" w:cs="仿宋"/>
                <w:color w:val="000000"/>
                <w:kern w:val="0"/>
                <w:sz w:val="24"/>
              </w:rPr>
            </w:pPr>
            <w:r>
              <w:rPr>
                <w:rFonts w:hint="eastAsia" w:ascii="仿宋" w:hAnsi="仿宋" w:eastAsia="仿宋" w:cs="仿宋"/>
                <w:color w:val="000000"/>
                <w:kern w:val="0"/>
                <w:sz w:val="24"/>
              </w:rPr>
              <w:t>/</w:t>
            </w:r>
          </w:p>
        </w:tc>
        <w:tc>
          <w:tcPr>
            <w:tcW w:w="1503" w:type="dxa"/>
            <w:vAlign w:val="center"/>
          </w:tcPr>
          <w:p w14:paraId="525058EC">
            <w:pPr>
              <w:spacing w:line="360" w:lineRule="auto"/>
              <w:jc w:val="center"/>
              <w:outlineLvl w:val="0"/>
              <w:rPr>
                <w:rFonts w:hint="eastAsia" w:ascii="仿宋" w:hAnsi="仿宋" w:eastAsia="仿宋" w:cs="仿宋"/>
                <w:color w:val="000000"/>
                <w:kern w:val="0"/>
                <w:sz w:val="24"/>
              </w:rPr>
            </w:pPr>
          </w:p>
        </w:tc>
      </w:tr>
    </w:tbl>
    <w:p w14:paraId="149E72FC">
      <w:pPr>
        <w:snapToGrid w:val="0"/>
        <w:spacing w:line="360" w:lineRule="auto"/>
        <w:rPr>
          <w:rFonts w:hint="eastAsia" w:ascii="宋体" w:hAnsi="宋体" w:eastAsia="宋体" w:cs="宋体"/>
          <w:b/>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 </w:t>
      </w:r>
    </w:p>
    <w:p w14:paraId="0B7401DD">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14:paraId="2C73490F">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14:paraId="5C7092EF">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14:paraId="1490BB1D">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2.评标标准：</w:t>
      </w:r>
      <w:r>
        <w:rPr>
          <w:rFonts w:hint="eastAsia" w:ascii="宋体" w:hAnsi="宋体" w:eastAsia="宋体" w:cs="宋体"/>
          <w:color w:val="auto"/>
          <w:kern w:val="0"/>
          <w:sz w:val="24"/>
        </w:rPr>
        <w:t>见评标办法前附表。</w:t>
      </w:r>
    </w:p>
    <w:p w14:paraId="59D77BB8">
      <w:pPr>
        <w:spacing w:line="360" w:lineRule="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三、评标程序</w:t>
      </w:r>
    </w:p>
    <w:p w14:paraId="3DB57166">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14:paraId="310342D3">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14:paraId="42A44C24">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14:paraId="2971648F">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14:paraId="16B95026">
      <w:pPr>
        <w:pStyle w:val="133"/>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14:paraId="2467E542">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14:paraId="5745B352">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14:paraId="2AE0739D">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14:paraId="302B36B0">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14:paraId="4D441BCD">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16D4EC0">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14:paraId="338E9792">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14:paraId="223EFDE3">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440156">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8C4863B">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4B4123">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F53A79">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3.6编写评标报告。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9573E1">
      <w:pPr>
        <w:widowControl/>
        <w:shd w:val="clear" w:color="auto" w:fill="FFFFFF"/>
        <w:adjustRightInd/>
        <w:spacing w:after="225" w:line="315" w:lineRule="atLeast"/>
        <w:jc w:val="left"/>
        <w:rPr>
          <w:rFonts w:hint="eastAsia" w:ascii="宋体" w:hAnsi="宋体" w:eastAsia="宋体" w:cs="宋体"/>
          <w:b/>
          <w:color w:val="auto"/>
          <w:sz w:val="32"/>
        </w:rPr>
      </w:pPr>
      <w:r>
        <w:rPr>
          <w:rFonts w:hint="eastAsia" w:ascii="宋体" w:hAnsi="宋体" w:eastAsia="宋体" w:cs="宋体"/>
          <w:b/>
          <w:color w:val="auto"/>
          <w:sz w:val="32"/>
        </w:rPr>
        <w:t>四、评标中的其他事项</w:t>
      </w:r>
    </w:p>
    <w:p w14:paraId="26B2C4A0">
      <w:pPr>
        <w:pStyle w:val="133"/>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9A359E">
      <w:pPr>
        <w:pStyle w:val="24"/>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14:paraId="07A7C88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14:paraId="0213DBF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14:paraId="4C23022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43241B7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14:paraId="5C1F9F74">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14:paraId="15EFBA6A">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14:paraId="19A04A3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4.2.7投标报价超过招标文件中规定的预算金额或者最高限价的;</w:t>
      </w:r>
    </w:p>
    <w:p w14:paraId="06C543B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38FB9091">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14:paraId="6D683174">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14:paraId="4CEA87BC">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14:paraId="1EBBA08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4.2.12投标人仅提交备份投标文件，未在电子交易平台传输递交投标文件的，投标无效；</w:t>
      </w:r>
    </w:p>
    <w:p w14:paraId="23C9656A">
      <w:pPr>
        <w:pStyle w:val="3"/>
        <w:ind w:left="862" w:leftChars="205"/>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5CA4CBB9">
      <w:pPr>
        <w:spacing w:line="360" w:lineRule="auto"/>
        <w:ind w:firstLine="480" w:firstLineChars="200"/>
        <w:rPr>
          <w:rFonts w:hint="eastAsia" w:ascii="宋体" w:hAnsi="宋体" w:eastAsia="宋体" w:cs="宋体"/>
          <w:color w:val="auto"/>
          <w:kern w:val="0"/>
          <w:sz w:val="24"/>
          <w:lang w:val="en-US"/>
        </w:rPr>
      </w:pPr>
      <w:r>
        <w:rPr>
          <w:rFonts w:hint="eastAsia" w:ascii="宋体" w:hAnsi="宋体" w:eastAsia="宋体" w:cs="宋体"/>
          <w:color w:val="auto"/>
          <w:kern w:val="0"/>
          <w:sz w:val="24"/>
          <w:lang w:val="en-US"/>
        </w:rPr>
        <w:t>4.2.14</w:t>
      </w:r>
      <w:r>
        <w:rPr>
          <w:rFonts w:hint="eastAsia" w:ascii="宋体" w:hAnsi="宋体" w:eastAsia="宋体" w:cs="宋体"/>
          <w:color w:val="auto"/>
          <w:kern w:val="0"/>
          <w:sz w:val="24"/>
          <w:lang w:val="en-US" w:eastAsia="zh-CN"/>
        </w:rPr>
        <w:t xml:space="preserve"> </w:t>
      </w:r>
      <w:r>
        <w:rPr>
          <w:rFonts w:hint="eastAsia" w:ascii="宋体" w:hAnsi="宋体" w:eastAsia="宋体" w:cs="宋体"/>
          <w:b/>
          <w:bCs/>
          <w:color w:val="auto"/>
          <w:kern w:val="0"/>
          <w:sz w:val="24"/>
          <w:lang w:val="en-US"/>
        </w:rPr>
        <w:t>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b/>
          <w:bCs/>
          <w:color w:val="auto"/>
          <w:kern w:val="0"/>
          <w:sz w:val="24"/>
          <w:lang w:val="en-US" w:eastAsia="zh-CN"/>
        </w:rPr>
        <w:t>；</w:t>
      </w:r>
    </w:p>
    <w:p w14:paraId="3C74E627">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法律、法规、规章（适用本市的）及省级以上规范性文件（适用本市的）规定的其他无效情形。</w:t>
      </w:r>
    </w:p>
    <w:p w14:paraId="7026B7D2">
      <w:pPr>
        <w:pStyle w:val="24"/>
        <w:snapToGrid w:val="0"/>
        <w:spacing w:line="360" w:lineRule="auto"/>
        <w:ind w:firstLine="472" w:firstLineChars="196"/>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14:paraId="54E91A21">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14:paraId="37614EF9">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14:paraId="48F837AE">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14:paraId="04BDCED8">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14:paraId="524DBCF5">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废标后，采购代理机构应当将废标理由通知所有投标人。</w:t>
      </w:r>
    </w:p>
    <w:p w14:paraId="44081F6F">
      <w:pPr>
        <w:pStyle w:val="24"/>
        <w:snapToGrid w:val="0"/>
        <w:spacing w:line="360" w:lineRule="auto"/>
        <w:ind w:firstLine="590" w:firstLineChars="245"/>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72D862">
      <w:pPr>
        <w:pStyle w:val="24"/>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有政府采购法第七十一条、第七十二条规定的违法行为之一，影响或者可能影响中标结果的，依照下列规定处理：</w:t>
      </w:r>
    </w:p>
    <w:p w14:paraId="64A6B491">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7.1未确定中标供应商的，终止本次政府采购活动，重新开展政府采购活动。</w:t>
      </w:r>
    </w:p>
    <w:p w14:paraId="6DA0CF15">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7.2已确定中标供应商但尚未签订政府采购合同的，中标结果无效，从合格的中标候选人中另行确定中标供应商；没有合格的中标候选人的，重新开展政府采购活动。</w:t>
      </w:r>
    </w:p>
    <w:p w14:paraId="0E597FF1">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7.3政府采购合同已签订但尚未履行的，撤销合同，从合格的中标候选人中另行确定中标供应商；没有合格的中标候选人的，重新开展政府采购活动。</w:t>
      </w:r>
    </w:p>
    <w:p w14:paraId="7BB48FDF">
      <w:pPr>
        <w:pStyle w:val="24"/>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14:paraId="5253FF4C">
      <w:pPr>
        <w:pStyle w:val="24"/>
        <w:snapToGrid w:val="0"/>
        <w:spacing w:line="360" w:lineRule="auto"/>
        <w:rPr>
          <w:rFonts w:hint="eastAsia" w:ascii="宋体" w:hAnsi="宋体" w:eastAsia="宋体" w:cs="宋体"/>
          <w:b/>
          <w:color w:val="auto"/>
          <w:sz w:val="36"/>
          <w:szCs w:val="36"/>
        </w:rPr>
      </w:pPr>
      <w:r>
        <w:rPr>
          <w:rFonts w:hint="eastAsia" w:ascii="宋体" w:hAnsi="宋体" w:eastAsia="宋体"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406" w:name="第五部分"/>
      <w:bookmarkStart w:id="407" w:name="_Toc86217003"/>
    </w:p>
    <w:p w14:paraId="04F942EE">
      <w:pPr>
        <w:spacing w:line="360" w:lineRule="auto"/>
        <w:ind w:left="720" w:leftChars="343" w:firstLine="1084" w:firstLineChars="300"/>
        <w:outlineLvl w:val="0"/>
        <w:rPr>
          <w:rFonts w:hint="eastAsia" w:ascii="宋体" w:hAnsi="宋体" w:eastAsia="宋体" w:cs="宋体"/>
          <w:b/>
          <w:color w:val="auto"/>
          <w:sz w:val="36"/>
          <w:szCs w:val="36"/>
        </w:rPr>
      </w:pPr>
    </w:p>
    <w:p w14:paraId="367E3930">
      <w:pPr>
        <w:pStyle w:val="82"/>
        <w:rPr>
          <w:rFonts w:hint="eastAsia" w:ascii="宋体" w:hAnsi="宋体" w:eastAsia="宋体" w:cs="宋体"/>
          <w:b/>
          <w:color w:val="auto"/>
          <w:sz w:val="36"/>
          <w:szCs w:val="36"/>
        </w:rPr>
      </w:pPr>
    </w:p>
    <w:p w14:paraId="0F009A7A">
      <w:pPr>
        <w:spacing w:line="360" w:lineRule="auto"/>
        <w:ind w:left="720" w:leftChars="343" w:firstLine="1084" w:firstLineChars="300"/>
        <w:outlineLvl w:val="0"/>
        <w:rPr>
          <w:rFonts w:hint="eastAsia" w:ascii="宋体" w:hAnsi="宋体" w:eastAsia="宋体" w:cs="宋体"/>
          <w:b/>
          <w:color w:val="auto"/>
          <w:sz w:val="36"/>
          <w:szCs w:val="36"/>
        </w:rPr>
      </w:pPr>
    </w:p>
    <w:p w14:paraId="2E8E91EC">
      <w:pPr>
        <w:spacing w:line="360" w:lineRule="auto"/>
        <w:ind w:left="720" w:leftChars="343" w:firstLine="1084" w:firstLineChars="300"/>
        <w:outlineLvl w:val="0"/>
        <w:rPr>
          <w:rFonts w:hint="eastAsia" w:ascii="宋体" w:hAnsi="宋体" w:eastAsia="宋体" w:cs="宋体"/>
          <w:b/>
          <w:color w:val="auto"/>
          <w:sz w:val="36"/>
          <w:szCs w:val="36"/>
        </w:rPr>
      </w:pPr>
    </w:p>
    <w:p w14:paraId="50DF258D">
      <w:pPr>
        <w:spacing w:line="360" w:lineRule="auto"/>
        <w:ind w:left="720" w:leftChars="343" w:firstLine="1084" w:firstLineChars="300"/>
        <w:outlineLvl w:val="0"/>
        <w:rPr>
          <w:rFonts w:hint="eastAsia" w:ascii="宋体" w:hAnsi="宋体" w:eastAsia="宋体" w:cs="宋体"/>
          <w:b/>
          <w:color w:val="auto"/>
          <w:sz w:val="36"/>
          <w:szCs w:val="36"/>
        </w:rPr>
      </w:pPr>
    </w:p>
    <w:p w14:paraId="6F1FBB8E">
      <w:pPr>
        <w:spacing w:line="360" w:lineRule="auto"/>
        <w:ind w:left="720" w:leftChars="343" w:firstLine="1084" w:firstLineChars="300"/>
        <w:outlineLvl w:val="0"/>
        <w:rPr>
          <w:rFonts w:hint="eastAsia" w:ascii="宋体" w:hAnsi="宋体" w:eastAsia="宋体" w:cs="宋体"/>
          <w:b/>
          <w:color w:val="auto"/>
          <w:sz w:val="36"/>
          <w:szCs w:val="36"/>
        </w:rPr>
      </w:pPr>
    </w:p>
    <w:p w14:paraId="5EDEEA28">
      <w:pPr>
        <w:spacing w:line="360" w:lineRule="auto"/>
        <w:ind w:left="720" w:leftChars="343" w:firstLine="1084" w:firstLineChars="300"/>
        <w:outlineLvl w:val="0"/>
        <w:rPr>
          <w:rFonts w:hint="eastAsia" w:ascii="宋体" w:hAnsi="宋体" w:eastAsia="宋体" w:cs="宋体"/>
          <w:b/>
          <w:color w:val="auto"/>
          <w:sz w:val="36"/>
          <w:szCs w:val="36"/>
        </w:rPr>
      </w:pPr>
    </w:p>
    <w:p w14:paraId="637E3E0C">
      <w:pPr>
        <w:spacing w:line="360" w:lineRule="auto"/>
        <w:ind w:firstLine="1446" w:firstLineChars="4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第五部分 拟签订的合同文本</w:t>
      </w:r>
    </w:p>
    <w:p w14:paraId="212524DC">
      <w:pPr>
        <w:rPr>
          <w:rFonts w:hint="eastAsia" w:ascii="宋体" w:hAnsi="宋体" w:eastAsia="宋体" w:cs="宋体"/>
          <w:color w:val="auto"/>
          <w:sz w:val="24"/>
          <w:u w:val="single"/>
        </w:rPr>
      </w:pPr>
      <w:r>
        <w:rPr>
          <w:rFonts w:hint="eastAsia" w:ascii="宋体" w:hAnsi="宋体" w:eastAsia="宋体" w:cs="宋体"/>
          <w:color w:val="auto"/>
          <w:sz w:val="24"/>
        </w:rPr>
        <w:t>合同编号：</w:t>
      </w:r>
    </w:p>
    <w:p w14:paraId="50C5390E">
      <w:pPr>
        <w:spacing w:line="480" w:lineRule="auto"/>
        <w:jc w:val="center"/>
        <w:rPr>
          <w:rFonts w:hint="eastAsia" w:ascii="宋体" w:hAnsi="宋体" w:eastAsia="宋体" w:cs="宋体"/>
          <w:b/>
          <w:color w:val="auto"/>
          <w:sz w:val="28"/>
          <w:szCs w:val="28"/>
        </w:rPr>
      </w:pPr>
    </w:p>
    <w:p w14:paraId="6CB1EC77">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14:paraId="01BD1DA1">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（货物类）</w:t>
      </w:r>
    </w:p>
    <w:p w14:paraId="3DC865E2">
      <w:pPr>
        <w:pStyle w:val="702"/>
        <w:ind w:firstLine="2843" w:firstLineChars="1180"/>
        <w:rPr>
          <w:rFonts w:hint="eastAsia" w:ascii="宋体" w:hAnsi="宋体" w:eastAsia="宋体" w:cs="宋体"/>
          <w:b/>
          <w:color w:val="auto"/>
          <w:szCs w:val="24"/>
        </w:rPr>
      </w:pPr>
      <w:r>
        <w:rPr>
          <w:rFonts w:hint="eastAsia" w:ascii="宋体" w:hAnsi="宋体" w:eastAsia="宋体" w:cs="宋体"/>
          <w:b/>
          <w:color w:val="auto"/>
          <w:szCs w:val="24"/>
        </w:rPr>
        <w:t>第一部分 合同书</w:t>
      </w:r>
    </w:p>
    <w:p w14:paraId="46E8C637">
      <w:pPr>
        <w:pStyle w:val="702"/>
        <w:rPr>
          <w:rFonts w:hint="eastAsia" w:ascii="宋体" w:hAnsi="宋体" w:eastAsia="宋体" w:cs="宋体"/>
          <w:color w:val="auto"/>
          <w:szCs w:val="24"/>
        </w:rPr>
      </w:pPr>
    </w:p>
    <w:p w14:paraId="64F3BB2C">
      <w:pPr>
        <w:pStyle w:val="702"/>
        <w:rPr>
          <w:rFonts w:hint="eastAsia" w:ascii="宋体" w:hAnsi="宋体" w:eastAsia="宋体" w:cs="宋体"/>
          <w:color w:val="auto"/>
          <w:szCs w:val="24"/>
        </w:rPr>
      </w:pPr>
    </w:p>
    <w:p w14:paraId="00646F59">
      <w:pPr>
        <w:spacing w:before="120" w:line="22" w:lineRule="atLeast"/>
        <w:rPr>
          <w:rFonts w:hint="eastAsia" w:ascii="宋体" w:hAnsi="宋体" w:eastAsia="宋体" w:cs="宋体"/>
          <w:color w:val="auto"/>
          <w:sz w:val="24"/>
        </w:rPr>
      </w:pPr>
    </w:p>
    <w:p w14:paraId="432BC3DC">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p>
    <w:p w14:paraId="64260811">
      <w:pPr>
        <w:pStyle w:val="600"/>
        <w:spacing w:before="120" w:line="22" w:lineRule="atLeast"/>
        <w:rPr>
          <w:rFonts w:hint="eastAsia" w:ascii="宋体" w:hAnsi="宋体" w:eastAsia="宋体" w:cs="宋体"/>
          <w:color w:val="auto"/>
          <w:szCs w:val="24"/>
        </w:rPr>
      </w:pPr>
    </w:p>
    <w:p w14:paraId="5321C74D">
      <w:pPr>
        <w:pStyle w:val="600"/>
        <w:spacing w:before="120" w:line="22" w:lineRule="atLeast"/>
        <w:rPr>
          <w:rFonts w:hint="eastAsia" w:ascii="宋体" w:hAnsi="宋体" w:eastAsia="宋体" w:cs="宋体"/>
          <w:color w:val="auto"/>
          <w:szCs w:val="24"/>
        </w:rPr>
      </w:pPr>
    </w:p>
    <w:p w14:paraId="42B0D526">
      <w:pPr>
        <w:rPr>
          <w:rFonts w:hint="eastAsia" w:ascii="宋体" w:hAnsi="宋体" w:eastAsia="宋体" w:cs="宋体"/>
          <w:color w:val="auto"/>
          <w:sz w:val="24"/>
        </w:rPr>
      </w:pPr>
    </w:p>
    <w:p w14:paraId="58323731">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p>
    <w:p w14:paraId="143CEF8D">
      <w:pPr>
        <w:spacing w:before="120" w:line="22" w:lineRule="atLeast"/>
        <w:rPr>
          <w:rFonts w:hint="eastAsia" w:ascii="宋体" w:hAnsi="宋体" w:eastAsia="宋体" w:cs="宋体"/>
          <w:color w:val="auto"/>
          <w:sz w:val="24"/>
        </w:rPr>
      </w:pPr>
    </w:p>
    <w:p w14:paraId="3F8E8654">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p>
    <w:p w14:paraId="2E1101CF">
      <w:pPr>
        <w:spacing w:before="120" w:line="22" w:lineRule="atLeast"/>
        <w:rPr>
          <w:rFonts w:hint="eastAsia" w:ascii="宋体" w:hAnsi="宋体" w:eastAsia="宋体" w:cs="宋体"/>
          <w:color w:val="auto"/>
          <w:sz w:val="24"/>
        </w:rPr>
      </w:pPr>
    </w:p>
    <w:p w14:paraId="0FD65195">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p>
    <w:p w14:paraId="28688BE6">
      <w:pPr>
        <w:spacing w:before="120" w:line="22" w:lineRule="atLeast"/>
        <w:rPr>
          <w:rFonts w:hint="eastAsia" w:ascii="宋体" w:hAnsi="宋体" w:eastAsia="宋体" w:cs="宋体"/>
          <w:color w:val="auto"/>
          <w:sz w:val="24"/>
        </w:rPr>
      </w:pPr>
    </w:p>
    <w:p w14:paraId="4C2989FB">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年</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w:t>
      </w:r>
    </w:p>
    <w:p w14:paraId="1DFD3AFE">
      <w:pPr>
        <w:widowControl/>
        <w:jc w:val="left"/>
        <w:rPr>
          <w:rFonts w:hint="eastAsia" w:ascii="宋体" w:hAnsi="宋体" w:eastAsia="宋体" w:cs="宋体"/>
          <w:color w:val="auto"/>
          <w:kern w:val="0"/>
          <w:sz w:val="24"/>
        </w:rPr>
        <w:sectPr>
          <w:pgSz w:w="11905" w:h="16838"/>
          <w:pgMar w:top="1474" w:right="1814" w:bottom="1474" w:left="1814" w:header="851" w:footer="850" w:gutter="0"/>
          <w:cols w:space="0" w:num="1"/>
          <w:rtlGutter w:val="0"/>
          <w:docGrid w:linePitch="0" w:charSpace="0"/>
        </w:sectPr>
      </w:pPr>
    </w:p>
    <w:p w14:paraId="31AF129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年</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（项目名称、编号）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w:t>
      </w:r>
      <w:r>
        <w:rPr>
          <w:rFonts w:hint="eastAsia" w:ascii="宋体" w:hAnsi="宋体" w:eastAsia="宋体" w:cs="宋体"/>
          <w:color w:val="auto"/>
          <w:sz w:val="24"/>
        </w:rPr>
        <w:t>为该项目中标或者成交供应商。现于中标或者成交通知书发出之日起10个工作日内，按照采购文件等确定的事项签订本合同。</w:t>
      </w:r>
    </w:p>
    <w:p w14:paraId="7988D05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520A39B8">
      <w:pPr>
        <w:spacing w:line="560" w:lineRule="exact"/>
        <w:ind w:firstLine="482" w:firstLineChars="200"/>
        <w:outlineLvl w:val="0"/>
        <w:rPr>
          <w:rFonts w:hint="eastAsia" w:ascii="宋体" w:hAnsi="宋体" w:eastAsia="宋体" w:cs="宋体"/>
          <w:b/>
          <w:color w:val="auto"/>
          <w:sz w:val="24"/>
        </w:rPr>
      </w:pPr>
      <w:bookmarkStart w:id="408" w:name="_Toc3029"/>
      <w:bookmarkStart w:id="409" w:name="_Toc24059"/>
      <w:bookmarkStart w:id="410" w:name="_Toc2232"/>
      <w:r>
        <w:rPr>
          <w:rFonts w:hint="eastAsia" w:ascii="宋体" w:hAnsi="宋体" w:eastAsia="宋体" w:cs="宋体"/>
          <w:b/>
          <w:color w:val="auto"/>
          <w:sz w:val="24"/>
        </w:rPr>
        <w:t>1.1 合同组成部分</w:t>
      </w:r>
      <w:bookmarkEnd w:id="408"/>
      <w:bookmarkEnd w:id="409"/>
      <w:bookmarkEnd w:id="410"/>
    </w:p>
    <w:p w14:paraId="02B2DA1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3CCEE1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4A55F1E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中标或者成交通知书；</w:t>
      </w:r>
    </w:p>
    <w:p w14:paraId="3EFD659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投标或者响应文件（含澄清或者说明文件）；</w:t>
      </w:r>
    </w:p>
    <w:p w14:paraId="2ADE238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采购文件（含澄清或者修改文件）；</w:t>
      </w:r>
    </w:p>
    <w:p w14:paraId="104A842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5E5633FB">
      <w:pPr>
        <w:spacing w:line="560" w:lineRule="exact"/>
        <w:ind w:firstLine="482" w:firstLineChars="200"/>
        <w:outlineLvl w:val="0"/>
        <w:rPr>
          <w:rFonts w:hint="eastAsia" w:ascii="宋体" w:hAnsi="宋体" w:eastAsia="宋体" w:cs="宋体"/>
          <w:b/>
          <w:color w:val="auto"/>
          <w:sz w:val="24"/>
        </w:rPr>
      </w:pPr>
      <w:bookmarkStart w:id="411" w:name="_Toc27126"/>
      <w:bookmarkStart w:id="412" w:name="_Toc21295"/>
      <w:bookmarkStart w:id="413" w:name="_Toc24300"/>
      <w:r>
        <w:rPr>
          <w:rFonts w:hint="eastAsia" w:ascii="宋体" w:hAnsi="宋体" w:eastAsia="宋体" w:cs="宋体"/>
          <w:b/>
          <w:color w:val="auto"/>
          <w:sz w:val="24"/>
        </w:rPr>
        <w:t>1.2 货物</w:t>
      </w:r>
      <w:bookmarkEnd w:id="411"/>
      <w:bookmarkEnd w:id="412"/>
      <w:bookmarkEnd w:id="413"/>
    </w:p>
    <w:p w14:paraId="430FC084">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货物名称、品牌、规格型号、花色</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p>
    <w:p w14:paraId="512D34F6">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货物数量：</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p>
    <w:p w14:paraId="1A471854">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1.2.3 货物质量：</w:t>
      </w:r>
      <w:r>
        <w:rPr>
          <w:rFonts w:hint="eastAsia" w:ascii="宋体" w:hAnsi="宋体" w:eastAsia="宋体" w:cs="宋体"/>
          <w:color w:val="auto"/>
          <w:sz w:val="24"/>
          <w:u w:val="single"/>
        </w:rPr>
        <w:t>　　　　　　　　　                      　      ；</w:t>
      </w:r>
    </w:p>
    <w:p w14:paraId="67D6C3BF">
      <w:pPr>
        <w:spacing w:line="560" w:lineRule="exact"/>
        <w:ind w:firstLine="482" w:firstLineChars="200"/>
        <w:outlineLvl w:val="0"/>
        <w:rPr>
          <w:rFonts w:hint="eastAsia" w:ascii="宋体" w:hAnsi="宋体" w:eastAsia="宋体" w:cs="宋体"/>
          <w:b/>
          <w:color w:val="auto"/>
          <w:sz w:val="24"/>
        </w:rPr>
      </w:pPr>
      <w:bookmarkStart w:id="414" w:name="_Toc21551"/>
      <w:bookmarkStart w:id="415" w:name="_Toc23292"/>
      <w:bookmarkStart w:id="416" w:name="_Toc21631"/>
      <w:r>
        <w:rPr>
          <w:rFonts w:hint="eastAsia" w:ascii="宋体" w:hAnsi="宋体" w:eastAsia="宋体" w:cs="宋体"/>
          <w:b/>
          <w:color w:val="auto"/>
          <w:sz w:val="24"/>
        </w:rPr>
        <w:t>1.3 价款</w:t>
      </w:r>
      <w:bookmarkEnd w:id="414"/>
      <w:bookmarkEnd w:id="415"/>
      <w:bookmarkEnd w:id="416"/>
    </w:p>
    <w:p w14:paraId="55775C0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本合同总价（含税）为：￥</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元（大写：</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元人民币）。</w:t>
      </w:r>
    </w:p>
    <w:p w14:paraId="4A10923B">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p w14:paraId="7DFE6AB8">
      <w:pPr>
        <w:spacing w:line="360" w:lineRule="auto"/>
        <w:outlineLvl w:val="0"/>
        <w:rPr>
          <w:rFonts w:hint="eastAsia" w:ascii="宋体" w:hAnsi="宋体" w:eastAsia="宋体" w:cs="宋体"/>
          <w:b/>
          <w:color w:val="auto"/>
          <w:sz w:val="36"/>
          <w:szCs w:val="36"/>
        </w:rPr>
        <w:sectPr>
          <w:pgSz w:w="11905" w:h="16838"/>
          <w:pgMar w:top="1474" w:right="1814" w:bottom="1474" w:left="1814" w:header="851" w:footer="850" w:gutter="0"/>
          <w:cols w:space="0" w:num="1"/>
          <w:rtlGutter w:val="0"/>
          <w:docGrid w:linePitch="0" w:charSpace="0"/>
        </w:sect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299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D7E16D">
            <w:pPr>
              <w:pStyle w:val="321"/>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997EEE2">
            <w:pPr>
              <w:pStyle w:val="321"/>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47A2581">
            <w:pPr>
              <w:pStyle w:val="321"/>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14:paraId="7252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D7902A">
            <w:pPr>
              <w:pStyle w:val="321"/>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F585EBA">
            <w:pPr>
              <w:pStyle w:val="321"/>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2CAE484">
            <w:pPr>
              <w:pStyle w:val="321"/>
              <w:spacing w:line="560" w:lineRule="exact"/>
              <w:ind w:firstLine="200"/>
              <w:jc w:val="center"/>
              <w:rPr>
                <w:rFonts w:hint="eastAsia" w:ascii="宋体" w:hAnsi="宋体" w:eastAsia="宋体" w:cs="宋体"/>
                <w:color w:val="auto"/>
                <w:sz w:val="24"/>
                <w:szCs w:val="24"/>
              </w:rPr>
            </w:pPr>
          </w:p>
        </w:tc>
      </w:tr>
      <w:tr w14:paraId="49D7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1D8088">
            <w:pPr>
              <w:pStyle w:val="321"/>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3EAF8B6">
            <w:pPr>
              <w:pStyle w:val="321"/>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BEDE464">
            <w:pPr>
              <w:pStyle w:val="321"/>
              <w:spacing w:line="560" w:lineRule="exact"/>
              <w:ind w:firstLine="200"/>
              <w:jc w:val="center"/>
              <w:rPr>
                <w:rFonts w:hint="eastAsia" w:ascii="宋体" w:hAnsi="宋体" w:eastAsia="宋体" w:cs="宋体"/>
                <w:color w:val="auto"/>
                <w:sz w:val="24"/>
                <w:szCs w:val="24"/>
              </w:rPr>
            </w:pPr>
          </w:p>
        </w:tc>
      </w:tr>
      <w:tr w14:paraId="2EA6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EB78A8">
            <w:pPr>
              <w:pStyle w:val="321"/>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40386D8">
            <w:pPr>
              <w:pStyle w:val="321"/>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127D217">
            <w:pPr>
              <w:pStyle w:val="321"/>
              <w:spacing w:line="560" w:lineRule="exact"/>
              <w:ind w:firstLine="200"/>
              <w:jc w:val="center"/>
              <w:rPr>
                <w:rFonts w:hint="eastAsia" w:ascii="宋体" w:hAnsi="宋体" w:eastAsia="宋体" w:cs="宋体"/>
                <w:color w:val="auto"/>
                <w:sz w:val="24"/>
                <w:szCs w:val="24"/>
              </w:rPr>
            </w:pPr>
          </w:p>
        </w:tc>
      </w:tr>
      <w:tr w14:paraId="4791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E19CE9">
            <w:pPr>
              <w:pStyle w:val="321"/>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E0AC153">
            <w:pPr>
              <w:pStyle w:val="321"/>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2EFDCE5">
            <w:pPr>
              <w:pStyle w:val="321"/>
              <w:spacing w:line="560" w:lineRule="exact"/>
              <w:ind w:firstLine="200"/>
              <w:jc w:val="center"/>
              <w:rPr>
                <w:rFonts w:hint="eastAsia" w:ascii="宋体" w:hAnsi="宋体" w:eastAsia="宋体" w:cs="宋体"/>
                <w:color w:val="auto"/>
                <w:sz w:val="24"/>
                <w:szCs w:val="24"/>
              </w:rPr>
            </w:pPr>
          </w:p>
        </w:tc>
      </w:tr>
      <w:tr w14:paraId="77D4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C74AE55">
            <w:pPr>
              <w:pStyle w:val="321"/>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CB102DD">
            <w:pPr>
              <w:pStyle w:val="321"/>
              <w:spacing w:line="560" w:lineRule="exact"/>
              <w:ind w:firstLine="200"/>
              <w:jc w:val="center"/>
              <w:rPr>
                <w:rFonts w:hint="eastAsia" w:ascii="宋体" w:hAnsi="宋体" w:eastAsia="宋体" w:cs="宋体"/>
                <w:color w:val="auto"/>
                <w:sz w:val="24"/>
                <w:szCs w:val="24"/>
              </w:rPr>
            </w:pPr>
          </w:p>
        </w:tc>
      </w:tr>
    </w:tbl>
    <w:p w14:paraId="129DA146">
      <w:pPr>
        <w:pStyle w:val="959"/>
        <w:spacing w:before="0" w:beforeAutospacing="0" w:after="0" w:afterAutospacing="0" w:line="360" w:lineRule="auto"/>
        <w:ind w:firstLine="480"/>
        <w:rPr>
          <w:rFonts w:hint="eastAsia" w:ascii="宋体" w:hAnsi="宋体" w:eastAsia="宋体" w:cs="宋体"/>
          <w:b/>
          <w:color w:val="auto"/>
        </w:rPr>
      </w:pPr>
      <w:bookmarkStart w:id="417" w:name="_Toc10340"/>
      <w:bookmarkStart w:id="418" w:name="_Toc1814"/>
      <w:bookmarkStart w:id="419" w:name="_Toc22618"/>
      <w:r>
        <w:rPr>
          <w:rFonts w:hint="eastAsia" w:ascii="宋体" w:hAnsi="宋体" w:eastAsia="宋体" w:cs="宋体"/>
          <w:b/>
          <w:color w:val="auto"/>
        </w:rPr>
        <w:t>1.4履约保证金</w:t>
      </w:r>
    </w:p>
    <w:p w14:paraId="365D9525">
      <w:pPr>
        <w:pStyle w:val="959"/>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乙方</w:t>
      </w:r>
      <w:r>
        <w:rPr>
          <w:rFonts w:hint="eastAsia" w:cs="宋体"/>
          <w:color w:val="auto"/>
          <w:u w:val="single"/>
          <w:lang w:val="en-US" w:eastAsia="zh-CN"/>
        </w:rPr>
        <w:t>否</w:t>
      </w:r>
      <w:r>
        <w:rPr>
          <w:rFonts w:hint="eastAsia" w:ascii="宋体" w:hAnsi="宋体" w:eastAsia="宋体" w:cs="宋体"/>
          <w:color w:val="auto"/>
        </w:rPr>
        <w:t>（是/否）需要支付履约保证金。若需要支付履约保证金的，则：</w:t>
      </w:r>
    </w:p>
    <w:p w14:paraId="66E1EA0E">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1.4.1履约保证金的比例为合同金额的</w:t>
      </w:r>
      <w:r>
        <w:rPr>
          <w:rFonts w:hint="eastAsia" w:ascii="宋体" w:hAnsi="宋体" w:eastAsia="宋体" w:cs="宋体"/>
          <w:color w:val="auto"/>
          <w:kern w:val="0"/>
          <w:sz w:val="24"/>
          <w:u w:val="single"/>
          <w:lang w:val="en-US" w:eastAsia="zh-CN"/>
        </w:rPr>
        <w:t xml:space="preserve"> </w:t>
      </w:r>
      <w:r>
        <w:rPr>
          <w:rFonts w:hint="eastAsia" w:ascii="宋体" w:hAnsi="宋体" w:cs="宋体"/>
          <w:color w:val="auto"/>
          <w:kern w:val="0"/>
          <w:sz w:val="24"/>
          <w:u w:val="single"/>
          <w:lang w:val="en-US" w:eastAsia="zh-CN"/>
        </w:rPr>
        <w:t>1</w:t>
      </w:r>
      <w:r>
        <w:rPr>
          <w:rFonts w:hint="eastAsia" w:ascii="宋体" w:hAnsi="宋体" w:eastAsia="宋体" w:cs="宋体"/>
          <w:color w:val="auto"/>
          <w:kern w:val="0"/>
          <w:sz w:val="24"/>
        </w:rPr>
        <w:t>%；</w:t>
      </w:r>
    </w:p>
    <w:p w14:paraId="045B40E3">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1.4.2履约保证金支付方式详见</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rPr>
        <w:t>；</w:t>
      </w:r>
    </w:p>
    <w:p w14:paraId="7955F88E">
      <w:pPr>
        <w:pStyle w:val="3"/>
        <w:tabs>
          <w:tab w:val="left" w:pos="0"/>
          <w:tab w:val="clear" w:pos="432"/>
        </w:tabs>
        <w:spacing w:line="560" w:lineRule="exact"/>
        <w:ind w:left="0" w:firstLine="480" w:firstLineChars="200"/>
        <w:rPr>
          <w:rFonts w:hint="eastAsia" w:ascii="宋体" w:hAnsi="宋体" w:eastAsia="宋体" w:cs="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5768DA4">
      <w:pPr>
        <w:spacing w:line="560" w:lineRule="exact"/>
        <w:ind w:firstLine="480" w:firstLineChars="200"/>
        <w:outlineLvl w:val="0"/>
        <w:rPr>
          <w:rFonts w:hint="eastAsia" w:ascii="宋体" w:hAnsi="宋体" w:eastAsia="宋体" w:cs="宋体"/>
          <w:color w:val="auto"/>
        </w:rPr>
      </w:pPr>
      <w:r>
        <w:rPr>
          <w:rFonts w:hint="eastAsia" w:ascii="宋体" w:hAnsi="宋体" w:eastAsia="宋体" w:cs="宋体"/>
          <w:color w:val="auto"/>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u w:val="single"/>
        </w:rPr>
        <w:t xml:space="preserve">  0.05（可根据情况修改）</w:t>
      </w:r>
      <w:r>
        <w:rPr>
          <w:rFonts w:hint="eastAsia" w:ascii="宋体" w:hAnsi="宋体" w:eastAsia="宋体" w:cs="宋体"/>
          <w:color w:val="auto"/>
          <w:kern w:val="0"/>
          <w:sz w:val="24"/>
        </w:rPr>
        <w:t>%计算，最高限额为本合同履约保证金的</w:t>
      </w:r>
      <w:r>
        <w:rPr>
          <w:rFonts w:hint="eastAsia" w:ascii="宋体" w:hAnsi="宋体" w:eastAsia="宋体" w:cs="宋体"/>
          <w:color w:val="auto"/>
          <w:kern w:val="0"/>
          <w:sz w:val="24"/>
          <w:u w:val="single"/>
        </w:rPr>
        <w:t xml:space="preserve">  20  </w:t>
      </w:r>
      <w:r>
        <w:rPr>
          <w:rFonts w:hint="eastAsia" w:ascii="宋体" w:hAnsi="宋体" w:eastAsia="宋体" w:cs="宋体"/>
          <w:color w:val="auto"/>
          <w:kern w:val="0"/>
          <w:sz w:val="24"/>
        </w:rPr>
        <w:t xml:space="preserve"> %。</w:t>
      </w:r>
    </w:p>
    <w:p w14:paraId="154C3454">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1.5</w:t>
      </w:r>
      <w:bookmarkEnd w:id="417"/>
      <w:bookmarkEnd w:id="418"/>
      <w:bookmarkEnd w:id="419"/>
      <w:r>
        <w:rPr>
          <w:rFonts w:hint="eastAsia" w:ascii="宋体" w:hAnsi="宋体" w:eastAsia="宋体" w:cs="宋体"/>
          <w:b/>
          <w:color w:val="auto"/>
          <w:sz w:val="24"/>
        </w:rPr>
        <w:t>预付款</w:t>
      </w:r>
    </w:p>
    <w:p w14:paraId="234A282C">
      <w:pPr>
        <w:pStyle w:val="959"/>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甲方</w:t>
      </w:r>
      <w:r>
        <w:rPr>
          <w:rFonts w:hint="eastAsia" w:ascii="宋体" w:hAnsi="宋体" w:eastAsia="宋体" w:cs="宋体"/>
          <w:color w:val="auto"/>
          <w:u w:val="single"/>
        </w:rPr>
        <w:t>是</w:t>
      </w:r>
      <w:r>
        <w:rPr>
          <w:rFonts w:hint="eastAsia" w:ascii="宋体" w:hAnsi="宋体" w:eastAsia="宋体" w:cs="宋体"/>
          <w:color w:val="auto"/>
        </w:rPr>
        <w:t>（是/否）需要支付预付款。若需要支付预付款的，则：</w:t>
      </w:r>
    </w:p>
    <w:p w14:paraId="420B0D42">
      <w:pPr>
        <w:spacing w:line="56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1.5.1预付款比例、支付方式、时间详见</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rPr>
        <w:t>；</w:t>
      </w:r>
    </w:p>
    <w:p w14:paraId="2DC46CBE">
      <w:pPr>
        <w:pStyle w:val="959"/>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1.5.2预付款的扣回方式详见</w:t>
      </w:r>
      <w:r>
        <w:rPr>
          <w:rFonts w:hint="eastAsia" w:ascii="宋体" w:hAnsi="宋体" w:eastAsia="宋体" w:cs="宋体"/>
          <w:b/>
          <w:i/>
          <w:color w:val="auto"/>
          <w:u w:val="single"/>
        </w:rPr>
        <w:t>合同专用条款</w:t>
      </w:r>
      <w:r>
        <w:rPr>
          <w:rFonts w:hint="eastAsia" w:ascii="宋体" w:hAnsi="宋体" w:eastAsia="宋体" w:cs="宋体"/>
          <w:color w:val="auto"/>
        </w:rPr>
        <w:t>；</w:t>
      </w:r>
    </w:p>
    <w:p w14:paraId="523E8288">
      <w:pPr>
        <w:pStyle w:val="959"/>
        <w:spacing w:before="0" w:beforeAutospacing="0" w:after="0" w:afterAutospacing="0" w:line="360" w:lineRule="auto"/>
        <w:ind w:firstLine="480"/>
        <w:rPr>
          <w:rFonts w:hint="eastAsia" w:ascii="宋体" w:hAnsi="宋体" w:eastAsia="宋体" w:cs="宋体"/>
          <w:color w:val="auto"/>
          <w:u w:val="single"/>
        </w:rPr>
      </w:pPr>
      <w:r>
        <w:rPr>
          <w:rFonts w:hint="eastAsia" w:ascii="宋体" w:hAnsi="宋体" w:eastAsia="宋体" w:cs="宋体"/>
          <w:color w:val="auto"/>
        </w:rPr>
        <w:t>1.5.3预付款的担保措施详见</w:t>
      </w:r>
      <w:r>
        <w:rPr>
          <w:rFonts w:hint="eastAsia" w:ascii="宋体" w:hAnsi="宋体" w:eastAsia="宋体" w:cs="宋体"/>
          <w:b/>
          <w:i/>
          <w:color w:val="auto"/>
          <w:u w:val="single"/>
        </w:rPr>
        <w:t>合同专用条款</w:t>
      </w:r>
      <w:r>
        <w:rPr>
          <w:rFonts w:hint="eastAsia" w:ascii="宋体" w:hAnsi="宋体" w:eastAsia="宋体" w:cs="宋体"/>
          <w:color w:val="auto"/>
        </w:rPr>
        <w:t>。</w:t>
      </w:r>
    </w:p>
    <w:p w14:paraId="12535026">
      <w:pPr>
        <w:pStyle w:val="959"/>
        <w:spacing w:before="0" w:beforeAutospacing="0" w:after="0" w:afterAutospacing="0" w:line="360" w:lineRule="auto"/>
        <w:ind w:firstLine="480"/>
        <w:rPr>
          <w:rFonts w:hint="eastAsia" w:ascii="宋体" w:hAnsi="宋体" w:eastAsia="宋体" w:cs="宋体"/>
          <w:b/>
          <w:bCs/>
          <w:color w:val="auto"/>
        </w:rPr>
      </w:pPr>
      <w:r>
        <w:rPr>
          <w:rFonts w:hint="eastAsia" w:ascii="宋体" w:hAnsi="宋体" w:eastAsia="宋体" w:cs="宋体"/>
          <w:b/>
          <w:bCs/>
          <w:color w:val="auto"/>
        </w:rPr>
        <w:t>1.6资金支付</w:t>
      </w:r>
    </w:p>
    <w:p w14:paraId="65A77BEE">
      <w:pPr>
        <w:pStyle w:val="959"/>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B1D5DEB">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1.6.2资金支付的方式、时间和条件详见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79E9718D">
      <w:pPr>
        <w:spacing w:line="560" w:lineRule="exact"/>
        <w:ind w:firstLine="482" w:firstLineChars="200"/>
        <w:outlineLvl w:val="0"/>
        <w:rPr>
          <w:rFonts w:hint="eastAsia" w:ascii="宋体" w:hAnsi="宋体" w:eastAsia="宋体" w:cs="宋体"/>
          <w:b/>
          <w:color w:val="auto"/>
          <w:sz w:val="24"/>
        </w:rPr>
      </w:pPr>
      <w:bookmarkStart w:id="420" w:name="_Toc2846"/>
      <w:bookmarkStart w:id="421" w:name="_Toc32071"/>
      <w:bookmarkStart w:id="422" w:name="_Toc19304"/>
      <w:r>
        <w:rPr>
          <w:rFonts w:hint="eastAsia" w:ascii="宋体" w:hAnsi="宋体" w:eastAsia="宋体" w:cs="宋体"/>
          <w:b/>
          <w:color w:val="auto"/>
          <w:sz w:val="24"/>
        </w:rPr>
        <w:t>1.7货物交付期限、地点和方式</w:t>
      </w:r>
      <w:bookmarkEnd w:id="420"/>
      <w:bookmarkEnd w:id="421"/>
      <w:bookmarkEnd w:id="422"/>
    </w:p>
    <w:p w14:paraId="12554E4E">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1.7.1 交付期限：详见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324E423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交付地点：</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924C56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1.7.3 交付方式：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D9027BD">
      <w:pPr>
        <w:spacing w:line="560" w:lineRule="exact"/>
        <w:ind w:firstLine="482" w:firstLineChars="200"/>
        <w:outlineLvl w:val="0"/>
        <w:rPr>
          <w:rFonts w:hint="eastAsia" w:ascii="宋体" w:hAnsi="宋体" w:eastAsia="宋体" w:cs="宋体"/>
          <w:b/>
          <w:color w:val="auto"/>
          <w:sz w:val="24"/>
        </w:rPr>
      </w:pPr>
      <w:bookmarkStart w:id="423" w:name="_Toc19554"/>
      <w:bookmarkStart w:id="424" w:name="_Toc21423"/>
      <w:bookmarkStart w:id="425" w:name="_Toc27250"/>
      <w:r>
        <w:rPr>
          <w:rFonts w:hint="eastAsia" w:ascii="宋体" w:hAnsi="宋体" w:eastAsia="宋体" w:cs="宋体"/>
          <w:b/>
          <w:color w:val="auto"/>
          <w:sz w:val="24"/>
        </w:rPr>
        <w:t>1.8违约责任</w:t>
      </w:r>
      <w:bookmarkEnd w:id="423"/>
      <w:bookmarkEnd w:id="424"/>
      <w:bookmarkEnd w:id="425"/>
    </w:p>
    <w:p w14:paraId="2BAFBAD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u w:val="single"/>
        </w:rPr>
        <w:t xml:space="preserve">  0.05</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%；迟延交付货物的违约金计算数额达到前述最高限额之日起，甲方有权在要求乙方支付违约金的同时，书面通知乙方解除本合同；</w:t>
      </w:r>
    </w:p>
    <w:p w14:paraId="1743FB3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68799DF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3DBD90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34B7DA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240F814">
      <w:pPr>
        <w:spacing w:line="560" w:lineRule="exact"/>
        <w:ind w:left="-420" w:leftChars="-200" w:right="-420" w:rightChars="-200" w:firstLine="960" w:firstLineChars="400"/>
        <w:rPr>
          <w:rFonts w:hint="eastAsia" w:ascii="宋体" w:hAnsi="宋体" w:eastAsia="宋体" w:cs="宋体"/>
          <w:color w:val="auto"/>
        </w:rPr>
      </w:pPr>
      <w:r>
        <w:rPr>
          <w:rFonts w:hint="eastAsia" w:ascii="宋体" w:hAnsi="宋体" w:eastAsia="宋体" w:cs="宋体"/>
          <w:color w:val="auto"/>
          <w:sz w:val="24"/>
        </w:rPr>
        <w:t>1.8.6违约责任</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另有约定的，从其约定。</w:t>
      </w:r>
    </w:p>
    <w:p w14:paraId="1890C354">
      <w:pPr>
        <w:spacing w:line="560" w:lineRule="exact"/>
        <w:ind w:firstLine="482" w:firstLineChars="200"/>
        <w:outlineLvl w:val="0"/>
        <w:rPr>
          <w:rFonts w:hint="eastAsia" w:ascii="宋体" w:hAnsi="宋体" w:eastAsia="宋体" w:cs="宋体"/>
          <w:b/>
          <w:color w:val="auto"/>
          <w:sz w:val="24"/>
        </w:rPr>
      </w:pPr>
      <w:bookmarkStart w:id="426" w:name="_Toc28375"/>
      <w:bookmarkStart w:id="427" w:name="_Toc16021"/>
      <w:bookmarkStart w:id="428" w:name="_Toc15583"/>
      <w:r>
        <w:rPr>
          <w:rFonts w:hint="eastAsia" w:ascii="宋体" w:hAnsi="宋体" w:eastAsia="宋体" w:cs="宋体"/>
          <w:b/>
          <w:color w:val="auto"/>
          <w:sz w:val="24"/>
        </w:rPr>
        <w:t>1.9合同争议的解决</w:t>
      </w:r>
      <w:bookmarkEnd w:id="426"/>
      <w:bookmarkEnd w:id="427"/>
      <w:bookmarkEnd w:id="428"/>
    </w:p>
    <w:p w14:paraId="74E415CF">
      <w:pPr>
        <w:spacing w:line="560" w:lineRule="exact"/>
        <w:ind w:left="-61" w:leftChars="-29" w:right="-420" w:rightChars="-200"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条款规定的方式解决：</w:t>
      </w:r>
    </w:p>
    <w:p w14:paraId="2E1174B6">
      <w:pPr>
        <w:spacing w:line="560" w:lineRule="exact"/>
        <w:ind w:left="-420" w:leftChars="-200" w:right="-420" w:rightChars="-200" w:firstLine="840" w:firstLineChars="350"/>
        <w:rPr>
          <w:rFonts w:hint="eastAsia" w:ascii="宋体" w:hAnsi="宋体" w:eastAsia="宋体" w:cs="宋体"/>
          <w:color w:val="auto"/>
          <w:sz w:val="24"/>
        </w:rPr>
      </w:pPr>
      <w:r>
        <w:rPr>
          <w:rFonts w:hint="eastAsia" w:ascii="宋体" w:hAnsi="宋体" w:eastAsia="宋体" w:cs="宋体"/>
          <w:color w:val="auto"/>
          <w:sz w:val="24"/>
        </w:rPr>
        <w:t>1.9.1 将争议提交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仲裁委员会依申请仲裁时其现行有效的仲裁规则裁决；</w:t>
      </w:r>
    </w:p>
    <w:p w14:paraId="6E81C6C4">
      <w:pPr>
        <w:spacing w:line="560" w:lineRule="exact"/>
        <w:ind w:left="-420" w:leftChars="-200" w:right="-420" w:rightChars="-200" w:firstLine="840" w:firstLineChars="350"/>
        <w:rPr>
          <w:rFonts w:hint="eastAsia" w:ascii="宋体" w:hAnsi="宋体" w:eastAsia="宋体" w:cs="宋体"/>
          <w:color w:val="auto"/>
          <w:sz w:val="24"/>
        </w:rPr>
      </w:pPr>
      <w:r>
        <w:rPr>
          <w:rFonts w:hint="eastAsia" w:ascii="宋体" w:hAnsi="宋体" w:eastAsia="宋体" w:cs="宋体"/>
          <w:color w:val="auto"/>
          <w:sz w:val="24"/>
        </w:rPr>
        <w:t>1.9.2 向</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人民法院起诉。</w:t>
      </w:r>
    </w:p>
    <w:p w14:paraId="3BC65839">
      <w:pPr>
        <w:spacing w:line="560" w:lineRule="exact"/>
        <w:ind w:firstLine="482" w:firstLineChars="200"/>
        <w:outlineLvl w:val="0"/>
        <w:rPr>
          <w:rFonts w:hint="eastAsia" w:ascii="宋体" w:hAnsi="宋体" w:eastAsia="宋体" w:cs="宋体"/>
          <w:b/>
          <w:color w:val="auto"/>
          <w:sz w:val="24"/>
        </w:rPr>
      </w:pPr>
      <w:bookmarkStart w:id="429" w:name="_Toc7245"/>
      <w:bookmarkStart w:id="430" w:name="_Toc15322"/>
      <w:bookmarkStart w:id="431" w:name="_Toc11173"/>
      <w:r>
        <w:rPr>
          <w:rFonts w:hint="eastAsia" w:ascii="宋体" w:hAnsi="宋体" w:eastAsia="宋体" w:cs="宋体"/>
          <w:b/>
          <w:color w:val="auto"/>
          <w:sz w:val="24"/>
        </w:rPr>
        <w:t>2.0 合同生效</w:t>
      </w:r>
      <w:bookmarkEnd w:id="429"/>
      <w:bookmarkEnd w:id="430"/>
      <w:bookmarkEnd w:id="431"/>
    </w:p>
    <w:p w14:paraId="4FC6BB8D">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本合同自双方当事人盖章签字时生效。</w:t>
      </w:r>
    </w:p>
    <w:p w14:paraId="1D7DDB8A">
      <w:pPr>
        <w:autoSpaceDE w:val="0"/>
        <w:autoSpaceDN w:val="0"/>
        <w:spacing w:line="440" w:lineRule="exact"/>
        <w:rPr>
          <w:rFonts w:hint="eastAsia" w:ascii="宋体" w:hAnsi="宋体" w:eastAsia="宋体" w:cs="宋体"/>
          <w:b/>
          <w:color w:val="auto"/>
          <w:sz w:val="24"/>
          <w:lang w:val="zh-CN"/>
        </w:rPr>
      </w:pPr>
      <w:r>
        <w:rPr>
          <w:rFonts w:hint="eastAsia" w:ascii="宋体" w:hAnsi="宋体" w:eastAsia="宋体" w:cs="宋体"/>
          <w:color w:val="auto"/>
          <w:sz w:val="24"/>
        </w:rPr>
        <w:t>（注：本合同不强制现场签订，可盖章后邮寄送达）</w:t>
      </w:r>
    </w:p>
    <w:p w14:paraId="7847AABB">
      <w:pPr>
        <w:autoSpaceDE w:val="0"/>
        <w:autoSpaceDN w:val="0"/>
        <w:spacing w:line="560" w:lineRule="exact"/>
        <w:rPr>
          <w:rFonts w:hint="eastAsia" w:ascii="宋体" w:hAnsi="宋体" w:eastAsia="宋体" w:cs="宋体"/>
          <w:color w:val="auto"/>
          <w:sz w:val="24"/>
          <w:lang w:val="zh-CN"/>
        </w:rPr>
      </w:pPr>
    </w:p>
    <w:p w14:paraId="35B7E4D6">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0F5ADB9A">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105CAB10">
      <w:pPr>
        <w:autoSpaceDE w:val="0"/>
        <w:autoSpaceDN w:val="0"/>
        <w:spacing w:line="560" w:lineRule="exact"/>
        <w:rPr>
          <w:rFonts w:hint="eastAsia" w:ascii="宋体" w:hAnsi="宋体" w:eastAsia="宋体" w:cs="宋体"/>
          <w:color w:val="auto"/>
          <w:sz w:val="24"/>
          <w:lang w:val="zh-CN"/>
        </w:rPr>
      </w:pPr>
    </w:p>
    <w:p w14:paraId="74A7D0A4">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4BB5F34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14E9B6F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7C7FBC71">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02C6890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693459C9">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7FFEFBE4">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04237809">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264E0808">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41A57EB3">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06E233EC">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7E48BBCE">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cs="宋体"/>
          <w:color w:val="auto"/>
          <w:sz w:val="24"/>
          <w:lang w:val="en-US" w:eastAsia="zh-CN"/>
        </w:rPr>
        <w:t xml:space="preserve">                               </w:t>
      </w:r>
      <w:r>
        <w:rPr>
          <w:rFonts w:hint="eastAsia" w:ascii="宋体" w:hAnsi="宋体" w:eastAsia="宋体" w:cs="宋体"/>
          <w:color w:val="auto"/>
          <w:sz w:val="24"/>
        </w:rPr>
        <w:t>开户账号：</w:t>
      </w:r>
    </w:p>
    <w:p w14:paraId="3332C790">
      <w:pPr>
        <w:pStyle w:val="3"/>
        <w:rPr>
          <w:rFonts w:hint="eastAsia" w:ascii="宋体" w:hAnsi="宋体" w:eastAsia="宋体" w:cs="宋体"/>
          <w:color w:val="auto"/>
          <w:sz w:val="24"/>
        </w:rPr>
      </w:pPr>
    </w:p>
    <w:p w14:paraId="495E5D18">
      <w:pPr>
        <w:rPr>
          <w:rFonts w:hint="eastAsia" w:ascii="宋体" w:hAnsi="宋体" w:eastAsia="宋体" w:cs="宋体"/>
          <w:color w:val="auto"/>
          <w:sz w:val="24"/>
        </w:rPr>
      </w:pPr>
    </w:p>
    <w:p w14:paraId="7B41FE04">
      <w:pPr>
        <w:pStyle w:val="3"/>
        <w:rPr>
          <w:rFonts w:hint="eastAsia" w:ascii="宋体" w:hAnsi="宋体" w:eastAsia="宋体" w:cs="宋体"/>
          <w:color w:val="auto"/>
          <w:sz w:val="24"/>
        </w:rPr>
      </w:pPr>
    </w:p>
    <w:p w14:paraId="1A3DEA3B">
      <w:pPr>
        <w:rPr>
          <w:rFonts w:hint="eastAsia" w:ascii="宋体" w:hAnsi="宋体" w:eastAsia="宋体" w:cs="宋体"/>
          <w:color w:val="auto"/>
          <w:sz w:val="24"/>
        </w:rPr>
      </w:pPr>
    </w:p>
    <w:p w14:paraId="6F1D11CA">
      <w:pPr>
        <w:pStyle w:val="3"/>
        <w:rPr>
          <w:rFonts w:hint="eastAsia" w:ascii="宋体" w:hAnsi="宋体" w:eastAsia="宋体" w:cs="宋体"/>
          <w:color w:val="auto"/>
          <w:sz w:val="24"/>
        </w:rPr>
      </w:pPr>
    </w:p>
    <w:p w14:paraId="2D000AF4">
      <w:pPr>
        <w:rPr>
          <w:rFonts w:hint="eastAsia" w:ascii="宋体" w:hAnsi="宋体" w:eastAsia="宋体" w:cs="宋体"/>
          <w:color w:val="auto"/>
          <w:sz w:val="24"/>
        </w:rPr>
      </w:pPr>
    </w:p>
    <w:p w14:paraId="5F939AE2">
      <w:pPr>
        <w:pStyle w:val="702"/>
        <w:spacing w:line="560" w:lineRule="exact"/>
        <w:ind w:firstLine="482"/>
        <w:jc w:val="center"/>
        <w:rPr>
          <w:rFonts w:hint="eastAsia" w:ascii="宋体" w:hAnsi="宋体" w:eastAsia="宋体" w:cs="宋体"/>
          <w:b/>
          <w:color w:val="auto"/>
          <w:szCs w:val="24"/>
        </w:rPr>
      </w:pPr>
    </w:p>
    <w:p w14:paraId="6B562E52">
      <w:pPr>
        <w:pStyle w:val="702"/>
        <w:spacing w:line="560" w:lineRule="exact"/>
        <w:ind w:firstLine="482"/>
        <w:jc w:val="center"/>
        <w:rPr>
          <w:rFonts w:hint="eastAsia" w:ascii="宋体" w:hAnsi="宋体" w:eastAsia="宋体" w:cs="宋体"/>
          <w:b/>
          <w:color w:val="auto"/>
          <w:szCs w:val="24"/>
        </w:rPr>
      </w:pPr>
    </w:p>
    <w:p w14:paraId="04ED9811">
      <w:pPr>
        <w:pStyle w:val="702"/>
        <w:spacing w:line="560" w:lineRule="exact"/>
        <w:ind w:firstLine="482"/>
        <w:jc w:val="center"/>
        <w:rPr>
          <w:rFonts w:hint="eastAsia" w:ascii="宋体" w:hAnsi="宋体" w:eastAsia="宋体" w:cs="宋体"/>
          <w:b/>
          <w:color w:val="auto"/>
          <w:szCs w:val="24"/>
        </w:rPr>
      </w:pPr>
    </w:p>
    <w:p w14:paraId="6DA57B45">
      <w:pPr>
        <w:pStyle w:val="702"/>
        <w:spacing w:line="560" w:lineRule="exact"/>
        <w:ind w:firstLine="482"/>
        <w:jc w:val="center"/>
        <w:rPr>
          <w:rFonts w:hint="eastAsia" w:ascii="宋体" w:hAnsi="宋体" w:eastAsia="宋体" w:cs="宋体"/>
          <w:b/>
          <w:color w:val="auto"/>
          <w:szCs w:val="24"/>
        </w:rPr>
      </w:pPr>
    </w:p>
    <w:p w14:paraId="705A7D37">
      <w:pPr>
        <w:pStyle w:val="702"/>
        <w:spacing w:line="560" w:lineRule="exact"/>
        <w:ind w:firstLine="482"/>
        <w:jc w:val="center"/>
        <w:rPr>
          <w:rFonts w:hint="eastAsia" w:ascii="宋体" w:hAnsi="宋体" w:eastAsia="宋体" w:cs="宋体"/>
          <w:b/>
          <w:color w:val="auto"/>
          <w:szCs w:val="24"/>
        </w:rPr>
      </w:pPr>
    </w:p>
    <w:p w14:paraId="67EAE703">
      <w:pPr>
        <w:pStyle w:val="702"/>
        <w:spacing w:line="560" w:lineRule="exact"/>
        <w:ind w:firstLine="482"/>
        <w:jc w:val="center"/>
        <w:rPr>
          <w:rFonts w:hint="eastAsia" w:ascii="宋体" w:hAnsi="宋体" w:eastAsia="宋体" w:cs="宋体"/>
          <w:b/>
          <w:color w:val="auto"/>
          <w:szCs w:val="24"/>
        </w:rPr>
      </w:pPr>
    </w:p>
    <w:p w14:paraId="38F35583">
      <w:pPr>
        <w:pStyle w:val="702"/>
        <w:spacing w:line="560" w:lineRule="exact"/>
        <w:ind w:firstLine="482"/>
        <w:jc w:val="center"/>
        <w:rPr>
          <w:rFonts w:hint="eastAsia" w:ascii="宋体" w:hAnsi="宋体" w:eastAsia="宋体" w:cs="宋体"/>
          <w:b/>
          <w:color w:val="auto"/>
          <w:szCs w:val="24"/>
        </w:rPr>
      </w:pPr>
    </w:p>
    <w:p w14:paraId="46064D37">
      <w:pPr>
        <w:pStyle w:val="702"/>
        <w:spacing w:line="560" w:lineRule="exact"/>
        <w:ind w:firstLine="482"/>
        <w:jc w:val="center"/>
        <w:rPr>
          <w:rFonts w:hint="eastAsia" w:ascii="宋体" w:hAnsi="宋体" w:eastAsia="宋体" w:cs="宋体"/>
          <w:b/>
          <w:color w:val="auto"/>
          <w:szCs w:val="24"/>
        </w:rPr>
      </w:pPr>
    </w:p>
    <w:p w14:paraId="2CFA3599">
      <w:pPr>
        <w:pStyle w:val="702"/>
        <w:spacing w:line="560" w:lineRule="exact"/>
        <w:ind w:firstLine="482"/>
        <w:jc w:val="center"/>
        <w:rPr>
          <w:rFonts w:hint="eastAsia" w:ascii="宋体" w:hAnsi="宋体" w:eastAsia="宋体" w:cs="宋体"/>
          <w:b/>
          <w:color w:val="auto"/>
          <w:szCs w:val="24"/>
        </w:rPr>
      </w:pPr>
    </w:p>
    <w:p w14:paraId="30C3F69E">
      <w:pPr>
        <w:rPr>
          <w:rFonts w:hint="eastAsia"/>
        </w:rPr>
      </w:pPr>
    </w:p>
    <w:p w14:paraId="58238D42">
      <w:pPr>
        <w:rPr>
          <w:rFonts w:hint="eastAsia"/>
          <w:color w:val="auto"/>
        </w:rPr>
      </w:pPr>
    </w:p>
    <w:p w14:paraId="38B34BCD">
      <w:pPr>
        <w:pStyle w:val="702"/>
        <w:spacing w:line="560" w:lineRule="exact"/>
        <w:ind w:firstLine="482"/>
        <w:jc w:val="center"/>
        <w:rPr>
          <w:rFonts w:hint="eastAsia" w:ascii="宋体" w:hAnsi="宋体" w:eastAsia="宋体" w:cs="宋体"/>
          <w:b/>
          <w:color w:val="auto"/>
          <w:szCs w:val="24"/>
        </w:rPr>
      </w:pPr>
      <w:r>
        <w:rPr>
          <w:rFonts w:hint="eastAsia" w:ascii="宋体" w:hAnsi="宋体" w:eastAsia="宋体" w:cs="宋体"/>
          <w:b/>
          <w:color w:val="auto"/>
          <w:szCs w:val="24"/>
        </w:rPr>
        <w:t>第二部分 合同一般条款</w:t>
      </w:r>
    </w:p>
    <w:p w14:paraId="5701CF95">
      <w:pPr>
        <w:spacing w:line="560" w:lineRule="exact"/>
        <w:ind w:firstLine="482" w:firstLineChars="200"/>
        <w:outlineLvl w:val="0"/>
        <w:rPr>
          <w:rFonts w:hint="eastAsia" w:ascii="宋体" w:hAnsi="宋体" w:eastAsia="宋体" w:cs="宋体"/>
          <w:b/>
          <w:color w:val="auto"/>
          <w:sz w:val="24"/>
        </w:rPr>
      </w:pPr>
      <w:bookmarkStart w:id="432" w:name="_Toc487900349"/>
      <w:bookmarkStart w:id="433" w:name="_Toc28763"/>
      <w:bookmarkStart w:id="434" w:name="_Toc16917"/>
      <w:bookmarkStart w:id="435" w:name="_Ref467379101"/>
      <w:bookmarkStart w:id="436" w:name="_Ref467379109"/>
      <w:bookmarkStart w:id="437" w:name="_Toc279701240"/>
      <w:bookmarkStart w:id="438" w:name="_Ref467378499"/>
      <w:bookmarkStart w:id="439" w:name="_Ref467379225"/>
      <w:bookmarkStart w:id="440" w:name="_Ref467379195"/>
      <w:bookmarkStart w:id="441" w:name="_Ref467378463"/>
      <w:bookmarkStart w:id="442" w:name="_Ref467378404"/>
      <w:bookmarkStart w:id="443" w:name="_Ref467379205"/>
      <w:bookmarkStart w:id="444" w:name="_Ref467379094"/>
      <w:bookmarkStart w:id="445" w:name="_Toc19614"/>
      <w:bookmarkStart w:id="446" w:name="_Ref467379214"/>
      <w:bookmarkStart w:id="447" w:name="_Toc259093669"/>
      <w:r>
        <w:rPr>
          <w:rFonts w:hint="eastAsia" w:ascii="宋体" w:hAnsi="宋体" w:eastAsia="宋体" w:cs="宋体"/>
          <w:b/>
          <w:color w:val="auto"/>
          <w:sz w:val="24"/>
        </w:rPr>
        <w:t>2.1 定义</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44D0683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0375CD4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“合同”系指采购人和中标或成交供应商签订的载明双方当事人所达成的协议，并包括所有的附件、附录和构成合同的其他文件。</w:t>
      </w:r>
    </w:p>
    <w:p w14:paraId="53E2BE0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“合同价”系指根据合同约定，中标或成交供应商在完全履行合同义务后，采购人应支付给中标或成交供应商的价格。</w:t>
      </w:r>
    </w:p>
    <w:p w14:paraId="6141AC8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41AE45A1">
      <w:pPr>
        <w:spacing w:line="560" w:lineRule="exact"/>
        <w:ind w:firstLine="480" w:firstLineChars="200"/>
        <w:rPr>
          <w:rFonts w:hint="eastAsia" w:ascii="宋体" w:hAnsi="宋体" w:eastAsia="宋体" w:cs="宋体"/>
          <w:color w:val="auto"/>
          <w:sz w:val="24"/>
        </w:rPr>
      </w:pPr>
      <w:bookmarkStart w:id="448" w:name="_Ref467378840"/>
      <w:r>
        <w:rPr>
          <w:rFonts w:hint="eastAsia" w:ascii="宋体" w:hAnsi="宋体" w:eastAsia="宋体" w:cs="宋体"/>
          <w:color w:val="auto"/>
          <w:sz w:val="24"/>
        </w:rPr>
        <w:t>2.1.4 “甲方”系指与中标或成交供应商签署合同的采购人</w:t>
      </w:r>
      <w:bookmarkEnd w:id="448"/>
      <w:r>
        <w:rPr>
          <w:rFonts w:hint="eastAsia" w:ascii="宋体" w:hAnsi="宋体" w:eastAsia="宋体" w:cs="宋体"/>
          <w:color w:val="auto"/>
          <w:sz w:val="24"/>
        </w:rPr>
        <w:t>；采购人委托采购代理机构代表其与乙方签订合同的，采购人的授权委托书作为合同附件。</w:t>
      </w:r>
    </w:p>
    <w:p w14:paraId="2DC29656">
      <w:pPr>
        <w:spacing w:line="560" w:lineRule="exact"/>
        <w:ind w:firstLine="480" w:firstLineChars="200"/>
        <w:rPr>
          <w:rFonts w:hint="eastAsia" w:ascii="宋体" w:hAnsi="宋体" w:eastAsia="宋体" w:cs="宋体"/>
          <w:color w:val="auto"/>
          <w:sz w:val="24"/>
        </w:rPr>
      </w:pPr>
      <w:bookmarkStart w:id="449" w:name="_Ref467379400"/>
      <w:r>
        <w:rPr>
          <w:rFonts w:hint="eastAsia" w:ascii="宋体" w:hAnsi="宋体" w:eastAsia="宋体" w:cs="宋体"/>
          <w:color w:val="auto"/>
          <w:sz w:val="24"/>
        </w:rPr>
        <w:t>2.1.5 “乙方”系指根据合同约定交付货物的中标或成交供应商</w:t>
      </w:r>
      <w:bookmarkEnd w:id="449"/>
      <w:r>
        <w:rPr>
          <w:rFonts w:hint="eastAsia" w:ascii="宋体" w:hAnsi="宋体" w:eastAsia="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7986ED">
      <w:pPr>
        <w:spacing w:line="560" w:lineRule="exact"/>
        <w:ind w:firstLine="480" w:firstLineChars="200"/>
        <w:rPr>
          <w:rFonts w:hint="eastAsia" w:ascii="宋体" w:hAnsi="宋体" w:eastAsia="宋体" w:cs="宋体"/>
          <w:color w:val="auto"/>
          <w:sz w:val="24"/>
        </w:rPr>
      </w:pPr>
      <w:bookmarkStart w:id="450" w:name="_Ref467379436"/>
      <w:r>
        <w:rPr>
          <w:rFonts w:hint="eastAsia" w:ascii="宋体" w:hAnsi="宋体" w:eastAsia="宋体" w:cs="宋体"/>
          <w:color w:val="auto"/>
          <w:sz w:val="24"/>
        </w:rPr>
        <w:t>2.1.6 “现场”系指合同约定货物将要运至或者安装的地点。</w:t>
      </w:r>
      <w:bookmarkEnd w:id="450"/>
    </w:p>
    <w:p w14:paraId="03CE0012">
      <w:pPr>
        <w:spacing w:line="560" w:lineRule="exact"/>
        <w:ind w:firstLine="482" w:firstLineChars="200"/>
        <w:outlineLvl w:val="0"/>
        <w:rPr>
          <w:rFonts w:hint="eastAsia" w:ascii="宋体" w:hAnsi="宋体" w:eastAsia="宋体" w:cs="宋体"/>
          <w:b/>
          <w:color w:val="auto"/>
          <w:sz w:val="24"/>
        </w:rPr>
      </w:pPr>
      <w:bookmarkStart w:id="451" w:name="_Toc487900350"/>
      <w:bookmarkStart w:id="452" w:name="_Toc32504"/>
      <w:bookmarkStart w:id="453" w:name="_Toc13336"/>
      <w:bookmarkStart w:id="454" w:name="_Toc259093670"/>
      <w:bookmarkStart w:id="455" w:name="_Toc27635"/>
      <w:bookmarkStart w:id="456" w:name="_Toc279701241"/>
      <w:r>
        <w:rPr>
          <w:rFonts w:hint="eastAsia" w:ascii="宋体" w:hAnsi="宋体" w:eastAsia="宋体" w:cs="宋体"/>
          <w:b/>
          <w:color w:val="auto"/>
          <w:sz w:val="24"/>
        </w:rPr>
        <w:t>2.2 技术规范</w:t>
      </w:r>
      <w:bookmarkEnd w:id="451"/>
      <w:bookmarkEnd w:id="452"/>
      <w:bookmarkEnd w:id="453"/>
      <w:bookmarkEnd w:id="454"/>
      <w:bookmarkEnd w:id="455"/>
      <w:bookmarkEnd w:id="456"/>
    </w:p>
    <w:p w14:paraId="43E840D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ED8F4B0">
      <w:pPr>
        <w:spacing w:line="560" w:lineRule="exact"/>
        <w:ind w:firstLine="482" w:firstLineChars="200"/>
        <w:outlineLvl w:val="0"/>
        <w:rPr>
          <w:rFonts w:hint="eastAsia" w:ascii="宋体" w:hAnsi="宋体" w:eastAsia="宋体" w:cs="宋体"/>
          <w:b/>
          <w:color w:val="auto"/>
          <w:sz w:val="24"/>
        </w:rPr>
      </w:pPr>
      <w:bookmarkStart w:id="457" w:name="_Toc259093671"/>
      <w:bookmarkStart w:id="458" w:name="_Toc31634"/>
      <w:bookmarkStart w:id="459" w:name="_Toc27853"/>
      <w:bookmarkStart w:id="460" w:name="_Toc487900351"/>
      <w:bookmarkStart w:id="461" w:name="_Toc279701242"/>
      <w:bookmarkStart w:id="462" w:name="_Toc9829"/>
      <w:r>
        <w:rPr>
          <w:rFonts w:hint="eastAsia" w:ascii="宋体" w:hAnsi="宋体" w:eastAsia="宋体" w:cs="宋体"/>
          <w:b/>
          <w:color w:val="auto"/>
          <w:sz w:val="24"/>
        </w:rPr>
        <w:t>2.3 知识产权</w:t>
      </w:r>
      <w:bookmarkEnd w:id="457"/>
      <w:bookmarkEnd w:id="458"/>
      <w:bookmarkEnd w:id="459"/>
      <w:bookmarkEnd w:id="460"/>
      <w:bookmarkEnd w:id="461"/>
      <w:bookmarkEnd w:id="462"/>
    </w:p>
    <w:p w14:paraId="271801D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996ACC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2.3.2具有知识产权的计算机软件等货物的知识产权归属，详见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105AAC8">
      <w:pPr>
        <w:spacing w:line="560" w:lineRule="exact"/>
        <w:ind w:firstLine="482" w:firstLineChars="200"/>
        <w:outlineLvl w:val="0"/>
        <w:rPr>
          <w:rFonts w:hint="eastAsia" w:ascii="宋体" w:hAnsi="宋体" w:eastAsia="宋体" w:cs="宋体"/>
          <w:b/>
          <w:color w:val="auto"/>
          <w:sz w:val="24"/>
        </w:rPr>
      </w:pPr>
      <w:bookmarkStart w:id="463" w:name="_Toc11932"/>
      <w:bookmarkStart w:id="464" w:name="_Toc29149"/>
      <w:bookmarkStart w:id="465" w:name="_Toc4194"/>
      <w:r>
        <w:rPr>
          <w:rFonts w:hint="eastAsia" w:ascii="宋体" w:hAnsi="宋体" w:eastAsia="宋体" w:cs="宋体"/>
          <w:b/>
          <w:color w:val="auto"/>
          <w:sz w:val="24"/>
        </w:rPr>
        <w:t>2.4 包装和装运</w:t>
      </w:r>
      <w:bookmarkEnd w:id="463"/>
      <w:bookmarkEnd w:id="464"/>
      <w:bookmarkEnd w:id="465"/>
    </w:p>
    <w:p w14:paraId="04B1C86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C170D7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9CE18D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2.4.3 装运货物的要求和通知，详见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307F9EF6">
      <w:pPr>
        <w:spacing w:line="560" w:lineRule="exact"/>
        <w:ind w:firstLine="482" w:firstLineChars="200"/>
        <w:outlineLvl w:val="0"/>
        <w:rPr>
          <w:rFonts w:hint="eastAsia" w:ascii="宋体" w:hAnsi="宋体" w:eastAsia="宋体" w:cs="宋体"/>
          <w:b/>
          <w:color w:val="auto"/>
          <w:sz w:val="24"/>
        </w:rPr>
      </w:pPr>
      <w:bookmarkStart w:id="466" w:name="_Toc279701245"/>
      <w:bookmarkStart w:id="467" w:name="_Ref467378591"/>
      <w:bookmarkStart w:id="468" w:name="_Toc487900354"/>
      <w:bookmarkStart w:id="469" w:name="_Ref467379527"/>
      <w:bookmarkStart w:id="470" w:name="_Ref467379536"/>
      <w:bookmarkStart w:id="471" w:name="_Ref467378541"/>
      <w:bookmarkStart w:id="472" w:name="_Toc259093674"/>
      <w:bookmarkStart w:id="473" w:name="_Ref467379542"/>
      <w:bookmarkStart w:id="474" w:name="_Toc19074"/>
      <w:bookmarkStart w:id="475" w:name="_Toc26182"/>
      <w:bookmarkStart w:id="476" w:name="_Toc30272"/>
      <w:r>
        <w:rPr>
          <w:rFonts w:hint="eastAsia" w:ascii="宋体" w:hAnsi="宋体" w:eastAsia="宋体" w:cs="宋体"/>
          <w:b/>
          <w:color w:val="auto"/>
          <w:sz w:val="24"/>
        </w:rPr>
        <w:t>2.</w:t>
      </w:r>
      <w:bookmarkEnd w:id="466"/>
      <w:bookmarkEnd w:id="467"/>
      <w:bookmarkEnd w:id="468"/>
      <w:bookmarkEnd w:id="469"/>
      <w:bookmarkEnd w:id="470"/>
      <w:bookmarkEnd w:id="471"/>
      <w:bookmarkEnd w:id="472"/>
      <w:bookmarkEnd w:id="473"/>
      <w:r>
        <w:rPr>
          <w:rFonts w:hint="eastAsia" w:ascii="宋体" w:hAnsi="宋体" w:eastAsia="宋体" w:cs="宋体"/>
          <w:b/>
          <w:color w:val="auto"/>
          <w:sz w:val="24"/>
        </w:rPr>
        <w:t>5 履约检查和问题反馈</w:t>
      </w:r>
      <w:bookmarkEnd w:id="474"/>
      <w:bookmarkEnd w:id="475"/>
      <w:bookmarkEnd w:id="476"/>
    </w:p>
    <w:p w14:paraId="2BCB0C25">
      <w:pPr>
        <w:spacing w:line="560" w:lineRule="exact"/>
        <w:ind w:firstLine="480" w:firstLineChars="200"/>
        <w:rPr>
          <w:rFonts w:hint="eastAsia" w:ascii="宋体" w:hAnsi="宋体" w:eastAsia="宋体" w:cs="宋体"/>
          <w:color w:val="auto"/>
          <w:sz w:val="24"/>
        </w:rPr>
      </w:pPr>
      <w:bookmarkStart w:id="477" w:name="_Ref467379657"/>
      <w:r>
        <w:rPr>
          <w:rFonts w:hint="eastAsia" w:ascii="宋体" w:hAnsi="宋体" w:eastAsia="宋体" w:cs="宋体"/>
          <w:color w:val="auto"/>
          <w:sz w:val="24"/>
        </w:rPr>
        <w:t>2.5.1</w:t>
      </w:r>
      <w:bookmarkEnd w:id="477"/>
      <w:bookmarkStart w:id="478" w:name="_Toc186431854"/>
      <w:bookmarkStart w:id="479" w:name="_Toc259093676"/>
      <w:bookmarkStart w:id="480" w:name="_Toc487900357"/>
      <w:bookmarkStart w:id="481" w:name="_Ref467379807"/>
      <w:bookmarkStart w:id="482" w:name="_Toc279701247"/>
      <w:bookmarkStart w:id="483" w:name="_Ref467379793"/>
      <w:r>
        <w:rPr>
          <w:rFonts w:hint="eastAsia" w:ascii="宋体" w:hAnsi="宋体" w:eastAsia="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C4B0FC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478"/>
      <w:bookmarkStart w:id="484" w:name="_Toc186431855"/>
      <w:r>
        <w:rPr>
          <w:rFonts w:hint="eastAsia" w:ascii="宋体" w:hAnsi="宋体" w:eastAsia="宋体" w:cs="宋体"/>
          <w:color w:val="auto"/>
          <w:sz w:val="24"/>
        </w:rPr>
        <w:t>。</w:t>
      </w:r>
    </w:p>
    <w:bookmarkEnd w:id="479"/>
    <w:bookmarkEnd w:id="480"/>
    <w:bookmarkEnd w:id="481"/>
    <w:bookmarkEnd w:id="482"/>
    <w:bookmarkEnd w:id="483"/>
    <w:bookmarkEnd w:id="484"/>
    <w:p w14:paraId="1152A9DA">
      <w:pPr>
        <w:spacing w:line="560" w:lineRule="exact"/>
        <w:ind w:firstLine="482" w:firstLineChars="200"/>
        <w:outlineLvl w:val="0"/>
        <w:rPr>
          <w:rFonts w:hint="eastAsia" w:ascii="宋体" w:hAnsi="宋体" w:eastAsia="宋体" w:cs="宋体"/>
          <w:b/>
          <w:color w:val="auto"/>
          <w:sz w:val="24"/>
        </w:rPr>
      </w:pPr>
      <w:bookmarkStart w:id="485" w:name="_Toc259093677"/>
      <w:bookmarkStart w:id="486" w:name="_Ref467379923"/>
      <w:bookmarkStart w:id="487" w:name="_Ref467379863"/>
      <w:bookmarkStart w:id="488" w:name="_Toc487900358"/>
      <w:bookmarkStart w:id="489" w:name="_Ref467379852"/>
      <w:bookmarkStart w:id="490" w:name="_Toc279701248"/>
      <w:bookmarkStart w:id="491" w:name="_Toc16110"/>
      <w:bookmarkStart w:id="492" w:name="_Toc774"/>
      <w:bookmarkStart w:id="493" w:name="_Toc3225"/>
      <w:r>
        <w:rPr>
          <w:rFonts w:hint="eastAsia" w:ascii="宋体" w:hAnsi="宋体" w:eastAsia="宋体" w:cs="宋体"/>
          <w:b/>
          <w:color w:val="auto"/>
          <w:sz w:val="24"/>
        </w:rPr>
        <w:t>2.6 技术资料</w:t>
      </w:r>
      <w:bookmarkEnd w:id="485"/>
      <w:bookmarkEnd w:id="486"/>
      <w:bookmarkEnd w:id="487"/>
      <w:bookmarkEnd w:id="488"/>
      <w:bookmarkEnd w:id="489"/>
      <w:bookmarkEnd w:id="490"/>
      <w:r>
        <w:rPr>
          <w:rFonts w:hint="eastAsia" w:ascii="宋体" w:hAnsi="宋体" w:eastAsia="宋体" w:cs="宋体"/>
          <w:b/>
          <w:color w:val="auto"/>
          <w:sz w:val="24"/>
        </w:rPr>
        <w:t>和保密义务</w:t>
      </w:r>
      <w:bookmarkEnd w:id="491"/>
      <w:bookmarkEnd w:id="492"/>
      <w:bookmarkEnd w:id="493"/>
    </w:p>
    <w:p w14:paraId="3C27EEC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2.6.1 乙方有权依据合同约定和项目需要，向甲方了解有关情况，调阅有关资料等，甲方应予积极配合；</w:t>
      </w:r>
    </w:p>
    <w:p w14:paraId="4F6BC11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2.6.2 乙方有义务妥善保管和保护由甲方提供的前款信息和资料等；</w:t>
      </w:r>
    </w:p>
    <w:p w14:paraId="4075BD7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6E7EF3F">
      <w:pPr>
        <w:spacing w:line="560" w:lineRule="exact"/>
        <w:ind w:firstLine="482" w:firstLineChars="200"/>
        <w:outlineLvl w:val="0"/>
        <w:rPr>
          <w:rFonts w:hint="eastAsia" w:ascii="宋体" w:hAnsi="宋体" w:eastAsia="宋体" w:cs="宋体"/>
          <w:b/>
          <w:color w:val="auto"/>
          <w:sz w:val="24"/>
        </w:rPr>
      </w:pPr>
      <w:bookmarkStart w:id="494" w:name="_Toc7860"/>
      <w:r>
        <w:rPr>
          <w:rFonts w:hint="eastAsia" w:ascii="宋体" w:hAnsi="宋体" w:eastAsia="宋体" w:cs="宋体"/>
          <w:b/>
          <w:color w:val="auto"/>
          <w:sz w:val="24"/>
        </w:rPr>
        <w:t>2.7 质量保证</w:t>
      </w:r>
      <w:bookmarkEnd w:id="494"/>
    </w:p>
    <w:p w14:paraId="55D5991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乙方应建立和完善履行合同的内部质量保证体系，并提供相关内部规章制度给甲方，以便甲方进行监督检查；</w:t>
      </w:r>
    </w:p>
    <w:p w14:paraId="14318C7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乙方应保证履行合同的人员数量和素质、软件和硬件设备的配置、场地、环境和设施等满足全面履行合同的要求，并应接受甲方的监督检查。</w:t>
      </w:r>
    </w:p>
    <w:p w14:paraId="4A87A15E">
      <w:pPr>
        <w:spacing w:line="560" w:lineRule="exact"/>
        <w:ind w:firstLine="482" w:firstLineChars="200"/>
        <w:outlineLvl w:val="0"/>
        <w:rPr>
          <w:rFonts w:hint="eastAsia" w:ascii="宋体" w:hAnsi="宋体" w:eastAsia="宋体" w:cs="宋体"/>
          <w:b/>
          <w:color w:val="auto"/>
          <w:sz w:val="24"/>
        </w:rPr>
      </w:pPr>
      <w:bookmarkStart w:id="495" w:name="_Toc17244"/>
      <w:bookmarkStart w:id="496" w:name="_Toc279701252"/>
      <w:bookmarkStart w:id="497" w:name="_Toc487900362"/>
      <w:bookmarkStart w:id="498" w:name="_Toc259093681"/>
      <w:r>
        <w:rPr>
          <w:rFonts w:hint="eastAsia" w:ascii="宋体" w:hAnsi="宋体" w:eastAsia="宋体" w:cs="宋体"/>
          <w:b/>
          <w:color w:val="auto"/>
          <w:sz w:val="24"/>
        </w:rPr>
        <w:t>2.8 货物的风险负担</w:t>
      </w:r>
      <w:bookmarkEnd w:id="495"/>
    </w:p>
    <w:p w14:paraId="119EE47C">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货物或者在途货物或者交付给第一承运人后的货物毁损、灭失的风险负担详见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7816C2FC">
      <w:pPr>
        <w:spacing w:line="560" w:lineRule="exact"/>
        <w:ind w:firstLine="482" w:firstLineChars="200"/>
        <w:outlineLvl w:val="0"/>
        <w:rPr>
          <w:rFonts w:hint="eastAsia" w:ascii="宋体" w:hAnsi="宋体" w:eastAsia="宋体" w:cs="宋体"/>
          <w:b/>
          <w:color w:val="auto"/>
          <w:sz w:val="24"/>
        </w:rPr>
      </w:pPr>
      <w:bookmarkStart w:id="499" w:name="_Toc14055"/>
      <w:r>
        <w:rPr>
          <w:rFonts w:hint="eastAsia" w:ascii="宋体" w:hAnsi="宋体" w:eastAsia="宋体" w:cs="宋体"/>
          <w:b/>
          <w:color w:val="auto"/>
          <w:sz w:val="24"/>
        </w:rPr>
        <w:t>2.9 延迟交货</w:t>
      </w:r>
      <w:bookmarkEnd w:id="496"/>
      <w:bookmarkEnd w:id="497"/>
      <w:bookmarkEnd w:id="498"/>
      <w:bookmarkEnd w:id="499"/>
    </w:p>
    <w:p w14:paraId="0153019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6BBD699">
      <w:pPr>
        <w:spacing w:line="560" w:lineRule="exact"/>
        <w:ind w:firstLine="482" w:firstLineChars="200"/>
        <w:outlineLvl w:val="0"/>
        <w:rPr>
          <w:rFonts w:hint="eastAsia" w:ascii="宋体" w:hAnsi="宋体" w:eastAsia="宋体" w:cs="宋体"/>
          <w:b/>
          <w:color w:val="auto"/>
          <w:sz w:val="24"/>
        </w:rPr>
      </w:pPr>
      <w:bookmarkStart w:id="500" w:name="_Toc7502"/>
      <w:bookmarkStart w:id="501" w:name="_Toc279701254"/>
      <w:bookmarkStart w:id="502" w:name="_Toc259093683"/>
      <w:bookmarkStart w:id="503" w:name="_Ref467378121"/>
      <w:bookmarkStart w:id="504" w:name="_Toc487900364"/>
      <w:r>
        <w:rPr>
          <w:rFonts w:hint="eastAsia" w:ascii="宋体" w:hAnsi="宋体" w:eastAsia="宋体" w:cs="宋体"/>
          <w:b/>
          <w:color w:val="auto"/>
          <w:sz w:val="24"/>
        </w:rPr>
        <w:t>2.10 合同变更</w:t>
      </w:r>
      <w:bookmarkEnd w:id="500"/>
    </w:p>
    <w:p w14:paraId="3EA0730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505" w:name="_Toc259093688"/>
      <w:bookmarkStart w:id="506" w:name="_Toc487900369"/>
      <w:bookmarkStart w:id="507" w:name="_Toc279701259"/>
    </w:p>
    <w:p w14:paraId="0C3EB95C">
      <w:pPr>
        <w:spacing w:line="560" w:lineRule="exact"/>
        <w:ind w:firstLine="482" w:firstLineChars="200"/>
        <w:outlineLvl w:val="0"/>
        <w:rPr>
          <w:rFonts w:hint="eastAsia" w:ascii="宋体" w:hAnsi="宋体" w:eastAsia="宋体" w:cs="宋体"/>
          <w:b/>
          <w:color w:val="auto"/>
          <w:sz w:val="24"/>
        </w:rPr>
      </w:pPr>
      <w:bookmarkStart w:id="508" w:name="_Toc10366"/>
      <w:bookmarkStart w:id="509" w:name="_Toc22955"/>
      <w:bookmarkStart w:id="510" w:name="_Toc15237"/>
      <w:r>
        <w:rPr>
          <w:rFonts w:hint="eastAsia" w:ascii="宋体" w:hAnsi="宋体" w:eastAsia="宋体" w:cs="宋体"/>
          <w:b/>
          <w:color w:val="auto"/>
          <w:sz w:val="24"/>
        </w:rPr>
        <w:t>2.11 合同转让</w:t>
      </w:r>
      <w:bookmarkEnd w:id="505"/>
      <w:bookmarkEnd w:id="506"/>
      <w:bookmarkEnd w:id="507"/>
      <w:r>
        <w:rPr>
          <w:rFonts w:hint="eastAsia" w:ascii="宋体" w:hAnsi="宋体" w:eastAsia="宋体" w:cs="宋体"/>
          <w:b/>
          <w:color w:val="auto"/>
          <w:sz w:val="24"/>
        </w:rPr>
        <w:t>和分包</w:t>
      </w:r>
      <w:bookmarkEnd w:id="508"/>
      <w:bookmarkEnd w:id="509"/>
      <w:bookmarkEnd w:id="510"/>
    </w:p>
    <w:p w14:paraId="4C10567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055F9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2.11.2乙方采取分包方式履行合同的，甲方可直接向分包供应商支付款项。</w:t>
      </w:r>
    </w:p>
    <w:p w14:paraId="1C6C2CC3">
      <w:pPr>
        <w:spacing w:line="560" w:lineRule="exact"/>
        <w:ind w:firstLine="482" w:firstLineChars="200"/>
        <w:outlineLvl w:val="0"/>
        <w:rPr>
          <w:rFonts w:hint="eastAsia" w:ascii="宋体" w:hAnsi="宋体" w:eastAsia="宋体" w:cs="宋体"/>
          <w:b/>
          <w:color w:val="auto"/>
          <w:sz w:val="24"/>
        </w:rPr>
      </w:pPr>
      <w:bookmarkStart w:id="511" w:name="_Toc16508"/>
      <w:bookmarkStart w:id="512" w:name="_Toc13566"/>
      <w:bookmarkStart w:id="513" w:name="_Toc14066"/>
      <w:r>
        <w:rPr>
          <w:rFonts w:hint="eastAsia" w:ascii="宋体" w:hAnsi="宋体" w:eastAsia="宋体" w:cs="宋体"/>
          <w:b/>
          <w:color w:val="auto"/>
          <w:sz w:val="24"/>
        </w:rPr>
        <w:t>2.12 不可抗力</w:t>
      </w:r>
      <w:bookmarkEnd w:id="511"/>
      <w:bookmarkEnd w:id="512"/>
      <w:bookmarkEnd w:id="513"/>
    </w:p>
    <w:p w14:paraId="10755A5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2.12.1如果任何一方遭遇法律规定的不可抗力，致使合同履行受阻时，履行合同的期限应予延长，延长的期限应相当于不可抗力所影响的时间；</w:t>
      </w:r>
    </w:p>
    <w:p w14:paraId="300D786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2.12.2 因不可抗力致使不能实现合同目的的，当事人可以解除合同；</w:t>
      </w:r>
    </w:p>
    <w:p w14:paraId="3960847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52FD322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1FB56C83">
      <w:pPr>
        <w:spacing w:line="560" w:lineRule="exact"/>
        <w:ind w:firstLine="482" w:firstLineChars="200"/>
        <w:outlineLvl w:val="0"/>
        <w:rPr>
          <w:rFonts w:hint="eastAsia" w:ascii="宋体" w:hAnsi="宋体" w:eastAsia="宋体" w:cs="宋体"/>
          <w:b/>
          <w:color w:val="auto"/>
          <w:sz w:val="24"/>
        </w:rPr>
      </w:pPr>
      <w:bookmarkStart w:id="514" w:name="_Toc6969"/>
      <w:bookmarkStart w:id="515" w:name="_Toc487900365"/>
      <w:bookmarkStart w:id="516" w:name="_Toc259093684"/>
      <w:bookmarkStart w:id="517" w:name="_Toc689"/>
      <w:bookmarkStart w:id="518" w:name="_Toc30676"/>
      <w:bookmarkStart w:id="519" w:name="_Toc279701255"/>
      <w:r>
        <w:rPr>
          <w:rFonts w:hint="eastAsia" w:ascii="宋体" w:hAnsi="宋体" w:eastAsia="宋体" w:cs="宋体"/>
          <w:b/>
          <w:color w:val="auto"/>
          <w:sz w:val="24"/>
        </w:rPr>
        <w:t>2.13 税费</w:t>
      </w:r>
      <w:bookmarkEnd w:id="514"/>
      <w:bookmarkEnd w:id="515"/>
      <w:bookmarkEnd w:id="516"/>
      <w:bookmarkEnd w:id="517"/>
      <w:bookmarkEnd w:id="518"/>
      <w:bookmarkEnd w:id="519"/>
    </w:p>
    <w:p w14:paraId="72CD66B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w:t>
      </w:r>
    </w:p>
    <w:p w14:paraId="5598B6A9">
      <w:pPr>
        <w:spacing w:line="560" w:lineRule="exact"/>
        <w:ind w:firstLine="482" w:firstLineChars="200"/>
        <w:outlineLvl w:val="0"/>
        <w:rPr>
          <w:rFonts w:hint="eastAsia" w:ascii="宋体" w:hAnsi="宋体" w:eastAsia="宋体" w:cs="宋体"/>
          <w:b/>
          <w:color w:val="auto"/>
          <w:sz w:val="24"/>
        </w:rPr>
      </w:pPr>
      <w:bookmarkStart w:id="520" w:name="_Toc279701258"/>
      <w:bookmarkStart w:id="521" w:name="_Toc487900368"/>
      <w:bookmarkStart w:id="522" w:name="_Toc259093687"/>
      <w:bookmarkStart w:id="523" w:name="_Toc7102"/>
      <w:bookmarkStart w:id="524" w:name="_Toc8298"/>
      <w:bookmarkStart w:id="525" w:name="_Toc16959"/>
      <w:r>
        <w:rPr>
          <w:rFonts w:hint="eastAsia" w:ascii="宋体" w:hAnsi="宋体" w:eastAsia="宋体" w:cs="宋体"/>
          <w:b/>
          <w:color w:val="auto"/>
          <w:sz w:val="24"/>
        </w:rPr>
        <w:t>2.14乙方破产</w:t>
      </w:r>
      <w:bookmarkEnd w:id="520"/>
      <w:bookmarkEnd w:id="521"/>
      <w:bookmarkEnd w:id="522"/>
      <w:bookmarkEnd w:id="523"/>
      <w:bookmarkEnd w:id="524"/>
      <w:bookmarkEnd w:id="525"/>
    </w:p>
    <w:p w14:paraId="08AAD82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D16661">
      <w:pPr>
        <w:spacing w:line="560" w:lineRule="exact"/>
        <w:ind w:firstLine="482" w:firstLineChars="200"/>
        <w:outlineLvl w:val="0"/>
        <w:rPr>
          <w:rFonts w:hint="eastAsia" w:ascii="宋体" w:hAnsi="宋体" w:eastAsia="宋体" w:cs="宋体"/>
          <w:b/>
          <w:color w:val="auto"/>
          <w:sz w:val="24"/>
        </w:rPr>
      </w:pPr>
      <w:bookmarkStart w:id="526" w:name="_Toc15387"/>
      <w:bookmarkStart w:id="527" w:name="_Toc6134"/>
      <w:bookmarkStart w:id="528" w:name="_Toc29333"/>
      <w:r>
        <w:rPr>
          <w:rFonts w:hint="eastAsia" w:ascii="宋体" w:hAnsi="宋体" w:eastAsia="宋体" w:cs="宋体"/>
          <w:b/>
          <w:color w:val="auto"/>
          <w:sz w:val="24"/>
        </w:rPr>
        <w:t>2.15 合同中止、终止</w:t>
      </w:r>
      <w:bookmarkEnd w:id="526"/>
      <w:bookmarkEnd w:id="527"/>
      <w:bookmarkEnd w:id="528"/>
    </w:p>
    <w:p w14:paraId="10F9C14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2.15.1 双方当事人不得擅自中止或者终止合同；</w:t>
      </w:r>
    </w:p>
    <w:p w14:paraId="4C423E4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2.15.2合同继续履行将损害国家利益和社会公共利益的，双方当事人应当中止或者终止合同。有过错的一方应当承担赔偿责任，双方当事人都有过错的，各自承担相应的责任。</w:t>
      </w:r>
    </w:p>
    <w:p w14:paraId="5C59C8E7">
      <w:pPr>
        <w:spacing w:line="560" w:lineRule="exact"/>
        <w:ind w:firstLine="482" w:firstLineChars="200"/>
        <w:outlineLvl w:val="0"/>
        <w:rPr>
          <w:rFonts w:hint="eastAsia" w:ascii="宋体" w:hAnsi="宋体" w:eastAsia="宋体" w:cs="宋体"/>
          <w:b/>
          <w:color w:val="auto"/>
          <w:sz w:val="24"/>
        </w:rPr>
      </w:pPr>
      <w:bookmarkStart w:id="529" w:name="_Toc1125"/>
      <w:bookmarkStart w:id="530" w:name="_Toc14563"/>
      <w:bookmarkStart w:id="531" w:name="_Toc6596"/>
      <w:r>
        <w:rPr>
          <w:rFonts w:hint="eastAsia" w:ascii="宋体" w:hAnsi="宋体" w:eastAsia="宋体" w:cs="宋体"/>
          <w:b/>
          <w:color w:val="auto"/>
          <w:sz w:val="24"/>
        </w:rPr>
        <w:t>2.16检验和验收</w:t>
      </w:r>
      <w:bookmarkEnd w:id="529"/>
      <w:bookmarkEnd w:id="530"/>
      <w:bookmarkEnd w:id="531"/>
    </w:p>
    <w:p w14:paraId="7C70AC8F">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1F611D29">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9D2E572">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501"/>
    <w:bookmarkEnd w:id="502"/>
    <w:bookmarkEnd w:id="503"/>
    <w:bookmarkEnd w:id="504"/>
    <w:p w14:paraId="07B2896E">
      <w:pPr>
        <w:spacing w:line="560" w:lineRule="exact"/>
        <w:ind w:firstLine="482" w:firstLineChars="200"/>
        <w:outlineLvl w:val="0"/>
        <w:rPr>
          <w:rFonts w:hint="eastAsia" w:ascii="宋体" w:hAnsi="宋体" w:eastAsia="宋体" w:cs="宋体"/>
          <w:b/>
          <w:color w:val="auto"/>
          <w:sz w:val="24"/>
        </w:rPr>
      </w:pPr>
      <w:bookmarkStart w:id="532" w:name="_Toc487900371"/>
      <w:bookmarkStart w:id="533" w:name="_Toc279701261"/>
      <w:bookmarkStart w:id="534" w:name="_Toc259093690"/>
      <w:bookmarkStart w:id="535" w:name="_Toc11284"/>
      <w:bookmarkStart w:id="536" w:name="_Toc25182"/>
      <w:bookmarkStart w:id="537" w:name="_Toc19604"/>
      <w:r>
        <w:rPr>
          <w:rFonts w:hint="eastAsia" w:ascii="宋体" w:hAnsi="宋体" w:eastAsia="宋体" w:cs="宋体"/>
          <w:b/>
          <w:color w:val="auto"/>
          <w:sz w:val="24"/>
        </w:rPr>
        <w:t>2.17 通知</w:t>
      </w:r>
      <w:bookmarkEnd w:id="532"/>
      <w:bookmarkEnd w:id="533"/>
      <w:bookmarkEnd w:id="534"/>
      <w:r>
        <w:rPr>
          <w:rFonts w:hint="eastAsia" w:ascii="宋体" w:hAnsi="宋体" w:eastAsia="宋体" w:cs="宋体"/>
          <w:b/>
          <w:color w:val="auto"/>
          <w:sz w:val="24"/>
        </w:rPr>
        <w:t>和送达</w:t>
      </w:r>
      <w:bookmarkEnd w:id="535"/>
      <w:bookmarkEnd w:id="536"/>
      <w:bookmarkEnd w:id="537"/>
    </w:p>
    <w:p w14:paraId="55FC8275">
      <w:pPr>
        <w:spacing w:line="560" w:lineRule="exact"/>
        <w:ind w:firstLine="480" w:firstLineChars="200"/>
        <w:rPr>
          <w:rFonts w:hint="eastAsia" w:ascii="宋体" w:hAnsi="宋体" w:eastAsia="宋体" w:cs="宋体"/>
          <w:color w:val="auto"/>
          <w:sz w:val="24"/>
        </w:rPr>
      </w:pPr>
      <w:bookmarkStart w:id="538" w:name="_Toc6698"/>
      <w:bookmarkStart w:id="539" w:name="_Toc3135"/>
      <w:bookmarkStart w:id="540" w:name="_Toc487900372"/>
      <w:bookmarkStart w:id="541" w:name="_Toc279701262"/>
      <w:bookmarkStart w:id="542" w:name="_Toc259093691"/>
      <w:r>
        <w:rPr>
          <w:rFonts w:hint="eastAsia" w:ascii="宋体" w:hAnsi="宋体" w:eastAsia="宋体" w:cs="宋体"/>
          <w:color w:val="auto"/>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eastAsia="宋体" w:cs="宋体"/>
          <w:color w:val="auto"/>
          <w:sz w:val="24"/>
          <w:u w:val="single"/>
        </w:rPr>
        <w:t>3</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538"/>
      <w:bookmarkEnd w:id="539"/>
    </w:p>
    <w:p w14:paraId="66904372">
      <w:pPr>
        <w:spacing w:line="560" w:lineRule="exact"/>
        <w:ind w:firstLine="480" w:firstLineChars="200"/>
        <w:rPr>
          <w:rFonts w:hint="eastAsia" w:ascii="宋体" w:hAnsi="宋体" w:eastAsia="宋体" w:cs="宋体"/>
          <w:color w:val="auto"/>
          <w:sz w:val="24"/>
        </w:rPr>
      </w:pPr>
      <w:bookmarkStart w:id="543" w:name="_Toc23128"/>
      <w:bookmarkStart w:id="544" w:name="_Toc23294"/>
      <w:r>
        <w:rPr>
          <w:rFonts w:hint="eastAsia" w:ascii="宋体" w:hAnsi="宋体" w:eastAsia="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3"/>
      <w:bookmarkEnd w:id="544"/>
    </w:p>
    <w:p w14:paraId="15122A72">
      <w:pPr>
        <w:spacing w:line="560" w:lineRule="exact"/>
        <w:ind w:firstLine="482" w:firstLineChars="200"/>
        <w:outlineLvl w:val="0"/>
        <w:rPr>
          <w:rFonts w:hint="eastAsia" w:ascii="宋体" w:hAnsi="宋体" w:eastAsia="宋体" w:cs="宋体"/>
          <w:b/>
          <w:color w:val="auto"/>
          <w:sz w:val="24"/>
        </w:rPr>
      </w:pPr>
      <w:bookmarkStart w:id="545" w:name="_Toc4355"/>
      <w:bookmarkStart w:id="546" w:name="_Toc18540"/>
      <w:bookmarkStart w:id="547" w:name="_Toc30599"/>
      <w:r>
        <w:rPr>
          <w:rFonts w:hint="eastAsia" w:ascii="宋体" w:hAnsi="宋体" w:eastAsia="宋体" w:cs="宋体"/>
          <w:b/>
          <w:color w:val="auto"/>
          <w:sz w:val="24"/>
        </w:rPr>
        <w:t>2.18 计量单位</w:t>
      </w:r>
      <w:bookmarkEnd w:id="540"/>
      <w:bookmarkEnd w:id="541"/>
      <w:bookmarkEnd w:id="542"/>
      <w:bookmarkEnd w:id="545"/>
      <w:bookmarkEnd w:id="546"/>
      <w:bookmarkEnd w:id="547"/>
    </w:p>
    <w:p w14:paraId="5F1CE4E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02DFCE7D">
      <w:pPr>
        <w:spacing w:line="560" w:lineRule="exact"/>
        <w:ind w:firstLine="482" w:firstLineChars="200"/>
        <w:outlineLvl w:val="0"/>
        <w:rPr>
          <w:rFonts w:hint="eastAsia" w:ascii="宋体" w:hAnsi="宋体" w:eastAsia="宋体" w:cs="宋体"/>
          <w:b/>
          <w:color w:val="auto"/>
          <w:sz w:val="24"/>
        </w:rPr>
      </w:pPr>
      <w:bookmarkStart w:id="548" w:name="_Toc259093692"/>
      <w:bookmarkStart w:id="549" w:name="_Toc279701263"/>
      <w:bookmarkStart w:id="550" w:name="_Toc487900373"/>
      <w:bookmarkStart w:id="551" w:name="_Toc12773"/>
      <w:bookmarkStart w:id="552" w:name="_Toc10330"/>
      <w:bookmarkStart w:id="553" w:name="_Toc18567"/>
      <w:r>
        <w:rPr>
          <w:rFonts w:hint="eastAsia" w:ascii="宋体" w:hAnsi="宋体" w:eastAsia="宋体" w:cs="宋体"/>
          <w:b/>
          <w:color w:val="auto"/>
          <w:sz w:val="24"/>
        </w:rPr>
        <w:t>2.19 合同使用的文字和适用的法律</w:t>
      </w:r>
      <w:bookmarkEnd w:id="548"/>
      <w:bookmarkEnd w:id="549"/>
      <w:bookmarkEnd w:id="550"/>
      <w:bookmarkEnd w:id="551"/>
      <w:bookmarkEnd w:id="552"/>
      <w:bookmarkEnd w:id="553"/>
    </w:p>
    <w:p w14:paraId="7FA9596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2.19.1 合同使用汉语书就、变更和解释；</w:t>
      </w:r>
    </w:p>
    <w:p w14:paraId="12C5E18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2.19.2 合同适用中华人民共和国法律。</w:t>
      </w:r>
    </w:p>
    <w:p w14:paraId="4748CF37">
      <w:pPr>
        <w:spacing w:line="560" w:lineRule="exact"/>
        <w:ind w:firstLine="482" w:firstLineChars="200"/>
        <w:outlineLvl w:val="0"/>
        <w:rPr>
          <w:rFonts w:hint="eastAsia" w:ascii="宋体" w:hAnsi="宋体" w:eastAsia="宋体" w:cs="宋体"/>
          <w:b/>
          <w:color w:val="auto"/>
          <w:sz w:val="24"/>
        </w:rPr>
      </w:pPr>
      <w:bookmarkStart w:id="554" w:name="_Toc14001"/>
      <w:bookmarkStart w:id="555" w:name="_Toc19890"/>
      <w:bookmarkStart w:id="556" w:name="_Toc6885"/>
      <w:r>
        <w:rPr>
          <w:rFonts w:hint="eastAsia" w:ascii="宋体" w:hAnsi="宋体" w:eastAsia="宋体" w:cs="宋体"/>
          <w:b/>
          <w:color w:val="auto"/>
          <w:sz w:val="24"/>
        </w:rPr>
        <w:t>2.20 合同份数</w:t>
      </w:r>
      <w:bookmarkEnd w:id="554"/>
      <w:bookmarkEnd w:id="555"/>
      <w:bookmarkEnd w:id="556"/>
    </w:p>
    <w:p w14:paraId="3488685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6645A915">
      <w:pPr>
        <w:adjustRightInd/>
        <w:spacing w:line="360" w:lineRule="auto"/>
        <w:ind w:firstLine="2513" w:firstLineChars="1197"/>
        <w:outlineLvl w:val="0"/>
        <w:rPr>
          <w:rFonts w:hint="eastAsia" w:ascii="宋体" w:hAnsi="宋体" w:eastAsia="宋体" w:cs="宋体"/>
          <w:b/>
          <w:color w:val="auto"/>
        </w:rPr>
      </w:pPr>
      <w:r>
        <w:rPr>
          <w:rFonts w:hint="eastAsia" w:ascii="宋体" w:hAnsi="宋体" w:eastAsia="宋体" w:cs="宋体"/>
          <w:color w:val="auto"/>
          <w:kern w:val="0"/>
        </w:rPr>
        <w:br w:type="page"/>
      </w:r>
      <w:r>
        <w:rPr>
          <w:rFonts w:hint="eastAsia" w:ascii="宋体" w:hAnsi="宋体" w:eastAsia="宋体" w:cs="宋体"/>
          <w:b/>
          <w:color w:val="auto"/>
          <w:sz w:val="32"/>
          <w:szCs w:val="20"/>
        </w:rPr>
        <w:t xml:space="preserve"> 第三部分  合同专用条款</w:t>
      </w:r>
    </w:p>
    <w:p w14:paraId="0BCCB5D3">
      <w:pPr>
        <w:spacing w:line="560" w:lineRule="exact"/>
        <w:ind w:left="-420" w:leftChars="-200" w:right="-420" w:rightChars="-200" w:firstLine="480" w:firstLineChars="200"/>
        <w:rPr>
          <w:rFonts w:hint="eastAsia" w:ascii="宋体" w:hAnsi="宋体" w:eastAsia="宋体" w:cs="宋体"/>
          <w:color w:val="auto"/>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6"/>
        <w:gridCol w:w="7557"/>
      </w:tblGrid>
      <w:tr w14:paraId="4E7C2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EA1E18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4534" w:type="pct"/>
            <w:vAlign w:val="center"/>
          </w:tcPr>
          <w:p w14:paraId="3CD3EB63">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0D631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C634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534" w:type="pct"/>
            <w:vAlign w:val="center"/>
          </w:tcPr>
          <w:p w14:paraId="6A8492A1">
            <w:pPr>
              <w:spacing w:line="360" w:lineRule="auto"/>
              <w:rPr>
                <w:rFonts w:hint="eastAsia" w:ascii="宋体" w:hAnsi="宋体" w:eastAsia="宋体" w:cs="宋体"/>
                <w:color w:val="auto"/>
                <w:sz w:val="24"/>
                <w:highlight w:val="none"/>
              </w:rPr>
            </w:pPr>
            <w:r>
              <w:rPr>
                <w:rStyle w:val="356"/>
                <w:rFonts w:hint="eastAsia" w:ascii="宋体" w:hAnsi="宋体" w:eastAsia="宋体" w:cs="宋体"/>
                <w:b w:val="0"/>
                <w:bCs/>
                <w:color w:val="auto"/>
                <w:highlight w:val="none"/>
              </w:rPr>
              <w:t>履约保证金：</w:t>
            </w:r>
            <w:r>
              <w:rPr>
                <w:rFonts w:hint="eastAsia" w:ascii="宋体" w:hAnsi="宋体" w:eastAsia="宋体" w:cs="宋体"/>
                <w:b w:val="0"/>
                <w:bCs w:val="0"/>
                <w:color w:val="auto"/>
                <w:sz w:val="24"/>
                <w:highlight w:val="none"/>
                <w:lang w:val="en-US" w:eastAsia="zh-CN"/>
              </w:rPr>
              <w:t>本项目收取履约保证金合同价的1%。</w:t>
            </w:r>
          </w:p>
        </w:tc>
      </w:tr>
      <w:tr w14:paraId="26F22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E5C3D7">
            <w:pPr>
              <w:spacing w:line="360" w:lineRule="auto"/>
              <w:rPr>
                <w:rFonts w:hint="eastAsia" w:ascii="宋体" w:hAnsi="宋体" w:eastAsia="宋体" w:cs="宋体"/>
                <w:color w:val="auto"/>
                <w:sz w:val="24"/>
              </w:rPr>
            </w:pPr>
            <w:r>
              <w:rPr>
                <w:rFonts w:hint="eastAsia" w:ascii="宋体" w:hAnsi="宋体" w:eastAsia="宋体" w:cs="宋体"/>
                <w:color w:val="auto"/>
                <w:sz w:val="24"/>
              </w:rPr>
              <w:t>1.5.1</w:t>
            </w:r>
          </w:p>
        </w:tc>
        <w:tc>
          <w:tcPr>
            <w:tcW w:w="4534" w:type="pct"/>
            <w:vAlign w:val="center"/>
          </w:tcPr>
          <w:p w14:paraId="7F3D1DEB">
            <w:pPr>
              <w:spacing w:line="360" w:lineRule="auto"/>
              <w:rPr>
                <w:rFonts w:hint="eastAsia" w:ascii="宋体" w:hAnsi="宋体" w:eastAsia="宋体" w:cs="宋体"/>
                <w:color w:val="auto"/>
                <w:sz w:val="24"/>
              </w:rPr>
            </w:pPr>
            <w:r>
              <w:rPr>
                <w:rFonts w:hint="eastAsia" w:ascii="宋体" w:hAnsi="宋体" w:eastAsia="宋体" w:cs="宋体"/>
                <w:color w:val="auto"/>
                <w:sz w:val="24"/>
              </w:rPr>
              <w:t>在</w:t>
            </w:r>
            <w:r>
              <w:rPr>
                <w:rFonts w:hint="eastAsia" w:ascii="宋体" w:hAnsi="宋体" w:cs="宋体"/>
                <w:color w:val="auto"/>
                <w:kern w:val="0"/>
                <w:sz w:val="24"/>
              </w:rPr>
              <w:t>采购合同签订生效并具备实施条件后7个工作日内，</w:t>
            </w:r>
            <w:r>
              <w:rPr>
                <w:rFonts w:hint="eastAsia" w:ascii="宋体" w:hAnsi="宋体" w:cs="宋体"/>
                <w:color w:val="auto"/>
                <w:kern w:val="0"/>
                <w:sz w:val="24"/>
                <w:lang w:val="en-US" w:eastAsia="zh-CN"/>
              </w:rPr>
              <w:t>甲方</w:t>
            </w:r>
            <w:r>
              <w:rPr>
                <w:rFonts w:hint="eastAsia" w:ascii="宋体" w:hAnsi="宋体" w:cs="宋体"/>
                <w:color w:val="auto"/>
                <w:kern w:val="0"/>
                <w:sz w:val="24"/>
              </w:rPr>
              <w:t>向</w:t>
            </w:r>
            <w:r>
              <w:rPr>
                <w:rFonts w:hint="eastAsia" w:ascii="宋体" w:hAnsi="宋体" w:cs="宋体"/>
                <w:color w:val="auto"/>
                <w:kern w:val="0"/>
                <w:sz w:val="24"/>
                <w:lang w:val="en-US" w:eastAsia="zh-CN"/>
              </w:rPr>
              <w:t>乙方</w:t>
            </w:r>
            <w:r>
              <w:rPr>
                <w:rFonts w:hint="eastAsia" w:ascii="宋体" w:hAnsi="宋体" w:cs="宋体"/>
                <w:color w:val="auto"/>
                <w:kern w:val="0"/>
                <w:sz w:val="24"/>
              </w:rPr>
              <w:t>支付合同总价的50%预付款</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乙方</w:t>
            </w:r>
            <w:r>
              <w:rPr>
                <w:rFonts w:hint="eastAsia" w:ascii="宋体" w:hAnsi="宋体" w:cs="宋体"/>
                <w:color w:val="auto"/>
                <w:kern w:val="0"/>
                <w:sz w:val="24"/>
                <w:lang w:val="zh-CN"/>
              </w:rPr>
              <w:t>需提供相应金额的预付款保函至</w:t>
            </w:r>
            <w:r>
              <w:rPr>
                <w:rFonts w:hint="eastAsia" w:ascii="宋体" w:hAnsi="宋体" w:cs="宋体"/>
                <w:color w:val="auto"/>
                <w:kern w:val="0"/>
                <w:sz w:val="24"/>
                <w:lang w:val="en-US" w:eastAsia="zh-CN"/>
              </w:rPr>
              <w:t>甲方</w:t>
            </w:r>
            <w:r>
              <w:rPr>
                <w:rFonts w:hint="eastAsia" w:ascii="宋体" w:hAnsi="宋体" w:cs="宋体"/>
                <w:color w:val="auto"/>
                <w:kern w:val="0"/>
                <w:sz w:val="24"/>
              </w:rPr>
              <w:t>）</w:t>
            </w:r>
          </w:p>
        </w:tc>
      </w:tr>
      <w:tr w14:paraId="72808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9C44D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1.5.2 </w:t>
            </w:r>
          </w:p>
        </w:tc>
        <w:tc>
          <w:tcPr>
            <w:tcW w:w="8277" w:type="dxa"/>
            <w:vAlign w:val="center"/>
          </w:tcPr>
          <w:p w14:paraId="01D57F9B">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预付款的扣回方式</w:t>
            </w:r>
            <w:r>
              <w:rPr>
                <w:rFonts w:hint="eastAsia" w:ascii="宋体" w:hAnsi="宋体" w:eastAsia="宋体" w:cs="宋体"/>
                <w:color w:val="auto"/>
                <w:kern w:val="0"/>
                <w:sz w:val="24"/>
                <w:lang w:eastAsia="zh-CN"/>
              </w:rPr>
              <w:t>：抵扣项目款</w:t>
            </w:r>
            <w:r>
              <w:rPr>
                <w:rFonts w:hint="eastAsia" w:ascii="宋体" w:hAnsi="宋体" w:eastAsia="宋体" w:cs="宋体"/>
                <w:color w:val="auto"/>
                <w:kern w:val="0"/>
                <w:sz w:val="24"/>
              </w:rPr>
              <w:t xml:space="preserve">   </w:t>
            </w:r>
          </w:p>
        </w:tc>
      </w:tr>
      <w:tr w14:paraId="231E3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7B3EEFF">
            <w:pPr>
              <w:spacing w:line="360" w:lineRule="auto"/>
              <w:rPr>
                <w:rFonts w:hint="eastAsia" w:ascii="宋体" w:hAnsi="宋体" w:eastAsia="宋体" w:cs="宋体"/>
                <w:color w:val="auto"/>
                <w:sz w:val="24"/>
              </w:rPr>
            </w:pPr>
            <w:r>
              <w:rPr>
                <w:rFonts w:hint="eastAsia" w:ascii="宋体" w:hAnsi="宋体" w:eastAsia="宋体" w:cs="宋体"/>
                <w:color w:val="auto"/>
                <w:sz w:val="24"/>
              </w:rPr>
              <w:t>1.5.3</w:t>
            </w:r>
          </w:p>
        </w:tc>
        <w:tc>
          <w:tcPr>
            <w:tcW w:w="8277" w:type="dxa"/>
            <w:vAlign w:val="center"/>
          </w:tcPr>
          <w:p w14:paraId="34C12941">
            <w:pPr>
              <w:pStyle w:val="32"/>
              <w:pageBreakBefore w:val="0"/>
              <w:kinsoku/>
              <w:wordWrap/>
              <w:overflowPunct/>
              <w:topLinePunct w:val="0"/>
              <w:autoSpaceDE/>
              <w:autoSpaceDN/>
              <w:bidi w:val="0"/>
              <w:spacing w:line="440" w:lineRule="exact"/>
              <w:rPr>
                <w:rFonts w:hint="eastAsia" w:ascii="宋体" w:hAnsi="宋体" w:eastAsia="宋体" w:cs="宋体"/>
                <w:snapToGrid/>
                <w:color w:val="auto"/>
                <w:kern w:val="0"/>
                <w:sz w:val="24"/>
                <w:szCs w:val="24"/>
                <w:lang w:val="en-US" w:eastAsia="zh-CN" w:bidi="ar-SA"/>
              </w:rPr>
            </w:pPr>
            <w:r>
              <w:rPr>
                <w:rFonts w:hint="eastAsia" w:ascii="宋体" w:hAnsi="宋体" w:eastAsia="宋体" w:cs="宋体"/>
                <w:snapToGrid/>
                <w:color w:val="auto"/>
                <w:kern w:val="0"/>
                <w:sz w:val="24"/>
                <w:szCs w:val="24"/>
                <w:lang w:val="en-US" w:eastAsia="zh-CN" w:bidi="ar-SA"/>
              </w:rPr>
              <w:t xml:space="preserve">预付款的担保措施：供应商需提供相应金额的预付款保函至采购单位 </w:t>
            </w:r>
          </w:p>
        </w:tc>
      </w:tr>
      <w:tr w14:paraId="22DCF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CFFC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534" w:type="pct"/>
            <w:vAlign w:val="center"/>
          </w:tcPr>
          <w:p w14:paraId="790161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甲方根据合同、投标文件等资料进行验收。</w:t>
            </w:r>
          </w:p>
          <w:p w14:paraId="5DE9539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以及具备实施条件后7个工作日内，采购单位向中标单位支付合同价的50%预付款（供应商需提供相应金额的预付款保函至采购单位）；安装调试完毕试运行1个月，最终竣工验收合格通过后支付合同价的50%项目款。结算时供应商将结款申请1份、发票原件及复印件1份、合同复印件1份和经采购人验收确认的《建德市政府采购验收反馈表》提交采购人，采购人应自收到发票后5个工作日内支付相应款项。</w:t>
            </w:r>
          </w:p>
        </w:tc>
      </w:tr>
      <w:tr w14:paraId="7719D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CBA1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34" w:type="pct"/>
            <w:vAlign w:val="center"/>
          </w:tcPr>
          <w:p w14:paraId="44DA79AD">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交货时间：</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在政府采购合同签订生效之日后，</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下达设备进场安装通知后</w:t>
            </w:r>
            <w:r>
              <w:rPr>
                <w:rFonts w:hint="eastAsia" w:ascii="宋体" w:hAnsi="宋体" w:cs="宋体"/>
                <w:color w:val="auto"/>
                <w:sz w:val="24"/>
                <w:highlight w:val="none"/>
                <w:lang w:val="en-US" w:eastAsia="zh-CN"/>
              </w:rPr>
              <w:t>80</w:t>
            </w:r>
            <w:r>
              <w:rPr>
                <w:rFonts w:hint="eastAsia" w:ascii="宋体" w:hAnsi="宋体" w:eastAsia="宋体" w:cs="宋体"/>
                <w:color w:val="auto"/>
                <w:sz w:val="24"/>
                <w:highlight w:val="none"/>
              </w:rPr>
              <w:t>日历天内送达并安装调试完成。如在规定的时间内由于</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的原因不能完成交货的，</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应承担由此给</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 xml:space="preserve">造成的损失。  </w:t>
            </w:r>
          </w:p>
        </w:tc>
      </w:tr>
      <w:tr w14:paraId="4B759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436010">
            <w:pPr>
              <w:spacing w:line="360" w:lineRule="auto"/>
              <w:jc w:val="left"/>
              <w:rPr>
                <w:rFonts w:hint="eastAsia" w:ascii="宋体" w:hAnsi="宋体" w:cs="宋体"/>
                <w:color w:val="auto"/>
                <w:kern w:val="0"/>
                <w:sz w:val="24"/>
              </w:rPr>
            </w:pPr>
            <w:r>
              <w:rPr>
                <w:rFonts w:hint="eastAsia" w:ascii="宋体" w:hAnsi="宋体" w:cs="宋体"/>
                <w:color w:val="auto"/>
                <w:kern w:val="0"/>
                <w:sz w:val="24"/>
              </w:rPr>
              <w:t>1.7.2</w:t>
            </w:r>
          </w:p>
        </w:tc>
        <w:tc>
          <w:tcPr>
            <w:tcW w:w="4534" w:type="pct"/>
            <w:vAlign w:val="center"/>
          </w:tcPr>
          <w:p w14:paraId="417166B6">
            <w:pPr>
              <w:spacing w:line="240" w:lineRule="auto"/>
              <w:jc w:val="left"/>
              <w:rPr>
                <w:rFonts w:hint="eastAsia" w:ascii="宋体" w:hAnsi="宋体" w:cs="宋体"/>
                <w:color w:val="auto"/>
                <w:kern w:val="0"/>
                <w:sz w:val="24"/>
              </w:rPr>
            </w:pPr>
            <w:r>
              <w:rPr>
                <w:rFonts w:hint="eastAsia" w:ascii="宋体" w:hAnsi="宋体" w:cs="宋体"/>
                <w:color w:val="auto"/>
                <w:kern w:val="0"/>
                <w:sz w:val="24"/>
              </w:rPr>
              <w:t>交货地点：</w:t>
            </w:r>
            <w:r>
              <w:rPr>
                <w:rFonts w:hint="eastAsia" w:ascii="宋体" w:hAnsi="宋体" w:cs="宋体"/>
                <w:color w:val="auto"/>
                <w:kern w:val="0"/>
                <w:sz w:val="24"/>
                <w:lang w:eastAsia="zh-CN"/>
              </w:rPr>
              <w:t>建德市大同镇人民政府</w:t>
            </w:r>
            <w:r>
              <w:rPr>
                <w:rFonts w:hint="eastAsia" w:ascii="宋体" w:hAnsi="宋体" w:cs="宋体"/>
                <w:color w:val="auto"/>
                <w:kern w:val="0"/>
                <w:sz w:val="24"/>
                <w:lang w:val="en-US" w:eastAsia="zh-CN"/>
              </w:rPr>
              <w:t>。</w:t>
            </w:r>
          </w:p>
        </w:tc>
      </w:tr>
      <w:tr w14:paraId="5EF4F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35AF1E">
            <w:pPr>
              <w:spacing w:line="360" w:lineRule="auto"/>
              <w:rPr>
                <w:rFonts w:hint="eastAsia" w:ascii="宋体" w:hAnsi="宋体" w:eastAsia="宋体" w:cs="宋体"/>
                <w:color w:val="auto"/>
                <w:sz w:val="24"/>
              </w:rPr>
            </w:pPr>
            <w:r>
              <w:rPr>
                <w:rFonts w:hint="eastAsia" w:ascii="宋体" w:hAnsi="宋体" w:eastAsia="宋体" w:cs="宋体"/>
                <w:color w:val="auto"/>
                <w:sz w:val="24"/>
              </w:rPr>
              <w:t>1.7.3</w:t>
            </w:r>
          </w:p>
        </w:tc>
        <w:tc>
          <w:tcPr>
            <w:tcW w:w="4534" w:type="pct"/>
            <w:vAlign w:val="center"/>
          </w:tcPr>
          <w:p w14:paraId="37E6D96C">
            <w:pPr>
              <w:pStyle w:val="23"/>
              <w:rPr>
                <w:rFonts w:hint="eastAsia" w:ascii="宋体" w:hAnsi="宋体" w:eastAsia="宋体" w:cs="宋体"/>
                <w:color w:val="auto"/>
                <w:sz w:val="24"/>
              </w:rPr>
            </w:pPr>
            <w:r>
              <w:rPr>
                <w:rFonts w:hint="eastAsia" w:hAnsi="宋体" w:cs="宋体"/>
                <w:color w:val="auto"/>
                <w:sz w:val="24"/>
                <w:lang w:val="en-US" w:eastAsia="zh-CN"/>
              </w:rPr>
              <w:t>乙</w:t>
            </w:r>
            <w:r>
              <w:rPr>
                <w:rFonts w:hint="eastAsia" w:ascii="宋体" w:hAnsi="宋体" w:eastAsia="宋体" w:cs="宋体"/>
                <w:color w:val="auto"/>
                <w:sz w:val="24"/>
              </w:rPr>
              <w:t>方提供中标货物的安装、培训和技术指导。</w:t>
            </w:r>
          </w:p>
        </w:tc>
      </w:tr>
      <w:tr w14:paraId="5F47C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B22722E">
            <w:pPr>
              <w:spacing w:line="360" w:lineRule="auto"/>
              <w:rPr>
                <w:rFonts w:hint="eastAsia" w:ascii="宋体" w:hAnsi="宋体" w:eastAsia="宋体" w:cs="宋体"/>
                <w:color w:val="auto"/>
                <w:sz w:val="24"/>
              </w:rPr>
            </w:pPr>
            <w:r>
              <w:rPr>
                <w:rFonts w:hint="eastAsia" w:ascii="宋体" w:hAnsi="宋体" w:eastAsia="宋体" w:cs="宋体"/>
                <w:color w:val="auto"/>
                <w:sz w:val="24"/>
              </w:rPr>
              <w:t>1.8.6</w:t>
            </w:r>
          </w:p>
        </w:tc>
        <w:tc>
          <w:tcPr>
            <w:tcW w:w="4534" w:type="pct"/>
            <w:vAlign w:val="center"/>
          </w:tcPr>
          <w:p w14:paraId="395558BA">
            <w:pPr>
              <w:spacing w:line="360" w:lineRule="auto"/>
              <w:ind w:firstLine="240" w:firstLineChars="100"/>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019C4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9659DA">
            <w:pPr>
              <w:spacing w:line="360" w:lineRule="auto"/>
              <w:rPr>
                <w:rFonts w:hint="eastAsia" w:ascii="宋体" w:hAnsi="宋体" w:eastAsia="宋体" w:cs="宋体"/>
                <w:color w:val="auto"/>
                <w:sz w:val="24"/>
              </w:rPr>
            </w:pPr>
            <w:r>
              <w:rPr>
                <w:rFonts w:hint="eastAsia" w:ascii="宋体" w:hAnsi="宋体" w:eastAsia="宋体" w:cs="宋体"/>
                <w:color w:val="auto"/>
                <w:sz w:val="24"/>
              </w:rPr>
              <w:t>1.9</w:t>
            </w:r>
          </w:p>
        </w:tc>
        <w:tc>
          <w:tcPr>
            <w:tcW w:w="4534" w:type="pct"/>
            <w:vAlign w:val="center"/>
          </w:tcPr>
          <w:p w14:paraId="059D133C">
            <w:pPr>
              <w:spacing w:line="360" w:lineRule="auto"/>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本合同履行过程中发生的任何争议，双方当事人均可通过和解或者调解解决；不愿和解、调解或者和解、调解不成的，可以选择以下第</w:t>
            </w:r>
            <w:r>
              <w:rPr>
                <w:rFonts w:hint="eastAsia" w:ascii="宋体" w:hAnsi="宋体" w:cs="宋体"/>
                <w:color w:val="auto"/>
                <w:sz w:val="24"/>
                <w:u w:val="single"/>
                <w:lang w:val="en-US" w:eastAsia="zh-CN"/>
              </w:rPr>
              <w:t xml:space="preserve"> 1.9.2 </w:t>
            </w:r>
            <w:r>
              <w:rPr>
                <w:rFonts w:hint="eastAsia" w:ascii="宋体" w:hAnsi="宋体" w:eastAsia="宋体" w:cs="宋体"/>
                <w:color w:val="auto"/>
                <w:sz w:val="24"/>
              </w:rPr>
              <w:t>条款规定的方式解决：</w:t>
            </w:r>
          </w:p>
        </w:tc>
      </w:tr>
      <w:tr w14:paraId="16AC6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207B7E">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1.9.1</w:t>
            </w:r>
          </w:p>
        </w:tc>
        <w:tc>
          <w:tcPr>
            <w:tcW w:w="4534" w:type="pct"/>
            <w:vAlign w:val="center"/>
          </w:tcPr>
          <w:p w14:paraId="6CEA9A05">
            <w:pPr>
              <w:spacing w:line="360" w:lineRule="auto"/>
              <w:rPr>
                <w:rFonts w:hint="eastAsia" w:ascii="宋体" w:hAnsi="宋体" w:eastAsia="宋体" w:cs="宋体"/>
                <w:color w:val="auto"/>
                <w:sz w:val="24"/>
              </w:rPr>
            </w:pPr>
          </w:p>
        </w:tc>
      </w:tr>
      <w:tr w14:paraId="168AC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89C5F5">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1.9.2</w:t>
            </w:r>
          </w:p>
        </w:tc>
        <w:tc>
          <w:tcPr>
            <w:tcW w:w="4534" w:type="pct"/>
            <w:vAlign w:val="center"/>
          </w:tcPr>
          <w:p w14:paraId="44669AEC">
            <w:pPr>
              <w:spacing w:line="360" w:lineRule="auto"/>
              <w:rPr>
                <w:rFonts w:hint="eastAsia" w:ascii="宋体" w:hAnsi="宋体" w:eastAsia="宋体" w:cs="宋体"/>
                <w:color w:val="auto"/>
                <w:sz w:val="24"/>
              </w:rPr>
            </w:pPr>
            <w:r>
              <w:rPr>
                <w:rFonts w:hint="eastAsia" w:ascii="宋体" w:hAnsi="宋体" w:eastAsia="宋体" w:cs="宋体"/>
                <w:color w:val="auto"/>
                <w:sz w:val="24"/>
              </w:rPr>
              <w:t>向</w:t>
            </w:r>
            <w:r>
              <w:rPr>
                <w:rFonts w:hint="eastAsia" w:ascii="宋体" w:hAnsi="宋体" w:eastAsia="宋体" w:cs="宋体"/>
                <w:color w:val="auto"/>
                <w:sz w:val="24"/>
                <w:u w:val="single"/>
              </w:rPr>
              <w:t>建德市人民法院</w:t>
            </w:r>
            <w:r>
              <w:rPr>
                <w:rFonts w:hint="eastAsia" w:ascii="宋体" w:hAnsi="宋体" w:eastAsia="宋体" w:cs="宋体"/>
                <w:color w:val="auto"/>
                <w:sz w:val="24"/>
              </w:rPr>
              <w:t>起诉</w:t>
            </w:r>
          </w:p>
        </w:tc>
      </w:tr>
      <w:tr w14:paraId="11FEA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368E48">
            <w:pPr>
              <w:spacing w:line="360" w:lineRule="auto"/>
              <w:rPr>
                <w:rFonts w:hint="eastAsia" w:ascii="宋体" w:hAnsi="宋体" w:eastAsia="宋体" w:cs="宋体"/>
                <w:color w:val="auto"/>
                <w:sz w:val="24"/>
              </w:rPr>
            </w:pPr>
            <w:r>
              <w:rPr>
                <w:rFonts w:hint="eastAsia" w:ascii="宋体" w:hAnsi="宋体" w:eastAsia="宋体" w:cs="宋体"/>
                <w:color w:val="auto"/>
                <w:sz w:val="24"/>
              </w:rPr>
              <w:t>2.3.2</w:t>
            </w:r>
          </w:p>
        </w:tc>
        <w:tc>
          <w:tcPr>
            <w:tcW w:w="4534" w:type="pct"/>
            <w:vAlign w:val="center"/>
          </w:tcPr>
          <w:p w14:paraId="1C4F0B4A">
            <w:pPr>
              <w:spacing w:line="360" w:lineRule="auto"/>
              <w:ind w:left="-420" w:leftChars="-200" w:right="-420" w:rightChars="-200" w:firstLine="480" w:firstLineChars="200"/>
              <w:rPr>
                <w:rFonts w:hint="eastAsia" w:ascii="宋体" w:hAnsi="宋体" w:eastAsia="宋体" w:cs="宋体"/>
                <w:color w:val="auto"/>
                <w:sz w:val="24"/>
              </w:rPr>
            </w:pPr>
            <w:r>
              <w:rPr>
                <w:rFonts w:hint="eastAsia" w:ascii="宋体" w:hAnsi="宋体" w:eastAsia="宋体" w:cs="宋体"/>
                <w:color w:val="auto"/>
                <w:sz w:val="24"/>
              </w:rPr>
              <w:t>具有知识产权的计算机软件等货物的知识产权归属</w:t>
            </w:r>
            <w:r>
              <w:rPr>
                <w:rFonts w:hint="eastAsia" w:ascii="宋体" w:hAnsi="宋体" w:eastAsia="宋体" w:cs="宋体"/>
                <w:color w:val="auto"/>
                <w:sz w:val="24"/>
                <w:lang w:eastAsia="zh-CN"/>
              </w:rPr>
              <w:t>：</w:t>
            </w:r>
            <w:r>
              <w:rPr>
                <w:rFonts w:hint="eastAsia" w:ascii="宋体" w:hAnsi="宋体" w:eastAsia="宋体" w:cs="宋体"/>
                <w:color w:val="auto"/>
                <w:sz w:val="24"/>
              </w:rPr>
              <w:t>属于甲方</w:t>
            </w:r>
          </w:p>
        </w:tc>
      </w:tr>
      <w:tr w14:paraId="73F9F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8F5EBE">
            <w:pPr>
              <w:spacing w:line="360" w:lineRule="auto"/>
              <w:rPr>
                <w:rFonts w:hint="eastAsia" w:ascii="宋体" w:hAnsi="宋体" w:eastAsia="宋体" w:cs="宋体"/>
                <w:color w:val="auto"/>
                <w:sz w:val="24"/>
              </w:rPr>
            </w:pPr>
            <w:r>
              <w:rPr>
                <w:rFonts w:hint="eastAsia" w:ascii="宋体" w:hAnsi="宋体" w:eastAsia="宋体" w:cs="宋体"/>
                <w:color w:val="auto"/>
                <w:sz w:val="24"/>
              </w:rPr>
              <w:t>2.4.1</w:t>
            </w:r>
          </w:p>
        </w:tc>
        <w:tc>
          <w:tcPr>
            <w:tcW w:w="4534" w:type="pct"/>
            <w:vAlign w:val="center"/>
          </w:tcPr>
          <w:p w14:paraId="709F41A7">
            <w:pPr>
              <w:spacing w:line="360" w:lineRule="auto"/>
              <w:ind w:left="-420" w:leftChars="-200" w:right="-420" w:rightChars="-200" w:firstLine="480" w:firstLineChars="200"/>
              <w:rPr>
                <w:rFonts w:hint="eastAsia" w:ascii="宋体" w:hAnsi="宋体" w:eastAsia="宋体" w:cs="宋体"/>
                <w:color w:val="auto"/>
                <w:sz w:val="24"/>
              </w:rPr>
            </w:pPr>
            <w:r>
              <w:rPr>
                <w:rFonts w:hint="eastAsia" w:ascii="宋体" w:hAnsi="宋体" w:eastAsia="宋体" w:cs="宋体"/>
                <w:color w:val="auto"/>
                <w:sz w:val="24"/>
              </w:rPr>
              <w:t>/</w:t>
            </w:r>
          </w:p>
        </w:tc>
      </w:tr>
      <w:tr w14:paraId="1D66F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2E0D016">
            <w:pPr>
              <w:spacing w:line="360" w:lineRule="auto"/>
              <w:rPr>
                <w:rFonts w:hint="eastAsia" w:ascii="宋体" w:hAnsi="宋体" w:eastAsia="宋体" w:cs="宋体"/>
                <w:color w:val="auto"/>
                <w:sz w:val="24"/>
              </w:rPr>
            </w:pPr>
            <w:r>
              <w:rPr>
                <w:rFonts w:hint="eastAsia" w:ascii="宋体" w:hAnsi="宋体" w:eastAsia="宋体" w:cs="宋体"/>
                <w:color w:val="auto"/>
                <w:sz w:val="24"/>
              </w:rPr>
              <w:t>2.4.3</w:t>
            </w:r>
          </w:p>
        </w:tc>
        <w:tc>
          <w:tcPr>
            <w:tcW w:w="4534" w:type="pct"/>
            <w:vAlign w:val="center"/>
          </w:tcPr>
          <w:p w14:paraId="6842CD12">
            <w:pPr>
              <w:spacing w:line="360" w:lineRule="auto"/>
              <w:rPr>
                <w:rFonts w:hint="eastAsia" w:ascii="宋体" w:hAnsi="宋体" w:eastAsia="宋体" w:cs="宋体"/>
                <w:color w:val="auto"/>
                <w:sz w:val="24"/>
              </w:rPr>
            </w:pPr>
            <w:r>
              <w:rPr>
                <w:rFonts w:hint="eastAsia" w:ascii="宋体" w:hAnsi="宋体"/>
                <w:sz w:val="24"/>
              </w:rPr>
              <w:t>装运货物的要求和通知：</w:t>
            </w:r>
            <w:r>
              <w:rPr>
                <w:rFonts w:hint="eastAsia" w:ascii="宋体" w:hAnsi="宋体" w:eastAsia="宋体" w:cs="宋体"/>
                <w:color w:val="auto"/>
                <w:sz w:val="24"/>
              </w:rPr>
              <w:t>按乙方投标方案中进度要求。</w:t>
            </w:r>
          </w:p>
        </w:tc>
      </w:tr>
      <w:tr w14:paraId="37BD2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77AA9F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2.8 </w:t>
            </w:r>
          </w:p>
        </w:tc>
        <w:tc>
          <w:tcPr>
            <w:tcW w:w="4534" w:type="pct"/>
          </w:tcPr>
          <w:p w14:paraId="7D3E6FB1">
            <w:pPr>
              <w:spacing w:line="360" w:lineRule="auto"/>
              <w:rPr>
                <w:rFonts w:hint="eastAsia" w:ascii="宋体" w:hAnsi="宋体" w:eastAsia="宋体" w:cs="宋体"/>
                <w:color w:val="auto"/>
                <w:sz w:val="24"/>
              </w:rPr>
            </w:pPr>
            <w:r>
              <w:rPr>
                <w:rFonts w:hint="eastAsia" w:ascii="宋体" w:hAnsi="宋体"/>
                <w:bCs/>
                <w:sz w:val="24"/>
              </w:rPr>
              <w:t>货物或者在途货物或者交付给第一承运人后的货物毁损、灭失的风险负担</w:t>
            </w:r>
            <w:r>
              <w:rPr>
                <w:rFonts w:hint="eastAsia" w:ascii="宋体" w:hAnsi="宋体"/>
                <w:b/>
                <w:sz w:val="24"/>
              </w:rPr>
              <w:t>都</w:t>
            </w:r>
            <w:r>
              <w:rPr>
                <w:rFonts w:hint="eastAsia" w:ascii="宋体" w:hAnsi="宋体"/>
                <w:b/>
                <w:sz w:val="24"/>
                <w:lang w:val="en-US" w:eastAsia="zh-CN"/>
              </w:rPr>
              <w:t>由</w:t>
            </w:r>
            <w:r>
              <w:rPr>
                <w:rFonts w:hint="eastAsia" w:ascii="宋体" w:hAnsi="宋体"/>
                <w:b/>
                <w:sz w:val="24"/>
              </w:rPr>
              <w:t>乙方自行负责。</w:t>
            </w:r>
          </w:p>
        </w:tc>
      </w:tr>
      <w:tr w14:paraId="6163C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58B799">
            <w:pPr>
              <w:spacing w:line="360" w:lineRule="auto"/>
              <w:rPr>
                <w:rFonts w:hint="eastAsia" w:ascii="宋体" w:hAnsi="宋体" w:eastAsia="宋体" w:cs="宋体"/>
                <w:color w:val="auto"/>
                <w:sz w:val="24"/>
              </w:rPr>
            </w:pPr>
            <w:r>
              <w:rPr>
                <w:rFonts w:hint="eastAsia" w:ascii="宋体" w:hAnsi="宋体" w:eastAsia="宋体" w:cs="宋体"/>
                <w:color w:val="auto"/>
                <w:sz w:val="24"/>
              </w:rPr>
              <w:t>2.12.3</w:t>
            </w:r>
          </w:p>
        </w:tc>
        <w:tc>
          <w:tcPr>
            <w:tcW w:w="4534" w:type="pct"/>
            <w:vAlign w:val="center"/>
          </w:tcPr>
          <w:p w14:paraId="1959F24B">
            <w:pPr>
              <w:spacing w:line="360" w:lineRule="auto"/>
              <w:rPr>
                <w:rFonts w:hint="eastAsia" w:ascii="宋体" w:hAnsi="宋体" w:eastAsia="宋体" w:cs="宋体"/>
                <w:color w:val="auto"/>
                <w:sz w:val="24"/>
              </w:rPr>
            </w:pPr>
            <w:r>
              <w:rPr>
                <w:rFonts w:hint="eastAsia" w:ascii="宋体" w:hAnsi="宋体" w:cs="宋体"/>
                <w:sz w:val="24"/>
              </w:rPr>
              <w:t>因不可抗力致使合同有变更必要的，双方当事人应在</w:t>
            </w:r>
            <w:r>
              <w:rPr>
                <w:rFonts w:hint="eastAsia" w:ascii="宋体" w:hAnsi="宋体" w:cs="宋体"/>
                <w:b/>
                <w:i/>
                <w:sz w:val="24"/>
                <w:u w:val="single"/>
              </w:rPr>
              <w:t>30日</w:t>
            </w:r>
            <w:r>
              <w:rPr>
                <w:rFonts w:hint="eastAsia" w:ascii="宋体" w:hAnsi="宋体" w:cs="宋体"/>
                <w:sz w:val="24"/>
              </w:rPr>
              <w:t>内以书面形式变更合同</w:t>
            </w:r>
          </w:p>
        </w:tc>
      </w:tr>
      <w:tr w14:paraId="20B66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F773F8">
            <w:pPr>
              <w:spacing w:line="360" w:lineRule="auto"/>
              <w:rPr>
                <w:rFonts w:hint="eastAsia" w:ascii="宋体" w:hAnsi="宋体" w:eastAsia="宋体" w:cs="宋体"/>
                <w:color w:val="auto"/>
                <w:sz w:val="24"/>
              </w:rPr>
            </w:pPr>
            <w:r>
              <w:rPr>
                <w:rFonts w:hint="eastAsia" w:ascii="宋体" w:hAnsi="宋体" w:eastAsia="宋体" w:cs="宋体"/>
                <w:color w:val="auto"/>
                <w:sz w:val="24"/>
              </w:rPr>
              <w:t>2.12.4</w:t>
            </w:r>
          </w:p>
        </w:tc>
        <w:tc>
          <w:tcPr>
            <w:tcW w:w="4534" w:type="pct"/>
            <w:vAlign w:val="center"/>
          </w:tcPr>
          <w:p w14:paraId="30AC0A46">
            <w:pPr>
              <w:spacing w:line="360" w:lineRule="auto"/>
              <w:rPr>
                <w:rFonts w:hint="eastAsia" w:ascii="宋体" w:hAnsi="宋体" w:eastAsia="宋体" w:cs="宋体"/>
                <w:color w:val="auto"/>
                <w:sz w:val="24"/>
              </w:rPr>
            </w:pPr>
            <w:r>
              <w:rPr>
                <w:rFonts w:hint="eastAsia" w:ascii="宋体" w:hAnsi="宋体" w:cs="宋体"/>
                <w:sz w:val="24"/>
              </w:rPr>
              <w:t>受不可抗力影响的一方在不可抗力发生后，应在</w:t>
            </w:r>
            <w:r>
              <w:rPr>
                <w:rFonts w:hint="eastAsia" w:ascii="宋体" w:hAnsi="宋体" w:cs="宋体"/>
                <w:b/>
                <w:i/>
                <w:sz w:val="24"/>
                <w:u w:val="single"/>
              </w:rPr>
              <w:t>7日</w:t>
            </w:r>
            <w:r>
              <w:rPr>
                <w:rFonts w:hint="eastAsia" w:ascii="宋体" w:hAnsi="宋体" w:cs="宋体"/>
                <w:sz w:val="24"/>
              </w:rPr>
              <w:t>内以书面形式通知对方当事人，并在</w:t>
            </w:r>
            <w:r>
              <w:rPr>
                <w:rFonts w:hint="eastAsia" w:ascii="宋体" w:hAnsi="宋体" w:cs="宋体"/>
                <w:b/>
                <w:i/>
                <w:sz w:val="24"/>
                <w:u w:val="single"/>
              </w:rPr>
              <w:t>14日</w:t>
            </w:r>
            <w:r>
              <w:rPr>
                <w:rFonts w:hint="eastAsia" w:ascii="宋体" w:hAnsi="宋体" w:cs="宋体"/>
                <w:sz w:val="24"/>
              </w:rPr>
              <w:t>内，将有关部门出具的证明文件送达对方当事人。</w:t>
            </w:r>
          </w:p>
        </w:tc>
      </w:tr>
      <w:tr w14:paraId="6C8E2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A7D8B3">
            <w:pPr>
              <w:spacing w:line="360" w:lineRule="auto"/>
              <w:rPr>
                <w:rFonts w:hint="eastAsia" w:ascii="宋体" w:hAnsi="宋体" w:eastAsia="宋体" w:cs="宋体"/>
                <w:color w:val="auto"/>
                <w:sz w:val="24"/>
              </w:rPr>
            </w:pPr>
            <w:r>
              <w:rPr>
                <w:rFonts w:hint="eastAsia" w:ascii="宋体" w:hAnsi="宋体" w:eastAsia="宋体" w:cs="宋体"/>
                <w:color w:val="auto"/>
                <w:sz w:val="24"/>
              </w:rPr>
              <w:t>2.16.1</w:t>
            </w:r>
          </w:p>
        </w:tc>
        <w:tc>
          <w:tcPr>
            <w:tcW w:w="4534" w:type="pct"/>
            <w:vAlign w:val="center"/>
          </w:tcPr>
          <w:p w14:paraId="302C3A7E">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安装调试完毕试运行1个月后的5个工作日内进行项目验收</w:t>
            </w:r>
          </w:p>
        </w:tc>
      </w:tr>
      <w:tr w14:paraId="6480F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2583765">
            <w:pPr>
              <w:spacing w:line="360" w:lineRule="auto"/>
              <w:rPr>
                <w:rFonts w:hint="eastAsia" w:ascii="宋体" w:hAnsi="宋体" w:eastAsia="宋体" w:cs="宋体"/>
                <w:color w:val="auto"/>
                <w:sz w:val="24"/>
              </w:rPr>
            </w:pPr>
            <w:r>
              <w:rPr>
                <w:rFonts w:hint="eastAsia" w:ascii="宋体" w:hAnsi="宋体" w:eastAsia="宋体" w:cs="宋体"/>
                <w:color w:val="auto"/>
                <w:sz w:val="24"/>
              </w:rPr>
              <w:t>2.16.3</w:t>
            </w:r>
          </w:p>
        </w:tc>
        <w:tc>
          <w:tcPr>
            <w:tcW w:w="4534" w:type="pct"/>
            <w:vAlign w:val="center"/>
          </w:tcPr>
          <w:p w14:paraId="197B2556">
            <w:pPr>
              <w:spacing w:line="360" w:lineRule="auto"/>
              <w:rPr>
                <w:rFonts w:hint="eastAsia" w:ascii="宋体" w:hAnsi="宋体" w:cs="宋体"/>
                <w:color w:val="auto"/>
                <w:sz w:val="24"/>
                <w:lang w:eastAsia="zh-CN"/>
              </w:rPr>
            </w:pPr>
            <w:r>
              <w:rPr>
                <w:rFonts w:hint="eastAsia" w:ascii="宋体" w:hAnsi="宋体" w:cs="宋体"/>
                <w:color w:val="auto"/>
                <w:sz w:val="24"/>
                <w:lang w:eastAsia="zh-CN"/>
              </w:rPr>
              <w:t>（1）中</w:t>
            </w:r>
            <w:r>
              <w:rPr>
                <w:rFonts w:hint="eastAsia" w:ascii="宋体" w:hAnsi="宋体" w:cs="宋体"/>
                <w:color w:val="auto"/>
                <w:sz w:val="24"/>
                <w:lang w:val="en-US" w:eastAsia="zh-CN"/>
              </w:rPr>
              <w:t>乙方</w:t>
            </w:r>
            <w:r>
              <w:rPr>
                <w:rFonts w:hint="eastAsia" w:ascii="宋体" w:hAnsi="宋体" w:cs="宋体"/>
                <w:color w:val="auto"/>
                <w:sz w:val="24"/>
                <w:lang w:eastAsia="zh-CN"/>
              </w:rPr>
              <w:t>应提供系统设备的有效检验材料，经</w:t>
            </w:r>
            <w:r>
              <w:rPr>
                <w:rFonts w:hint="eastAsia" w:ascii="宋体" w:hAnsi="宋体" w:cs="宋体"/>
                <w:color w:val="auto"/>
                <w:sz w:val="24"/>
                <w:lang w:val="en-US" w:eastAsia="zh-CN"/>
              </w:rPr>
              <w:t>甲方</w:t>
            </w:r>
            <w:r>
              <w:rPr>
                <w:rFonts w:hint="eastAsia" w:ascii="宋体" w:hAnsi="宋体" w:cs="宋体"/>
                <w:color w:val="auto"/>
                <w:sz w:val="24"/>
                <w:lang w:eastAsia="zh-CN"/>
              </w:rPr>
              <w:t>认可后，与合同的技术指标一起作为验收标准。安装调试完毕试运行1个月后的</w:t>
            </w:r>
            <w:r>
              <w:rPr>
                <w:rFonts w:hint="eastAsia" w:ascii="宋体" w:hAnsi="宋体" w:cs="宋体"/>
                <w:color w:val="auto"/>
                <w:sz w:val="24"/>
                <w:lang w:val="en-US" w:eastAsia="zh-CN"/>
              </w:rPr>
              <w:t>5个工作</w:t>
            </w:r>
            <w:r>
              <w:rPr>
                <w:rFonts w:hint="eastAsia" w:ascii="宋体" w:hAnsi="宋体" w:cs="宋体"/>
                <w:color w:val="auto"/>
                <w:sz w:val="24"/>
                <w:lang w:eastAsia="zh-CN"/>
              </w:rPr>
              <w:t>日内进行项目验收，</w:t>
            </w:r>
            <w:r>
              <w:rPr>
                <w:rFonts w:hint="eastAsia" w:ascii="宋体" w:hAnsi="宋体" w:cs="宋体"/>
                <w:color w:val="auto"/>
                <w:sz w:val="24"/>
                <w:lang w:val="en-US" w:eastAsia="zh-CN"/>
              </w:rPr>
              <w:t>甲方</w:t>
            </w:r>
            <w:r>
              <w:rPr>
                <w:rFonts w:hint="eastAsia" w:ascii="宋体" w:hAnsi="宋体" w:cs="宋体"/>
                <w:color w:val="auto"/>
                <w:sz w:val="24"/>
                <w:lang w:eastAsia="zh-CN"/>
              </w:rPr>
              <w:t>对系统设备验收合格后，在《建德市政府采购验收反馈表》上签署意见并加盖单位公章。验收中发现系统设备达不到验收标准或合同规定的技术指标，</w:t>
            </w:r>
            <w:r>
              <w:rPr>
                <w:rFonts w:hint="eastAsia" w:ascii="宋体" w:hAnsi="宋体" w:cs="宋体"/>
                <w:color w:val="auto"/>
                <w:sz w:val="24"/>
                <w:lang w:val="en-US" w:eastAsia="zh-CN"/>
              </w:rPr>
              <w:t>乙方</w:t>
            </w:r>
            <w:r>
              <w:rPr>
                <w:rFonts w:hint="eastAsia" w:ascii="宋体" w:hAnsi="宋体" w:cs="宋体"/>
                <w:color w:val="auto"/>
                <w:sz w:val="24"/>
                <w:lang w:eastAsia="zh-CN"/>
              </w:rPr>
              <w:t>必须更换，并负担由此给</w:t>
            </w:r>
            <w:r>
              <w:rPr>
                <w:rFonts w:hint="eastAsia" w:ascii="宋体" w:hAnsi="宋体" w:cs="宋体"/>
                <w:color w:val="auto"/>
                <w:sz w:val="24"/>
                <w:lang w:val="en-US" w:eastAsia="zh-CN"/>
              </w:rPr>
              <w:t>甲方</w:t>
            </w:r>
            <w:r>
              <w:rPr>
                <w:rFonts w:hint="eastAsia" w:ascii="宋体" w:hAnsi="宋体" w:cs="宋体"/>
                <w:color w:val="auto"/>
                <w:sz w:val="24"/>
                <w:lang w:eastAsia="zh-CN"/>
              </w:rPr>
              <w:t>造成的损失，直到验收合格为止。</w:t>
            </w:r>
          </w:p>
          <w:p w14:paraId="1DCB9AC5">
            <w:pPr>
              <w:spacing w:line="360" w:lineRule="auto"/>
              <w:rPr>
                <w:rFonts w:hint="eastAsia" w:ascii="宋体" w:hAnsi="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lang w:val="en-US" w:eastAsia="zh-CN"/>
              </w:rPr>
              <w:t>乙</w:t>
            </w:r>
            <w:r>
              <w:rPr>
                <w:rFonts w:hint="eastAsia" w:ascii="宋体" w:hAnsi="宋体" w:cs="宋体"/>
                <w:color w:val="auto"/>
                <w:sz w:val="24"/>
                <w:lang w:eastAsia="zh-CN"/>
              </w:rPr>
              <w:t>方应于投标书中提供系统设备的验收标准和检测办法，并在验收中提供</w:t>
            </w:r>
            <w:r>
              <w:rPr>
                <w:rFonts w:hint="eastAsia" w:ascii="宋体" w:hAnsi="宋体" w:cs="宋体"/>
                <w:color w:val="auto"/>
                <w:sz w:val="24"/>
                <w:lang w:val="en-US" w:eastAsia="zh-CN"/>
              </w:rPr>
              <w:t>甲方</w:t>
            </w:r>
            <w:r>
              <w:rPr>
                <w:rFonts w:hint="eastAsia" w:ascii="宋体" w:hAnsi="宋体" w:cs="宋体"/>
                <w:color w:val="auto"/>
                <w:sz w:val="24"/>
                <w:lang w:eastAsia="zh-CN"/>
              </w:rPr>
              <w:t>认可的相应检测手段，验收标准应符合中国有关的国家、地方、行业的标准，如若中标，经</w:t>
            </w:r>
            <w:r>
              <w:rPr>
                <w:rFonts w:hint="eastAsia" w:ascii="宋体" w:hAnsi="宋体" w:cs="宋体"/>
                <w:color w:val="auto"/>
                <w:sz w:val="24"/>
                <w:lang w:val="en-US" w:eastAsia="zh-CN"/>
              </w:rPr>
              <w:t>甲方</w:t>
            </w:r>
            <w:r>
              <w:rPr>
                <w:rFonts w:hint="eastAsia" w:ascii="宋体" w:hAnsi="宋体" w:cs="宋体"/>
                <w:color w:val="auto"/>
                <w:sz w:val="24"/>
                <w:lang w:eastAsia="zh-CN"/>
              </w:rPr>
              <w:t>确认后作为验收的依据。</w:t>
            </w:r>
          </w:p>
          <w:p w14:paraId="57F8EED8">
            <w:pPr>
              <w:spacing w:line="360" w:lineRule="auto"/>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）验收费用由产品</w:t>
            </w:r>
            <w:r>
              <w:rPr>
                <w:rFonts w:hint="eastAsia" w:ascii="宋体" w:hAnsi="宋体" w:cs="宋体"/>
                <w:color w:val="auto"/>
                <w:sz w:val="24"/>
                <w:lang w:val="en-US" w:eastAsia="zh-CN"/>
              </w:rPr>
              <w:t>乙方</w:t>
            </w:r>
            <w:r>
              <w:rPr>
                <w:rFonts w:hint="eastAsia" w:ascii="宋体" w:hAnsi="宋体" w:cs="宋体"/>
                <w:color w:val="auto"/>
                <w:sz w:val="24"/>
                <w:lang w:eastAsia="zh-CN"/>
              </w:rPr>
              <w:t>承担。</w:t>
            </w:r>
          </w:p>
        </w:tc>
      </w:tr>
      <w:tr w14:paraId="3419D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2A9D8D8">
            <w:pPr>
              <w:spacing w:line="360" w:lineRule="auto"/>
              <w:ind w:left="-420" w:leftChars="-200" w:right="-420" w:rightChars="-200"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 xml:space="preserve">2.20 </w:t>
            </w:r>
          </w:p>
        </w:tc>
        <w:tc>
          <w:tcPr>
            <w:tcW w:w="4534" w:type="pct"/>
            <w:vAlign w:val="center"/>
          </w:tcPr>
          <w:p w14:paraId="54733F21">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t>本合同壹式伍份，甲、乙双方各执贰份，采购代理机构壹份</w:t>
            </w:r>
          </w:p>
        </w:tc>
      </w:tr>
    </w:tbl>
    <w:p w14:paraId="09D1CB1B">
      <w:pPr>
        <w:spacing w:line="360" w:lineRule="auto"/>
        <w:ind w:left="-420" w:leftChars="-200" w:right="-420" w:rightChars="-200" w:firstLine="480" w:firstLineChars="200"/>
        <w:rPr>
          <w:rFonts w:hint="eastAsia" w:ascii="宋体" w:hAnsi="宋体" w:eastAsia="宋体" w:cs="宋体"/>
          <w:color w:val="auto"/>
          <w:sz w:val="24"/>
        </w:rPr>
      </w:pPr>
    </w:p>
    <w:p w14:paraId="388948A3">
      <w:pPr>
        <w:spacing w:line="360" w:lineRule="auto"/>
        <w:ind w:left="-420" w:leftChars="-200" w:right="-420" w:rightChars="-200"/>
        <w:rPr>
          <w:rFonts w:hint="eastAsia" w:ascii="宋体" w:hAnsi="宋体" w:eastAsia="宋体" w:cs="宋体"/>
          <w:color w:val="auto"/>
          <w:sz w:val="24"/>
        </w:rPr>
      </w:pPr>
    </w:p>
    <w:p w14:paraId="044E40F9">
      <w:pPr>
        <w:pStyle w:val="3"/>
        <w:rPr>
          <w:rFonts w:hint="eastAsia" w:ascii="宋体" w:hAnsi="宋体" w:eastAsia="宋体" w:cs="宋体"/>
          <w:color w:val="auto"/>
        </w:rPr>
      </w:pPr>
    </w:p>
    <w:p w14:paraId="1FC7BCF6">
      <w:pPr>
        <w:rPr>
          <w:rFonts w:hint="eastAsia" w:ascii="宋体" w:hAnsi="宋体" w:eastAsia="宋体" w:cs="宋体"/>
          <w:color w:val="auto"/>
        </w:rPr>
      </w:pPr>
    </w:p>
    <w:p w14:paraId="702B169D">
      <w:pPr>
        <w:spacing w:line="360" w:lineRule="auto"/>
        <w:ind w:left="720" w:firstLine="723" w:firstLineChars="200"/>
        <w:outlineLvl w:val="0"/>
        <w:rPr>
          <w:rFonts w:hint="eastAsia" w:ascii="宋体" w:hAnsi="宋体" w:eastAsia="宋体" w:cs="宋体"/>
          <w:b/>
          <w:color w:val="auto"/>
          <w:sz w:val="36"/>
          <w:szCs w:val="20"/>
        </w:rPr>
      </w:pPr>
    </w:p>
    <w:p w14:paraId="0056C827">
      <w:pPr>
        <w:spacing w:line="360" w:lineRule="auto"/>
        <w:ind w:left="720" w:firstLine="723" w:firstLineChars="200"/>
        <w:outlineLvl w:val="0"/>
        <w:rPr>
          <w:rFonts w:hint="eastAsia" w:ascii="宋体" w:hAnsi="宋体" w:eastAsia="宋体" w:cs="宋体"/>
          <w:b/>
          <w:color w:val="auto"/>
          <w:sz w:val="36"/>
          <w:szCs w:val="20"/>
        </w:rPr>
      </w:pPr>
    </w:p>
    <w:p w14:paraId="0B5C795F">
      <w:pPr>
        <w:spacing w:line="360" w:lineRule="auto"/>
        <w:ind w:left="720" w:firstLine="723" w:firstLineChars="200"/>
        <w:outlineLvl w:val="0"/>
        <w:rPr>
          <w:rFonts w:hint="eastAsia" w:ascii="宋体" w:hAnsi="宋体" w:eastAsia="宋体" w:cs="宋体"/>
          <w:b/>
          <w:color w:val="auto"/>
          <w:sz w:val="36"/>
          <w:szCs w:val="20"/>
        </w:rPr>
      </w:pPr>
    </w:p>
    <w:p w14:paraId="5750C65E">
      <w:pPr>
        <w:spacing w:line="360" w:lineRule="auto"/>
        <w:ind w:left="720" w:firstLine="723" w:firstLineChars="200"/>
        <w:outlineLvl w:val="0"/>
        <w:rPr>
          <w:rFonts w:hint="eastAsia" w:ascii="宋体" w:hAnsi="宋体" w:eastAsia="宋体" w:cs="宋体"/>
          <w:b/>
          <w:color w:val="auto"/>
          <w:sz w:val="36"/>
          <w:szCs w:val="20"/>
        </w:rPr>
      </w:pPr>
    </w:p>
    <w:p w14:paraId="04EAB378">
      <w:pPr>
        <w:spacing w:line="360" w:lineRule="auto"/>
        <w:ind w:left="720" w:firstLine="723" w:firstLineChars="200"/>
        <w:outlineLvl w:val="0"/>
        <w:rPr>
          <w:rFonts w:hint="eastAsia" w:ascii="宋体" w:hAnsi="宋体" w:eastAsia="宋体" w:cs="宋体"/>
          <w:b/>
          <w:color w:val="auto"/>
          <w:sz w:val="36"/>
          <w:szCs w:val="20"/>
        </w:rPr>
      </w:pPr>
    </w:p>
    <w:p w14:paraId="65D25829">
      <w:pPr>
        <w:spacing w:line="360" w:lineRule="auto"/>
        <w:jc w:val="both"/>
        <w:outlineLvl w:val="0"/>
        <w:rPr>
          <w:rFonts w:hint="eastAsia" w:ascii="宋体" w:hAnsi="宋体" w:eastAsia="宋体" w:cs="宋体"/>
          <w:b/>
          <w:color w:val="auto"/>
          <w:sz w:val="36"/>
          <w:szCs w:val="20"/>
        </w:rPr>
      </w:pPr>
    </w:p>
    <w:p w14:paraId="1BA52104">
      <w:pPr>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406"/>
      <w:bookmarkEnd w:id="407"/>
      <w:r>
        <w:rPr>
          <w:rFonts w:hint="eastAsia" w:ascii="宋体" w:hAnsi="宋体" w:eastAsia="宋体" w:cs="宋体"/>
          <w:b/>
          <w:color w:val="auto"/>
          <w:sz w:val="36"/>
          <w:szCs w:val="20"/>
        </w:rPr>
        <w:t>应提交的有关格式范例</w:t>
      </w:r>
    </w:p>
    <w:p w14:paraId="3A8A3BE8">
      <w:pPr>
        <w:spacing w:line="360" w:lineRule="auto"/>
        <w:jc w:val="center"/>
        <w:outlineLvl w:val="0"/>
        <w:rPr>
          <w:rFonts w:hint="eastAsia" w:ascii="宋体" w:hAnsi="宋体" w:eastAsia="宋体" w:cs="宋体"/>
          <w:b/>
          <w:color w:val="auto"/>
          <w:kern w:val="0"/>
          <w:sz w:val="36"/>
          <w:szCs w:val="36"/>
        </w:rPr>
      </w:pPr>
    </w:p>
    <w:p w14:paraId="6082D4F6">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14:paraId="1AE03BB4">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15683899">
      <w:pPr>
        <w:spacing w:line="360" w:lineRule="auto"/>
        <w:jc w:val="center"/>
        <w:outlineLvl w:val="0"/>
        <w:rPr>
          <w:rFonts w:hint="eastAsia" w:ascii="宋体" w:hAnsi="宋体" w:eastAsia="宋体" w:cs="宋体"/>
          <w:b/>
          <w:color w:val="auto"/>
          <w:kern w:val="0"/>
          <w:sz w:val="36"/>
          <w:szCs w:val="36"/>
        </w:rPr>
      </w:pPr>
    </w:p>
    <w:p w14:paraId="33848D3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73FB9946">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rPr>
        <w:t>（2）联合协议</w:t>
      </w:r>
      <w:r>
        <w:rPr>
          <w:rFonts w:hint="eastAsia" w:ascii="宋体" w:hAnsi="宋体" w:eastAsia="宋体" w:cs="宋体"/>
          <w:color w:val="auto"/>
          <w:sz w:val="24"/>
        </w:rPr>
        <w:t>………………………………………………………………（页码）</w:t>
      </w:r>
    </w:p>
    <w:p w14:paraId="0CC5A274">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（3）落实政府采购政策需满足的资格要求………………………………（页码）</w:t>
      </w:r>
    </w:p>
    <w:p w14:paraId="6259A18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（4）本项目的特定资格要求………………………………………………（页码）</w:t>
      </w:r>
    </w:p>
    <w:p w14:paraId="0F60160F">
      <w:pPr>
        <w:snapToGrid w:val="0"/>
        <w:spacing w:line="360" w:lineRule="auto"/>
        <w:ind w:firstLine="480" w:firstLineChars="200"/>
        <w:rPr>
          <w:rFonts w:hint="eastAsia" w:ascii="宋体" w:hAnsi="宋体" w:eastAsia="宋体" w:cs="宋体"/>
          <w:color w:val="auto"/>
          <w:sz w:val="24"/>
        </w:rPr>
      </w:pPr>
    </w:p>
    <w:p w14:paraId="40A795EC">
      <w:pPr>
        <w:spacing w:line="360" w:lineRule="auto"/>
        <w:ind w:firstLine="480" w:firstLineChars="200"/>
        <w:rPr>
          <w:rFonts w:hint="eastAsia" w:ascii="宋体" w:hAnsi="宋体" w:eastAsia="宋体" w:cs="宋体"/>
          <w:color w:val="auto"/>
          <w:sz w:val="24"/>
        </w:rPr>
      </w:pPr>
    </w:p>
    <w:p w14:paraId="523F125F">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14:paraId="4F482FF3">
      <w:pPr>
        <w:snapToGrid w:val="0"/>
        <w:spacing w:line="360" w:lineRule="auto"/>
        <w:rPr>
          <w:rFonts w:hint="eastAsia" w:ascii="宋体" w:hAnsi="宋体" w:eastAsia="宋体" w:cs="宋体"/>
          <w:color w:val="auto"/>
          <w:sz w:val="24"/>
        </w:rPr>
      </w:pPr>
      <w:r>
        <w:rPr>
          <w:rFonts w:hint="eastAsia" w:ascii="宋体" w:hAnsi="宋体" w:cs="宋体"/>
          <w:color w:val="auto"/>
          <w:sz w:val="24"/>
          <w:lang w:eastAsia="zh-CN"/>
        </w:rPr>
        <w:t>建德市大同镇人民政府</w:t>
      </w:r>
      <w:r>
        <w:rPr>
          <w:rFonts w:hint="eastAsia" w:ascii="宋体" w:hAnsi="宋体" w:eastAsia="宋体" w:cs="宋体"/>
          <w:color w:val="auto"/>
          <w:sz w:val="24"/>
        </w:rPr>
        <w:t>、</w:t>
      </w:r>
      <w:r>
        <w:rPr>
          <w:rFonts w:hint="eastAsia" w:ascii="宋体" w:hAnsi="宋体" w:cs="宋体"/>
          <w:color w:val="auto"/>
          <w:sz w:val="24"/>
          <w:lang w:eastAsia="zh-CN"/>
        </w:rPr>
        <w:t>耀华建设管理有限公司</w:t>
      </w:r>
      <w:r>
        <w:rPr>
          <w:rFonts w:hint="eastAsia" w:ascii="宋体" w:hAnsi="宋体" w:eastAsia="宋体" w:cs="宋体"/>
          <w:color w:val="auto"/>
          <w:sz w:val="24"/>
        </w:rPr>
        <w:t>：</w:t>
      </w:r>
    </w:p>
    <w:p w14:paraId="45925EB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eastAsia="zh-CN"/>
        </w:rPr>
        <w:t xml:space="preserve">建德市大同镇秸秆综合处理中心升级改造-生产车间设备采购 </w:t>
      </w:r>
      <w:r>
        <w:rPr>
          <w:rFonts w:hint="eastAsia" w:ascii="宋体" w:hAnsi="宋体" w:eastAsia="宋体" w:cs="宋体"/>
          <w:color w:val="auto"/>
          <w:sz w:val="24"/>
        </w:rPr>
        <w:t>）【招标编号：（</w:t>
      </w:r>
      <w:r>
        <w:rPr>
          <w:rFonts w:hint="eastAsia" w:ascii="宋体" w:hAnsi="宋体" w:cs="宋体"/>
          <w:color w:val="auto"/>
          <w:sz w:val="24"/>
          <w:lang w:eastAsia="zh-CN"/>
        </w:rPr>
        <w:t>JD2025BF-061</w:t>
      </w:r>
      <w:r>
        <w:rPr>
          <w:rFonts w:hint="eastAsia" w:ascii="宋体" w:hAnsi="宋体" w:eastAsia="宋体" w:cs="宋体"/>
          <w:color w:val="auto"/>
          <w:sz w:val="24"/>
        </w:rPr>
        <w:t>）】政府采购活动，郑重承诺：</w:t>
      </w:r>
    </w:p>
    <w:p w14:paraId="6570050E">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271D3A4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730BF4D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1709D7D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5623326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0C38BE4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0B19F92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0359AA2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（二）未被信用中国（www.creditchina.gov.cn)、中国政府采购网（www.ccgp.gov.cn）列入失信被执行人、重大税收违法失信主体、政府采购严重违法失信行为记录名单。</w:t>
      </w:r>
    </w:p>
    <w:p w14:paraId="655ED98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5BA6C45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3B1E69C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186154FB">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219BA9AE">
      <w:pPr>
        <w:snapToGrid w:val="0"/>
        <w:spacing w:line="360" w:lineRule="auto"/>
        <w:ind w:firstLine="5760" w:firstLineChars="2400"/>
        <w:rPr>
          <w:rFonts w:hint="eastAsia" w:ascii="宋体" w:hAnsi="宋体" w:eastAsia="宋体" w:cs="宋体"/>
          <w:color w:val="auto"/>
          <w:kern w:val="0"/>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w:t>
      </w:r>
    </w:p>
    <w:p w14:paraId="0748B5E8">
      <w:pPr>
        <w:snapToGrid w:val="0"/>
        <w:spacing w:line="360" w:lineRule="auto"/>
        <w:ind w:right="480"/>
        <w:jc w:val="center"/>
        <w:rPr>
          <w:rFonts w:hint="eastAsia" w:ascii="宋体" w:hAnsi="宋体" w:eastAsia="宋体" w:cs="宋体"/>
          <w:b/>
          <w:color w:val="auto"/>
          <w:kern w:val="0"/>
          <w:sz w:val="32"/>
          <w:szCs w:val="32"/>
        </w:rPr>
      </w:pPr>
    </w:p>
    <w:p w14:paraId="122CF8F1">
      <w:pPr>
        <w:snapToGrid w:val="0"/>
        <w:spacing w:line="360" w:lineRule="auto"/>
        <w:ind w:right="480"/>
        <w:jc w:val="center"/>
        <w:rPr>
          <w:rFonts w:hint="eastAsia" w:ascii="宋体" w:hAnsi="宋体" w:eastAsia="宋体" w:cs="宋体"/>
          <w:b/>
          <w:color w:val="auto"/>
          <w:kern w:val="0"/>
          <w:sz w:val="32"/>
          <w:szCs w:val="32"/>
        </w:rPr>
      </w:pPr>
    </w:p>
    <w:p w14:paraId="5B0E7334">
      <w:pPr>
        <w:snapToGrid w:val="0"/>
        <w:spacing w:line="360" w:lineRule="auto"/>
        <w:ind w:right="480"/>
        <w:jc w:val="center"/>
        <w:rPr>
          <w:rFonts w:hint="eastAsia" w:ascii="宋体" w:hAnsi="宋体" w:eastAsia="宋体" w:cs="宋体"/>
          <w:b/>
          <w:color w:val="auto"/>
          <w:kern w:val="0"/>
          <w:sz w:val="32"/>
          <w:szCs w:val="32"/>
        </w:rPr>
      </w:pPr>
    </w:p>
    <w:p w14:paraId="1BE95322">
      <w:pPr>
        <w:rPr>
          <w:rFonts w:hint="eastAsia" w:ascii="宋体" w:hAnsi="宋体" w:eastAsia="宋体" w:cs="宋体"/>
          <w:color w:val="auto"/>
        </w:rPr>
      </w:pPr>
    </w:p>
    <w:p w14:paraId="61B895AB">
      <w:pPr>
        <w:snapToGrid w:val="0"/>
        <w:spacing w:line="360" w:lineRule="auto"/>
        <w:ind w:right="480"/>
        <w:jc w:val="center"/>
        <w:rPr>
          <w:rFonts w:hint="eastAsia" w:ascii="宋体" w:hAnsi="宋体" w:eastAsia="宋体" w:cs="宋体"/>
          <w:b/>
          <w:color w:val="auto"/>
          <w:kern w:val="0"/>
          <w:sz w:val="32"/>
          <w:szCs w:val="32"/>
        </w:rPr>
      </w:pPr>
    </w:p>
    <w:p w14:paraId="5D2B6E01">
      <w:pPr>
        <w:snapToGrid w:val="0"/>
        <w:spacing w:line="360" w:lineRule="auto"/>
        <w:ind w:right="480"/>
        <w:jc w:val="center"/>
        <w:rPr>
          <w:rFonts w:hint="eastAsia" w:ascii="宋体" w:hAnsi="宋体" w:eastAsia="宋体" w:cs="宋体"/>
          <w:b/>
          <w:color w:val="auto"/>
          <w:kern w:val="0"/>
          <w:sz w:val="32"/>
          <w:szCs w:val="32"/>
        </w:rPr>
      </w:pPr>
    </w:p>
    <w:p w14:paraId="0694AB15">
      <w:pPr>
        <w:snapToGrid w:val="0"/>
        <w:spacing w:line="360" w:lineRule="auto"/>
        <w:ind w:right="480"/>
        <w:jc w:val="center"/>
        <w:rPr>
          <w:rFonts w:hint="eastAsia" w:ascii="宋体" w:hAnsi="宋体" w:eastAsia="宋体" w:cs="宋体"/>
          <w:b/>
          <w:color w:val="auto"/>
          <w:kern w:val="0"/>
          <w:sz w:val="32"/>
          <w:szCs w:val="32"/>
        </w:rPr>
      </w:pPr>
    </w:p>
    <w:p w14:paraId="11023991">
      <w:pPr>
        <w:widowControl/>
        <w:spacing w:line="360" w:lineRule="auto"/>
        <w:ind w:firstLine="643" w:firstLineChars="200"/>
        <w:jc w:val="center"/>
        <w:rPr>
          <w:rFonts w:hint="eastAsia" w:ascii="宋体" w:hAnsi="宋体" w:eastAsia="宋体" w:cs="宋体"/>
          <w:b/>
          <w:color w:val="auto"/>
          <w:kern w:val="0"/>
          <w:sz w:val="32"/>
          <w:szCs w:val="32"/>
        </w:rPr>
      </w:pPr>
    </w:p>
    <w:p w14:paraId="425C021B">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14:paraId="25CE4FD4">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14:paraId="645259D2">
      <w:pPr>
        <w:snapToGrid w:val="0"/>
        <w:spacing w:line="360" w:lineRule="auto"/>
        <w:ind w:right="480"/>
        <w:jc w:val="center"/>
        <w:rPr>
          <w:rFonts w:hint="eastAsia" w:ascii="宋体" w:hAnsi="宋体" w:eastAsia="宋体" w:cs="宋体"/>
          <w:b/>
          <w:color w:val="auto"/>
          <w:kern w:val="0"/>
          <w:sz w:val="32"/>
          <w:szCs w:val="32"/>
        </w:rPr>
      </w:pPr>
    </w:p>
    <w:p w14:paraId="2D1B670A">
      <w:pPr>
        <w:snapToGrid w:val="0"/>
        <w:spacing w:line="360" w:lineRule="auto"/>
        <w:ind w:right="480"/>
        <w:jc w:val="center"/>
        <w:rPr>
          <w:rFonts w:hint="eastAsia" w:ascii="宋体" w:hAnsi="宋体" w:eastAsia="宋体" w:cs="宋体"/>
          <w:b/>
          <w:color w:val="auto"/>
          <w:kern w:val="0"/>
          <w:sz w:val="32"/>
          <w:szCs w:val="32"/>
        </w:rPr>
      </w:pPr>
    </w:p>
    <w:p w14:paraId="7CFCC5ED">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三、落实政府采购政策需满足的资格要求</w:t>
      </w:r>
    </w:p>
    <w:p w14:paraId="70E012CE">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14:paraId="1A1C4F31">
      <w:pPr>
        <w:snapToGrid w:val="0"/>
        <w:spacing w:before="50" w:after="50" w:line="360" w:lineRule="auto"/>
        <w:ind w:firstLine="472" w:firstLineChars="196"/>
        <w:jc w:val="left"/>
        <w:rPr>
          <w:rFonts w:hint="eastAsia" w:ascii="宋体" w:hAnsi="宋体" w:eastAsia="宋体" w:cs="宋体"/>
          <w:b/>
          <w:color w:val="auto"/>
          <w:sz w:val="24"/>
        </w:rPr>
      </w:pPr>
      <w:r>
        <w:rPr>
          <w:rFonts w:hint="eastAsia" w:ascii="宋体" w:hAnsi="宋体" w:eastAsia="宋体" w:cs="宋体"/>
          <w:b/>
          <w:color w:val="auto"/>
          <w:sz w:val="24"/>
        </w:rPr>
        <w:t xml:space="preserve">A.专门面向中小企业，货物全部由符合政策要求的中小企业（或小微企业）制造的，提供相应的中小企业声明函（附件7）。 </w:t>
      </w:r>
    </w:p>
    <w:p w14:paraId="1B512A2D">
      <w:pPr>
        <w:widowControl/>
        <w:spacing w:line="360" w:lineRule="auto"/>
        <w:ind w:firstLine="480"/>
        <w:jc w:val="left"/>
        <w:rPr>
          <w:rFonts w:hint="eastAsia" w:ascii="宋体" w:hAnsi="宋体" w:eastAsia="宋体" w:cs="宋体"/>
          <w:color w:val="auto"/>
          <w:sz w:val="24"/>
        </w:rPr>
      </w:pPr>
    </w:p>
    <w:p w14:paraId="6F3CCC33">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14:paraId="73C9EB0B">
      <w:pPr>
        <w:snapToGrid w:val="0"/>
        <w:spacing w:before="50" w:after="50" w:line="360" w:lineRule="auto"/>
        <w:jc w:val="center"/>
        <w:rPr>
          <w:rFonts w:hint="eastAsia" w:ascii="宋体" w:hAnsi="宋体" w:eastAsia="宋体" w:cs="宋体"/>
          <w:color w:val="auto"/>
          <w:sz w:val="24"/>
        </w:rPr>
      </w:pPr>
    </w:p>
    <w:p w14:paraId="5CDB083D">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63AD2B54">
      <w:pPr>
        <w:widowControl/>
        <w:spacing w:line="360" w:lineRule="auto"/>
        <w:ind w:left="150"/>
        <w:jc w:val="center"/>
        <w:rPr>
          <w:rFonts w:hint="eastAsia" w:ascii="宋体" w:hAnsi="宋体" w:eastAsia="宋体" w:cs="宋体"/>
          <w:b/>
          <w:color w:val="auto"/>
          <w:kern w:val="0"/>
          <w:sz w:val="32"/>
          <w:szCs w:val="32"/>
        </w:rPr>
      </w:pPr>
    </w:p>
    <w:p w14:paraId="5CC5B1F7">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四、本项目的特定资格要求</w:t>
      </w:r>
    </w:p>
    <w:p w14:paraId="2A8D0AA3">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14:paraId="2EF4AB31">
      <w:pPr>
        <w:rPr>
          <w:rFonts w:hint="eastAsia" w:ascii="宋体" w:hAnsi="宋体" w:eastAsia="宋体" w:cs="宋体"/>
          <w:color w:val="auto"/>
        </w:rPr>
      </w:pPr>
    </w:p>
    <w:p w14:paraId="55751AB0">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4ABB9144">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792E0D07">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14:paraId="10CDCAA2">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（2）授权委托书或法定代表人（单位负责人、自然人本人）身份证明</w:t>
      </w:r>
      <w:r>
        <w:rPr>
          <w:rFonts w:hint="eastAsia" w:ascii="宋体" w:hAnsi="宋体" w:eastAsia="宋体" w:cs="宋体"/>
          <w:color w:val="auto"/>
        </w:rPr>
        <w:t>………（页码）</w:t>
      </w:r>
    </w:p>
    <w:p w14:paraId="7EF7450E">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（3）分包意向协议</w:t>
      </w:r>
      <w:r>
        <w:rPr>
          <w:rFonts w:hint="eastAsia" w:ascii="宋体" w:hAnsi="宋体" w:eastAsia="宋体" w:cs="宋体"/>
          <w:color w:val="auto"/>
        </w:rPr>
        <w:t>…………………………………………………………………………（页码）</w:t>
      </w:r>
    </w:p>
    <w:p w14:paraId="1FB753E0">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（4）符合性审查资料</w:t>
      </w:r>
      <w:r>
        <w:rPr>
          <w:rFonts w:hint="eastAsia" w:ascii="宋体" w:hAnsi="宋体" w:eastAsia="宋体" w:cs="宋体"/>
          <w:color w:val="auto"/>
        </w:rPr>
        <w:t>………………………………………………………………………（页码）</w:t>
      </w:r>
    </w:p>
    <w:p w14:paraId="7D28BDC2">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（5）评标标准相应的商务技术资料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（6）投标标的清单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（7）商务技术偏离表</w:t>
      </w:r>
      <w:r>
        <w:rPr>
          <w:rFonts w:hint="eastAsia" w:ascii="宋体" w:hAnsi="宋体" w:eastAsia="宋体" w:cs="宋体"/>
          <w:color w:val="auto"/>
        </w:rPr>
        <w:t>………………………………………………………………………（页码）</w:t>
      </w:r>
    </w:p>
    <w:p w14:paraId="55095C1F">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14:paraId="209832FE">
      <w:pPr>
        <w:snapToGrid w:val="0"/>
        <w:spacing w:line="360" w:lineRule="auto"/>
        <w:jc w:val="center"/>
        <w:rPr>
          <w:rFonts w:hint="eastAsia" w:ascii="宋体" w:hAnsi="宋体" w:eastAsia="宋体" w:cs="宋体"/>
          <w:b/>
          <w:color w:val="auto"/>
          <w:kern w:val="0"/>
          <w:sz w:val="32"/>
          <w:szCs w:val="32"/>
          <w:lang w:val="zh-CN"/>
        </w:rPr>
      </w:pPr>
    </w:p>
    <w:p w14:paraId="6ECEE9FD">
      <w:pPr>
        <w:snapToGrid w:val="0"/>
        <w:spacing w:line="360" w:lineRule="auto"/>
        <w:jc w:val="center"/>
        <w:rPr>
          <w:rFonts w:hint="eastAsia" w:ascii="宋体" w:hAnsi="宋体" w:eastAsia="宋体" w:cs="宋体"/>
          <w:b/>
          <w:color w:val="auto"/>
          <w:kern w:val="0"/>
          <w:sz w:val="32"/>
          <w:szCs w:val="32"/>
          <w:lang w:val="zh-CN"/>
        </w:rPr>
      </w:pPr>
    </w:p>
    <w:p w14:paraId="0F174D3F">
      <w:pPr>
        <w:snapToGrid w:val="0"/>
        <w:spacing w:line="360" w:lineRule="auto"/>
        <w:jc w:val="center"/>
        <w:rPr>
          <w:rFonts w:hint="eastAsia" w:ascii="宋体" w:hAnsi="宋体" w:eastAsia="宋体" w:cs="宋体"/>
          <w:b/>
          <w:color w:val="auto"/>
          <w:kern w:val="0"/>
          <w:sz w:val="32"/>
          <w:szCs w:val="32"/>
          <w:lang w:val="zh-CN"/>
        </w:rPr>
      </w:pPr>
    </w:p>
    <w:p w14:paraId="78D548A2">
      <w:pPr>
        <w:snapToGrid w:val="0"/>
        <w:spacing w:line="360" w:lineRule="auto"/>
        <w:jc w:val="center"/>
        <w:rPr>
          <w:rFonts w:hint="eastAsia" w:ascii="宋体" w:hAnsi="宋体" w:eastAsia="宋体" w:cs="宋体"/>
          <w:b/>
          <w:color w:val="auto"/>
          <w:kern w:val="0"/>
          <w:sz w:val="32"/>
          <w:szCs w:val="32"/>
          <w:lang w:val="zh-CN"/>
        </w:rPr>
      </w:pPr>
    </w:p>
    <w:p w14:paraId="5E6CECA3">
      <w:pPr>
        <w:snapToGrid w:val="0"/>
        <w:spacing w:line="360" w:lineRule="auto"/>
        <w:jc w:val="center"/>
        <w:rPr>
          <w:rFonts w:hint="eastAsia" w:ascii="宋体" w:hAnsi="宋体" w:eastAsia="宋体" w:cs="宋体"/>
          <w:b/>
          <w:color w:val="auto"/>
          <w:kern w:val="0"/>
          <w:sz w:val="32"/>
          <w:szCs w:val="32"/>
          <w:lang w:val="zh-CN"/>
        </w:rPr>
      </w:pPr>
    </w:p>
    <w:p w14:paraId="665432F9">
      <w:pPr>
        <w:snapToGrid w:val="0"/>
        <w:spacing w:line="360" w:lineRule="auto"/>
        <w:jc w:val="center"/>
        <w:outlineLvl w:val="0"/>
        <w:rPr>
          <w:rFonts w:hint="eastAsia" w:ascii="宋体" w:hAnsi="宋体" w:eastAsia="宋体" w:cs="宋体"/>
          <w:b/>
          <w:color w:val="auto"/>
          <w:kern w:val="0"/>
          <w:sz w:val="32"/>
          <w:szCs w:val="32"/>
        </w:rPr>
      </w:pPr>
    </w:p>
    <w:p w14:paraId="21FD3600">
      <w:pPr>
        <w:snapToGrid w:val="0"/>
        <w:spacing w:line="360" w:lineRule="auto"/>
        <w:jc w:val="center"/>
        <w:outlineLvl w:val="0"/>
        <w:rPr>
          <w:rFonts w:hint="eastAsia" w:ascii="宋体" w:hAnsi="宋体" w:eastAsia="宋体" w:cs="宋体"/>
          <w:b/>
          <w:color w:val="auto"/>
          <w:kern w:val="0"/>
          <w:sz w:val="32"/>
          <w:szCs w:val="32"/>
        </w:rPr>
      </w:pPr>
    </w:p>
    <w:p w14:paraId="3A963901">
      <w:pPr>
        <w:rPr>
          <w:rFonts w:hint="eastAsia" w:ascii="宋体" w:hAnsi="宋体" w:eastAsia="宋体" w:cs="宋体"/>
          <w:color w:val="auto"/>
        </w:rPr>
      </w:pPr>
    </w:p>
    <w:p w14:paraId="75E78E8D">
      <w:pPr>
        <w:snapToGrid w:val="0"/>
        <w:spacing w:line="360" w:lineRule="auto"/>
        <w:jc w:val="center"/>
        <w:outlineLvl w:val="0"/>
        <w:rPr>
          <w:rFonts w:hint="eastAsia" w:ascii="宋体" w:hAnsi="宋体" w:eastAsia="宋体" w:cs="宋体"/>
          <w:b/>
          <w:color w:val="auto"/>
          <w:kern w:val="0"/>
          <w:sz w:val="32"/>
          <w:szCs w:val="32"/>
        </w:rPr>
      </w:pPr>
    </w:p>
    <w:p w14:paraId="7C756CC9">
      <w:pPr>
        <w:snapToGrid w:val="0"/>
        <w:spacing w:line="360" w:lineRule="auto"/>
        <w:jc w:val="center"/>
        <w:outlineLvl w:val="0"/>
        <w:rPr>
          <w:rFonts w:hint="eastAsia" w:ascii="宋体" w:hAnsi="宋体" w:eastAsia="宋体" w:cs="宋体"/>
          <w:b/>
          <w:color w:val="auto"/>
          <w:kern w:val="0"/>
          <w:sz w:val="32"/>
          <w:szCs w:val="32"/>
        </w:rPr>
      </w:pPr>
    </w:p>
    <w:p w14:paraId="4F95A7AF">
      <w:pPr>
        <w:widowControl/>
        <w:adjustRightInd/>
        <w:jc w:val="left"/>
        <w:rPr>
          <w:rFonts w:hint="eastAsia" w:ascii="宋体" w:hAnsi="宋体" w:eastAsia="宋体" w:cs="宋体"/>
          <w:b/>
          <w:color w:val="auto"/>
          <w:kern w:val="0"/>
          <w:sz w:val="32"/>
          <w:szCs w:val="32"/>
        </w:rPr>
      </w:pPr>
    </w:p>
    <w:p w14:paraId="2CC5F468">
      <w:pPr>
        <w:widowControl/>
        <w:numPr>
          <w:ilvl w:val="0"/>
          <w:numId w:val="1"/>
        </w:numPr>
        <w:adjustRightInd/>
        <w:ind w:firstLine="2891" w:firstLineChars="900"/>
        <w:jc w:val="left"/>
        <w:rPr>
          <w:rFonts w:hint="eastAsia" w:ascii="宋体" w:hAnsi="宋体" w:eastAsia="宋体" w:cs="宋体"/>
          <w:b/>
          <w:color w:val="auto"/>
          <w:sz w:val="32"/>
          <w:szCs w:val="32"/>
        </w:rPr>
      </w:pPr>
      <w:r>
        <w:rPr>
          <w:rFonts w:hint="eastAsia" w:ascii="宋体" w:hAnsi="宋体" w:eastAsia="宋体" w:cs="宋体"/>
          <w:b/>
          <w:color w:val="auto"/>
          <w:kern w:val="0"/>
          <w:sz w:val="32"/>
          <w:szCs w:val="32"/>
        </w:rPr>
        <w:t>投标</w:t>
      </w:r>
      <w:r>
        <w:rPr>
          <w:rFonts w:hint="eastAsia" w:ascii="宋体" w:hAnsi="宋体" w:eastAsia="宋体" w:cs="宋体"/>
          <w:b/>
          <w:color w:val="auto"/>
          <w:sz w:val="32"/>
          <w:szCs w:val="32"/>
        </w:rPr>
        <w:t>函</w:t>
      </w:r>
    </w:p>
    <w:p w14:paraId="6F382D13">
      <w:pPr>
        <w:widowControl/>
        <w:numPr>
          <w:ilvl w:val="0"/>
          <w:numId w:val="0"/>
        </w:numPr>
        <w:adjustRightInd/>
        <w:jc w:val="left"/>
        <w:rPr>
          <w:rFonts w:hint="eastAsia" w:ascii="宋体" w:hAnsi="宋体" w:eastAsia="宋体" w:cs="宋体"/>
          <w:b/>
          <w:color w:val="auto"/>
          <w:sz w:val="32"/>
          <w:szCs w:val="32"/>
        </w:rPr>
      </w:pPr>
    </w:p>
    <w:p w14:paraId="1DAD6C6A">
      <w:pPr>
        <w:snapToGrid w:val="0"/>
        <w:spacing w:line="360" w:lineRule="auto"/>
        <w:rPr>
          <w:rFonts w:hint="eastAsia" w:ascii="宋体" w:hAnsi="宋体" w:eastAsia="宋体" w:cs="宋体"/>
          <w:color w:val="auto"/>
          <w:sz w:val="24"/>
        </w:rPr>
      </w:pPr>
      <w:r>
        <w:rPr>
          <w:rFonts w:hint="eastAsia" w:ascii="宋体" w:hAnsi="宋体" w:cs="宋体"/>
          <w:color w:val="auto"/>
          <w:sz w:val="24"/>
          <w:highlight w:val="none"/>
        </w:rPr>
        <w:t>（采购人）、（采购代理机构）</w:t>
      </w:r>
      <w:r>
        <w:rPr>
          <w:rFonts w:hint="eastAsia" w:ascii="宋体" w:hAnsi="宋体" w:eastAsia="宋体" w:cs="宋体"/>
          <w:color w:val="auto"/>
          <w:sz w:val="24"/>
        </w:rPr>
        <w:t>：</w:t>
      </w:r>
    </w:p>
    <w:p w14:paraId="623C24C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cs="宋体"/>
          <w:color w:val="auto"/>
          <w:sz w:val="24"/>
          <w:highlight w:val="none"/>
        </w:rPr>
        <w:t>项目名称</w:t>
      </w:r>
      <w:r>
        <w:rPr>
          <w:rFonts w:hint="eastAsia" w:ascii="宋体" w:hAnsi="宋体" w:eastAsia="宋体" w:cs="宋体"/>
          <w:color w:val="auto"/>
          <w:sz w:val="24"/>
        </w:rPr>
        <w:t>）【招标编号：</w:t>
      </w:r>
      <w:r>
        <w:rPr>
          <w:rFonts w:hint="eastAsia" w:ascii="宋体" w:hAnsi="宋体" w:cs="宋体"/>
          <w:color w:val="auto"/>
          <w:sz w:val="24"/>
          <w:highlight w:val="none"/>
        </w:rPr>
        <w:t>（采购编号）</w:t>
      </w:r>
      <w:r>
        <w:rPr>
          <w:rFonts w:hint="eastAsia" w:ascii="宋体" w:hAnsi="宋体" w:eastAsia="宋体" w:cs="宋体"/>
          <w:color w:val="auto"/>
          <w:sz w:val="24"/>
        </w:rPr>
        <w:t>】招标的有关活动，并对此项目进行投标。为此：</w:t>
      </w:r>
    </w:p>
    <w:p w14:paraId="45AF837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49BEDEA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4219488C">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136F508F">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7F04D59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联合协议（如果有)；</w:t>
      </w:r>
    </w:p>
    <w:p w14:paraId="5B3D8554">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w:t>
      </w:r>
    </w:p>
    <w:p w14:paraId="48C951D4">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31754475">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2商务技术</w:t>
      </w:r>
      <w:r>
        <w:rPr>
          <w:rFonts w:hint="eastAsia" w:ascii="宋体" w:hAnsi="宋体" w:eastAsia="宋体" w:cs="宋体"/>
          <w:color w:val="auto"/>
          <w:sz w:val="24"/>
          <w:lang w:val="zh-CN"/>
        </w:rPr>
        <w:t>文件：</w:t>
      </w:r>
    </w:p>
    <w:p w14:paraId="55A45FE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p>
    <w:p w14:paraId="66F2376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49BBB86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030547F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14:paraId="43C3536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14:paraId="379AF89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14:paraId="5B9C206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14:paraId="7484B9BD">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03228DB9">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5D72805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14:paraId="376F2A6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4B17B87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w:t>
      </w:r>
    </w:p>
    <w:p w14:paraId="7AB9CC9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25079DB3">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0BAC9036">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29AC3BEF">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4.3按照招标文件要求提交履约保证金（如果有）； </w:t>
      </w:r>
    </w:p>
    <w:p w14:paraId="1E0BC443">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71B207DB">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p>
    <w:p w14:paraId="6A25AA03">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1F2631C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6BC7D0D4">
      <w:pPr>
        <w:snapToGrid w:val="0"/>
        <w:spacing w:line="360" w:lineRule="auto"/>
        <w:ind w:left="420" w:leftChars="200" w:firstLine="4200" w:firstLineChars="1750"/>
        <w:rPr>
          <w:rFonts w:hint="eastAsia" w:ascii="宋体" w:hAnsi="宋体" w:eastAsia="宋体" w:cs="宋体"/>
          <w:color w:val="auto"/>
          <w:kern w:val="0"/>
          <w:sz w:val="24"/>
          <w:u w:val="single"/>
        </w:rPr>
      </w:pPr>
    </w:p>
    <w:p w14:paraId="1D3F27B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52BD9DB8">
      <w:pPr>
        <w:snapToGrid w:val="0"/>
        <w:spacing w:line="360" w:lineRule="auto"/>
        <w:jc w:val="center"/>
        <w:rPr>
          <w:rFonts w:hint="eastAsia" w:ascii="宋体" w:hAnsi="宋体" w:eastAsia="宋体" w:cs="宋体"/>
          <w:b/>
          <w:color w:val="auto"/>
          <w:kern w:val="0"/>
          <w:sz w:val="32"/>
          <w:szCs w:val="32"/>
        </w:rPr>
      </w:pPr>
    </w:p>
    <w:p w14:paraId="3899787F">
      <w:pPr>
        <w:snapToGrid w:val="0"/>
        <w:spacing w:line="360" w:lineRule="auto"/>
        <w:rPr>
          <w:rFonts w:hint="eastAsia" w:ascii="宋体" w:hAnsi="宋体" w:eastAsia="宋体" w:cs="宋体"/>
          <w:color w:val="auto"/>
          <w:sz w:val="24"/>
        </w:rPr>
      </w:pPr>
    </w:p>
    <w:p w14:paraId="2F75F21B">
      <w:pPr>
        <w:jc w:val="center"/>
        <w:rPr>
          <w:rFonts w:hint="eastAsia" w:ascii="宋体" w:hAnsi="宋体" w:eastAsia="宋体" w:cs="宋体"/>
          <w:b/>
          <w:color w:val="auto"/>
          <w:kern w:val="0"/>
          <w:sz w:val="32"/>
          <w:szCs w:val="32"/>
        </w:rPr>
      </w:pPr>
    </w:p>
    <w:p w14:paraId="0F3C2E41">
      <w:pPr>
        <w:jc w:val="center"/>
        <w:rPr>
          <w:rFonts w:hint="eastAsia" w:ascii="宋体" w:hAnsi="宋体" w:eastAsia="宋体" w:cs="宋体"/>
          <w:b/>
          <w:color w:val="auto"/>
          <w:kern w:val="0"/>
          <w:sz w:val="32"/>
          <w:szCs w:val="32"/>
        </w:rPr>
      </w:pPr>
    </w:p>
    <w:p w14:paraId="4A1546F8">
      <w:pPr>
        <w:jc w:val="center"/>
        <w:rPr>
          <w:rFonts w:hint="eastAsia" w:ascii="宋体" w:hAnsi="宋体" w:eastAsia="宋体" w:cs="宋体"/>
          <w:b/>
          <w:color w:val="auto"/>
          <w:kern w:val="0"/>
          <w:sz w:val="32"/>
          <w:szCs w:val="32"/>
        </w:rPr>
      </w:pPr>
    </w:p>
    <w:p w14:paraId="267871B3">
      <w:pPr>
        <w:jc w:val="center"/>
        <w:rPr>
          <w:rFonts w:hint="eastAsia" w:ascii="宋体" w:hAnsi="宋体" w:eastAsia="宋体" w:cs="宋体"/>
          <w:b/>
          <w:color w:val="auto"/>
          <w:kern w:val="0"/>
          <w:sz w:val="32"/>
          <w:szCs w:val="32"/>
        </w:rPr>
      </w:pPr>
    </w:p>
    <w:p w14:paraId="26582A4F">
      <w:pPr>
        <w:jc w:val="center"/>
        <w:rPr>
          <w:rFonts w:hint="eastAsia" w:ascii="宋体" w:hAnsi="宋体" w:eastAsia="宋体" w:cs="宋体"/>
          <w:b/>
          <w:color w:val="auto"/>
          <w:kern w:val="0"/>
          <w:sz w:val="32"/>
          <w:szCs w:val="32"/>
        </w:rPr>
      </w:pPr>
    </w:p>
    <w:p w14:paraId="3DAD2528">
      <w:pPr>
        <w:jc w:val="center"/>
        <w:rPr>
          <w:rFonts w:hint="eastAsia" w:ascii="宋体" w:hAnsi="宋体" w:eastAsia="宋体" w:cs="宋体"/>
          <w:b/>
          <w:color w:val="auto"/>
          <w:kern w:val="0"/>
          <w:sz w:val="32"/>
          <w:szCs w:val="32"/>
        </w:rPr>
      </w:pPr>
    </w:p>
    <w:p w14:paraId="202A42AF">
      <w:pPr>
        <w:jc w:val="center"/>
        <w:rPr>
          <w:rFonts w:hint="eastAsia" w:ascii="宋体" w:hAnsi="宋体" w:eastAsia="宋体" w:cs="宋体"/>
          <w:b/>
          <w:color w:val="auto"/>
          <w:kern w:val="0"/>
          <w:sz w:val="32"/>
          <w:szCs w:val="32"/>
        </w:rPr>
      </w:pPr>
    </w:p>
    <w:p w14:paraId="218E39CB">
      <w:pPr>
        <w:jc w:val="center"/>
        <w:rPr>
          <w:rFonts w:hint="eastAsia" w:ascii="宋体" w:hAnsi="宋体" w:eastAsia="宋体" w:cs="宋体"/>
          <w:b/>
          <w:color w:val="auto"/>
          <w:kern w:val="0"/>
          <w:sz w:val="32"/>
          <w:szCs w:val="32"/>
        </w:rPr>
      </w:pPr>
    </w:p>
    <w:p w14:paraId="3F0D0C68">
      <w:pPr>
        <w:jc w:val="center"/>
        <w:rPr>
          <w:rFonts w:hint="eastAsia" w:ascii="宋体" w:hAnsi="宋体" w:eastAsia="宋体" w:cs="宋体"/>
          <w:b/>
          <w:color w:val="auto"/>
          <w:kern w:val="0"/>
          <w:sz w:val="32"/>
          <w:szCs w:val="32"/>
        </w:rPr>
      </w:pPr>
    </w:p>
    <w:p w14:paraId="4AF549A5">
      <w:pPr>
        <w:jc w:val="center"/>
        <w:rPr>
          <w:rFonts w:hint="eastAsia" w:ascii="宋体" w:hAnsi="宋体" w:eastAsia="宋体" w:cs="宋体"/>
          <w:b/>
          <w:color w:val="auto"/>
          <w:kern w:val="0"/>
          <w:sz w:val="32"/>
          <w:szCs w:val="32"/>
        </w:rPr>
      </w:pPr>
    </w:p>
    <w:p w14:paraId="620A9F09">
      <w:pPr>
        <w:jc w:val="center"/>
        <w:rPr>
          <w:rFonts w:hint="eastAsia" w:ascii="宋体" w:hAnsi="宋体" w:eastAsia="宋体" w:cs="宋体"/>
          <w:b/>
          <w:color w:val="auto"/>
          <w:kern w:val="0"/>
          <w:sz w:val="32"/>
          <w:szCs w:val="32"/>
        </w:rPr>
      </w:pPr>
    </w:p>
    <w:p w14:paraId="0B05D92C">
      <w:pPr>
        <w:jc w:val="center"/>
        <w:rPr>
          <w:rFonts w:hint="eastAsia" w:ascii="宋体" w:hAnsi="宋体" w:eastAsia="宋体" w:cs="宋体"/>
          <w:b/>
          <w:color w:val="auto"/>
          <w:kern w:val="0"/>
          <w:sz w:val="32"/>
          <w:szCs w:val="32"/>
        </w:rPr>
      </w:pPr>
    </w:p>
    <w:p w14:paraId="42058612">
      <w:pPr>
        <w:jc w:val="center"/>
        <w:rPr>
          <w:rFonts w:hint="eastAsia" w:ascii="宋体" w:hAnsi="宋体" w:eastAsia="宋体" w:cs="宋体"/>
          <w:b/>
          <w:color w:val="auto"/>
          <w:kern w:val="0"/>
          <w:sz w:val="32"/>
          <w:szCs w:val="32"/>
        </w:rPr>
      </w:pPr>
    </w:p>
    <w:p w14:paraId="120B455F">
      <w:pPr>
        <w:jc w:val="center"/>
        <w:rPr>
          <w:rFonts w:hint="eastAsia" w:ascii="宋体" w:hAnsi="宋体" w:eastAsia="宋体" w:cs="宋体"/>
          <w:b/>
          <w:color w:val="auto"/>
          <w:kern w:val="0"/>
          <w:sz w:val="32"/>
          <w:szCs w:val="32"/>
        </w:rPr>
      </w:pPr>
    </w:p>
    <w:p w14:paraId="5F9C5579">
      <w:pPr>
        <w:jc w:val="center"/>
        <w:rPr>
          <w:rFonts w:hint="eastAsia" w:ascii="宋体" w:hAnsi="宋体" w:eastAsia="宋体" w:cs="宋体"/>
          <w:b/>
          <w:color w:val="auto"/>
          <w:kern w:val="0"/>
          <w:sz w:val="32"/>
          <w:szCs w:val="32"/>
        </w:rPr>
      </w:pPr>
    </w:p>
    <w:p w14:paraId="40725080">
      <w:pPr>
        <w:jc w:val="center"/>
        <w:rPr>
          <w:rFonts w:hint="eastAsia" w:ascii="宋体" w:hAnsi="宋体" w:eastAsia="宋体" w:cs="宋体"/>
          <w:b/>
          <w:color w:val="auto"/>
          <w:kern w:val="0"/>
          <w:sz w:val="32"/>
          <w:szCs w:val="32"/>
        </w:rPr>
      </w:pPr>
    </w:p>
    <w:p w14:paraId="1BE37C04">
      <w:pPr>
        <w:jc w:val="center"/>
        <w:rPr>
          <w:rFonts w:hint="eastAsia" w:ascii="宋体" w:hAnsi="宋体" w:eastAsia="宋体" w:cs="宋体"/>
          <w:b/>
          <w:color w:val="auto"/>
          <w:kern w:val="0"/>
          <w:sz w:val="32"/>
          <w:szCs w:val="32"/>
        </w:rPr>
      </w:pPr>
    </w:p>
    <w:p w14:paraId="57DE5429">
      <w:pPr>
        <w:jc w:val="center"/>
        <w:rPr>
          <w:rFonts w:hint="eastAsia" w:ascii="宋体" w:hAnsi="宋体" w:eastAsia="宋体" w:cs="宋体"/>
          <w:b/>
          <w:color w:val="auto"/>
          <w:kern w:val="0"/>
          <w:sz w:val="32"/>
          <w:szCs w:val="32"/>
        </w:rPr>
      </w:pPr>
    </w:p>
    <w:p w14:paraId="14BE7BBA">
      <w:pPr>
        <w:jc w:val="center"/>
        <w:rPr>
          <w:rFonts w:hint="eastAsia" w:ascii="宋体" w:hAnsi="宋体" w:eastAsia="宋体" w:cs="宋体"/>
          <w:b/>
          <w:color w:val="auto"/>
          <w:kern w:val="0"/>
          <w:sz w:val="32"/>
          <w:szCs w:val="32"/>
        </w:rPr>
      </w:pPr>
    </w:p>
    <w:p w14:paraId="5D8FBB73">
      <w:pPr>
        <w:jc w:val="center"/>
        <w:rPr>
          <w:rFonts w:hint="eastAsia" w:ascii="宋体" w:hAnsi="宋体" w:eastAsia="宋体" w:cs="宋体"/>
          <w:b/>
          <w:color w:val="auto"/>
          <w:kern w:val="0"/>
          <w:sz w:val="32"/>
          <w:szCs w:val="32"/>
        </w:rPr>
      </w:pPr>
    </w:p>
    <w:p w14:paraId="5D631A07">
      <w:pPr>
        <w:jc w:val="center"/>
        <w:rPr>
          <w:rFonts w:hint="eastAsia" w:ascii="宋体" w:hAnsi="宋体" w:eastAsia="宋体" w:cs="宋体"/>
          <w:b/>
          <w:color w:val="auto"/>
          <w:kern w:val="0"/>
          <w:sz w:val="32"/>
          <w:szCs w:val="32"/>
        </w:rPr>
      </w:pPr>
    </w:p>
    <w:p w14:paraId="4A23DE5F">
      <w:pPr>
        <w:jc w:val="center"/>
        <w:rPr>
          <w:rFonts w:hint="eastAsia" w:ascii="宋体" w:hAnsi="宋体" w:eastAsia="宋体" w:cs="宋体"/>
          <w:b/>
          <w:color w:val="auto"/>
          <w:kern w:val="0"/>
          <w:sz w:val="32"/>
          <w:szCs w:val="32"/>
        </w:rPr>
      </w:pPr>
    </w:p>
    <w:p w14:paraId="5FE37D75">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14:paraId="669F5DB7">
      <w:pPr>
        <w:snapToGrid w:val="0"/>
        <w:spacing w:line="360" w:lineRule="auto"/>
        <w:rPr>
          <w:rFonts w:hint="eastAsia" w:ascii="宋体" w:hAnsi="宋体" w:eastAsia="宋体" w:cs="宋体"/>
          <w:color w:val="auto"/>
          <w:sz w:val="24"/>
        </w:rPr>
      </w:pPr>
    </w:p>
    <w:p w14:paraId="6DA707C3">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p>
    <w:p w14:paraId="1C7CC4B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3B0F5069">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cs="宋体"/>
          <w:color w:val="auto"/>
          <w:kern w:val="0"/>
          <w:sz w:val="24"/>
          <w:highlight w:val="none"/>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lang w:val="zh-CN"/>
        </w:rPr>
        <w:t>，手机：</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cs="宋体"/>
          <w:color w:val="auto"/>
          <w:sz w:val="24"/>
          <w:highlight w:val="none"/>
        </w:rPr>
        <w:t>（项目名称）</w:t>
      </w:r>
      <w:r>
        <w:rPr>
          <w:rFonts w:hint="eastAsia" w:ascii="宋体" w:hAnsi="宋体" w:eastAsia="宋体" w:cs="宋体"/>
          <w:color w:val="auto"/>
          <w:sz w:val="24"/>
        </w:rPr>
        <w:t>【招标编号：</w:t>
      </w:r>
      <w:r>
        <w:rPr>
          <w:rFonts w:hint="eastAsia" w:ascii="宋体" w:hAnsi="宋体" w:cs="宋体"/>
          <w:color w:val="auto"/>
          <w:sz w:val="24"/>
          <w:highlight w:val="none"/>
        </w:rPr>
        <w:t>（采购编号）</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14:paraId="36C260E8">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日起至</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日止。</w:t>
      </w:r>
    </w:p>
    <w:p w14:paraId="4910AC9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特此告知。</w:t>
      </w:r>
    </w:p>
    <w:p w14:paraId="5FD5E85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63C64273">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409A41FF">
      <w:pPr>
        <w:snapToGrid w:val="0"/>
        <w:spacing w:line="360" w:lineRule="auto"/>
        <w:rPr>
          <w:rFonts w:hint="eastAsia" w:ascii="宋体" w:hAnsi="宋体" w:eastAsia="宋体" w:cs="宋体"/>
          <w:color w:val="auto"/>
          <w:sz w:val="24"/>
        </w:rPr>
      </w:pPr>
    </w:p>
    <w:p w14:paraId="0FD779A1">
      <w:pPr>
        <w:snapToGrid w:val="0"/>
        <w:spacing w:line="360" w:lineRule="auto"/>
        <w:rPr>
          <w:rFonts w:hint="eastAsia" w:ascii="宋体" w:hAnsi="宋体" w:eastAsia="宋体" w:cs="宋体"/>
          <w:color w:val="auto"/>
          <w:sz w:val="24"/>
        </w:rPr>
      </w:pPr>
    </w:p>
    <w:p w14:paraId="2826769C">
      <w:pPr>
        <w:snapToGrid w:val="0"/>
        <w:spacing w:line="360" w:lineRule="auto"/>
        <w:rPr>
          <w:rFonts w:hint="eastAsia" w:ascii="宋体" w:hAnsi="宋体" w:eastAsia="宋体" w:cs="宋体"/>
          <w:color w:val="auto"/>
          <w:sz w:val="24"/>
        </w:rPr>
      </w:pPr>
    </w:p>
    <w:p w14:paraId="75686661">
      <w:pPr>
        <w:snapToGrid w:val="0"/>
        <w:spacing w:line="360" w:lineRule="auto"/>
        <w:ind w:firstLine="2872" w:firstLineChars="894"/>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授权委托书（</w:t>
      </w:r>
      <w:r>
        <w:rPr>
          <w:rFonts w:hint="eastAsia" w:ascii="宋体" w:hAnsi="宋体" w:cs="宋体"/>
          <w:b/>
          <w:color w:val="auto"/>
          <w:kern w:val="0"/>
          <w:sz w:val="32"/>
          <w:szCs w:val="32"/>
          <w:highlight w:val="none"/>
          <w:lang w:val="zh-CN"/>
        </w:rPr>
        <w:t>适用于联合体投标</w:t>
      </w:r>
      <w:r>
        <w:rPr>
          <w:rFonts w:hint="eastAsia" w:ascii="宋体" w:hAnsi="宋体" w:eastAsia="宋体" w:cs="宋体"/>
          <w:b/>
          <w:color w:val="auto"/>
          <w:kern w:val="0"/>
          <w:sz w:val="32"/>
          <w:szCs w:val="32"/>
          <w:lang w:val="zh-CN"/>
        </w:rPr>
        <w:t>）</w:t>
      </w:r>
    </w:p>
    <w:p w14:paraId="7304231E">
      <w:pPr>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（采购人）、（采购代理机构）：</w:t>
      </w:r>
    </w:p>
    <w:p w14:paraId="523BC8AA">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cs="宋体"/>
          <w:color w:val="auto"/>
          <w:kern w:val="0"/>
          <w:sz w:val="24"/>
          <w:highlight w:val="none"/>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lang w:val="zh-CN"/>
        </w:rPr>
        <w:t>，手机：</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w:t>
      </w:r>
      <w:r>
        <w:rPr>
          <w:rFonts w:hint="eastAsia" w:ascii="宋体" w:hAnsi="宋体" w:cs="宋体"/>
          <w:color w:val="auto"/>
          <w:sz w:val="24"/>
          <w:highlight w:val="none"/>
        </w:rPr>
        <w:t>项目名称</w:t>
      </w:r>
      <w:r>
        <w:rPr>
          <w:rFonts w:hint="eastAsia" w:ascii="宋体" w:hAnsi="宋体" w:eastAsia="宋体" w:cs="宋体"/>
          <w:color w:val="auto"/>
          <w:sz w:val="24"/>
        </w:rPr>
        <w:t>）【招标编号：（</w:t>
      </w:r>
      <w:r>
        <w:rPr>
          <w:rFonts w:hint="eastAsia" w:ascii="宋体" w:hAnsi="宋体" w:cs="宋体"/>
          <w:color w:val="auto"/>
          <w:sz w:val="24"/>
          <w:highlight w:val="none"/>
        </w:rPr>
        <w:t>采购编号</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14:paraId="2B10078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日止。</w:t>
      </w:r>
    </w:p>
    <w:p w14:paraId="0851372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特此告知。</w:t>
      </w:r>
    </w:p>
    <w:p w14:paraId="20ECB73E">
      <w:pPr>
        <w:jc w:val="center"/>
        <w:rPr>
          <w:rFonts w:hint="eastAsia" w:ascii="宋体" w:hAnsi="宋体" w:eastAsia="宋体" w:cs="宋体"/>
          <w:b/>
          <w:color w:val="auto"/>
          <w:kern w:val="0"/>
          <w:sz w:val="32"/>
          <w:szCs w:val="32"/>
        </w:rPr>
      </w:pPr>
    </w:p>
    <w:p w14:paraId="24B130FC">
      <w:pPr>
        <w:jc w:val="center"/>
        <w:rPr>
          <w:rFonts w:hint="eastAsia" w:ascii="宋体" w:hAnsi="宋体" w:eastAsia="宋体" w:cs="宋体"/>
          <w:b/>
          <w:color w:val="auto"/>
          <w:kern w:val="0"/>
          <w:sz w:val="32"/>
          <w:szCs w:val="32"/>
        </w:rPr>
      </w:pPr>
    </w:p>
    <w:p w14:paraId="7B336EAC">
      <w:pPr>
        <w:jc w:val="center"/>
        <w:rPr>
          <w:rFonts w:hint="eastAsia" w:ascii="宋体" w:hAnsi="宋体" w:eastAsia="宋体" w:cs="宋体"/>
          <w:b/>
          <w:color w:val="auto"/>
          <w:kern w:val="0"/>
          <w:sz w:val="32"/>
          <w:szCs w:val="32"/>
        </w:rPr>
      </w:pPr>
    </w:p>
    <w:p w14:paraId="6C1EB707">
      <w:pPr>
        <w:rPr>
          <w:rFonts w:hint="eastAsia" w:ascii="宋体" w:hAnsi="宋体" w:eastAsia="宋体" w:cs="宋体"/>
          <w:color w:val="auto"/>
        </w:rPr>
      </w:pPr>
    </w:p>
    <w:p w14:paraId="52673595">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7AB56A9C">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128CFDA">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35FF0A4F">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790A02F3">
      <w:pPr>
        <w:autoSpaceDE w:val="0"/>
        <w:autoSpaceDN w:val="0"/>
        <w:spacing w:line="360" w:lineRule="auto"/>
        <w:jc w:val="center"/>
        <w:rPr>
          <w:rFonts w:hint="eastAsia" w:ascii="宋体" w:hAnsi="宋体" w:eastAsia="宋体" w:cs="宋体"/>
          <w:b/>
          <w:color w:val="auto"/>
          <w:kern w:val="0"/>
          <w:sz w:val="32"/>
          <w:szCs w:val="32"/>
          <w:lang w:val="zh-CN"/>
        </w:rPr>
      </w:pPr>
    </w:p>
    <w:p w14:paraId="12E27166">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14:paraId="3B0AB12B">
      <w:pPr>
        <w:pStyle w:val="151"/>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E0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C8A88A">
            <w:pPr>
              <w:pStyle w:val="151"/>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63D9B830">
            <w:pPr>
              <w:pStyle w:val="151"/>
              <w:adjustRightInd w:val="0"/>
              <w:spacing w:line="360" w:lineRule="auto"/>
              <w:rPr>
                <w:rFonts w:hint="eastAsia" w:ascii="宋体" w:hAnsi="宋体" w:eastAsia="宋体" w:cs="宋体"/>
                <w:bCs/>
                <w:color w:val="auto"/>
                <w:sz w:val="24"/>
              </w:rPr>
            </w:pPr>
          </w:p>
        </w:tc>
      </w:tr>
    </w:tbl>
    <w:p w14:paraId="6ABD5CB6">
      <w:pPr>
        <w:snapToGrid w:val="0"/>
        <w:spacing w:line="360" w:lineRule="auto"/>
        <w:ind w:firstLine="576"/>
        <w:jc w:val="center"/>
        <w:rPr>
          <w:rFonts w:hint="eastAsia" w:ascii="宋体" w:hAnsi="宋体" w:eastAsia="宋体" w:cs="宋体"/>
          <w:color w:val="auto"/>
          <w:kern w:val="0"/>
          <w:sz w:val="24"/>
          <w:lang w:val="zh-CN"/>
        </w:rPr>
      </w:pPr>
    </w:p>
    <w:p w14:paraId="65A51B0F">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14:paraId="30003E89">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4435DC4B">
      <w:pPr>
        <w:jc w:val="center"/>
        <w:rPr>
          <w:rFonts w:hint="eastAsia" w:ascii="宋体" w:hAnsi="宋体" w:eastAsia="宋体" w:cs="宋体"/>
          <w:b/>
          <w:color w:val="auto"/>
          <w:kern w:val="0"/>
          <w:sz w:val="32"/>
          <w:szCs w:val="32"/>
        </w:rPr>
      </w:pPr>
    </w:p>
    <w:p w14:paraId="7CA9BE4D">
      <w:pPr>
        <w:jc w:val="center"/>
        <w:rPr>
          <w:rFonts w:hint="eastAsia" w:ascii="宋体" w:hAnsi="宋体" w:eastAsia="宋体" w:cs="宋体"/>
          <w:b/>
          <w:color w:val="auto"/>
          <w:kern w:val="0"/>
          <w:sz w:val="32"/>
          <w:szCs w:val="32"/>
        </w:rPr>
      </w:pPr>
    </w:p>
    <w:p w14:paraId="40BFD906">
      <w:pPr>
        <w:jc w:val="center"/>
        <w:rPr>
          <w:rFonts w:hint="eastAsia" w:ascii="宋体" w:hAnsi="宋体" w:eastAsia="宋体" w:cs="宋体"/>
          <w:b/>
          <w:color w:val="auto"/>
          <w:kern w:val="0"/>
          <w:sz w:val="32"/>
          <w:szCs w:val="32"/>
        </w:rPr>
      </w:pPr>
    </w:p>
    <w:p w14:paraId="1E6E5FA0">
      <w:pPr>
        <w:jc w:val="center"/>
        <w:rPr>
          <w:rFonts w:hint="eastAsia" w:ascii="宋体" w:hAnsi="宋体" w:eastAsia="宋体" w:cs="宋体"/>
          <w:b/>
          <w:color w:val="auto"/>
          <w:kern w:val="0"/>
          <w:sz w:val="32"/>
          <w:szCs w:val="32"/>
        </w:rPr>
      </w:pPr>
    </w:p>
    <w:p w14:paraId="020D509C">
      <w:pPr>
        <w:jc w:val="center"/>
        <w:rPr>
          <w:rFonts w:hint="eastAsia" w:ascii="宋体" w:hAnsi="宋体" w:eastAsia="宋体" w:cs="宋体"/>
          <w:b/>
          <w:color w:val="auto"/>
          <w:kern w:val="0"/>
          <w:sz w:val="32"/>
          <w:szCs w:val="32"/>
        </w:rPr>
      </w:pPr>
    </w:p>
    <w:p w14:paraId="445DB6A8">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0C249B7A">
      <w:pPr>
        <w:snapToGrid w:val="0"/>
        <w:spacing w:line="360" w:lineRule="auto"/>
        <w:ind w:right="480"/>
        <w:rPr>
          <w:rFonts w:hint="eastAsia" w:ascii="宋体" w:hAnsi="宋体" w:eastAsia="宋体" w:cs="宋体"/>
          <w:b/>
          <w:color w:val="auto"/>
          <w:kern w:val="0"/>
          <w:sz w:val="32"/>
          <w:szCs w:val="32"/>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14:paraId="703CF494">
      <w:pPr>
        <w:snapToGrid w:val="0"/>
        <w:spacing w:line="360" w:lineRule="auto"/>
        <w:ind w:firstLine="1285" w:firstLineChars="400"/>
        <w:jc w:val="both"/>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三、分包意向协议（如果有）</w:t>
      </w:r>
    </w:p>
    <w:p w14:paraId="0966DD39">
      <w:pPr>
        <w:widowControl/>
        <w:spacing w:line="360" w:lineRule="auto"/>
        <w:ind w:firstLine="120" w:firstLineChars="50"/>
        <w:jc w:val="left"/>
        <w:rPr>
          <w:rFonts w:hint="eastAsia" w:ascii="宋体" w:hAnsi="宋体" w:eastAsia="宋体" w:cs="宋体"/>
          <w:color w:val="auto"/>
          <w:sz w:val="24"/>
        </w:rPr>
      </w:pPr>
      <w:bookmarkStart w:id="557" w:name="_Hlk101169080"/>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bookmarkEnd w:id="557"/>
    <w:p w14:paraId="5C8F4C90">
      <w:pPr>
        <w:snapToGrid w:val="0"/>
        <w:spacing w:line="360" w:lineRule="auto"/>
        <w:rPr>
          <w:rFonts w:hint="eastAsia" w:ascii="宋体" w:hAnsi="宋体" w:eastAsia="宋体" w:cs="宋体"/>
          <w:color w:val="auto"/>
          <w:kern w:val="0"/>
          <w:sz w:val="24"/>
        </w:rPr>
      </w:pPr>
    </w:p>
    <w:p w14:paraId="62887705">
      <w:pPr>
        <w:jc w:val="center"/>
        <w:rPr>
          <w:rFonts w:hint="eastAsia" w:ascii="宋体" w:hAnsi="宋体" w:eastAsia="宋体" w:cs="宋体"/>
          <w:b/>
          <w:color w:val="auto"/>
          <w:kern w:val="0"/>
          <w:sz w:val="32"/>
          <w:szCs w:val="32"/>
        </w:rPr>
      </w:pPr>
    </w:p>
    <w:p w14:paraId="430B3BAB">
      <w:pPr>
        <w:pStyle w:val="3"/>
        <w:rPr>
          <w:rFonts w:hint="eastAsia" w:ascii="宋体" w:hAnsi="宋体" w:eastAsia="宋体" w:cs="宋体"/>
          <w:color w:val="auto"/>
          <w:lang w:val="en-US"/>
        </w:rPr>
      </w:pPr>
    </w:p>
    <w:p w14:paraId="5A1D118F">
      <w:pPr>
        <w:rPr>
          <w:rFonts w:hint="eastAsia" w:ascii="宋体" w:hAnsi="宋体" w:eastAsia="宋体" w:cs="宋体"/>
          <w:color w:val="auto"/>
        </w:rPr>
      </w:pPr>
    </w:p>
    <w:p w14:paraId="0F820B99">
      <w:pPr>
        <w:pStyle w:val="3"/>
        <w:rPr>
          <w:rFonts w:hint="eastAsia" w:ascii="宋体" w:hAnsi="宋体" w:eastAsia="宋体" w:cs="宋体"/>
          <w:color w:val="auto"/>
          <w:lang w:val="en-US"/>
        </w:rPr>
      </w:pPr>
    </w:p>
    <w:p w14:paraId="639E417D">
      <w:pPr>
        <w:jc w:val="center"/>
        <w:rPr>
          <w:rFonts w:hint="eastAsia" w:ascii="宋体" w:hAnsi="宋体" w:eastAsia="宋体" w:cs="宋体"/>
          <w:b/>
          <w:color w:val="auto"/>
          <w:kern w:val="0"/>
          <w:sz w:val="32"/>
          <w:szCs w:val="32"/>
        </w:rPr>
      </w:pPr>
    </w:p>
    <w:p w14:paraId="2A50691B">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14:paraId="1EBF85D9">
      <w:pPr>
        <w:jc w:val="center"/>
        <w:rPr>
          <w:rFonts w:hint="eastAsia" w:ascii="宋体" w:hAnsi="宋体" w:eastAsia="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7D0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96E710">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4991" w:type="dxa"/>
            <w:vAlign w:val="center"/>
          </w:tcPr>
          <w:p w14:paraId="1DEA8101">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2551" w:type="dxa"/>
            <w:vAlign w:val="center"/>
          </w:tcPr>
          <w:p w14:paraId="11299AEA">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14:paraId="39C1C010">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14:paraId="3E331000">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14:paraId="3351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C697CA">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991" w:type="dxa"/>
          </w:tcPr>
          <w:p w14:paraId="25150760">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2551" w:type="dxa"/>
            <w:vAlign w:val="center"/>
          </w:tcPr>
          <w:p w14:paraId="5D89BFD1">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tcPr>
          <w:p w14:paraId="700C8C03">
            <w:pPr>
              <w:rPr>
                <w:rFonts w:hint="eastAsia" w:ascii="宋体" w:hAnsi="宋体" w:eastAsia="宋体" w:cs="宋体"/>
                <w:color w:val="auto"/>
                <w:sz w:val="24"/>
              </w:rPr>
            </w:pPr>
          </w:p>
          <w:p w14:paraId="7CA0453C">
            <w:pPr>
              <w:rPr>
                <w:rFonts w:hint="eastAsia" w:ascii="宋体" w:hAnsi="宋体" w:eastAsia="宋体" w:cs="宋体"/>
                <w:color w:val="auto"/>
                <w:sz w:val="24"/>
              </w:rPr>
            </w:pPr>
            <w:r>
              <w:rPr>
                <w:rFonts w:hint="eastAsia" w:ascii="宋体" w:hAnsi="宋体" w:eastAsia="宋体" w:cs="宋体"/>
                <w:color w:val="auto"/>
                <w:sz w:val="24"/>
              </w:rPr>
              <w:t>见投标文件</w:t>
            </w:r>
          </w:p>
          <w:p w14:paraId="232949F0">
            <w:pPr>
              <w:rPr>
                <w:rFonts w:hint="eastAsia" w:ascii="宋体" w:hAnsi="宋体" w:eastAsia="宋体" w:cs="宋体"/>
                <w:color w:val="auto"/>
              </w:rPr>
            </w:pPr>
            <w:r>
              <w:rPr>
                <w:rFonts w:hint="eastAsia" w:ascii="宋体" w:hAnsi="宋体" w:eastAsia="宋体" w:cs="宋体"/>
                <w:color w:val="auto"/>
                <w:sz w:val="24"/>
              </w:rPr>
              <w:t>第页</w:t>
            </w:r>
          </w:p>
        </w:tc>
      </w:tr>
      <w:tr w14:paraId="1D7A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79F8F5">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4991" w:type="dxa"/>
          </w:tcPr>
          <w:p w14:paraId="7DAD94A1">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2551" w:type="dxa"/>
            <w:vAlign w:val="center"/>
          </w:tcPr>
          <w:p w14:paraId="3BEB8735">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tcPr>
          <w:p w14:paraId="6B7003DD">
            <w:pPr>
              <w:rPr>
                <w:rFonts w:hint="eastAsia" w:ascii="宋体" w:hAnsi="宋体" w:eastAsia="宋体" w:cs="宋体"/>
                <w:color w:val="auto"/>
              </w:rPr>
            </w:pPr>
            <w:r>
              <w:rPr>
                <w:rFonts w:hint="eastAsia" w:ascii="宋体" w:hAnsi="宋体" w:eastAsia="宋体" w:cs="宋体"/>
                <w:color w:val="auto"/>
                <w:sz w:val="24"/>
              </w:rPr>
              <w:t>见投标文件第页</w:t>
            </w:r>
          </w:p>
        </w:tc>
      </w:tr>
      <w:tr w14:paraId="5651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32FB1D">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4991" w:type="dxa"/>
          </w:tcPr>
          <w:p w14:paraId="12BF8029">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2551" w:type="dxa"/>
            <w:vAlign w:val="center"/>
          </w:tcPr>
          <w:p w14:paraId="144212D2">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418" w:type="dxa"/>
          </w:tcPr>
          <w:p w14:paraId="014EA376">
            <w:pPr>
              <w:rPr>
                <w:rFonts w:hint="eastAsia" w:ascii="宋体" w:hAnsi="宋体" w:eastAsia="宋体" w:cs="宋体"/>
                <w:color w:val="auto"/>
              </w:rPr>
            </w:pPr>
            <w:r>
              <w:rPr>
                <w:rFonts w:hint="eastAsia" w:ascii="宋体" w:hAnsi="宋体" w:eastAsia="宋体" w:cs="宋体"/>
                <w:color w:val="auto"/>
                <w:sz w:val="24"/>
              </w:rPr>
              <w:t>见投标文件第页</w:t>
            </w:r>
          </w:p>
        </w:tc>
      </w:tr>
    </w:tbl>
    <w:p w14:paraId="5C0AE8B5">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167309BE">
      <w:pPr>
        <w:jc w:val="center"/>
        <w:rPr>
          <w:rFonts w:hint="eastAsia" w:ascii="宋体" w:hAnsi="宋体" w:eastAsia="宋体" w:cs="宋体"/>
          <w:b/>
          <w:color w:val="auto"/>
          <w:kern w:val="0"/>
          <w:sz w:val="32"/>
          <w:szCs w:val="32"/>
        </w:rPr>
      </w:pPr>
    </w:p>
    <w:p w14:paraId="2F8F8A41">
      <w:pPr>
        <w:jc w:val="center"/>
        <w:rPr>
          <w:rFonts w:hint="eastAsia" w:ascii="宋体" w:hAnsi="宋体" w:eastAsia="宋体" w:cs="宋体"/>
          <w:b/>
          <w:color w:val="auto"/>
          <w:kern w:val="0"/>
          <w:sz w:val="32"/>
          <w:szCs w:val="32"/>
        </w:rPr>
      </w:pPr>
    </w:p>
    <w:p w14:paraId="6390C027">
      <w:pPr>
        <w:jc w:val="center"/>
        <w:rPr>
          <w:rFonts w:hint="eastAsia" w:ascii="宋体" w:hAnsi="宋体" w:eastAsia="宋体" w:cs="宋体"/>
          <w:b/>
          <w:color w:val="auto"/>
          <w:kern w:val="0"/>
          <w:sz w:val="32"/>
          <w:szCs w:val="32"/>
        </w:rPr>
      </w:pPr>
    </w:p>
    <w:p w14:paraId="3AEFBE84">
      <w:pPr>
        <w:jc w:val="center"/>
        <w:rPr>
          <w:rFonts w:hint="eastAsia" w:ascii="宋体" w:hAnsi="宋体" w:eastAsia="宋体" w:cs="宋体"/>
          <w:b/>
          <w:color w:val="auto"/>
          <w:kern w:val="0"/>
          <w:sz w:val="32"/>
          <w:szCs w:val="32"/>
        </w:rPr>
      </w:pPr>
    </w:p>
    <w:p w14:paraId="2D33D2F3">
      <w:pPr>
        <w:jc w:val="center"/>
        <w:rPr>
          <w:rFonts w:hint="eastAsia" w:ascii="宋体" w:hAnsi="宋体" w:eastAsia="宋体" w:cs="宋体"/>
          <w:b/>
          <w:color w:val="auto"/>
          <w:kern w:val="0"/>
          <w:sz w:val="32"/>
          <w:szCs w:val="32"/>
        </w:rPr>
      </w:pPr>
    </w:p>
    <w:p w14:paraId="510F828C">
      <w:pPr>
        <w:jc w:val="center"/>
        <w:rPr>
          <w:rFonts w:hint="eastAsia" w:ascii="宋体" w:hAnsi="宋体" w:eastAsia="宋体" w:cs="宋体"/>
          <w:b/>
          <w:color w:val="auto"/>
          <w:kern w:val="0"/>
          <w:sz w:val="32"/>
          <w:szCs w:val="32"/>
        </w:rPr>
      </w:pPr>
    </w:p>
    <w:p w14:paraId="53832FC8">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65814C7D">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14:paraId="09513CDC">
      <w:pPr>
        <w:snapToGrid w:val="0"/>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（按招标文件第四部分评标办法前附表中“投标文件中评标标准相应的商务技术资料目录”提供资料。）</w:t>
      </w:r>
    </w:p>
    <w:p w14:paraId="38E5B646">
      <w:pPr>
        <w:jc w:val="center"/>
        <w:rPr>
          <w:rFonts w:hint="eastAsia" w:ascii="宋体" w:hAnsi="宋体" w:eastAsia="宋体" w:cs="宋体"/>
          <w:b/>
          <w:color w:val="auto"/>
          <w:kern w:val="0"/>
          <w:sz w:val="32"/>
          <w:szCs w:val="32"/>
        </w:rPr>
      </w:pPr>
    </w:p>
    <w:p w14:paraId="247BCB27">
      <w:pPr>
        <w:jc w:val="center"/>
        <w:rPr>
          <w:rFonts w:hint="eastAsia" w:ascii="宋体" w:hAnsi="宋体" w:eastAsia="宋体" w:cs="宋体"/>
          <w:b/>
          <w:color w:val="auto"/>
          <w:kern w:val="0"/>
          <w:sz w:val="32"/>
          <w:szCs w:val="32"/>
        </w:rPr>
      </w:pPr>
    </w:p>
    <w:p w14:paraId="29BA8181">
      <w:pPr>
        <w:jc w:val="center"/>
        <w:rPr>
          <w:rFonts w:hint="eastAsia" w:ascii="宋体" w:hAnsi="宋体" w:eastAsia="宋体" w:cs="宋体"/>
          <w:b/>
          <w:color w:val="auto"/>
          <w:kern w:val="0"/>
          <w:sz w:val="32"/>
          <w:szCs w:val="32"/>
        </w:rPr>
      </w:pPr>
    </w:p>
    <w:p w14:paraId="2A9734F6">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56"/>
        <w:gridCol w:w="1850"/>
        <w:gridCol w:w="1343"/>
        <w:gridCol w:w="1673"/>
      </w:tblGrid>
      <w:tr w14:paraId="7452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26314">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1BBAB3">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956" w:type="dxa"/>
            <w:tcBorders>
              <w:top w:val="single" w:color="auto" w:sz="4" w:space="0"/>
              <w:left w:val="single" w:color="auto" w:sz="4" w:space="0"/>
              <w:bottom w:val="single" w:color="auto" w:sz="4" w:space="0"/>
              <w:right w:val="single" w:color="auto" w:sz="4" w:space="0"/>
            </w:tcBorders>
            <w:vAlign w:val="center"/>
          </w:tcPr>
          <w:p w14:paraId="7F0E7FC1">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1850" w:type="dxa"/>
            <w:tcBorders>
              <w:top w:val="single" w:color="auto" w:sz="4" w:space="0"/>
              <w:left w:val="single" w:color="auto" w:sz="4" w:space="0"/>
              <w:bottom w:val="single" w:color="auto" w:sz="4" w:space="0"/>
              <w:right w:val="single" w:color="auto" w:sz="4" w:space="0"/>
            </w:tcBorders>
            <w:vAlign w:val="center"/>
          </w:tcPr>
          <w:p w14:paraId="5FC9098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规格型号</w:t>
            </w:r>
          </w:p>
        </w:tc>
        <w:tc>
          <w:tcPr>
            <w:tcW w:w="1343" w:type="dxa"/>
            <w:tcBorders>
              <w:top w:val="single" w:color="auto" w:sz="4" w:space="0"/>
              <w:left w:val="single" w:color="auto" w:sz="4" w:space="0"/>
              <w:bottom w:val="single" w:color="auto" w:sz="4" w:space="0"/>
              <w:right w:val="single" w:color="auto" w:sz="4" w:space="0"/>
            </w:tcBorders>
            <w:vAlign w:val="center"/>
          </w:tcPr>
          <w:p w14:paraId="3B2397B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2378872">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w:t>
            </w:r>
          </w:p>
        </w:tc>
      </w:tr>
      <w:tr w14:paraId="2FB6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B382F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3F0E5A">
            <w:pPr>
              <w:snapToGrid w:val="0"/>
              <w:spacing w:line="360" w:lineRule="auto"/>
              <w:jc w:val="center"/>
              <w:rPr>
                <w:rFonts w:hint="eastAsia" w:ascii="宋体" w:hAnsi="宋体" w:eastAsia="宋体" w:cs="宋体"/>
                <w:color w:val="auto"/>
                <w:sz w:val="24"/>
              </w:rPr>
            </w:pPr>
          </w:p>
        </w:tc>
        <w:tc>
          <w:tcPr>
            <w:tcW w:w="1956" w:type="dxa"/>
            <w:tcBorders>
              <w:top w:val="single" w:color="auto" w:sz="4" w:space="0"/>
              <w:left w:val="single" w:color="auto" w:sz="4" w:space="0"/>
              <w:bottom w:val="single" w:color="auto" w:sz="4" w:space="0"/>
              <w:right w:val="single" w:color="auto" w:sz="4" w:space="0"/>
            </w:tcBorders>
            <w:vAlign w:val="center"/>
          </w:tcPr>
          <w:p w14:paraId="099A86D0">
            <w:pPr>
              <w:snapToGrid w:val="0"/>
              <w:spacing w:line="360" w:lineRule="auto"/>
              <w:jc w:val="center"/>
              <w:rPr>
                <w:rFonts w:hint="eastAsia" w:ascii="宋体" w:hAnsi="宋体" w:eastAsia="宋体" w:cs="宋体"/>
                <w:color w:val="auto"/>
                <w:sz w:val="24"/>
              </w:rPr>
            </w:pPr>
          </w:p>
        </w:tc>
        <w:tc>
          <w:tcPr>
            <w:tcW w:w="1850" w:type="dxa"/>
            <w:tcBorders>
              <w:top w:val="single" w:color="auto" w:sz="4" w:space="0"/>
              <w:left w:val="single" w:color="auto" w:sz="4" w:space="0"/>
              <w:bottom w:val="single" w:color="auto" w:sz="4" w:space="0"/>
              <w:right w:val="single" w:color="auto" w:sz="4" w:space="0"/>
            </w:tcBorders>
            <w:vAlign w:val="center"/>
          </w:tcPr>
          <w:p w14:paraId="5CFF226E">
            <w:pPr>
              <w:snapToGrid w:val="0"/>
              <w:spacing w:line="360" w:lineRule="auto"/>
              <w:jc w:val="center"/>
              <w:rPr>
                <w:rFonts w:hint="eastAsia" w:ascii="宋体" w:hAnsi="宋体" w:eastAsia="宋体" w:cs="宋体"/>
                <w:color w:val="auto"/>
                <w:sz w:val="24"/>
              </w:rPr>
            </w:pPr>
          </w:p>
        </w:tc>
        <w:tc>
          <w:tcPr>
            <w:tcW w:w="1343" w:type="dxa"/>
            <w:tcBorders>
              <w:top w:val="single" w:color="auto" w:sz="4" w:space="0"/>
              <w:left w:val="single" w:color="auto" w:sz="4" w:space="0"/>
              <w:bottom w:val="single" w:color="auto" w:sz="4" w:space="0"/>
              <w:right w:val="single" w:color="auto" w:sz="4" w:space="0"/>
            </w:tcBorders>
            <w:vAlign w:val="center"/>
          </w:tcPr>
          <w:p w14:paraId="5990F9A1">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38505CF">
            <w:pPr>
              <w:spacing w:line="360" w:lineRule="auto"/>
              <w:jc w:val="center"/>
              <w:rPr>
                <w:rFonts w:hint="eastAsia" w:ascii="宋体" w:hAnsi="宋体" w:eastAsia="宋体" w:cs="宋体"/>
                <w:color w:val="auto"/>
                <w:sz w:val="24"/>
              </w:rPr>
            </w:pPr>
          </w:p>
        </w:tc>
      </w:tr>
      <w:tr w14:paraId="38DB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CA9B9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ED122A9">
            <w:pPr>
              <w:snapToGrid w:val="0"/>
              <w:spacing w:line="360" w:lineRule="auto"/>
              <w:jc w:val="center"/>
              <w:rPr>
                <w:rFonts w:hint="eastAsia" w:ascii="宋体" w:hAnsi="宋体" w:eastAsia="宋体" w:cs="宋体"/>
                <w:color w:val="auto"/>
                <w:sz w:val="24"/>
              </w:rPr>
            </w:pPr>
          </w:p>
        </w:tc>
        <w:tc>
          <w:tcPr>
            <w:tcW w:w="1956" w:type="dxa"/>
            <w:tcBorders>
              <w:top w:val="single" w:color="auto" w:sz="4" w:space="0"/>
              <w:left w:val="single" w:color="auto" w:sz="4" w:space="0"/>
              <w:bottom w:val="single" w:color="auto" w:sz="4" w:space="0"/>
              <w:right w:val="single" w:color="auto" w:sz="4" w:space="0"/>
            </w:tcBorders>
            <w:vAlign w:val="center"/>
          </w:tcPr>
          <w:p w14:paraId="5CA8BCCC">
            <w:pPr>
              <w:snapToGrid w:val="0"/>
              <w:spacing w:line="360" w:lineRule="auto"/>
              <w:jc w:val="center"/>
              <w:rPr>
                <w:rFonts w:hint="eastAsia" w:ascii="宋体" w:hAnsi="宋体" w:eastAsia="宋体" w:cs="宋体"/>
                <w:color w:val="auto"/>
                <w:sz w:val="24"/>
              </w:rPr>
            </w:pPr>
          </w:p>
        </w:tc>
        <w:tc>
          <w:tcPr>
            <w:tcW w:w="1850" w:type="dxa"/>
            <w:tcBorders>
              <w:top w:val="single" w:color="auto" w:sz="4" w:space="0"/>
              <w:left w:val="single" w:color="auto" w:sz="4" w:space="0"/>
              <w:bottom w:val="single" w:color="auto" w:sz="4" w:space="0"/>
              <w:right w:val="single" w:color="auto" w:sz="4" w:space="0"/>
            </w:tcBorders>
            <w:vAlign w:val="center"/>
          </w:tcPr>
          <w:p w14:paraId="557515DC">
            <w:pPr>
              <w:snapToGrid w:val="0"/>
              <w:spacing w:line="360" w:lineRule="auto"/>
              <w:jc w:val="center"/>
              <w:rPr>
                <w:rFonts w:hint="eastAsia" w:ascii="宋体" w:hAnsi="宋体" w:eastAsia="宋体" w:cs="宋体"/>
                <w:color w:val="auto"/>
                <w:sz w:val="24"/>
              </w:rPr>
            </w:pPr>
          </w:p>
        </w:tc>
        <w:tc>
          <w:tcPr>
            <w:tcW w:w="1343" w:type="dxa"/>
            <w:tcBorders>
              <w:top w:val="single" w:color="auto" w:sz="4" w:space="0"/>
              <w:left w:val="single" w:color="auto" w:sz="4" w:space="0"/>
              <w:bottom w:val="single" w:color="auto" w:sz="4" w:space="0"/>
              <w:right w:val="single" w:color="auto" w:sz="4" w:space="0"/>
            </w:tcBorders>
            <w:vAlign w:val="center"/>
          </w:tcPr>
          <w:p w14:paraId="2472C0B0">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17F2D72">
            <w:pPr>
              <w:spacing w:line="360" w:lineRule="auto"/>
              <w:jc w:val="center"/>
              <w:rPr>
                <w:rFonts w:hint="eastAsia" w:ascii="宋体" w:hAnsi="宋体" w:eastAsia="宋体" w:cs="宋体"/>
                <w:color w:val="auto"/>
                <w:sz w:val="24"/>
              </w:rPr>
            </w:pPr>
          </w:p>
        </w:tc>
      </w:tr>
      <w:tr w14:paraId="2F09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0D9409">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B23EECC">
            <w:pPr>
              <w:snapToGrid w:val="0"/>
              <w:spacing w:line="360" w:lineRule="auto"/>
              <w:jc w:val="center"/>
              <w:rPr>
                <w:rFonts w:hint="eastAsia" w:ascii="宋体" w:hAnsi="宋体" w:eastAsia="宋体" w:cs="宋体"/>
                <w:color w:val="auto"/>
                <w:sz w:val="24"/>
              </w:rPr>
            </w:pPr>
          </w:p>
        </w:tc>
        <w:tc>
          <w:tcPr>
            <w:tcW w:w="1956" w:type="dxa"/>
            <w:tcBorders>
              <w:top w:val="single" w:color="auto" w:sz="4" w:space="0"/>
              <w:left w:val="single" w:color="auto" w:sz="4" w:space="0"/>
              <w:bottom w:val="single" w:color="auto" w:sz="4" w:space="0"/>
              <w:right w:val="single" w:color="auto" w:sz="4" w:space="0"/>
            </w:tcBorders>
            <w:vAlign w:val="center"/>
          </w:tcPr>
          <w:p w14:paraId="73A2E883">
            <w:pPr>
              <w:snapToGrid w:val="0"/>
              <w:spacing w:line="360" w:lineRule="auto"/>
              <w:jc w:val="center"/>
              <w:rPr>
                <w:rFonts w:hint="eastAsia" w:ascii="宋体" w:hAnsi="宋体" w:eastAsia="宋体" w:cs="宋体"/>
                <w:color w:val="auto"/>
                <w:sz w:val="24"/>
              </w:rPr>
            </w:pPr>
          </w:p>
        </w:tc>
        <w:tc>
          <w:tcPr>
            <w:tcW w:w="1850" w:type="dxa"/>
            <w:tcBorders>
              <w:top w:val="single" w:color="auto" w:sz="4" w:space="0"/>
              <w:left w:val="single" w:color="auto" w:sz="4" w:space="0"/>
              <w:bottom w:val="single" w:color="auto" w:sz="4" w:space="0"/>
              <w:right w:val="single" w:color="auto" w:sz="4" w:space="0"/>
            </w:tcBorders>
            <w:vAlign w:val="center"/>
          </w:tcPr>
          <w:p w14:paraId="58D02A81">
            <w:pPr>
              <w:snapToGrid w:val="0"/>
              <w:spacing w:line="360" w:lineRule="auto"/>
              <w:jc w:val="center"/>
              <w:rPr>
                <w:rFonts w:hint="eastAsia" w:ascii="宋体" w:hAnsi="宋体" w:eastAsia="宋体" w:cs="宋体"/>
                <w:color w:val="auto"/>
                <w:sz w:val="24"/>
              </w:rPr>
            </w:pPr>
          </w:p>
        </w:tc>
        <w:tc>
          <w:tcPr>
            <w:tcW w:w="1343" w:type="dxa"/>
            <w:tcBorders>
              <w:top w:val="single" w:color="auto" w:sz="4" w:space="0"/>
              <w:left w:val="single" w:color="auto" w:sz="4" w:space="0"/>
              <w:bottom w:val="single" w:color="auto" w:sz="4" w:space="0"/>
              <w:right w:val="single" w:color="auto" w:sz="4" w:space="0"/>
            </w:tcBorders>
            <w:vAlign w:val="center"/>
          </w:tcPr>
          <w:p w14:paraId="22B54060">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28054AA">
            <w:pPr>
              <w:spacing w:line="360" w:lineRule="auto"/>
              <w:jc w:val="center"/>
              <w:rPr>
                <w:rFonts w:hint="eastAsia" w:ascii="宋体" w:hAnsi="宋体" w:eastAsia="宋体" w:cs="宋体"/>
                <w:color w:val="auto"/>
                <w:sz w:val="24"/>
              </w:rPr>
            </w:pPr>
          </w:p>
        </w:tc>
      </w:tr>
    </w:tbl>
    <w:p w14:paraId="01F454DF">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238B461">
      <w:pPr>
        <w:jc w:val="center"/>
        <w:rPr>
          <w:rFonts w:hint="eastAsia" w:ascii="宋体" w:hAnsi="宋体" w:eastAsia="宋体" w:cs="宋体"/>
          <w:b/>
          <w:color w:val="auto"/>
          <w:kern w:val="0"/>
          <w:sz w:val="32"/>
          <w:szCs w:val="32"/>
        </w:rPr>
      </w:pPr>
    </w:p>
    <w:p w14:paraId="69C36941">
      <w:pPr>
        <w:jc w:val="center"/>
        <w:rPr>
          <w:rFonts w:hint="eastAsia" w:ascii="宋体" w:hAnsi="宋体" w:eastAsia="宋体" w:cs="宋体"/>
          <w:b/>
          <w:color w:val="auto"/>
          <w:kern w:val="0"/>
          <w:sz w:val="32"/>
          <w:szCs w:val="32"/>
        </w:rPr>
      </w:pPr>
    </w:p>
    <w:p w14:paraId="4D7E53C3">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68F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59F83713">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tcPr>
          <w:p w14:paraId="695F32A8">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tcPr>
          <w:p w14:paraId="295DDE90">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tcPr>
          <w:p w14:paraId="562106C5">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14:paraId="772F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E92BB3">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tcPr>
          <w:p w14:paraId="0C266498">
            <w:pPr>
              <w:jc w:val="center"/>
              <w:rPr>
                <w:rFonts w:hint="eastAsia" w:ascii="宋体" w:hAnsi="宋体" w:eastAsia="宋体" w:cs="宋体"/>
                <w:b/>
                <w:color w:val="auto"/>
                <w:kern w:val="0"/>
                <w:sz w:val="32"/>
                <w:szCs w:val="32"/>
              </w:rPr>
            </w:pPr>
          </w:p>
        </w:tc>
        <w:tc>
          <w:tcPr>
            <w:tcW w:w="3546" w:type="dxa"/>
          </w:tcPr>
          <w:p w14:paraId="1CA80024">
            <w:pPr>
              <w:jc w:val="center"/>
              <w:rPr>
                <w:rFonts w:hint="eastAsia" w:ascii="宋体" w:hAnsi="宋体" w:eastAsia="宋体" w:cs="宋体"/>
                <w:b/>
                <w:color w:val="auto"/>
                <w:kern w:val="0"/>
                <w:sz w:val="32"/>
                <w:szCs w:val="32"/>
              </w:rPr>
            </w:pPr>
          </w:p>
        </w:tc>
        <w:tc>
          <w:tcPr>
            <w:tcW w:w="1276" w:type="dxa"/>
          </w:tcPr>
          <w:p w14:paraId="3EC1623E">
            <w:pPr>
              <w:jc w:val="center"/>
              <w:rPr>
                <w:rFonts w:hint="eastAsia" w:ascii="宋体" w:hAnsi="宋体" w:eastAsia="宋体" w:cs="宋体"/>
                <w:b/>
                <w:color w:val="auto"/>
                <w:kern w:val="0"/>
                <w:sz w:val="32"/>
                <w:szCs w:val="32"/>
              </w:rPr>
            </w:pPr>
          </w:p>
        </w:tc>
      </w:tr>
      <w:tr w14:paraId="0DF3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31FD67">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tcPr>
          <w:p w14:paraId="1F0D9A56">
            <w:pPr>
              <w:jc w:val="center"/>
              <w:rPr>
                <w:rFonts w:hint="eastAsia" w:ascii="宋体" w:hAnsi="宋体" w:eastAsia="宋体" w:cs="宋体"/>
                <w:b/>
                <w:color w:val="auto"/>
                <w:kern w:val="0"/>
                <w:sz w:val="32"/>
                <w:szCs w:val="32"/>
              </w:rPr>
            </w:pPr>
          </w:p>
        </w:tc>
        <w:tc>
          <w:tcPr>
            <w:tcW w:w="3546" w:type="dxa"/>
          </w:tcPr>
          <w:p w14:paraId="4B8196A6">
            <w:pPr>
              <w:jc w:val="center"/>
              <w:rPr>
                <w:rFonts w:hint="eastAsia" w:ascii="宋体" w:hAnsi="宋体" w:eastAsia="宋体" w:cs="宋体"/>
                <w:b/>
                <w:color w:val="auto"/>
                <w:kern w:val="0"/>
                <w:sz w:val="32"/>
                <w:szCs w:val="32"/>
              </w:rPr>
            </w:pPr>
          </w:p>
        </w:tc>
        <w:tc>
          <w:tcPr>
            <w:tcW w:w="1276" w:type="dxa"/>
          </w:tcPr>
          <w:p w14:paraId="4D316DCF">
            <w:pPr>
              <w:jc w:val="center"/>
              <w:rPr>
                <w:rFonts w:hint="eastAsia" w:ascii="宋体" w:hAnsi="宋体" w:eastAsia="宋体" w:cs="宋体"/>
                <w:b/>
                <w:color w:val="auto"/>
                <w:kern w:val="0"/>
                <w:sz w:val="32"/>
                <w:szCs w:val="32"/>
              </w:rPr>
            </w:pPr>
          </w:p>
        </w:tc>
      </w:tr>
      <w:tr w14:paraId="4CBE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6DC917">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tcPr>
          <w:p w14:paraId="40DDDE93">
            <w:pPr>
              <w:jc w:val="center"/>
              <w:rPr>
                <w:rFonts w:hint="eastAsia" w:ascii="宋体" w:hAnsi="宋体" w:eastAsia="宋体" w:cs="宋体"/>
                <w:b/>
                <w:color w:val="auto"/>
                <w:kern w:val="0"/>
                <w:sz w:val="32"/>
                <w:szCs w:val="32"/>
              </w:rPr>
            </w:pPr>
          </w:p>
        </w:tc>
        <w:tc>
          <w:tcPr>
            <w:tcW w:w="3546" w:type="dxa"/>
          </w:tcPr>
          <w:p w14:paraId="45061E87">
            <w:pPr>
              <w:jc w:val="center"/>
              <w:rPr>
                <w:rFonts w:hint="eastAsia" w:ascii="宋体" w:hAnsi="宋体" w:eastAsia="宋体" w:cs="宋体"/>
                <w:b/>
                <w:color w:val="auto"/>
                <w:kern w:val="0"/>
                <w:sz w:val="32"/>
                <w:szCs w:val="32"/>
              </w:rPr>
            </w:pPr>
          </w:p>
        </w:tc>
        <w:tc>
          <w:tcPr>
            <w:tcW w:w="1276" w:type="dxa"/>
          </w:tcPr>
          <w:p w14:paraId="5C714327">
            <w:pPr>
              <w:jc w:val="center"/>
              <w:rPr>
                <w:rFonts w:hint="eastAsia" w:ascii="宋体" w:hAnsi="宋体" w:eastAsia="宋体" w:cs="宋体"/>
                <w:b/>
                <w:color w:val="auto"/>
                <w:kern w:val="0"/>
                <w:sz w:val="32"/>
                <w:szCs w:val="32"/>
              </w:rPr>
            </w:pPr>
          </w:p>
        </w:tc>
      </w:tr>
    </w:tbl>
    <w:p w14:paraId="1B3DFB41">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14:paraId="4DE9C9F2">
      <w:pPr>
        <w:jc w:val="center"/>
        <w:rPr>
          <w:rFonts w:hint="eastAsia" w:ascii="宋体" w:hAnsi="宋体" w:eastAsia="宋体" w:cs="宋体"/>
          <w:b/>
          <w:color w:val="auto"/>
          <w:kern w:val="0"/>
          <w:sz w:val="32"/>
          <w:szCs w:val="32"/>
        </w:rPr>
      </w:pPr>
    </w:p>
    <w:p w14:paraId="0060F131">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5195F7D">
      <w:pPr>
        <w:ind w:firstLine="1911" w:firstLineChars="595"/>
        <w:rPr>
          <w:rFonts w:hint="eastAsia" w:ascii="宋体" w:hAnsi="宋体" w:eastAsia="宋体" w:cs="宋体"/>
          <w:b/>
          <w:bCs/>
          <w:color w:val="auto"/>
          <w:sz w:val="32"/>
          <w:szCs w:val="32"/>
        </w:rPr>
      </w:pPr>
    </w:p>
    <w:p w14:paraId="71050671">
      <w:pPr>
        <w:ind w:firstLine="1911" w:firstLineChars="595"/>
        <w:rPr>
          <w:rFonts w:hint="eastAsia" w:ascii="宋体" w:hAnsi="宋体" w:eastAsia="宋体" w:cs="宋体"/>
          <w:b/>
          <w:bCs/>
          <w:color w:val="auto"/>
          <w:sz w:val="32"/>
          <w:szCs w:val="32"/>
        </w:rPr>
      </w:pPr>
    </w:p>
    <w:p w14:paraId="14E2DB40">
      <w:pPr>
        <w:ind w:firstLine="1911" w:firstLineChars="595"/>
        <w:rPr>
          <w:rFonts w:hint="eastAsia" w:ascii="宋体" w:hAnsi="宋体" w:eastAsia="宋体" w:cs="宋体"/>
          <w:b/>
          <w:bCs/>
          <w:color w:val="auto"/>
          <w:sz w:val="32"/>
          <w:szCs w:val="32"/>
        </w:rPr>
      </w:pPr>
    </w:p>
    <w:p w14:paraId="5CBDB712">
      <w:pPr>
        <w:ind w:firstLine="1911" w:firstLineChars="595"/>
        <w:rPr>
          <w:rFonts w:hint="eastAsia" w:ascii="宋体" w:hAnsi="宋体" w:eastAsia="宋体" w:cs="宋体"/>
          <w:b/>
          <w:bCs/>
          <w:color w:val="auto"/>
          <w:sz w:val="32"/>
          <w:szCs w:val="32"/>
        </w:rPr>
      </w:pPr>
    </w:p>
    <w:p w14:paraId="666A2A5D">
      <w:pPr>
        <w:ind w:firstLine="1911" w:firstLineChars="595"/>
        <w:rPr>
          <w:rFonts w:hint="eastAsia" w:ascii="宋体" w:hAnsi="宋体" w:eastAsia="宋体" w:cs="宋体"/>
          <w:b/>
          <w:bCs/>
          <w:color w:val="auto"/>
          <w:sz w:val="32"/>
          <w:szCs w:val="32"/>
        </w:rPr>
      </w:pPr>
    </w:p>
    <w:p w14:paraId="189E09B3">
      <w:pPr>
        <w:widowControl/>
        <w:adjustRightInd/>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0C1FA173">
      <w:pPr>
        <w:ind w:firstLine="1911" w:firstLineChars="595"/>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14:paraId="48FA9611">
      <w:pPr>
        <w:snapToGrid w:val="0"/>
        <w:spacing w:line="360" w:lineRule="auto"/>
        <w:rPr>
          <w:rFonts w:hint="eastAsia" w:ascii="宋体" w:hAnsi="宋体" w:eastAsia="宋体" w:cs="宋体"/>
          <w:color w:val="auto"/>
          <w:sz w:val="24"/>
        </w:rPr>
      </w:pPr>
    </w:p>
    <w:p w14:paraId="15D7C7D4">
      <w:pPr>
        <w:snapToGrid w:val="0"/>
        <w:spacing w:line="360" w:lineRule="auto"/>
        <w:rPr>
          <w:rFonts w:hint="eastAsia" w:ascii="宋体" w:hAnsi="宋体" w:eastAsia="宋体" w:cs="宋体"/>
          <w:color w:val="auto"/>
          <w:kern w:val="0"/>
          <w:sz w:val="24"/>
        </w:rPr>
      </w:pPr>
      <w:r>
        <w:rPr>
          <w:rFonts w:hint="eastAsia" w:ascii="宋体" w:hAnsi="宋体" w:cs="宋体"/>
          <w:color w:val="auto"/>
          <w:sz w:val="24"/>
          <w:highlight w:val="none"/>
        </w:rPr>
        <w:t>（采购人）、（采购代理机构）</w:t>
      </w:r>
      <w:r>
        <w:rPr>
          <w:rFonts w:hint="eastAsia" w:ascii="宋体" w:hAnsi="宋体" w:eastAsia="宋体" w:cs="宋体"/>
          <w:color w:val="auto"/>
          <w:kern w:val="0"/>
          <w:sz w:val="24"/>
          <w:lang w:val="zh-CN"/>
        </w:rPr>
        <w:t>：</w:t>
      </w:r>
    </w:p>
    <w:p w14:paraId="1C780EA6">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531BB091">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678297A8">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3C61FF5F">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37909777">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09274811">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6FDDA336">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2B29F11F">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7E0CEBA3">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69529BDB">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79A78119">
      <w:pPr>
        <w:autoSpaceDE w:val="0"/>
        <w:autoSpaceDN w:val="0"/>
        <w:spacing w:line="360" w:lineRule="auto"/>
        <w:ind w:left="2"/>
        <w:jc w:val="left"/>
        <w:rPr>
          <w:rFonts w:hint="eastAsia" w:ascii="宋体" w:hAnsi="宋体" w:eastAsia="宋体" w:cs="宋体"/>
          <w:color w:val="auto"/>
          <w:kern w:val="0"/>
          <w:sz w:val="24"/>
          <w:lang w:val="zh-CN"/>
        </w:rPr>
      </w:pPr>
    </w:p>
    <w:p w14:paraId="676C124A">
      <w:pPr>
        <w:autoSpaceDE w:val="0"/>
        <w:autoSpaceDN w:val="0"/>
        <w:spacing w:line="360" w:lineRule="auto"/>
        <w:ind w:left="2"/>
        <w:jc w:val="left"/>
        <w:rPr>
          <w:rFonts w:hint="eastAsia" w:ascii="宋体" w:hAnsi="宋体" w:eastAsia="宋体" w:cs="宋体"/>
          <w:color w:val="auto"/>
          <w:kern w:val="0"/>
          <w:sz w:val="24"/>
          <w:lang w:val="zh-CN"/>
        </w:rPr>
      </w:pPr>
    </w:p>
    <w:p w14:paraId="04EA7B14">
      <w:pPr>
        <w:autoSpaceDE w:val="0"/>
        <w:autoSpaceDN w:val="0"/>
        <w:spacing w:line="360" w:lineRule="auto"/>
        <w:ind w:left="2"/>
        <w:jc w:val="left"/>
        <w:rPr>
          <w:rFonts w:hint="eastAsia" w:ascii="宋体" w:hAnsi="宋体" w:eastAsia="宋体" w:cs="宋体"/>
          <w:color w:val="auto"/>
          <w:kern w:val="0"/>
          <w:sz w:val="24"/>
          <w:lang w:val="zh-CN"/>
        </w:rPr>
      </w:pPr>
    </w:p>
    <w:p w14:paraId="00C1D43C">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14:paraId="1715FF2C">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4BF41C0C">
      <w:pPr>
        <w:spacing w:line="360" w:lineRule="auto"/>
        <w:jc w:val="center"/>
        <w:rPr>
          <w:rFonts w:hint="eastAsia" w:ascii="宋体" w:hAnsi="宋体" w:eastAsia="宋体" w:cs="宋体"/>
          <w:b/>
          <w:bCs/>
          <w:color w:val="auto"/>
          <w:sz w:val="24"/>
        </w:rPr>
      </w:pPr>
    </w:p>
    <w:p w14:paraId="151D5A57">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149C553">
      <w:pPr>
        <w:spacing w:line="360" w:lineRule="auto"/>
        <w:jc w:val="center"/>
        <w:rPr>
          <w:rFonts w:hint="eastAsia" w:ascii="宋体" w:hAnsi="宋体" w:eastAsia="宋体" w:cs="宋体"/>
          <w:b/>
          <w:bCs/>
          <w:color w:val="auto"/>
          <w:sz w:val="24"/>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14:paraId="26217894">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70927562">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0E37CA11">
      <w:pPr>
        <w:spacing w:line="360" w:lineRule="auto"/>
        <w:jc w:val="center"/>
        <w:outlineLvl w:val="0"/>
        <w:rPr>
          <w:rFonts w:hint="eastAsia" w:ascii="宋体" w:hAnsi="宋体" w:eastAsia="宋体" w:cs="宋体"/>
          <w:b/>
          <w:color w:val="auto"/>
          <w:kern w:val="0"/>
          <w:sz w:val="36"/>
          <w:szCs w:val="36"/>
        </w:rPr>
      </w:pPr>
    </w:p>
    <w:p w14:paraId="1D8CEA3B">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开标一览表（报价表）………………………………………………………（页码）</w:t>
      </w:r>
    </w:p>
    <w:p w14:paraId="7BA2BFD0">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中小企业声明函</w:t>
      </w:r>
      <w:r>
        <w:rPr>
          <w:rFonts w:hint="eastAsia" w:ascii="宋体" w:hAnsi="宋体" w:eastAsia="宋体" w:cs="宋体"/>
          <w:color w:val="auto"/>
          <w:sz w:val="24"/>
        </w:rPr>
        <w:t>（</w:t>
      </w:r>
      <w:r>
        <w:rPr>
          <w:rFonts w:hint="eastAsia" w:ascii="宋体" w:hAnsi="宋体" w:eastAsia="宋体" w:cs="宋体"/>
          <w:color w:val="auto"/>
          <w:sz w:val="24"/>
          <w:lang w:val="en-US" w:eastAsia="zh-CN"/>
        </w:rPr>
        <w:t>如果有</w:t>
      </w:r>
      <w:r>
        <w:rPr>
          <w:rFonts w:hint="eastAsia" w:ascii="宋体" w:hAnsi="宋体" w:eastAsia="宋体" w:cs="宋体"/>
          <w:color w:val="auto"/>
          <w:sz w:val="24"/>
        </w:rPr>
        <w:t>）…………………………………………………（页码）</w:t>
      </w:r>
    </w:p>
    <w:p w14:paraId="2B5A5466">
      <w:pPr>
        <w:pStyle w:val="3"/>
        <w:rPr>
          <w:rFonts w:hint="eastAsia" w:ascii="宋体" w:hAnsi="宋体" w:eastAsia="宋体" w:cs="宋体"/>
          <w:color w:val="auto"/>
        </w:rPr>
      </w:pPr>
    </w:p>
    <w:p w14:paraId="501FD9A9">
      <w:pPr>
        <w:pStyle w:val="3"/>
        <w:numPr>
          <w:ilvl w:val="0"/>
          <w:numId w:val="0"/>
        </w:numPr>
        <w:ind w:leftChars="0"/>
        <w:rPr>
          <w:rFonts w:hint="eastAsia" w:ascii="宋体" w:hAnsi="宋体" w:eastAsia="宋体" w:cs="宋体"/>
          <w:color w:val="auto"/>
        </w:rPr>
      </w:pPr>
    </w:p>
    <w:p w14:paraId="6321A601">
      <w:pPr>
        <w:snapToGrid w:val="0"/>
        <w:spacing w:line="360" w:lineRule="auto"/>
        <w:ind w:right="480"/>
        <w:jc w:val="both"/>
        <w:rPr>
          <w:rFonts w:hint="eastAsia" w:ascii="宋体" w:hAnsi="宋体" w:eastAsia="宋体" w:cs="宋体"/>
          <w:b/>
          <w:color w:val="auto"/>
          <w:kern w:val="0"/>
          <w:sz w:val="32"/>
          <w:szCs w:val="32"/>
        </w:rPr>
      </w:pPr>
    </w:p>
    <w:p w14:paraId="3C69B2CD">
      <w:pPr>
        <w:snapToGrid w:val="0"/>
        <w:spacing w:line="360" w:lineRule="auto"/>
        <w:ind w:right="480"/>
        <w:jc w:val="center"/>
        <w:rPr>
          <w:rFonts w:hint="eastAsia" w:ascii="宋体" w:hAnsi="宋体" w:eastAsia="宋体" w:cs="宋体"/>
          <w:b/>
          <w:color w:val="auto"/>
          <w:kern w:val="0"/>
          <w:sz w:val="32"/>
          <w:szCs w:val="32"/>
        </w:rPr>
      </w:pPr>
    </w:p>
    <w:p w14:paraId="65A71BAE">
      <w:pPr>
        <w:snapToGrid w:val="0"/>
        <w:spacing w:line="360" w:lineRule="auto"/>
        <w:ind w:right="480"/>
        <w:jc w:val="center"/>
        <w:rPr>
          <w:rFonts w:hint="eastAsia" w:ascii="宋体" w:hAnsi="宋体" w:eastAsia="宋体" w:cs="宋体"/>
          <w:b/>
          <w:color w:val="auto"/>
          <w:kern w:val="0"/>
          <w:sz w:val="32"/>
          <w:szCs w:val="32"/>
        </w:rPr>
      </w:pPr>
    </w:p>
    <w:p w14:paraId="67E4414B">
      <w:pPr>
        <w:snapToGrid w:val="0"/>
        <w:spacing w:line="360" w:lineRule="auto"/>
        <w:ind w:right="480"/>
        <w:jc w:val="center"/>
        <w:rPr>
          <w:rFonts w:hint="eastAsia" w:ascii="宋体" w:hAnsi="宋体" w:eastAsia="宋体" w:cs="宋体"/>
          <w:b/>
          <w:color w:val="auto"/>
          <w:kern w:val="0"/>
          <w:sz w:val="32"/>
          <w:szCs w:val="32"/>
        </w:rPr>
      </w:pPr>
    </w:p>
    <w:p w14:paraId="6881A8C2">
      <w:pPr>
        <w:snapToGrid w:val="0"/>
        <w:spacing w:line="360" w:lineRule="auto"/>
        <w:ind w:right="480"/>
        <w:jc w:val="center"/>
        <w:rPr>
          <w:rFonts w:hint="eastAsia" w:ascii="宋体" w:hAnsi="宋体" w:eastAsia="宋体" w:cs="宋体"/>
          <w:b/>
          <w:color w:val="auto"/>
          <w:kern w:val="0"/>
          <w:sz w:val="32"/>
          <w:szCs w:val="32"/>
        </w:rPr>
      </w:pPr>
    </w:p>
    <w:p w14:paraId="3CE704C1">
      <w:pPr>
        <w:snapToGrid w:val="0"/>
        <w:spacing w:line="360" w:lineRule="auto"/>
        <w:ind w:right="480"/>
        <w:jc w:val="center"/>
        <w:rPr>
          <w:rFonts w:hint="eastAsia" w:ascii="宋体" w:hAnsi="宋体" w:eastAsia="宋体" w:cs="宋体"/>
          <w:b/>
          <w:color w:val="auto"/>
          <w:kern w:val="0"/>
          <w:sz w:val="32"/>
          <w:szCs w:val="32"/>
        </w:rPr>
      </w:pPr>
    </w:p>
    <w:p w14:paraId="181AF90F">
      <w:pPr>
        <w:snapToGrid w:val="0"/>
        <w:spacing w:line="360" w:lineRule="auto"/>
        <w:ind w:right="480"/>
        <w:jc w:val="center"/>
        <w:rPr>
          <w:rFonts w:hint="eastAsia" w:ascii="宋体" w:hAnsi="宋体" w:eastAsia="宋体" w:cs="宋体"/>
          <w:b/>
          <w:color w:val="auto"/>
          <w:kern w:val="0"/>
          <w:sz w:val="32"/>
          <w:szCs w:val="32"/>
        </w:rPr>
      </w:pPr>
    </w:p>
    <w:p w14:paraId="4DE848CF">
      <w:pPr>
        <w:snapToGrid w:val="0"/>
        <w:spacing w:line="360" w:lineRule="auto"/>
        <w:ind w:right="480"/>
        <w:jc w:val="center"/>
        <w:rPr>
          <w:rFonts w:hint="eastAsia" w:ascii="宋体" w:hAnsi="宋体" w:eastAsia="宋体" w:cs="宋体"/>
          <w:b/>
          <w:color w:val="auto"/>
          <w:kern w:val="0"/>
          <w:sz w:val="32"/>
          <w:szCs w:val="32"/>
        </w:rPr>
      </w:pPr>
    </w:p>
    <w:p w14:paraId="0CDA2B0A">
      <w:pPr>
        <w:snapToGrid w:val="0"/>
        <w:spacing w:line="360" w:lineRule="auto"/>
        <w:ind w:right="480"/>
        <w:jc w:val="center"/>
        <w:rPr>
          <w:rFonts w:hint="eastAsia" w:ascii="宋体" w:hAnsi="宋体" w:eastAsia="宋体" w:cs="宋体"/>
          <w:b/>
          <w:color w:val="auto"/>
          <w:kern w:val="0"/>
          <w:sz w:val="32"/>
          <w:szCs w:val="32"/>
        </w:rPr>
      </w:pPr>
    </w:p>
    <w:p w14:paraId="3049C5E3">
      <w:pPr>
        <w:snapToGrid w:val="0"/>
        <w:spacing w:line="360" w:lineRule="auto"/>
        <w:ind w:right="480"/>
        <w:jc w:val="center"/>
        <w:rPr>
          <w:rFonts w:hint="eastAsia" w:ascii="宋体" w:hAnsi="宋体" w:eastAsia="宋体" w:cs="宋体"/>
          <w:b/>
          <w:color w:val="auto"/>
          <w:kern w:val="0"/>
          <w:sz w:val="32"/>
          <w:szCs w:val="32"/>
        </w:rPr>
      </w:pPr>
    </w:p>
    <w:p w14:paraId="2715B2CA">
      <w:pPr>
        <w:snapToGrid w:val="0"/>
        <w:spacing w:line="360" w:lineRule="auto"/>
        <w:ind w:right="480"/>
        <w:jc w:val="center"/>
        <w:rPr>
          <w:rFonts w:hint="eastAsia" w:ascii="宋体" w:hAnsi="宋体" w:eastAsia="宋体" w:cs="宋体"/>
          <w:b/>
          <w:color w:val="auto"/>
          <w:kern w:val="0"/>
          <w:sz w:val="32"/>
          <w:szCs w:val="32"/>
        </w:rPr>
      </w:pPr>
    </w:p>
    <w:p w14:paraId="44F1C02E">
      <w:pPr>
        <w:snapToGrid w:val="0"/>
        <w:spacing w:line="360" w:lineRule="auto"/>
        <w:ind w:right="480"/>
        <w:jc w:val="center"/>
        <w:rPr>
          <w:rFonts w:hint="eastAsia" w:ascii="宋体" w:hAnsi="宋体" w:eastAsia="宋体" w:cs="宋体"/>
          <w:b/>
          <w:color w:val="auto"/>
          <w:kern w:val="0"/>
          <w:sz w:val="32"/>
          <w:szCs w:val="32"/>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rtlGutter w:val="0"/>
          <w:docGrid w:linePitch="312" w:charSpace="0"/>
        </w:sectPr>
      </w:pPr>
    </w:p>
    <w:p w14:paraId="01C17C7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5F54512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6B624B5F">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rPr>
        <w:t>（</w:t>
      </w:r>
      <w:r>
        <w:rPr>
          <w:rFonts w:hint="eastAsia" w:ascii="宋体" w:hAnsi="宋体" w:cs="宋体"/>
          <w:color w:val="auto"/>
          <w:sz w:val="24"/>
          <w:highlight w:val="none"/>
        </w:rPr>
        <w:t>项目名称</w:t>
      </w:r>
      <w:r>
        <w:rPr>
          <w:rFonts w:hint="eastAsia" w:ascii="宋体" w:hAnsi="宋体" w:eastAsia="宋体" w:cs="宋体"/>
          <w:color w:val="auto"/>
          <w:sz w:val="24"/>
        </w:rPr>
        <w:t>）</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w:t>
      </w:r>
      <w:r>
        <w:rPr>
          <w:rFonts w:hint="eastAsia" w:ascii="宋体" w:hAnsi="宋体" w:cs="宋体"/>
          <w:color w:val="auto"/>
          <w:sz w:val="24"/>
          <w:highlight w:val="none"/>
        </w:rPr>
        <w:t>采购编号</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14:paraId="2354428B">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w:t>
      </w:r>
    </w:p>
    <w:tbl>
      <w:tblPr>
        <w:tblStyle w:val="62"/>
        <w:tblW w:w="14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2557"/>
      </w:tblGrid>
      <w:tr w14:paraId="08F0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F98234E">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417" w:type="dxa"/>
            <w:vAlign w:val="center"/>
          </w:tcPr>
          <w:p w14:paraId="3B479322">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843" w:type="dxa"/>
          </w:tcPr>
          <w:p w14:paraId="40274F9C">
            <w:pPr>
              <w:spacing w:line="360" w:lineRule="auto"/>
              <w:jc w:val="center"/>
              <w:rPr>
                <w:rFonts w:hint="eastAsia" w:ascii="宋体" w:hAnsi="宋体" w:eastAsia="宋体" w:cs="宋体"/>
                <w:b/>
                <w:color w:val="auto"/>
                <w:sz w:val="24"/>
              </w:rPr>
            </w:pPr>
          </w:p>
          <w:p w14:paraId="45CF108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3118" w:type="dxa"/>
            <w:vAlign w:val="center"/>
          </w:tcPr>
          <w:p w14:paraId="6DB8B46C">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规格型号</w:t>
            </w:r>
          </w:p>
        </w:tc>
        <w:tc>
          <w:tcPr>
            <w:tcW w:w="993" w:type="dxa"/>
            <w:vAlign w:val="center"/>
          </w:tcPr>
          <w:p w14:paraId="128A50B6">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559" w:type="dxa"/>
            <w:vAlign w:val="center"/>
          </w:tcPr>
          <w:p w14:paraId="6D408B77">
            <w:pPr>
              <w:spacing w:line="360" w:lineRule="auto"/>
              <w:jc w:val="center"/>
              <w:rPr>
                <w:rFonts w:hint="eastAsia" w:ascii="宋体" w:hAnsi="宋体" w:eastAsia="宋体" w:cs="宋体"/>
                <w:b/>
                <w:color w:val="auto"/>
                <w:sz w:val="24"/>
                <w:lang w:eastAsia="zh-CN"/>
              </w:rPr>
            </w:pPr>
            <w:r>
              <w:rPr>
                <w:rFonts w:hint="eastAsia" w:ascii="宋体" w:hAnsi="宋体" w:eastAsia="宋体" w:cs="宋体"/>
                <w:b/>
                <w:color w:val="auto"/>
                <w:sz w:val="24"/>
              </w:rPr>
              <w:t>单价</w:t>
            </w:r>
            <w:r>
              <w:rPr>
                <w:rFonts w:hint="eastAsia" w:ascii="宋体" w:hAnsi="宋体" w:cs="宋体"/>
                <w:b/>
                <w:color w:val="auto"/>
                <w:sz w:val="24"/>
                <w:lang w:eastAsia="zh-CN"/>
              </w:rPr>
              <w:t>（</w:t>
            </w:r>
            <w:r>
              <w:rPr>
                <w:rFonts w:hint="eastAsia" w:ascii="宋体" w:hAnsi="宋体" w:cs="宋体"/>
                <w:b/>
                <w:color w:val="auto"/>
                <w:sz w:val="24"/>
                <w:lang w:val="en-US" w:eastAsia="zh-CN"/>
              </w:rPr>
              <w:t>元</w:t>
            </w:r>
            <w:r>
              <w:rPr>
                <w:rFonts w:hint="eastAsia" w:ascii="宋体" w:hAnsi="宋体" w:cs="宋体"/>
                <w:b/>
                <w:color w:val="auto"/>
                <w:sz w:val="24"/>
                <w:lang w:eastAsia="zh-CN"/>
              </w:rPr>
              <w:t>）</w:t>
            </w:r>
          </w:p>
        </w:tc>
        <w:tc>
          <w:tcPr>
            <w:tcW w:w="1984" w:type="dxa"/>
            <w:vAlign w:val="center"/>
          </w:tcPr>
          <w:p w14:paraId="3F38ED95">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合计</w:t>
            </w:r>
            <w:r>
              <w:rPr>
                <w:rFonts w:hint="eastAsia" w:ascii="宋体" w:hAnsi="宋体" w:cs="宋体"/>
                <w:b/>
                <w:color w:val="auto"/>
                <w:sz w:val="24"/>
                <w:lang w:eastAsia="zh-CN"/>
              </w:rPr>
              <w:t>（</w:t>
            </w:r>
            <w:r>
              <w:rPr>
                <w:rFonts w:hint="eastAsia" w:ascii="宋体" w:hAnsi="宋体" w:cs="宋体"/>
                <w:b/>
                <w:color w:val="auto"/>
                <w:sz w:val="24"/>
                <w:lang w:val="en-US" w:eastAsia="zh-CN"/>
              </w:rPr>
              <w:t>元</w:t>
            </w:r>
            <w:r>
              <w:rPr>
                <w:rFonts w:hint="eastAsia" w:ascii="宋体" w:hAnsi="宋体" w:cs="宋体"/>
                <w:b/>
                <w:color w:val="auto"/>
                <w:sz w:val="24"/>
                <w:lang w:eastAsia="zh-CN"/>
              </w:rPr>
              <w:t>）</w:t>
            </w:r>
          </w:p>
        </w:tc>
        <w:tc>
          <w:tcPr>
            <w:tcW w:w="2557" w:type="dxa"/>
            <w:vAlign w:val="center"/>
          </w:tcPr>
          <w:p w14:paraId="26F6D0D6">
            <w:pPr>
              <w:spacing w:line="360" w:lineRule="auto"/>
              <w:jc w:val="center"/>
              <w:rPr>
                <w:rFonts w:hint="eastAsia" w:ascii="宋体" w:hAnsi="宋体" w:eastAsia="宋体" w:cs="宋体"/>
                <w:b/>
                <w:color w:val="auto"/>
                <w:sz w:val="24"/>
              </w:rPr>
            </w:pPr>
          </w:p>
          <w:p w14:paraId="33959F5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12569891">
            <w:pPr>
              <w:spacing w:line="360" w:lineRule="auto"/>
              <w:jc w:val="center"/>
              <w:rPr>
                <w:rFonts w:hint="eastAsia" w:ascii="宋体" w:hAnsi="宋体" w:eastAsia="宋体" w:cs="宋体"/>
                <w:b/>
                <w:color w:val="auto"/>
                <w:sz w:val="24"/>
              </w:rPr>
            </w:pPr>
          </w:p>
        </w:tc>
      </w:tr>
      <w:tr w14:paraId="1576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4350A5E">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417" w:type="dxa"/>
            <w:vAlign w:val="center"/>
          </w:tcPr>
          <w:p w14:paraId="411F3FF7">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1843" w:type="dxa"/>
            <w:vAlign w:val="center"/>
          </w:tcPr>
          <w:p w14:paraId="3A6B8B15">
            <w:pPr>
              <w:snapToGrid w:val="0"/>
              <w:spacing w:line="360" w:lineRule="auto"/>
              <w:jc w:val="center"/>
              <w:rPr>
                <w:rFonts w:hint="eastAsia" w:ascii="宋体" w:hAnsi="宋体" w:eastAsia="宋体" w:cs="宋体"/>
                <w:color w:val="auto"/>
                <w:sz w:val="24"/>
              </w:rPr>
            </w:pPr>
          </w:p>
        </w:tc>
        <w:tc>
          <w:tcPr>
            <w:tcW w:w="3118" w:type="dxa"/>
            <w:vAlign w:val="center"/>
          </w:tcPr>
          <w:p w14:paraId="2676C2C0">
            <w:pPr>
              <w:snapToGrid w:val="0"/>
              <w:spacing w:line="360" w:lineRule="auto"/>
              <w:jc w:val="center"/>
              <w:rPr>
                <w:rFonts w:hint="eastAsia" w:ascii="宋体" w:hAnsi="宋体" w:eastAsia="宋体" w:cs="宋体"/>
                <w:color w:val="auto"/>
                <w:sz w:val="24"/>
              </w:rPr>
            </w:pPr>
          </w:p>
        </w:tc>
        <w:tc>
          <w:tcPr>
            <w:tcW w:w="993" w:type="dxa"/>
            <w:vAlign w:val="center"/>
          </w:tcPr>
          <w:p w14:paraId="5B26B7CA">
            <w:pPr>
              <w:snapToGrid w:val="0"/>
              <w:spacing w:line="360" w:lineRule="auto"/>
              <w:jc w:val="center"/>
              <w:rPr>
                <w:rFonts w:hint="eastAsia" w:ascii="宋体" w:hAnsi="宋体" w:eastAsia="宋体" w:cs="宋体"/>
                <w:color w:val="auto"/>
                <w:sz w:val="24"/>
              </w:rPr>
            </w:pPr>
          </w:p>
        </w:tc>
        <w:tc>
          <w:tcPr>
            <w:tcW w:w="1559" w:type="dxa"/>
            <w:vAlign w:val="center"/>
          </w:tcPr>
          <w:p w14:paraId="0F685E8C">
            <w:pPr>
              <w:spacing w:line="360" w:lineRule="auto"/>
              <w:jc w:val="center"/>
              <w:rPr>
                <w:rFonts w:hint="eastAsia" w:ascii="宋体" w:hAnsi="宋体" w:eastAsia="宋体" w:cs="宋体"/>
                <w:color w:val="auto"/>
                <w:sz w:val="24"/>
              </w:rPr>
            </w:pPr>
          </w:p>
        </w:tc>
        <w:tc>
          <w:tcPr>
            <w:tcW w:w="1984" w:type="dxa"/>
            <w:vAlign w:val="center"/>
          </w:tcPr>
          <w:p w14:paraId="749EE389">
            <w:pPr>
              <w:spacing w:line="360" w:lineRule="auto"/>
              <w:jc w:val="center"/>
              <w:rPr>
                <w:rFonts w:hint="eastAsia" w:ascii="宋体" w:hAnsi="宋体" w:eastAsia="宋体" w:cs="宋体"/>
                <w:color w:val="auto"/>
                <w:sz w:val="24"/>
              </w:rPr>
            </w:pPr>
          </w:p>
        </w:tc>
        <w:tc>
          <w:tcPr>
            <w:tcW w:w="2557" w:type="dxa"/>
            <w:vAlign w:val="center"/>
          </w:tcPr>
          <w:p w14:paraId="199E3EC4">
            <w:pPr>
              <w:spacing w:line="360" w:lineRule="auto"/>
              <w:jc w:val="center"/>
              <w:rPr>
                <w:rFonts w:hint="eastAsia" w:ascii="宋体" w:hAnsi="宋体" w:eastAsia="宋体" w:cs="宋体"/>
                <w:color w:val="auto"/>
                <w:sz w:val="24"/>
              </w:rPr>
            </w:pPr>
          </w:p>
        </w:tc>
      </w:tr>
      <w:tr w14:paraId="2945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D36E37C">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417" w:type="dxa"/>
            <w:vAlign w:val="center"/>
          </w:tcPr>
          <w:p w14:paraId="5A390197">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1843" w:type="dxa"/>
            <w:vAlign w:val="center"/>
          </w:tcPr>
          <w:p w14:paraId="47050948">
            <w:pPr>
              <w:snapToGrid w:val="0"/>
              <w:spacing w:line="360" w:lineRule="auto"/>
              <w:jc w:val="center"/>
              <w:rPr>
                <w:rFonts w:hint="eastAsia" w:ascii="宋体" w:hAnsi="宋体" w:eastAsia="宋体" w:cs="宋体"/>
                <w:color w:val="auto"/>
                <w:sz w:val="24"/>
              </w:rPr>
            </w:pPr>
          </w:p>
        </w:tc>
        <w:tc>
          <w:tcPr>
            <w:tcW w:w="3118" w:type="dxa"/>
            <w:vAlign w:val="center"/>
          </w:tcPr>
          <w:p w14:paraId="37C7C589">
            <w:pPr>
              <w:snapToGrid w:val="0"/>
              <w:spacing w:line="360" w:lineRule="auto"/>
              <w:jc w:val="center"/>
              <w:rPr>
                <w:rFonts w:hint="eastAsia" w:ascii="宋体" w:hAnsi="宋体" w:eastAsia="宋体" w:cs="宋体"/>
                <w:color w:val="auto"/>
                <w:sz w:val="24"/>
              </w:rPr>
            </w:pPr>
          </w:p>
        </w:tc>
        <w:tc>
          <w:tcPr>
            <w:tcW w:w="993" w:type="dxa"/>
            <w:vAlign w:val="center"/>
          </w:tcPr>
          <w:p w14:paraId="6068A25A">
            <w:pPr>
              <w:snapToGrid w:val="0"/>
              <w:spacing w:line="360" w:lineRule="auto"/>
              <w:jc w:val="center"/>
              <w:rPr>
                <w:rFonts w:hint="eastAsia" w:ascii="宋体" w:hAnsi="宋体" w:eastAsia="宋体" w:cs="宋体"/>
                <w:color w:val="auto"/>
                <w:sz w:val="24"/>
              </w:rPr>
            </w:pPr>
          </w:p>
        </w:tc>
        <w:tc>
          <w:tcPr>
            <w:tcW w:w="1559" w:type="dxa"/>
            <w:vAlign w:val="center"/>
          </w:tcPr>
          <w:p w14:paraId="7E857D6D">
            <w:pPr>
              <w:spacing w:line="360" w:lineRule="auto"/>
              <w:jc w:val="center"/>
              <w:rPr>
                <w:rFonts w:hint="eastAsia" w:ascii="宋体" w:hAnsi="宋体" w:eastAsia="宋体" w:cs="宋体"/>
                <w:color w:val="auto"/>
                <w:sz w:val="24"/>
              </w:rPr>
            </w:pPr>
          </w:p>
        </w:tc>
        <w:tc>
          <w:tcPr>
            <w:tcW w:w="1984" w:type="dxa"/>
            <w:vAlign w:val="center"/>
          </w:tcPr>
          <w:p w14:paraId="5DC83887">
            <w:pPr>
              <w:spacing w:line="360" w:lineRule="auto"/>
              <w:jc w:val="center"/>
              <w:rPr>
                <w:rFonts w:hint="eastAsia" w:ascii="宋体" w:hAnsi="宋体" w:eastAsia="宋体" w:cs="宋体"/>
                <w:color w:val="auto"/>
                <w:sz w:val="24"/>
              </w:rPr>
            </w:pPr>
          </w:p>
        </w:tc>
        <w:tc>
          <w:tcPr>
            <w:tcW w:w="2557" w:type="dxa"/>
            <w:vAlign w:val="center"/>
          </w:tcPr>
          <w:p w14:paraId="2E142848">
            <w:pPr>
              <w:spacing w:line="360" w:lineRule="auto"/>
              <w:jc w:val="center"/>
              <w:rPr>
                <w:rFonts w:hint="eastAsia" w:ascii="宋体" w:hAnsi="宋体" w:eastAsia="宋体" w:cs="宋体"/>
                <w:color w:val="auto"/>
                <w:sz w:val="24"/>
              </w:rPr>
            </w:pPr>
          </w:p>
        </w:tc>
      </w:tr>
      <w:tr w14:paraId="4BC2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4224ABB">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417" w:type="dxa"/>
            <w:vAlign w:val="center"/>
          </w:tcPr>
          <w:p w14:paraId="4C01CD61">
            <w:pPr>
              <w:snapToGrid w:val="0"/>
              <w:spacing w:line="360" w:lineRule="auto"/>
              <w:jc w:val="center"/>
              <w:rPr>
                <w:rFonts w:hint="eastAsia" w:ascii="宋体" w:hAnsi="宋体" w:eastAsia="宋体" w:cs="宋体"/>
                <w:color w:val="auto"/>
                <w:sz w:val="24"/>
              </w:rPr>
            </w:pPr>
          </w:p>
        </w:tc>
        <w:tc>
          <w:tcPr>
            <w:tcW w:w="1843" w:type="dxa"/>
            <w:vAlign w:val="center"/>
          </w:tcPr>
          <w:p w14:paraId="3321D7D1">
            <w:pPr>
              <w:snapToGrid w:val="0"/>
              <w:spacing w:line="360" w:lineRule="auto"/>
              <w:jc w:val="center"/>
              <w:rPr>
                <w:rFonts w:hint="eastAsia" w:ascii="宋体" w:hAnsi="宋体" w:eastAsia="宋体" w:cs="宋体"/>
                <w:color w:val="auto"/>
                <w:sz w:val="24"/>
              </w:rPr>
            </w:pPr>
          </w:p>
        </w:tc>
        <w:tc>
          <w:tcPr>
            <w:tcW w:w="3118" w:type="dxa"/>
            <w:vAlign w:val="center"/>
          </w:tcPr>
          <w:p w14:paraId="0370D345">
            <w:pPr>
              <w:snapToGrid w:val="0"/>
              <w:spacing w:line="360" w:lineRule="auto"/>
              <w:jc w:val="center"/>
              <w:rPr>
                <w:rFonts w:hint="eastAsia" w:ascii="宋体" w:hAnsi="宋体" w:eastAsia="宋体" w:cs="宋体"/>
                <w:color w:val="auto"/>
                <w:sz w:val="24"/>
              </w:rPr>
            </w:pPr>
          </w:p>
        </w:tc>
        <w:tc>
          <w:tcPr>
            <w:tcW w:w="993" w:type="dxa"/>
            <w:vAlign w:val="center"/>
          </w:tcPr>
          <w:p w14:paraId="40363BAF">
            <w:pPr>
              <w:snapToGrid w:val="0"/>
              <w:spacing w:line="360" w:lineRule="auto"/>
              <w:jc w:val="center"/>
              <w:rPr>
                <w:rFonts w:hint="eastAsia" w:ascii="宋体" w:hAnsi="宋体" w:eastAsia="宋体" w:cs="宋体"/>
                <w:color w:val="auto"/>
                <w:sz w:val="24"/>
              </w:rPr>
            </w:pPr>
          </w:p>
        </w:tc>
        <w:tc>
          <w:tcPr>
            <w:tcW w:w="1559" w:type="dxa"/>
            <w:vAlign w:val="center"/>
          </w:tcPr>
          <w:p w14:paraId="759F368A">
            <w:pPr>
              <w:spacing w:line="360" w:lineRule="auto"/>
              <w:jc w:val="center"/>
              <w:rPr>
                <w:rFonts w:hint="eastAsia" w:ascii="宋体" w:hAnsi="宋体" w:eastAsia="宋体" w:cs="宋体"/>
                <w:color w:val="auto"/>
                <w:sz w:val="24"/>
              </w:rPr>
            </w:pPr>
          </w:p>
        </w:tc>
        <w:tc>
          <w:tcPr>
            <w:tcW w:w="1984" w:type="dxa"/>
            <w:vAlign w:val="center"/>
          </w:tcPr>
          <w:p w14:paraId="35A1AA68">
            <w:pPr>
              <w:spacing w:line="360" w:lineRule="auto"/>
              <w:jc w:val="center"/>
              <w:rPr>
                <w:rFonts w:hint="eastAsia" w:ascii="宋体" w:hAnsi="宋体" w:eastAsia="宋体" w:cs="宋体"/>
                <w:color w:val="auto"/>
                <w:sz w:val="24"/>
              </w:rPr>
            </w:pPr>
          </w:p>
        </w:tc>
        <w:tc>
          <w:tcPr>
            <w:tcW w:w="2557" w:type="dxa"/>
            <w:vAlign w:val="center"/>
          </w:tcPr>
          <w:p w14:paraId="7951E83F">
            <w:pPr>
              <w:spacing w:line="360" w:lineRule="auto"/>
              <w:jc w:val="center"/>
              <w:rPr>
                <w:rFonts w:hint="eastAsia" w:ascii="宋体" w:hAnsi="宋体" w:eastAsia="宋体" w:cs="宋体"/>
                <w:color w:val="auto"/>
                <w:sz w:val="24"/>
              </w:rPr>
            </w:pPr>
          </w:p>
        </w:tc>
      </w:tr>
      <w:tr w14:paraId="2E05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4ABB7A">
            <w:pPr>
              <w:spacing w:line="360" w:lineRule="auto"/>
              <w:jc w:val="center"/>
              <w:rPr>
                <w:rFonts w:hint="eastAsia" w:ascii="宋体" w:hAnsi="宋体" w:eastAsia="宋体" w:cs="宋体"/>
                <w:color w:val="auto"/>
                <w:sz w:val="24"/>
              </w:rPr>
            </w:pPr>
          </w:p>
        </w:tc>
        <w:tc>
          <w:tcPr>
            <w:tcW w:w="1417" w:type="dxa"/>
            <w:vAlign w:val="center"/>
          </w:tcPr>
          <w:p w14:paraId="62293F6E">
            <w:pPr>
              <w:snapToGrid w:val="0"/>
              <w:spacing w:line="360" w:lineRule="auto"/>
              <w:jc w:val="center"/>
              <w:rPr>
                <w:rFonts w:hint="eastAsia" w:ascii="宋体" w:hAnsi="宋体" w:eastAsia="宋体" w:cs="宋体"/>
                <w:color w:val="auto"/>
                <w:sz w:val="24"/>
              </w:rPr>
            </w:pPr>
          </w:p>
        </w:tc>
        <w:tc>
          <w:tcPr>
            <w:tcW w:w="1843" w:type="dxa"/>
            <w:vAlign w:val="center"/>
          </w:tcPr>
          <w:p w14:paraId="0D7AE01A">
            <w:pPr>
              <w:snapToGrid w:val="0"/>
              <w:spacing w:line="360" w:lineRule="auto"/>
              <w:jc w:val="center"/>
              <w:rPr>
                <w:rFonts w:hint="eastAsia" w:ascii="宋体" w:hAnsi="宋体" w:eastAsia="宋体" w:cs="宋体"/>
                <w:color w:val="auto"/>
                <w:sz w:val="24"/>
              </w:rPr>
            </w:pPr>
          </w:p>
        </w:tc>
        <w:tc>
          <w:tcPr>
            <w:tcW w:w="3118" w:type="dxa"/>
            <w:vAlign w:val="center"/>
          </w:tcPr>
          <w:p w14:paraId="1484D613">
            <w:pPr>
              <w:snapToGrid w:val="0"/>
              <w:spacing w:line="360" w:lineRule="auto"/>
              <w:jc w:val="center"/>
              <w:rPr>
                <w:rFonts w:hint="eastAsia" w:ascii="宋体" w:hAnsi="宋体" w:eastAsia="宋体" w:cs="宋体"/>
                <w:color w:val="auto"/>
                <w:sz w:val="24"/>
              </w:rPr>
            </w:pPr>
          </w:p>
        </w:tc>
        <w:tc>
          <w:tcPr>
            <w:tcW w:w="993" w:type="dxa"/>
            <w:vAlign w:val="center"/>
          </w:tcPr>
          <w:p w14:paraId="7DFBF883">
            <w:pPr>
              <w:snapToGrid w:val="0"/>
              <w:spacing w:line="360" w:lineRule="auto"/>
              <w:jc w:val="center"/>
              <w:rPr>
                <w:rFonts w:hint="eastAsia" w:ascii="宋体" w:hAnsi="宋体" w:eastAsia="宋体" w:cs="宋体"/>
                <w:color w:val="auto"/>
                <w:sz w:val="24"/>
              </w:rPr>
            </w:pPr>
          </w:p>
        </w:tc>
        <w:tc>
          <w:tcPr>
            <w:tcW w:w="1559" w:type="dxa"/>
            <w:vAlign w:val="center"/>
          </w:tcPr>
          <w:p w14:paraId="6FE4BACD">
            <w:pPr>
              <w:spacing w:line="360" w:lineRule="auto"/>
              <w:jc w:val="center"/>
              <w:rPr>
                <w:rFonts w:hint="eastAsia" w:ascii="宋体" w:hAnsi="宋体" w:eastAsia="宋体" w:cs="宋体"/>
                <w:color w:val="auto"/>
                <w:sz w:val="24"/>
              </w:rPr>
            </w:pPr>
          </w:p>
        </w:tc>
        <w:tc>
          <w:tcPr>
            <w:tcW w:w="1984" w:type="dxa"/>
            <w:vAlign w:val="center"/>
          </w:tcPr>
          <w:p w14:paraId="7D629546">
            <w:pPr>
              <w:spacing w:line="360" w:lineRule="auto"/>
              <w:jc w:val="center"/>
              <w:rPr>
                <w:rFonts w:hint="eastAsia" w:ascii="宋体" w:hAnsi="宋体" w:eastAsia="宋体" w:cs="宋体"/>
                <w:color w:val="auto"/>
                <w:sz w:val="24"/>
              </w:rPr>
            </w:pPr>
          </w:p>
        </w:tc>
        <w:tc>
          <w:tcPr>
            <w:tcW w:w="2557" w:type="dxa"/>
            <w:vAlign w:val="center"/>
          </w:tcPr>
          <w:p w14:paraId="6F735C19">
            <w:pPr>
              <w:spacing w:line="360" w:lineRule="auto"/>
              <w:jc w:val="center"/>
              <w:rPr>
                <w:rFonts w:hint="eastAsia" w:ascii="宋体" w:hAnsi="宋体" w:eastAsia="宋体" w:cs="宋体"/>
                <w:color w:val="auto"/>
                <w:sz w:val="24"/>
              </w:rPr>
            </w:pPr>
          </w:p>
        </w:tc>
      </w:tr>
      <w:tr w14:paraId="4531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95C574">
            <w:pPr>
              <w:spacing w:line="360" w:lineRule="auto"/>
              <w:jc w:val="center"/>
              <w:rPr>
                <w:rFonts w:hint="eastAsia" w:ascii="宋体" w:hAnsi="宋体" w:eastAsia="宋体" w:cs="宋体"/>
                <w:color w:val="auto"/>
                <w:sz w:val="24"/>
              </w:rPr>
            </w:pPr>
          </w:p>
        </w:tc>
        <w:tc>
          <w:tcPr>
            <w:tcW w:w="1417" w:type="dxa"/>
            <w:vAlign w:val="center"/>
          </w:tcPr>
          <w:p w14:paraId="3DD616FF">
            <w:pPr>
              <w:snapToGrid w:val="0"/>
              <w:spacing w:line="360" w:lineRule="auto"/>
              <w:jc w:val="center"/>
              <w:rPr>
                <w:rFonts w:hint="eastAsia" w:ascii="宋体" w:hAnsi="宋体" w:eastAsia="宋体" w:cs="宋体"/>
                <w:color w:val="auto"/>
                <w:sz w:val="24"/>
              </w:rPr>
            </w:pPr>
          </w:p>
        </w:tc>
        <w:tc>
          <w:tcPr>
            <w:tcW w:w="1843" w:type="dxa"/>
            <w:vAlign w:val="center"/>
          </w:tcPr>
          <w:p w14:paraId="700F323B">
            <w:pPr>
              <w:snapToGrid w:val="0"/>
              <w:spacing w:line="360" w:lineRule="auto"/>
              <w:jc w:val="center"/>
              <w:rPr>
                <w:rFonts w:hint="eastAsia" w:ascii="宋体" w:hAnsi="宋体" w:eastAsia="宋体" w:cs="宋体"/>
                <w:color w:val="auto"/>
                <w:sz w:val="24"/>
              </w:rPr>
            </w:pPr>
          </w:p>
        </w:tc>
        <w:tc>
          <w:tcPr>
            <w:tcW w:w="3118" w:type="dxa"/>
            <w:vAlign w:val="center"/>
          </w:tcPr>
          <w:p w14:paraId="1AFD50FE">
            <w:pPr>
              <w:snapToGrid w:val="0"/>
              <w:spacing w:line="360" w:lineRule="auto"/>
              <w:jc w:val="center"/>
              <w:rPr>
                <w:rFonts w:hint="eastAsia" w:ascii="宋体" w:hAnsi="宋体" w:eastAsia="宋体" w:cs="宋体"/>
                <w:color w:val="auto"/>
                <w:sz w:val="24"/>
              </w:rPr>
            </w:pPr>
          </w:p>
        </w:tc>
        <w:tc>
          <w:tcPr>
            <w:tcW w:w="993" w:type="dxa"/>
            <w:vAlign w:val="center"/>
          </w:tcPr>
          <w:p w14:paraId="77EF83AD">
            <w:pPr>
              <w:snapToGrid w:val="0"/>
              <w:spacing w:line="360" w:lineRule="auto"/>
              <w:jc w:val="center"/>
              <w:rPr>
                <w:rFonts w:hint="eastAsia" w:ascii="宋体" w:hAnsi="宋体" w:eastAsia="宋体" w:cs="宋体"/>
                <w:color w:val="auto"/>
                <w:sz w:val="24"/>
              </w:rPr>
            </w:pPr>
          </w:p>
        </w:tc>
        <w:tc>
          <w:tcPr>
            <w:tcW w:w="1559" w:type="dxa"/>
            <w:vAlign w:val="center"/>
          </w:tcPr>
          <w:p w14:paraId="07D2470E">
            <w:pPr>
              <w:spacing w:line="360" w:lineRule="auto"/>
              <w:jc w:val="center"/>
              <w:rPr>
                <w:rFonts w:hint="eastAsia" w:ascii="宋体" w:hAnsi="宋体" w:eastAsia="宋体" w:cs="宋体"/>
                <w:color w:val="auto"/>
                <w:sz w:val="24"/>
              </w:rPr>
            </w:pPr>
          </w:p>
        </w:tc>
        <w:tc>
          <w:tcPr>
            <w:tcW w:w="1984" w:type="dxa"/>
            <w:vAlign w:val="center"/>
          </w:tcPr>
          <w:p w14:paraId="6C463996">
            <w:pPr>
              <w:spacing w:line="360" w:lineRule="auto"/>
              <w:jc w:val="center"/>
              <w:rPr>
                <w:rFonts w:hint="eastAsia" w:ascii="宋体" w:hAnsi="宋体" w:eastAsia="宋体" w:cs="宋体"/>
                <w:color w:val="auto"/>
                <w:sz w:val="24"/>
              </w:rPr>
            </w:pPr>
          </w:p>
        </w:tc>
        <w:tc>
          <w:tcPr>
            <w:tcW w:w="2557" w:type="dxa"/>
            <w:vAlign w:val="center"/>
          </w:tcPr>
          <w:p w14:paraId="5B49D2A6">
            <w:pPr>
              <w:spacing w:line="360" w:lineRule="auto"/>
              <w:jc w:val="center"/>
              <w:rPr>
                <w:rFonts w:hint="eastAsia" w:ascii="宋体" w:hAnsi="宋体" w:eastAsia="宋体" w:cs="宋体"/>
                <w:color w:val="auto"/>
                <w:sz w:val="24"/>
              </w:rPr>
            </w:pPr>
          </w:p>
        </w:tc>
      </w:tr>
      <w:tr w14:paraId="6A1C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21D20E1">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投标报价（小写）</w:t>
            </w:r>
          </w:p>
        </w:tc>
        <w:tc>
          <w:tcPr>
            <w:tcW w:w="7093" w:type="dxa"/>
            <w:gridSpan w:val="4"/>
            <w:vAlign w:val="center"/>
          </w:tcPr>
          <w:p w14:paraId="4365D010">
            <w:pPr>
              <w:spacing w:line="360" w:lineRule="auto"/>
              <w:jc w:val="center"/>
              <w:rPr>
                <w:rFonts w:hint="eastAsia" w:ascii="宋体" w:hAnsi="宋体" w:eastAsia="宋体" w:cs="宋体"/>
                <w:color w:val="auto"/>
                <w:sz w:val="24"/>
              </w:rPr>
            </w:pPr>
          </w:p>
        </w:tc>
      </w:tr>
      <w:tr w14:paraId="0677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51517AD">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投标报价（大写）</w:t>
            </w:r>
          </w:p>
        </w:tc>
        <w:tc>
          <w:tcPr>
            <w:tcW w:w="7093" w:type="dxa"/>
            <w:gridSpan w:val="4"/>
            <w:vAlign w:val="center"/>
          </w:tcPr>
          <w:p w14:paraId="731AE64D">
            <w:pPr>
              <w:spacing w:line="360" w:lineRule="auto"/>
              <w:jc w:val="center"/>
              <w:rPr>
                <w:rFonts w:hint="eastAsia" w:ascii="宋体" w:hAnsi="宋体" w:eastAsia="宋体" w:cs="宋体"/>
                <w:color w:val="auto"/>
                <w:sz w:val="24"/>
              </w:rPr>
            </w:pPr>
          </w:p>
        </w:tc>
      </w:tr>
    </w:tbl>
    <w:p w14:paraId="61C5E967">
      <w:pPr>
        <w:spacing w:line="360" w:lineRule="auto"/>
        <w:ind w:left="-2" w:leftChars="-1" w:firstLine="482" w:firstLineChars="200"/>
        <w:rPr>
          <w:rFonts w:hint="eastAsia" w:ascii="宋体" w:hAnsi="宋体" w:eastAsia="宋体" w:cs="宋体"/>
          <w:color w:val="auto"/>
          <w:kern w:val="0"/>
          <w:sz w:val="24"/>
          <w:lang w:val="zh-CN"/>
        </w:rPr>
      </w:pPr>
      <w:r>
        <w:rPr>
          <w:rFonts w:hint="eastAsia" w:ascii="宋体" w:hAnsi="宋体" w:eastAsia="宋体" w:cs="宋体"/>
          <w:b/>
          <w:color w:val="auto"/>
          <w:kern w:val="0"/>
          <w:sz w:val="24"/>
          <w:lang w:val="zh-CN"/>
        </w:rPr>
        <w:t>注：</w:t>
      </w: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color w:val="auto"/>
          <w:kern w:val="0"/>
          <w:sz w:val="24"/>
          <w:lang w:val="zh-CN"/>
        </w:rPr>
        <w:t>。</w:t>
      </w:r>
    </w:p>
    <w:p w14:paraId="24B6D97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14:paraId="765B4AC9">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3、特别提示：采购代理机构将对项目名称和项目编号，中标供应商名称、地址和中标金额，主要中标标的名称、品牌（如果有）、规格型号、数量等予以公示。</w:t>
      </w:r>
    </w:p>
    <w:p w14:paraId="74431A9D">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注：投标人提供的中小企业声明函内容不实的，属于提供虚假材料谋取中标、成交，依照《中华人民共和国政府采购法》等国家有关规定追究相应责任。</w:t>
      </w:r>
    </w:p>
    <w:p w14:paraId="24FB8712">
      <w:pPr>
        <w:spacing w:line="360" w:lineRule="auto"/>
        <w:ind w:firstLine="482" w:firstLineChars="200"/>
        <w:rPr>
          <w:rFonts w:hint="eastAsia" w:ascii="宋体" w:hAnsi="宋体" w:eastAsia="宋体" w:cs="宋体"/>
          <w:b/>
          <w:color w:val="auto"/>
          <w:kern w:val="0"/>
          <w:sz w:val="24"/>
        </w:rPr>
      </w:pPr>
    </w:p>
    <w:p w14:paraId="08B4D90B">
      <w:pPr>
        <w:snapToGrid w:val="0"/>
        <w:spacing w:line="360" w:lineRule="auto"/>
        <w:ind w:left="480"/>
        <w:rPr>
          <w:rFonts w:hint="eastAsia" w:ascii="宋体" w:hAnsi="宋体" w:eastAsia="宋体" w:cs="宋体"/>
          <w:b/>
          <w:color w:val="auto"/>
          <w:kern w:val="0"/>
          <w:sz w:val="24"/>
          <w:lang w:val="zh-CN"/>
        </w:rPr>
      </w:pPr>
    </w:p>
    <w:p w14:paraId="2F886566">
      <w:pPr>
        <w:snapToGrid w:val="0"/>
        <w:spacing w:line="360" w:lineRule="auto"/>
        <w:ind w:right="480"/>
        <w:jc w:val="center"/>
        <w:rPr>
          <w:rFonts w:hint="eastAsia" w:ascii="宋体" w:hAnsi="宋体" w:eastAsia="宋体" w:cs="宋体"/>
          <w:b/>
          <w:color w:val="auto"/>
          <w:kern w:val="0"/>
          <w:sz w:val="32"/>
          <w:szCs w:val="32"/>
        </w:rPr>
      </w:pPr>
    </w:p>
    <w:p w14:paraId="3478BC70">
      <w:pPr>
        <w:snapToGrid w:val="0"/>
        <w:spacing w:line="360" w:lineRule="auto"/>
        <w:ind w:right="480"/>
        <w:jc w:val="center"/>
        <w:rPr>
          <w:rFonts w:hint="eastAsia" w:ascii="宋体" w:hAnsi="宋体" w:eastAsia="宋体" w:cs="宋体"/>
          <w:b/>
          <w:color w:val="auto"/>
          <w:kern w:val="0"/>
          <w:sz w:val="32"/>
          <w:szCs w:val="32"/>
        </w:rPr>
      </w:pPr>
    </w:p>
    <w:p w14:paraId="512895E4">
      <w:pPr>
        <w:snapToGrid w:val="0"/>
        <w:spacing w:line="360" w:lineRule="auto"/>
        <w:ind w:right="480"/>
        <w:jc w:val="center"/>
        <w:rPr>
          <w:rFonts w:hint="eastAsia" w:ascii="宋体" w:hAnsi="宋体" w:eastAsia="宋体" w:cs="宋体"/>
          <w:b/>
          <w:color w:val="auto"/>
          <w:kern w:val="0"/>
          <w:sz w:val="32"/>
          <w:szCs w:val="32"/>
        </w:rPr>
        <w:sectPr>
          <w:pgSz w:w="16838" w:h="11905" w:orient="landscape"/>
          <w:pgMar w:top="1814" w:right="1474" w:bottom="1814" w:left="1474" w:header="851" w:footer="850" w:gutter="0"/>
          <w:cols w:space="0" w:num="1"/>
          <w:rtlGutter w:val="0"/>
          <w:docGrid w:linePitch="312" w:charSpace="0"/>
        </w:sectPr>
      </w:pPr>
    </w:p>
    <w:p w14:paraId="78AA08CB">
      <w:pPr>
        <w:pStyle w:val="693"/>
        <w:keepNext w:val="0"/>
        <w:pageBreakBefore w:val="0"/>
        <w:tabs>
          <w:tab w:val="clear" w:pos="720"/>
        </w:tabs>
        <w:snapToGrid w:val="0"/>
        <w:spacing w:before="120" w:after="120"/>
        <w:jc w:val="center"/>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58" w:name="_Hlk101259491"/>
      <w:r>
        <w:rPr>
          <w:rFonts w:hint="eastAsia" w:ascii="宋体" w:hAnsi="宋体" w:eastAsia="宋体" w:cs="宋体"/>
          <w:color w:val="auto"/>
          <w:sz w:val="32"/>
          <w:szCs w:val="32"/>
        </w:rPr>
        <w:t>（如果有）</w:t>
      </w:r>
      <w:bookmarkEnd w:id="558"/>
    </w:p>
    <w:p w14:paraId="0FC3A6AF">
      <w:pPr>
        <w:widowControl/>
        <w:spacing w:line="360" w:lineRule="auto"/>
        <w:ind w:firstLine="120" w:firstLineChars="50"/>
        <w:jc w:val="left"/>
        <w:rPr>
          <w:rFonts w:hint="eastAsia" w:ascii="宋体" w:hAnsi="宋体" w:eastAsia="宋体" w:cs="宋体"/>
          <w:color w:val="auto"/>
          <w:kern w:val="2"/>
          <w:sz w:val="32"/>
          <w:szCs w:val="32"/>
        </w:rPr>
        <w:sectPr>
          <w:pgSz w:w="11905" w:h="16838"/>
          <w:pgMar w:top="1474" w:right="1814" w:bottom="1474" w:left="1814" w:header="851" w:footer="850" w:gutter="0"/>
          <w:cols w:space="0" w:num="1"/>
          <w:rtlGutter w:val="0"/>
          <w:docGrid w:linePitch="312" w:charSpace="0"/>
        </w:sect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9CF83ED">
      <w:pPr>
        <w:pStyle w:val="2"/>
        <w:keepNext w:val="0"/>
        <w:keepLines w:val="0"/>
        <w:pageBreakBefore/>
        <w:widowControl/>
        <w:spacing w:before="100" w:beforeAutospacing="1" w:after="100" w:afterAutospacing="1" w:line="360" w:lineRule="auto"/>
        <w:ind w:left="0" w:leftChars="0" w:firstLine="0" w:firstLineChars="0"/>
        <w:rPr>
          <w:rFonts w:hint="eastAsia" w:ascii="宋体" w:hAnsi="宋体" w:eastAsia="宋体" w:cs="宋体"/>
          <w:color w:val="auto"/>
        </w:rPr>
      </w:pPr>
      <w:bookmarkStart w:id="559" w:name="_Toc465665161"/>
      <w:r>
        <w:rPr>
          <w:rFonts w:hint="eastAsia" w:ascii="宋体" w:hAnsi="宋体" w:eastAsia="宋体" w:cs="宋体"/>
          <w:color w:val="auto"/>
        </w:rPr>
        <w:t>附件</w:t>
      </w:r>
      <w:bookmarkEnd w:id="559"/>
    </w:p>
    <w:p w14:paraId="7387077A">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2A0C9CD6">
      <w:pPr>
        <w:spacing w:line="360" w:lineRule="auto"/>
        <w:jc w:val="center"/>
        <w:rPr>
          <w:rFonts w:hint="eastAsia" w:ascii="宋体" w:hAnsi="宋体" w:eastAsia="宋体" w:cs="宋体"/>
          <w:b/>
          <w:color w:val="auto"/>
          <w:spacing w:val="6"/>
          <w:sz w:val="32"/>
          <w:szCs w:val="32"/>
        </w:rPr>
      </w:pPr>
      <w:bookmarkStart w:id="560" w:name="OLE_LINK13"/>
      <w:bookmarkStart w:id="561" w:name="OLE_LINK14"/>
      <w:r>
        <w:rPr>
          <w:rFonts w:hint="eastAsia" w:ascii="宋体" w:hAnsi="宋体" w:eastAsia="宋体" w:cs="宋体"/>
          <w:b/>
          <w:color w:val="auto"/>
          <w:spacing w:val="6"/>
          <w:sz w:val="32"/>
          <w:szCs w:val="32"/>
        </w:rPr>
        <w:t>残疾人福利性单位声明函</w:t>
      </w:r>
    </w:p>
    <w:bookmarkEnd w:id="560"/>
    <w:bookmarkEnd w:id="561"/>
    <w:p w14:paraId="13F0A084">
      <w:pPr>
        <w:spacing w:line="360" w:lineRule="auto"/>
        <w:rPr>
          <w:rFonts w:hint="eastAsia" w:ascii="宋体" w:hAnsi="宋体" w:eastAsia="宋体" w:cs="宋体"/>
          <w:b/>
          <w:color w:val="auto"/>
          <w:spacing w:val="6"/>
          <w:sz w:val="30"/>
          <w:szCs w:val="30"/>
        </w:rPr>
      </w:pPr>
    </w:p>
    <w:p w14:paraId="2B6B2B9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u w:val="single"/>
        </w:rPr>
        <w:t>（采购人）</w:t>
      </w:r>
      <w:r>
        <w:rPr>
          <w:rFonts w:hint="eastAsia" w:ascii="宋体" w:hAnsi="宋体" w:eastAsia="宋体" w:cs="宋体"/>
          <w:color w:val="auto"/>
          <w:sz w:val="24"/>
        </w:rPr>
        <w:t>单位的</w:t>
      </w:r>
      <w:r>
        <w:rPr>
          <w:rFonts w:hint="eastAsia" w:ascii="宋体" w:hAnsi="宋体" w:eastAsia="宋体" w:cs="宋体"/>
          <w:color w:val="auto"/>
          <w:sz w:val="24"/>
          <w:u w:val="single"/>
        </w:rPr>
        <w:t>（项目名称）</w:t>
      </w:r>
      <w:r>
        <w:rPr>
          <w:rFonts w:hint="eastAsia" w:ascii="宋体" w:hAnsi="宋体" w:eastAsia="宋体" w:cs="宋体"/>
          <w:color w:val="auto"/>
          <w:sz w:val="24"/>
        </w:rPr>
        <w:t>_项目采购活动提供本单位制造的货物（由本单位承担工程/提供服务），或者提供其他残疾人福利性单位制造的货物（不包括使用非残疾人福利性单位注册商标的货物）。</w:t>
      </w:r>
    </w:p>
    <w:p w14:paraId="06B0FFE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05C6C667">
      <w:pPr>
        <w:spacing w:line="360" w:lineRule="auto"/>
        <w:ind w:firstLine="480" w:firstLineChars="200"/>
        <w:rPr>
          <w:rFonts w:hint="eastAsia" w:ascii="宋体" w:hAnsi="宋体" w:eastAsia="宋体" w:cs="宋体"/>
          <w:color w:val="auto"/>
          <w:sz w:val="24"/>
        </w:rPr>
      </w:pPr>
    </w:p>
    <w:p w14:paraId="60D05EB7">
      <w:pPr>
        <w:spacing w:line="360" w:lineRule="auto"/>
        <w:ind w:firstLine="480" w:firstLineChars="200"/>
        <w:rPr>
          <w:rFonts w:hint="eastAsia" w:ascii="宋体" w:hAnsi="宋体" w:eastAsia="宋体" w:cs="宋体"/>
          <w:color w:val="auto"/>
          <w:sz w:val="24"/>
        </w:rPr>
      </w:pPr>
    </w:p>
    <w:p w14:paraId="46DF60DF">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14:paraId="276FB61E">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p>
    <w:p w14:paraId="3D68F881">
      <w:pPr>
        <w:spacing w:line="360" w:lineRule="auto"/>
        <w:ind w:firstLine="480" w:firstLineChars="200"/>
        <w:rPr>
          <w:rFonts w:hint="eastAsia" w:ascii="宋体" w:hAnsi="宋体" w:eastAsia="宋体" w:cs="宋体"/>
          <w:color w:val="auto"/>
          <w:sz w:val="24"/>
        </w:rPr>
      </w:pPr>
    </w:p>
    <w:p w14:paraId="12AA9965">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rPr>
        <w:sectPr>
          <w:pgSz w:w="11905" w:h="16838"/>
          <w:pgMar w:top="1474" w:right="1814" w:bottom="1474" w:left="1814" w:header="851" w:footer="850" w:gutter="0"/>
          <w:cols w:space="0" w:num="1"/>
          <w:rtlGutter w:val="0"/>
          <w:docGrid w:linePitch="312" w:charSpace="0"/>
        </w:sectPr>
      </w:pPr>
    </w:p>
    <w:p w14:paraId="7ECB0DB5">
      <w:pPr>
        <w:spacing w:line="360" w:lineRule="auto"/>
        <w:rPr>
          <w:rFonts w:hint="eastAsia" w:ascii="宋体" w:hAnsi="宋体" w:eastAsia="宋体" w:cs="宋体"/>
          <w:b/>
          <w:color w:val="auto"/>
          <w:sz w:val="24"/>
        </w:rPr>
      </w:pPr>
    </w:p>
    <w:p w14:paraId="0050CB2B">
      <w:pPr>
        <w:spacing w:line="360" w:lineRule="auto"/>
        <w:rPr>
          <w:rFonts w:hint="eastAsia" w:ascii="宋体" w:hAnsi="宋体" w:eastAsia="宋体" w:cs="宋体"/>
          <w:b/>
          <w:color w:val="auto"/>
          <w:sz w:val="24"/>
        </w:rPr>
      </w:pPr>
    </w:p>
    <w:p w14:paraId="6BBA679F">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70346E09">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0CABA66C">
      <w:pPr>
        <w:snapToGrid w:val="0"/>
        <w:spacing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45B00154">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p>
    <w:p w14:paraId="3B5D424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地址：邮编：</w:t>
      </w:r>
    </w:p>
    <w:p w14:paraId="4AE1F5F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联系人：联系电话：</w:t>
      </w:r>
    </w:p>
    <w:p w14:paraId="5507F08D">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p>
    <w:p w14:paraId="7740B661">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p>
    <w:p w14:paraId="4EBA2BB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 邮编：</w:t>
      </w:r>
    </w:p>
    <w:p w14:paraId="1E323B8D">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31B6732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p>
    <w:p w14:paraId="48CF211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质疑项目的编号：包号：</w:t>
      </w:r>
    </w:p>
    <w:p w14:paraId="42C12142">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p>
    <w:p w14:paraId="68BCC7F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p>
    <w:p w14:paraId="1D65D1C2">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5461234B">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p>
    <w:p w14:paraId="1F044DD2">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p>
    <w:p w14:paraId="493B2EBA">
      <w:pPr>
        <w:snapToGrid w:val="0"/>
        <w:spacing w:line="360" w:lineRule="auto"/>
        <w:rPr>
          <w:rFonts w:hint="eastAsia" w:ascii="宋体" w:hAnsi="宋体" w:eastAsia="宋体" w:cs="宋体"/>
          <w:color w:val="auto"/>
          <w:sz w:val="24"/>
        </w:rPr>
      </w:pPr>
    </w:p>
    <w:p w14:paraId="58B4F391">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p>
    <w:p w14:paraId="31ED0958">
      <w:pPr>
        <w:snapToGrid w:val="0"/>
        <w:spacing w:line="360" w:lineRule="auto"/>
        <w:rPr>
          <w:rFonts w:hint="eastAsia" w:ascii="宋体" w:hAnsi="宋体" w:eastAsia="宋体" w:cs="宋体"/>
          <w:color w:val="auto"/>
          <w:sz w:val="24"/>
          <w:u w:val="dotted"/>
        </w:rPr>
      </w:pPr>
    </w:p>
    <w:p w14:paraId="049C3CD9">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49134BF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6A5A1012">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133C7E65">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p>
    <w:p w14:paraId="32C9FC5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2C63206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00F01923">
      <w:pPr>
        <w:spacing w:line="360" w:lineRule="auto"/>
        <w:jc w:val="center"/>
        <w:rPr>
          <w:rFonts w:hint="eastAsia" w:ascii="宋体" w:hAnsi="宋体" w:eastAsia="宋体" w:cs="宋体"/>
          <w:b/>
          <w:bCs/>
          <w:color w:val="auto"/>
          <w:sz w:val="24"/>
        </w:rPr>
      </w:pPr>
    </w:p>
    <w:p w14:paraId="29499489">
      <w:pPr>
        <w:spacing w:line="360" w:lineRule="auto"/>
        <w:rPr>
          <w:rFonts w:hint="eastAsia" w:ascii="宋体" w:hAnsi="宋体" w:eastAsia="宋体" w:cs="宋体"/>
          <w:b/>
          <w:color w:val="auto"/>
          <w:sz w:val="24"/>
        </w:rPr>
      </w:pPr>
    </w:p>
    <w:p w14:paraId="29B09D63">
      <w:pPr>
        <w:spacing w:line="360" w:lineRule="auto"/>
        <w:rPr>
          <w:rFonts w:hint="eastAsia" w:ascii="宋体" w:hAnsi="宋体" w:eastAsia="宋体" w:cs="宋体"/>
          <w:b/>
          <w:color w:val="auto"/>
          <w:sz w:val="24"/>
        </w:rPr>
      </w:pPr>
    </w:p>
    <w:p w14:paraId="62BE51B6">
      <w:pPr>
        <w:spacing w:line="360" w:lineRule="auto"/>
        <w:rPr>
          <w:rFonts w:hint="eastAsia" w:ascii="宋体" w:hAnsi="宋体" w:eastAsia="宋体" w:cs="宋体"/>
          <w:b/>
          <w:color w:val="auto"/>
          <w:sz w:val="24"/>
        </w:rPr>
      </w:pPr>
    </w:p>
    <w:p w14:paraId="5082C258">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6689C30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6E489B2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0C8F215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1AB7B04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033589B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6054550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6FEACDD0">
      <w:pPr>
        <w:widowControl/>
        <w:spacing w:line="360" w:lineRule="auto"/>
        <w:ind w:firstLine="600" w:firstLineChars="200"/>
        <w:jc w:val="left"/>
        <w:rPr>
          <w:rFonts w:hint="eastAsia" w:ascii="宋体" w:hAnsi="宋体" w:eastAsia="宋体" w:cs="宋体"/>
          <w:color w:val="auto"/>
          <w:sz w:val="30"/>
          <w:szCs w:val="30"/>
        </w:rPr>
      </w:pPr>
    </w:p>
    <w:p w14:paraId="4A84E76D">
      <w:pPr>
        <w:spacing w:line="360" w:lineRule="auto"/>
        <w:jc w:val="center"/>
        <w:rPr>
          <w:rFonts w:hint="eastAsia" w:ascii="宋体" w:hAnsi="宋体" w:eastAsia="宋体" w:cs="宋体"/>
          <w:b/>
          <w:color w:val="auto"/>
          <w:spacing w:val="6"/>
          <w:sz w:val="32"/>
          <w:szCs w:val="32"/>
        </w:rPr>
      </w:pPr>
    </w:p>
    <w:p w14:paraId="0BDEA1E4">
      <w:pPr>
        <w:spacing w:line="360" w:lineRule="auto"/>
        <w:jc w:val="center"/>
        <w:rPr>
          <w:rFonts w:hint="eastAsia" w:ascii="宋体" w:hAnsi="宋体" w:eastAsia="宋体" w:cs="宋体"/>
          <w:b/>
          <w:color w:val="auto"/>
          <w:spacing w:val="6"/>
          <w:sz w:val="32"/>
          <w:szCs w:val="32"/>
        </w:rPr>
      </w:pPr>
    </w:p>
    <w:p w14:paraId="67B1AACB">
      <w:pPr>
        <w:spacing w:line="360" w:lineRule="auto"/>
        <w:jc w:val="center"/>
        <w:rPr>
          <w:rFonts w:hint="eastAsia" w:ascii="宋体" w:hAnsi="宋体" w:eastAsia="宋体" w:cs="宋体"/>
          <w:b/>
          <w:color w:val="auto"/>
          <w:spacing w:val="6"/>
          <w:sz w:val="32"/>
          <w:szCs w:val="32"/>
        </w:rPr>
      </w:pPr>
    </w:p>
    <w:p w14:paraId="096E906E">
      <w:pPr>
        <w:spacing w:line="360" w:lineRule="auto"/>
        <w:jc w:val="center"/>
        <w:rPr>
          <w:rFonts w:hint="eastAsia" w:ascii="宋体" w:hAnsi="宋体" w:eastAsia="宋体" w:cs="宋体"/>
          <w:b/>
          <w:color w:val="auto"/>
          <w:spacing w:val="6"/>
          <w:sz w:val="32"/>
          <w:szCs w:val="32"/>
        </w:rPr>
      </w:pPr>
    </w:p>
    <w:p w14:paraId="1287B87E">
      <w:pPr>
        <w:spacing w:line="360" w:lineRule="auto"/>
        <w:jc w:val="center"/>
        <w:rPr>
          <w:rFonts w:hint="eastAsia" w:ascii="宋体" w:hAnsi="宋体" w:eastAsia="宋体" w:cs="宋体"/>
          <w:b/>
          <w:color w:val="auto"/>
          <w:spacing w:val="6"/>
          <w:sz w:val="32"/>
          <w:szCs w:val="32"/>
        </w:rPr>
      </w:pPr>
    </w:p>
    <w:p w14:paraId="23B3D2A4">
      <w:pPr>
        <w:spacing w:line="360" w:lineRule="auto"/>
        <w:jc w:val="center"/>
        <w:rPr>
          <w:rFonts w:hint="eastAsia" w:ascii="宋体" w:hAnsi="宋体" w:eastAsia="宋体" w:cs="宋体"/>
          <w:b/>
          <w:color w:val="auto"/>
          <w:spacing w:val="6"/>
          <w:sz w:val="32"/>
          <w:szCs w:val="32"/>
        </w:rPr>
      </w:pPr>
    </w:p>
    <w:p w14:paraId="6B9B1DF4">
      <w:pPr>
        <w:spacing w:line="360" w:lineRule="auto"/>
        <w:jc w:val="center"/>
        <w:rPr>
          <w:rFonts w:hint="eastAsia" w:ascii="宋体" w:hAnsi="宋体" w:eastAsia="宋体" w:cs="宋体"/>
          <w:b/>
          <w:color w:val="auto"/>
          <w:spacing w:val="6"/>
          <w:sz w:val="32"/>
          <w:szCs w:val="32"/>
        </w:rPr>
      </w:pPr>
    </w:p>
    <w:p w14:paraId="41112D78">
      <w:pPr>
        <w:spacing w:line="360" w:lineRule="auto"/>
        <w:jc w:val="center"/>
        <w:rPr>
          <w:rFonts w:hint="eastAsia" w:ascii="宋体" w:hAnsi="宋体" w:eastAsia="宋体" w:cs="宋体"/>
          <w:b/>
          <w:color w:val="auto"/>
          <w:spacing w:val="6"/>
          <w:sz w:val="32"/>
          <w:szCs w:val="32"/>
        </w:rPr>
      </w:pPr>
    </w:p>
    <w:p w14:paraId="57CA86B2">
      <w:pPr>
        <w:spacing w:line="360" w:lineRule="auto"/>
        <w:jc w:val="center"/>
        <w:rPr>
          <w:rFonts w:hint="eastAsia" w:ascii="宋体" w:hAnsi="宋体" w:eastAsia="宋体" w:cs="宋体"/>
          <w:b/>
          <w:color w:val="auto"/>
          <w:spacing w:val="6"/>
          <w:sz w:val="32"/>
          <w:szCs w:val="32"/>
        </w:rPr>
      </w:pPr>
    </w:p>
    <w:p w14:paraId="02546902">
      <w:pPr>
        <w:spacing w:line="360" w:lineRule="auto"/>
        <w:jc w:val="left"/>
        <w:rPr>
          <w:rFonts w:hint="eastAsia" w:ascii="宋体" w:hAnsi="宋体" w:eastAsia="宋体" w:cs="宋体"/>
          <w:b/>
          <w:color w:val="auto"/>
          <w:spacing w:val="6"/>
          <w:sz w:val="32"/>
          <w:szCs w:val="32"/>
        </w:rPr>
      </w:pPr>
    </w:p>
    <w:p w14:paraId="3199C204">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14:paraId="65A9C8DC">
      <w:pPr>
        <w:spacing w:line="360" w:lineRule="auto"/>
        <w:jc w:val="center"/>
        <w:rPr>
          <w:rFonts w:hint="eastAsia" w:ascii="宋体" w:hAnsi="宋体" w:eastAsia="宋体" w:cs="宋体"/>
          <w:b/>
          <w:color w:val="auto"/>
          <w:sz w:val="24"/>
        </w:rPr>
      </w:pPr>
    </w:p>
    <w:p w14:paraId="11435947">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491C8FB2">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3EC938D6">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p>
    <w:p w14:paraId="2CBEB902">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址：邮编：</w:t>
      </w:r>
    </w:p>
    <w:p w14:paraId="320040EF">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p>
    <w:p w14:paraId="55BEB27D">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p>
    <w:p w14:paraId="076677B6">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授权代表：联系电话</w:t>
      </w:r>
      <w:r>
        <w:rPr>
          <w:rFonts w:hint="eastAsia" w:ascii="宋体" w:hAnsi="宋体" w:eastAsia="宋体" w:cs="宋体"/>
          <w:color w:val="auto"/>
          <w:sz w:val="24"/>
          <w:u w:val="dotted"/>
        </w:rPr>
        <w:t xml:space="preserve">：                  </w:t>
      </w:r>
    </w:p>
    <w:p w14:paraId="6EA6FD27">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址：邮编：</w:t>
      </w:r>
    </w:p>
    <w:p w14:paraId="192C0F5F">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p>
    <w:p w14:paraId="23E5334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址：邮编：</w:t>
      </w:r>
    </w:p>
    <w:p w14:paraId="1D13C11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14:paraId="57298A2E">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6A99DE1B">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171FAEA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p>
    <w:p w14:paraId="5D6AC846">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址：邮编：</w:t>
      </w:r>
    </w:p>
    <w:p w14:paraId="177C90D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14:paraId="6C3B6BE6">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66ACDDF2">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p>
    <w:p w14:paraId="5C529A8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采购项目编号：包号：</w:t>
      </w:r>
    </w:p>
    <w:p w14:paraId="112BBE78">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p>
    <w:p w14:paraId="3742807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p>
    <w:p w14:paraId="446DB9A1">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p>
    <w:p w14:paraId="4BFB06A7">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p>
    <w:p w14:paraId="75D8D111">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7025DC31">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投诉人于年月日,向提出质疑，质疑事项为：</w:t>
      </w:r>
    </w:p>
    <w:p w14:paraId="367DAC26">
      <w:pPr>
        <w:spacing w:line="360" w:lineRule="auto"/>
        <w:rPr>
          <w:rFonts w:hint="eastAsia" w:ascii="宋体" w:hAnsi="宋体" w:eastAsia="宋体" w:cs="宋体"/>
          <w:color w:val="auto"/>
          <w:sz w:val="24"/>
          <w:u w:val="dotted"/>
        </w:rPr>
      </w:pPr>
    </w:p>
    <w:p w14:paraId="29A2D282">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于年月日,就质疑事项作出了答复/没有在法定期限内作出答复。</w:t>
      </w:r>
    </w:p>
    <w:p w14:paraId="67BCB9AD">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3AF35D8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p>
    <w:p w14:paraId="4DBB7212">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p>
    <w:p w14:paraId="1D76CF58">
      <w:pPr>
        <w:spacing w:line="360" w:lineRule="auto"/>
        <w:rPr>
          <w:rFonts w:hint="eastAsia" w:ascii="宋体" w:hAnsi="宋体" w:eastAsia="宋体" w:cs="宋体"/>
          <w:color w:val="auto"/>
          <w:sz w:val="24"/>
          <w:u w:val="dotted"/>
        </w:rPr>
      </w:pPr>
    </w:p>
    <w:p w14:paraId="780D9401">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p>
    <w:p w14:paraId="07DA8227">
      <w:pPr>
        <w:spacing w:line="360" w:lineRule="auto"/>
        <w:rPr>
          <w:rFonts w:hint="eastAsia" w:ascii="宋体" w:hAnsi="宋体" w:eastAsia="宋体" w:cs="宋体"/>
          <w:color w:val="auto"/>
          <w:sz w:val="24"/>
          <w:u w:val="dotted"/>
        </w:rPr>
      </w:pPr>
    </w:p>
    <w:p w14:paraId="6164E153">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14:paraId="51BDAC84">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67F79C60">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2F60884F">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p>
    <w:p w14:paraId="1E45B355">
      <w:pPr>
        <w:spacing w:line="360" w:lineRule="auto"/>
        <w:rPr>
          <w:rFonts w:hint="eastAsia" w:ascii="宋体" w:hAnsi="宋体" w:eastAsia="宋体" w:cs="宋体"/>
          <w:color w:val="auto"/>
          <w:sz w:val="24"/>
          <w:u w:val="single"/>
        </w:rPr>
      </w:pPr>
    </w:p>
    <w:p w14:paraId="219E28D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369BEA9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0E4105ED">
      <w:pPr>
        <w:spacing w:line="360" w:lineRule="auto"/>
        <w:rPr>
          <w:rFonts w:hint="eastAsia" w:ascii="宋体" w:hAnsi="宋体" w:eastAsia="宋体" w:cs="宋体"/>
          <w:b/>
          <w:color w:val="auto"/>
          <w:sz w:val="24"/>
        </w:rPr>
      </w:pPr>
    </w:p>
    <w:p w14:paraId="7153A54E">
      <w:pPr>
        <w:spacing w:line="360" w:lineRule="auto"/>
        <w:rPr>
          <w:rFonts w:hint="eastAsia" w:ascii="宋体" w:hAnsi="宋体" w:eastAsia="宋体" w:cs="宋体"/>
          <w:b/>
          <w:color w:val="auto"/>
          <w:sz w:val="24"/>
        </w:rPr>
      </w:pPr>
    </w:p>
    <w:p w14:paraId="0A6A9472">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683350E7">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2FDE3681">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428EDE1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4DCC44B2">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62B39F5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096581C4">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5F653E29">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52B1F594">
      <w:pPr>
        <w:spacing w:line="360" w:lineRule="auto"/>
        <w:rPr>
          <w:rFonts w:hint="eastAsia" w:ascii="宋体" w:hAnsi="宋体" w:eastAsia="宋体" w:cs="宋体"/>
          <w:b/>
          <w:color w:val="auto"/>
          <w:sz w:val="24"/>
        </w:rPr>
      </w:pPr>
    </w:p>
    <w:p w14:paraId="38450DCB">
      <w:pPr>
        <w:autoSpaceDE w:val="0"/>
        <w:autoSpaceDN w:val="0"/>
        <w:jc w:val="both"/>
        <w:rPr>
          <w:rFonts w:hint="eastAsia" w:ascii="宋体" w:hAnsi="宋体" w:eastAsia="宋体" w:cs="宋体"/>
          <w:b/>
          <w:color w:val="auto"/>
          <w:spacing w:val="6"/>
          <w:sz w:val="32"/>
          <w:szCs w:val="32"/>
        </w:rPr>
      </w:pPr>
    </w:p>
    <w:p w14:paraId="66D06B8C">
      <w:pPr>
        <w:autoSpaceDE w:val="0"/>
        <w:autoSpaceDN w:val="0"/>
        <w:jc w:val="center"/>
        <w:rPr>
          <w:rFonts w:hint="eastAsia" w:ascii="宋体" w:hAnsi="宋体" w:eastAsia="宋体" w:cs="宋体"/>
          <w:b/>
          <w:color w:val="auto"/>
          <w:spacing w:val="6"/>
          <w:sz w:val="32"/>
          <w:szCs w:val="32"/>
        </w:rPr>
      </w:pPr>
    </w:p>
    <w:p w14:paraId="5032E283">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18D998E9">
      <w:pPr>
        <w:spacing w:line="360" w:lineRule="auto"/>
        <w:rPr>
          <w:rFonts w:hint="eastAsia" w:ascii="宋体" w:hAnsi="宋体" w:eastAsia="宋体" w:cs="宋体"/>
          <w:color w:val="auto"/>
          <w:sz w:val="24"/>
          <w:u w:val="single"/>
        </w:rPr>
      </w:pPr>
    </w:p>
    <w:p w14:paraId="375D4BB8">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44ACEA2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3E6E336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14:paraId="0A032E1E">
      <w:pPr>
        <w:spacing w:line="360" w:lineRule="auto"/>
        <w:ind w:firstLine="494"/>
        <w:rPr>
          <w:rFonts w:hint="eastAsia" w:ascii="宋体" w:hAnsi="宋体" w:eastAsia="宋体" w:cs="宋体"/>
          <w:color w:val="auto"/>
          <w:sz w:val="24"/>
        </w:rPr>
      </w:pPr>
    </w:p>
    <w:p w14:paraId="5CB72A18">
      <w:pPr>
        <w:spacing w:line="360" w:lineRule="auto"/>
        <w:ind w:firstLine="494"/>
        <w:rPr>
          <w:rFonts w:hint="eastAsia" w:ascii="宋体" w:hAnsi="宋体" w:eastAsia="宋体" w:cs="宋体"/>
          <w:color w:val="auto"/>
          <w:sz w:val="24"/>
        </w:rPr>
      </w:pPr>
    </w:p>
    <w:p w14:paraId="465B8748">
      <w:pPr>
        <w:spacing w:line="360" w:lineRule="auto"/>
        <w:ind w:firstLine="494"/>
        <w:rPr>
          <w:rFonts w:hint="eastAsia" w:ascii="宋体" w:hAnsi="宋体" w:eastAsia="宋体" w:cs="宋体"/>
          <w:color w:val="auto"/>
          <w:sz w:val="24"/>
        </w:rPr>
      </w:pPr>
    </w:p>
    <w:p w14:paraId="262AF583">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14:paraId="21329334">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4ACE7DCA">
      <w:pPr>
        <w:rPr>
          <w:rFonts w:hint="eastAsia" w:ascii="宋体" w:hAnsi="宋体" w:eastAsia="宋体" w:cs="宋体"/>
          <w:color w:val="auto"/>
          <w:sz w:val="24"/>
        </w:rPr>
      </w:pPr>
      <w:r>
        <w:rPr>
          <w:rFonts w:hint="eastAsia" w:ascii="宋体" w:hAnsi="宋体" w:eastAsia="宋体" w:cs="宋体"/>
          <w:b/>
          <w:bCs/>
          <w:color w:val="auto"/>
          <w:sz w:val="24"/>
        </w:rPr>
        <w:t>附：</w:t>
      </w:r>
    </w:p>
    <w:p w14:paraId="3B2E3171">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J8nMTACAACDBAAADgAAAGRycy9lMm9Eb2MueG1srVTL&#10;btswELwX6D8QvDd6xIobIXIQxHBRIG2Dpv0AmqIsoiSXXdKW3a/vinJSJ+0hh+ogcLXL4czsUlfX&#10;e2vYTmHQ4BpenOWcKSeh1W7T8O/fVu/ecxaicK0w4FTDDyrw68XbN1eDr1UJPZhWISMQF+rBN7yP&#10;0ddZFmSvrAhn4JWjZAdoRaQQN1mLYiB0a7Iyzy+yAbD1CFKFQF+XU5IfEfE1gNB1WqolyK1VLk6o&#10;qIyIJCn02ge+SGy7Tsn4peuCisw0nJTG9KZDaL0e39niStQbFL7X8khBvIbCC01WaEeHPkEtRRRs&#10;i/ovKKslQoAunkmw2SQkOUIqivyFNw+98CppIauDfzI9/D9Y+Xl3j0y3DS/POXPCUse/kmvCbYxi&#10;xXw0aPChproHf4+jxODvQP4IzMFtT2XqBhGGXomWaBVjffZswxgE2srWwydoCV5sIySv9h3aEZBc&#10;YPvUksNTS9Q+Mkkfy3k+m11UnEnKlWV1flFU6QxRP273GOIHBZaNi4YjsU/wYncX4khH1I8liT4Y&#10;3a60MSnAzfrWINsJmo9Veo7o4bTMODY0/LIqq4T8LBdOIfL0/AvC6kjXxmhLMk6LjBt5qDSqR76P&#10;jk3Or6E9kHsI0+zSzaVFD/iLs4HmtuHh51ag4sx8dNSBy2I2Gwc9BbNqXlKAp5n1aUY4SVANj5xN&#10;y9s4XY6tR73p6aQiKXZwQ13rdPJz5DexOvaaZjPZfLxH4/Cfxqnqz79j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IJ8nMTACAACDBAAADgAAAAAAAAABACAAAAAnAQAAZHJzL2Uyb0RvYy54&#10;bWxQSwUGAAAAAAYABgBZAQAAyQ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YYKiS8CAACD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WLCmROWOv6VXBNuYxTL&#10;Z71BnQ8l1T35R+wlBn8P8kdgDlYtlakbROhaJWqilff12bMNfRBoK1t3n6EmeLGNkLzaN2h7QHKB&#10;7VNLDueWqH1kkj4Ws8nVfErdkpQriun7WT5NZ4jytN1jiB8VWNYvKo7EPsGL3X2IPR1RnkoSfTC6&#10;vtPGpAA365VBthM0H3fpOaKHyzLjWFfx+bSYJuRnuXAJMU7PvyCsjnRtjLYk47LIuJ6HSqN65Hty&#10;bHB+DfWB3EMYZpduLi1awF+cdTS3FQ8/twIVZ+aTow7M88mkH/QUTKZXBQV4mVlfZoSTBFXxyNmw&#10;XMXhcmw96k1LJ+VJsYMb6lqjk589v4HVsdc0m8nm4z3qh/8yTlV//h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xhgqJ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14:paraId="46334203">
      <w:pPr>
        <w:autoSpaceDE w:val="0"/>
        <w:autoSpaceDN w:val="0"/>
        <w:jc w:val="center"/>
        <w:rPr>
          <w:rFonts w:hint="eastAsia" w:ascii="宋体" w:hAnsi="宋体" w:eastAsia="宋体" w:cs="宋体"/>
          <w:b/>
          <w:color w:val="auto"/>
          <w:spacing w:val="6"/>
          <w:sz w:val="32"/>
          <w:szCs w:val="32"/>
        </w:rPr>
      </w:pPr>
    </w:p>
    <w:p w14:paraId="15C85F93">
      <w:pPr>
        <w:autoSpaceDE w:val="0"/>
        <w:autoSpaceDN w:val="0"/>
        <w:jc w:val="center"/>
        <w:rPr>
          <w:rFonts w:hint="eastAsia" w:ascii="宋体" w:hAnsi="宋体" w:eastAsia="宋体" w:cs="宋体"/>
          <w:b/>
          <w:color w:val="auto"/>
          <w:spacing w:val="6"/>
          <w:sz w:val="32"/>
          <w:szCs w:val="32"/>
        </w:rPr>
      </w:pPr>
    </w:p>
    <w:p w14:paraId="204A1516">
      <w:pPr>
        <w:autoSpaceDE w:val="0"/>
        <w:autoSpaceDN w:val="0"/>
        <w:jc w:val="center"/>
        <w:rPr>
          <w:rFonts w:hint="eastAsia" w:ascii="宋体" w:hAnsi="宋体" w:eastAsia="宋体" w:cs="宋体"/>
          <w:b/>
          <w:color w:val="auto"/>
          <w:spacing w:val="6"/>
          <w:sz w:val="32"/>
          <w:szCs w:val="32"/>
        </w:rPr>
      </w:pPr>
    </w:p>
    <w:p w14:paraId="1AF8B4A3">
      <w:pPr>
        <w:autoSpaceDE w:val="0"/>
        <w:autoSpaceDN w:val="0"/>
        <w:jc w:val="center"/>
        <w:rPr>
          <w:rFonts w:hint="eastAsia" w:ascii="宋体" w:hAnsi="宋体" w:eastAsia="宋体" w:cs="宋体"/>
          <w:b/>
          <w:color w:val="auto"/>
          <w:spacing w:val="6"/>
          <w:sz w:val="32"/>
          <w:szCs w:val="32"/>
        </w:rPr>
      </w:pPr>
    </w:p>
    <w:p w14:paraId="1F0416D1">
      <w:pPr>
        <w:autoSpaceDE w:val="0"/>
        <w:autoSpaceDN w:val="0"/>
        <w:jc w:val="center"/>
        <w:rPr>
          <w:rFonts w:hint="eastAsia" w:ascii="宋体" w:hAnsi="宋体" w:eastAsia="宋体" w:cs="宋体"/>
          <w:b/>
          <w:color w:val="auto"/>
          <w:spacing w:val="6"/>
          <w:sz w:val="32"/>
          <w:szCs w:val="32"/>
        </w:rPr>
      </w:pPr>
    </w:p>
    <w:p w14:paraId="0FA469CC">
      <w:pPr>
        <w:autoSpaceDE w:val="0"/>
        <w:autoSpaceDN w:val="0"/>
        <w:jc w:val="center"/>
        <w:rPr>
          <w:rFonts w:hint="eastAsia" w:ascii="宋体" w:hAnsi="宋体" w:eastAsia="宋体" w:cs="宋体"/>
          <w:b/>
          <w:color w:val="auto"/>
          <w:spacing w:val="6"/>
          <w:sz w:val="32"/>
          <w:szCs w:val="32"/>
        </w:rPr>
      </w:pPr>
    </w:p>
    <w:p w14:paraId="11C8DB88">
      <w:pPr>
        <w:autoSpaceDE w:val="0"/>
        <w:autoSpaceDN w:val="0"/>
        <w:jc w:val="center"/>
        <w:rPr>
          <w:rFonts w:hint="eastAsia" w:ascii="宋体" w:hAnsi="宋体" w:eastAsia="宋体" w:cs="宋体"/>
          <w:b/>
          <w:color w:val="auto"/>
          <w:spacing w:val="6"/>
          <w:sz w:val="32"/>
          <w:szCs w:val="32"/>
        </w:rPr>
      </w:pPr>
    </w:p>
    <w:p w14:paraId="4BCDF542">
      <w:pPr>
        <w:autoSpaceDE w:val="0"/>
        <w:autoSpaceDN w:val="0"/>
        <w:jc w:val="center"/>
        <w:rPr>
          <w:rFonts w:hint="eastAsia" w:ascii="宋体" w:hAnsi="宋体" w:eastAsia="宋体" w:cs="宋体"/>
          <w:b/>
          <w:color w:val="auto"/>
          <w:spacing w:val="6"/>
          <w:sz w:val="32"/>
          <w:szCs w:val="32"/>
        </w:rPr>
      </w:pPr>
    </w:p>
    <w:p w14:paraId="720C1F13">
      <w:pPr>
        <w:autoSpaceDE w:val="0"/>
        <w:autoSpaceDN w:val="0"/>
        <w:jc w:val="center"/>
        <w:rPr>
          <w:rFonts w:hint="eastAsia" w:ascii="宋体" w:hAnsi="宋体" w:eastAsia="宋体" w:cs="宋体"/>
          <w:b/>
          <w:color w:val="auto"/>
          <w:spacing w:val="6"/>
          <w:sz w:val="32"/>
          <w:szCs w:val="32"/>
        </w:rPr>
      </w:pPr>
    </w:p>
    <w:p w14:paraId="19C7F578">
      <w:pPr>
        <w:autoSpaceDE w:val="0"/>
        <w:autoSpaceDN w:val="0"/>
        <w:jc w:val="center"/>
        <w:rPr>
          <w:rFonts w:hint="eastAsia" w:ascii="宋体" w:hAnsi="宋体" w:eastAsia="宋体" w:cs="宋体"/>
          <w:b/>
          <w:color w:val="auto"/>
          <w:spacing w:val="6"/>
          <w:sz w:val="32"/>
          <w:szCs w:val="32"/>
        </w:rPr>
      </w:pPr>
    </w:p>
    <w:p w14:paraId="474A381D">
      <w:pPr>
        <w:autoSpaceDE w:val="0"/>
        <w:autoSpaceDN w:val="0"/>
        <w:jc w:val="center"/>
        <w:rPr>
          <w:rFonts w:hint="eastAsia" w:ascii="宋体" w:hAnsi="宋体" w:eastAsia="宋体" w:cs="宋体"/>
          <w:b/>
          <w:color w:val="auto"/>
          <w:spacing w:val="6"/>
          <w:sz w:val="32"/>
          <w:szCs w:val="32"/>
        </w:rPr>
      </w:pPr>
    </w:p>
    <w:p w14:paraId="649927A6">
      <w:pPr>
        <w:autoSpaceDE w:val="0"/>
        <w:autoSpaceDN w:val="0"/>
        <w:jc w:val="center"/>
        <w:rPr>
          <w:rFonts w:hint="eastAsia" w:ascii="宋体" w:hAnsi="宋体" w:eastAsia="宋体" w:cs="宋体"/>
          <w:b/>
          <w:color w:val="auto"/>
          <w:spacing w:val="6"/>
          <w:sz w:val="32"/>
          <w:szCs w:val="32"/>
        </w:rPr>
      </w:pPr>
    </w:p>
    <w:p w14:paraId="3033F014">
      <w:pPr>
        <w:autoSpaceDE w:val="0"/>
        <w:autoSpaceDN w:val="0"/>
        <w:jc w:val="center"/>
        <w:rPr>
          <w:rFonts w:hint="eastAsia" w:ascii="宋体" w:hAnsi="宋体" w:eastAsia="宋体" w:cs="宋体"/>
          <w:b/>
          <w:color w:val="auto"/>
          <w:spacing w:val="6"/>
          <w:sz w:val="32"/>
          <w:szCs w:val="32"/>
        </w:rPr>
      </w:pPr>
    </w:p>
    <w:p w14:paraId="7E04E632">
      <w:pPr>
        <w:autoSpaceDE w:val="0"/>
        <w:autoSpaceDN w:val="0"/>
        <w:jc w:val="center"/>
        <w:rPr>
          <w:rFonts w:hint="eastAsia" w:ascii="宋体" w:hAnsi="宋体" w:eastAsia="宋体" w:cs="宋体"/>
          <w:b/>
          <w:color w:val="auto"/>
          <w:spacing w:val="6"/>
          <w:sz w:val="32"/>
          <w:szCs w:val="32"/>
        </w:rPr>
      </w:pPr>
    </w:p>
    <w:p w14:paraId="37A57A75">
      <w:pPr>
        <w:autoSpaceDE w:val="0"/>
        <w:autoSpaceDN w:val="0"/>
        <w:jc w:val="both"/>
        <w:rPr>
          <w:rFonts w:hint="eastAsia" w:ascii="宋体" w:hAnsi="宋体" w:eastAsia="宋体" w:cs="宋体"/>
          <w:b/>
          <w:color w:val="auto"/>
          <w:spacing w:val="6"/>
          <w:sz w:val="32"/>
          <w:szCs w:val="32"/>
        </w:rPr>
      </w:pPr>
    </w:p>
    <w:p w14:paraId="2D09A527">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附件5：联合协议</w:t>
      </w:r>
    </w:p>
    <w:p w14:paraId="147E72EF">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5D8D7DD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6C1823E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72F5527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14:paraId="41295AB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49FBF00E">
      <w:pPr>
        <w:snapToGrid w:val="0"/>
        <w:spacing w:line="360" w:lineRule="auto"/>
        <w:ind w:firstLine="576"/>
        <w:rPr>
          <w:rFonts w:hint="eastAsia" w:ascii="宋体" w:hAnsi="宋体" w:eastAsia="宋体" w:cs="宋体"/>
          <w:color w:val="auto"/>
          <w:kern w:val="0"/>
          <w:sz w:val="24"/>
          <w:lang w:val="zh-CN"/>
        </w:rPr>
      </w:pPr>
      <w:bookmarkStart w:id="562" w:name="_Hlk101134295"/>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p>
    <w:p w14:paraId="33D8ED6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p>
    <w:p w14:paraId="1A1EA2B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bookmarkEnd w:id="562"/>
    <w:p w14:paraId="7764429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14:paraId="69FDF176">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提供的全部货物由小微企业制造，其合同份额占到合同总金额%以上；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0C451852">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sz w:val="24"/>
        </w:rPr>
        <w:t>2、中小企业合同金额达到%，其中小微企业合同金额达到%</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14:paraId="1D92397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66656E5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44EB335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0DE2BF5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456E81C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7BC4C359">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74DB5FE5">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1FC9A05E">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41DEF3C4">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43A8C46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437EFD69">
      <w:pPr>
        <w:autoSpaceDE w:val="0"/>
        <w:autoSpaceDN w:val="0"/>
        <w:jc w:val="center"/>
        <w:rPr>
          <w:rFonts w:hint="eastAsia" w:ascii="宋体" w:hAnsi="宋体" w:eastAsia="宋体" w:cs="宋体"/>
          <w:b/>
          <w:color w:val="auto"/>
          <w:spacing w:val="6"/>
          <w:sz w:val="32"/>
          <w:szCs w:val="32"/>
        </w:rPr>
      </w:pPr>
    </w:p>
    <w:p w14:paraId="5B637B5C">
      <w:pPr>
        <w:autoSpaceDE w:val="0"/>
        <w:autoSpaceDN w:val="0"/>
        <w:jc w:val="center"/>
        <w:rPr>
          <w:rFonts w:hint="eastAsia" w:ascii="宋体" w:hAnsi="宋体" w:eastAsia="宋体" w:cs="宋体"/>
          <w:b/>
          <w:color w:val="auto"/>
          <w:spacing w:val="6"/>
          <w:sz w:val="32"/>
          <w:szCs w:val="32"/>
        </w:rPr>
      </w:pPr>
    </w:p>
    <w:p w14:paraId="2EDB5AD5">
      <w:pPr>
        <w:autoSpaceDE w:val="0"/>
        <w:autoSpaceDN w:val="0"/>
        <w:jc w:val="center"/>
        <w:rPr>
          <w:rFonts w:hint="eastAsia" w:ascii="宋体" w:hAnsi="宋体" w:eastAsia="宋体" w:cs="宋体"/>
          <w:b/>
          <w:color w:val="auto"/>
          <w:spacing w:val="6"/>
          <w:sz w:val="32"/>
          <w:szCs w:val="32"/>
        </w:rPr>
      </w:pPr>
    </w:p>
    <w:p w14:paraId="7E69AFCF">
      <w:pPr>
        <w:autoSpaceDE w:val="0"/>
        <w:autoSpaceDN w:val="0"/>
        <w:jc w:val="center"/>
        <w:rPr>
          <w:rFonts w:hint="eastAsia" w:ascii="宋体" w:hAnsi="宋体" w:eastAsia="宋体" w:cs="宋体"/>
          <w:b/>
          <w:color w:val="auto"/>
          <w:spacing w:val="6"/>
          <w:sz w:val="32"/>
          <w:szCs w:val="32"/>
        </w:rPr>
      </w:pPr>
    </w:p>
    <w:p w14:paraId="6444531D">
      <w:pPr>
        <w:autoSpaceDE w:val="0"/>
        <w:autoSpaceDN w:val="0"/>
        <w:jc w:val="center"/>
        <w:rPr>
          <w:rFonts w:hint="eastAsia" w:ascii="宋体" w:hAnsi="宋体" w:eastAsia="宋体" w:cs="宋体"/>
          <w:b/>
          <w:color w:val="auto"/>
          <w:spacing w:val="6"/>
          <w:sz w:val="32"/>
          <w:szCs w:val="32"/>
        </w:rPr>
      </w:pPr>
    </w:p>
    <w:p w14:paraId="6068524B">
      <w:pPr>
        <w:autoSpaceDE w:val="0"/>
        <w:autoSpaceDN w:val="0"/>
        <w:jc w:val="center"/>
        <w:rPr>
          <w:rFonts w:hint="eastAsia" w:ascii="宋体" w:hAnsi="宋体" w:eastAsia="宋体" w:cs="宋体"/>
          <w:b/>
          <w:color w:val="auto"/>
          <w:spacing w:val="6"/>
          <w:sz w:val="32"/>
          <w:szCs w:val="32"/>
        </w:rPr>
      </w:pPr>
    </w:p>
    <w:p w14:paraId="2F1EB023">
      <w:pPr>
        <w:autoSpaceDE w:val="0"/>
        <w:autoSpaceDN w:val="0"/>
        <w:jc w:val="center"/>
        <w:rPr>
          <w:rFonts w:hint="eastAsia" w:ascii="宋体" w:hAnsi="宋体" w:eastAsia="宋体" w:cs="宋体"/>
          <w:b/>
          <w:color w:val="auto"/>
          <w:spacing w:val="6"/>
          <w:sz w:val="32"/>
          <w:szCs w:val="32"/>
        </w:rPr>
      </w:pPr>
    </w:p>
    <w:p w14:paraId="6659E1CB">
      <w:pPr>
        <w:autoSpaceDE w:val="0"/>
        <w:autoSpaceDN w:val="0"/>
        <w:jc w:val="center"/>
        <w:rPr>
          <w:rFonts w:hint="eastAsia" w:ascii="宋体" w:hAnsi="宋体" w:eastAsia="宋体" w:cs="宋体"/>
          <w:b/>
          <w:color w:val="auto"/>
          <w:spacing w:val="6"/>
          <w:sz w:val="32"/>
          <w:szCs w:val="32"/>
        </w:rPr>
      </w:pPr>
    </w:p>
    <w:p w14:paraId="57351922">
      <w:pPr>
        <w:autoSpaceDE w:val="0"/>
        <w:autoSpaceDN w:val="0"/>
        <w:jc w:val="center"/>
        <w:rPr>
          <w:rFonts w:hint="eastAsia" w:ascii="宋体" w:hAnsi="宋体" w:eastAsia="宋体" w:cs="宋体"/>
          <w:b/>
          <w:color w:val="auto"/>
          <w:spacing w:val="6"/>
          <w:sz w:val="32"/>
          <w:szCs w:val="32"/>
        </w:rPr>
      </w:pPr>
    </w:p>
    <w:p w14:paraId="35505859">
      <w:pPr>
        <w:autoSpaceDE w:val="0"/>
        <w:autoSpaceDN w:val="0"/>
        <w:jc w:val="center"/>
        <w:rPr>
          <w:rFonts w:hint="eastAsia" w:ascii="宋体" w:hAnsi="宋体" w:eastAsia="宋体" w:cs="宋体"/>
          <w:b/>
          <w:color w:val="auto"/>
          <w:spacing w:val="6"/>
          <w:sz w:val="32"/>
          <w:szCs w:val="32"/>
        </w:rPr>
      </w:pPr>
    </w:p>
    <w:p w14:paraId="4F39FB50">
      <w:pPr>
        <w:autoSpaceDE w:val="0"/>
        <w:autoSpaceDN w:val="0"/>
        <w:jc w:val="center"/>
        <w:rPr>
          <w:rFonts w:hint="eastAsia" w:ascii="宋体" w:hAnsi="宋体" w:eastAsia="宋体" w:cs="宋体"/>
          <w:b/>
          <w:color w:val="auto"/>
          <w:spacing w:val="6"/>
          <w:sz w:val="32"/>
          <w:szCs w:val="32"/>
        </w:rPr>
      </w:pPr>
    </w:p>
    <w:p w14:paraId="7EFD47C7">
      <w:pPr>
        <w:autoSpaceDE w:val="0"/>
        <w:autoSpaceDN w:val="0"/>
        <w:jc w:val="center"/>
        <w:rPr>
          <w:rFonts w:hint="eastAsia" w:ascii="宋体" w:hAnsi="宋体" w:eastAsia="宋体" w:cs="宋体"/>
          <w:b/>
          <w:color w:val="auto"/>
          <w:spacing w:val="6"/>
          <w:sz w:val="32"/>
          <w:szCs w:val="32"/>
        </w:rPr>
      </w:pPr>
    </w:p>
    <w:p w14:paraId="5399E310">
      <w:pPr>
        <w:autoSpaceDE w:val="0"/>
        <w:autoSpaceDN w:val="0"/>
        <w:jc w:val="center"/>
        <w:rPr>
          <w:rFonts w:hint="eastAsia" w:ascii="宋体" w:hAnsi="宋体" w:eastAsia="宋体" w:cs="宋体"/>
          <w:b/>
          <w:color w:val="auto"/>
          <w:spacing w:val="6"/>
          <w:sz w:val="32"/>
          <w:szCs w:val="32"/>
        </w:rPr>
      </w:pPr>
    </w:p>
    <w:p w14:paraId="69628F39">
      <w:pPr>
        <w:autoSpaceDE w:val="0"/>
        <w:autoSpaceDN w:val="0"/>
        <w:jc w:val="center"/>
        <w:rPr>
          <w:rFonts w:hint="eastAsia" w:ascii="宋体" w:hAnsi="宋体" w:eastAsia="宋体" w:cs="宋体"/>
          <w:b/>
          <w:color w:val="auto"/>
          <w:spacing w:val="6"/>
          <w:sz w:val="32"/>
          <w:szCs w:val="32"/>
        </w:rPr>
      </w:pPr>
    </w:p>
    <w:p w14:paraId="0F1C3BC4">
      <w:pPr>
        <w:autoSpaceDE w:val="0"/>
        <w:autoSpaceDN w:val="0"/>
        <w:jc w:val="center"/>
        <w:rPr>
          <w:rFonts w:hint="eastAsia" w:ascii="宋体" w:hAnsi="宋体" w:eastAsia="宋体" w:cs="宋体"/>
          <w:b/>
          <w:color w:val="auto"/>
          <w:spacing w:val="6"/>
          <w:sz w:val="32"/>
          <w:szCs w:val="32"/>
        </w:rPr>
      </w:pPr>
    </w:p>
    <w:p w14:paraId="77DCF253">
      <w:pPr>
        <w:autoSpaceDE w:val="0"/>
        <w:autoSpaceDN w:val="0"/>
        <w:jc w:val="center"/>
        <w:rPr>
          <w:rFonts w:hint="eastAsia" w:ascii="宋体" w:hAnsi="宋体" w:eastAsia="宋体" w:cs="宋体"/>
          <w:b/>
          <w:color w:val="auto"/>
          <w:spacing w:val="6"/>
          <w:sz w:val="32"/>
          <w:szCs w:val="32"/>
        </w:rPr>
      </w:pPr>
    </w:p>
    <w:p w14:paraId="7D8372A1">
      <w:pPr>
        <w:autoSpaceDE w:val="0"/>
        <w:autoSpaceDN w:val="0"/>
        <w:jc w:val="center"/>
        <w:rPr>
          <w:rFonts w:hint="eastAsia" w:ascii="宋体" w:hAnsi="宋体" w:eastAsia="宋体" w:cs="宋体"/>
          <w:b/>
          <w:color w:val="auto"/>
          <w:spacing w:val="6"/>
          <w:sz w:val="32"/>
          <w:szCs w:val="32"/>
        </w:rPr>
      </w:pPr>
    </w:p>
    <w:p w14:paraId="20945286">
      <w:pPr>
        <w:autoSpaceDE w:val="0"/>
        <w:autoSpaceDN w:val="0"/>
        <w:jc w:val="center"/>
        <w:rPr>
          <w:rFonts w:hint="eastAsia" w:ascii="宋体" w:hAnsi="宋体" w:eastAsia="宋体" w:cs="宋体"/>
          <w:b/>
          <w:color w:val="auto"/>
          <w:spacing w:val="6"/>
          <w:sz w:val="32"/>
          <w:szCs w:val="32"/>
        </w:rPr>
      </w:pPr>
    </w:p>
    <w:p w14:paraId="49D68EEF">
      <w:pPr>
        <w:autoSpaceDE w:val="0"/>
        <w:autoSpaceDN w:val="0"/>
        <w:jc w:val="both"/>
        <w:rPr>
          <w:rFonts w:hint="eastAsia" w:ascii="宋体" w:hAnsi="宋体" w:eastAsia="宋体" w:cs="宋体"/>
          <w:b/>
          <w:color w:val="auto"/>
          <w:spacing w:val="6"/>
          <w:sz w:val="32"/>
          <w:szCs w:val="32"/>
        </w:rPr>
      </w:pPr>
    </w:p>
    <w:p w14:paraId="05A2FCE7">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附件6：分包意向协议</w:t>
      </w:r>
    </w:p>
    <w:p w14:paraId="7403E7F2">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5D80E8F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025BC67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120EA44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3A1F2C8D">
      <w:pPr>
        <w:pStyle w:val="3"/>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442DA23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14:paraId="76B2A7C9">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（分包供应商X,……）提供的货物全部由小微企业制造，</w:t>
      </w:r>
      <w:r>
        <w:rPr>
          <w:rFonts w:hint="eastAsia" w:ascii="宋体" w:hAnsi="宋体" w:eastAsia="宋体" w:cs="宋体"/>
          <w:color w:val="auto"/>
          <w:kern w:val="0"/>
          <w:sz w:val="24"/>
        </w:rPr>
        <w:t>其合同份额占到合同总金额%以上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4A889CC5">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w:t>
      </w:r>
      <w:bookmarkStart w:id="563" w:name="_Hlk101133173"/>
      <w:r>
        <w:rPr>
          <w:rFonts w:hint="eastAsia" w:ascii="宋体" w:hAnsi="宋体" w:eastAsia="宋体" w:cs="宋体"/>
          <w:color w:val="auto"/>
          <w:sz w:val="24"/>
        </w:rPr>
        <w:t>中小企业合同金额达到%，其中小微企业合同金额达到%</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bookmarkEnd w:id="563"/>
    </w:p>
    <w:p w14:paraId="270620F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14:paraId="3139F75F">
      <w:pPr>
        <w:snapToGrid w:val="0"/>
        <w:spacing w:line="360" w:lineRule="auto"/>
        <w:rPr>
          <w:rFonts w:hint="eastAsia" w:ascii="宋体" w:hAnsi="宋体" w:eastAsia="宋体" w:cs="宋体"/>
          <w:color w:val="auto"/>
          <w:u w:val="single"/>
        </w:rPr>
      </w:pPr>
    </w:p>
    <w:p w14:paraId="5FF114A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14:paraId="1670E83F">
      <w:pPr>
        <w:snapToGrid w:val="0"/>
        <w:spacing w:line="360" w:lineRule="auto"/>
        <w:ind w:firstLine="576"/>
        <w:rPr>
          <w:rFonts w:hint="eastAsia" w:ascii="宋体" w:hAnsi="宋体" w:eastAsia="宋体" w:cs="宋体"/>
          <w:color w:val="auto"/>
          <w:kern w:val="0"/>
          <w:sz w:val="24"/>
          <w:lang w:val="zh-CN"/>
        </w:rPr>
      </w:pPr>
    </w:p>
    <w:p w14:paraId="74B104A0">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14:paraId="7CA1DE75">
      <w:pPr>
        <w:snapToGrid w:val="0"/>
        <w:spacing w:line="360" w:lineRule="auto"/>
        <w:ind w:left="573" w:leftChars="273"/>
        <w:rPr>
          <w:rFonts w:hint="eastAsia" w:ascii="宋体" w:hAnsi="宋体" w:eastAsia="宋体" w:cs="宋体"/>
          <w:color w:val="auto"/>
          <w:kern w:val="0"/>
          <w:sz w:val="24"/>
          <w:lang w:val="zh-CN"/>
        </w:rPr>
      </w:pPr>
    </w:p>
    <w:p w14:paraId="0028EBD9">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14:paraId="31BEFCD9">
      <w:pPr>
        <w:snapToGrid w:val="0"/>
        <w:spacing w:line="360" w:lineRule="auto"/>
        <w:ind w:firstLine="576"/>
        <w:rPr>
          <w:rFonts w:hint="eastAsia" w:ascii="宋体" w:hAnsi="宋体" w:eastAsia="宋体" w:cs="宋体"/>
          <w:color w:val="auto"/>
          <w:kern w:val="0"/>
          <w:sz w:val="24"/>
          <w:lang w:val="zh-CN"/>
        </w:rPr>
      </w:pPr>
    </w:p>
    <w:p w14:paraId="61BCC791">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14:paraId="37706F1F">
      <w:pPr>
        <w:snapToGrid w:val="0"/>
        <w:spacing w:line="360" w:lineRule="auto"/>
        <w:ind w:firstLine="576"/>
        <w:rPr>
          <w:rFonts w:hint="eastAsia" w:ascii="宋体" w:hAnsi="宋体" w:eastAsia="宋体" w:cs="宋体"/>
          <w:color w:val="auto"/>
          <w:kern w:val="0"/>
          <w:sz w:val="24"/>
          <w:lang w:val="zh-CN"/>
        </w:rPr>
      </w:pPr>
    </w:p>
    <w:p w14:paraId="43FAF7F4">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w:t>
      </w:r>
    </w:p>
    <w:p w14:paraId="440BCC41">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14:paraId="419CC320">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08B86CA1">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2A54578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38F968F0">
      <w:pPr>
        <w:autoSpaceDE w:val="0"/>
        <w:autoSpaceDN w:val="0"/>
        <w:jc w:val="center"/>
        <w:rPr>
          <w:rFonts w:hint="eastAsia" w:ascii="宋体" w:hAnsi="宋体" w:eastAsia="宋体" w:cs="宋体"/>
          <w:b/>
          <w:color w:val="auto"/>
          <w:spacing w:val="6"/>
          <w:sz w:val="32"/>
          <w:szCs w:val="32"/>
        </w:rPr>
      </w:pPr>
    </w:p>
    <w:p w14:paraId="35DFB61D">
      <w:pPr>
        <w:autoSpaceDE w:val="0"/>
        <w:autoSpaceDN w:val="0"/>
        <w:jc w:val="center"/>
        <w:rPr>
          <w:rFonts w:hint="eastAsia" w:ascii="宋体" w:hAnsi="宋体" w:eastAsia="宋体" w:cs="宋体"/>
          <w:b/>
          <w:color w:val="auto"/>
          <w:spacing w:val="6"/>
          <w:sz w:val="32"/>
          <w:szCs w:val="32"/>
        </w:rPr>
      </w:pPr>
    </w:p>
    <w:p w14:paraId="12969330">
      <w:pPr>
        <w:autoSpaceDE w:val="0"/>
        <w:autoSpaceDN w:val="0"/>
        <w:jc w:val="center"/>
        <w:rPr>
          <w:rFonts w:hint="eastAsia" w:ascii="宋体" w:hAnsi="宋体" w:eastAsia="宋体" w:cs="宋体"/>
          <w:b/>
          <w:color w:val="auto"/>
          <w:spacing w:val="6"/>
          <w:sz w:val="32"/>
          <w:szCs w:val="32"/>
        </w:rPr>
      </w:pPr>
    </w:p>
    <w:p w14:paraId="332F6117">
      <w:pPr>
        <w:autoSpaceDE w:val="0"/>
        <w:autoSpaceDN w:val="0"/>
        <w:jc w:val="center"/>
        <w:rPr>
          <w:rFonts w:hint="eastAsia" w:ascii="宋体" w:hAnsi="宋体" w:eastAsia="宋体" w:cs="宋体"/>
          <w:b/>
          <w:color w:val="auto"/>
          <w:spacing w:val="6"/>
          <w:sz w:val="32"/>
          <w:szCs w:val="32"/>
        </w:rPr>
      </w:pPr>
    </w:p>
    <w:p w14:paraId="0CFFA062">
      <w:pPr>
        <w:autoSpaceDE w:val="0"/>
        <w:autoSpaceDN w:val="0"/>
        <w:jc w:val="center"/>
        <w:rPr>
          <w:rFonts w:hint="eastAsia" w:ascii="宋体" w:hAnsi="宋体" w:eastAsia="宋体" w:cs="宋体"/>
          <w:b/>
          <w:color w:val="auto"/>
          <w:spacing w:val="6"/>
          <w:sz w:val="32"/>
          <w:szCs w:val="32"/>
        </w:rPr>
      </w:pPr>
    </w:p>
    <w:p w14:paraId="63594657">
      <w:pPr>
        <w:autoSpaceDE w:val="0"/>
        <w:autoSpaceDN w:val="0"/>
        <w:jc w:val="center"/>
        <w:rPr>
          <w:rFonts w:hint="eastAsia" w:ascii="宋体" w:hAnsi="宋体" w:eastAsia="宋体" w:cs="宋体"/>
          <w:b/>
          <w:color w:val="auto"/>
          <w:spacing w:val="6"/>
          <w:sz w:val="32"/>
          <w:szCs w:val="32"/>
        </w:rPr>
      </w:pPr>
    </w:p>
    <w:p w14:paraId="41149FE8">
      <w:pPr>
        <w:autoSpaceDE w:val="0"/>
        <w:autoSpaceDN w:val="0"/>
        <w:jc w:val="center"/>
        <w:rPr>
          <w:rFonts w:hint="eastAsia" w:ascii="宋体" w:hAnsi="宋体" w:eastAsia="宋体" w:cs="宋体"/>
          <w:b/>
          <w:color w:val="auto"/>
          <w:spacing w:val="6"/>
          <w:sz w:val="32"/>
          <w:szCs w:val="32"/>
        </w:rPr>
      </w:pPr>
    </w:p>
    <w:p w14:paraId="42E70C12">
      <w:pPr>
        <w:autoSpaceDE w:val="0"/>
        <w:autoSpaceDN w:val="0"/>
        <w:jc w:val="center"/>
        <w:rPr>
          <w:rFonts w:hint="eastAsia" w:ascii="宋体" w:hAnsi="宋体" w:eastAsia="宋体" w:cs="宋体"/>
          <w:b/>
          <w:color w:val="auto"/>
          <w:spacing w:val="6"/>
          <w:sz w:val="32"/>
          <w:szCs w:val="32"/>
        </w:rPr>
      </w:pPr>
    </w:p>
    <w:p w14:paraId="46F36A20">
      <w:pPr>
        <w:autoSpaceDE w:val="0"/>
        <w:autoSpaceDN w:val="0"/>
        <w:jc w:val="center"/>
        <w:rPr>
          <w:rFonts w:hint="eastAsia" w:ascii="宋体" w:hAnsi="宋体" w:eastAsia="宋体" w:cs="宋体"/>
          <w:b/>
          <w:color w:val="auto"/>
          <w:spacing w:val="6"/>
          <w:sz w:val="32"/>
          <w:szCs w:val="32"/>
        </w:rPr>
      </w:pPr>
    </w:p>
    <w:p w14:paraId="32F42F21">
      <w:pPr>
        <w:autoSpaceDE w:val="0"/>
        <w:autoSpaceDN w:val="0"/>
        <w:jc w:val="center"/>
        <w:rPr>
          <w:rFonts w:hint="eastAsia" w:ascii="宋体" w:hAnsi="宋体" w:eastAsia="宋体" w:cs="宋体"/>
          <w:b/>
          <w:color w:val="auto"/>
          <w:spacing w:val="6"/>
          <w:sz w:val="32"/>
          <w:szCs w:val="32"/>
        </w:rPr>
      </w:pPr>
    </w:p>
    <w:p w14:paraId="35FEA332">
      <w:pPr>
        <w:autoSpaceDE w:val="0"/>
        <w:autoSpaceDN w:val="0"/>
        <w:jc w:val="center"/>
        <w:rPr>
          <w:rFonts w:hint="eastAsia" w:ascii="宋体" w:hAnsi="宋体" w:eastAsia="宋体" w:cs="宋体"/>
          <w:b/>
          <w:color w:val="auto"/>
          <w:spacing w:val="6"/>
          <w:sz w:val="32"/>
          <w:szCs w:val="32"/>
        </w:rPr>
      </w:pPr>
    </w:p>
    <w:p w14:paraId="11A649CD">
      <w:pPr>
        <w:autoSpaceDE w:val="0"/>
        <w:autoSpaceDN w:val="0"/>
        <w:jc w:val="center"/>
        <w:rPr>
          <w:rFonts w:hint="eastAsia" w:ascii="宋体" w:hAnsi="宋体" w:eastAsia="宋体" w:cs="宋体"/>
          <w:b/>
          <w:color w:val="auto"/>
          <w:spacing w:val="6"/>
          <w:sz w:val="32"/>
          <w:szCs w:val="32"/>
        </w:rPr>
      </w:pPr>
    </w:p>
    <w:p w14:paraId="64578448">
      <w:pPr>
        <w:autoSpaceDE w:val="0"/>
        <w:autoSpaceDN w:val="0"/>
        <w:jc w:val="center"/>
        <w:rPr>
          <w:rFonts w:hint="eastAsia" w:ascii="宋体" w:hAnsi="宋体" w:eastAsia="宋体" w:cs="宋体"/>
          <w:b/>
          <w:color w:val="auto"/>
          <w:spacing w:val="6"/>
          <w:sz w:val="32"/>
          <w:szCs w:val="32"/>
        </w:rPr>
      </w:pPr>
    </w:p>
    <w:p w14:paraId="4E1EAC27">
      <w:pPr>
        <w:autoSpaceDE w:val="0"/>
        <w:autoSpaceDN w:val="0"/>
        <w:jc w:val="center"/>
        <w:rPr>
          <w:rFonts w:hint="eastAsia" w:ascii="宋体" w:hAnsi="宋体" w:eastAsia="宋体" w:cs="宋体"/>
          <w:b/>
          <w:color w:val="auto"/>
          <w:spacing w:val="6"/>
          <w:sz w:val="32"/>
          <w:szCs w:val="32"/>
        </w:rPr>
      </w:pPr>
    </w:p>
    <w:p w14:paraId="64C0A6C7">
      <w:pPr>
        <w:autoSpaceDE w:val="0"/>
        <w:autoSpaceDN w:val="0"/>
        <w:jc w:val="center"/>
        <w:rPr>
          <w:rFonts w:hint="eastAsia" w:ascii="宋体" w:hAnsi="宋体" w:eastAsia="宋体" w:cs="宋体"/>
          <w:b/>
          <w:color w:val="auto"/>
          <w:spacing w:val="6"/>
          <w:sz w:val="32"/>
          <w:szCs w:val="32"/>
        </w:rPr>
      </w:pPr>
    </w:p>
    <w:p w14:paraId="1BF4CCA8">
      <w:pPr>
        <w:autoSpaceDE w:val="0"/>
        <w:autoSpaceDN w:val="0"/>
        <w:jc w:val="center"/>
        <w:rPr>
          <w:rFonts w:hint="eastAsia" w:ascii="宋体" w:hAnsi="宋体" w:eastAsia="宋体" w:cs="宋体"/>
          <w:b/>
          <w:color w:val="auto"/>
          <w:spacing w:val="6"/>
          <w:sz w:val="32"/>
          <w:szCs w:val="32"/>
        </w:rPr>
      </w:pPr>
    </w:p>
    <w:p w14:paraId="0939B50B">
      <w:pPr>
        <w:autoSpaceDE w:val="0"/>
        <w:autoSpaceDN w:val="0"/>
        <w:jc w:val="center"/>
        <w:rPr>
          <w:rFonts w:hint="eastAsia" w:ascii="宋体" w:hAnsi="宋体" w:eastAsia="宋体" w:cs="宋体"/>
          <w:b/>
          <w:color w:val="auto"/>
          <w:spacing w:val="6"/>
          <w:sz w:val="32"/>
          <w:szCs w:val="32"/>
        </w:rPr>
      </w:pPr>
    </w:p>
    <w:p w14:paraId="249A7F57">
      <w:pPr>
        <w:autoSpaceDE w:val="0"/>
        <w:autoSpaceDN w:val="0"/>
        <w:jc w:val="center"/>
        <w:rPr>
          <w:rFonts w:hint="eastAsia" w:ascii="宋体" w:hAnsi="宋体" w:eastAsia="宋体" w:cs="宋体"/>
          <w:b/>
          <w:color w:val="auto"/>
          <w:spacing w:val="6"/>
          <w:sz w:val="32"/>
          <w:szCs w:val="32"/>
        </w:rPr>
      </w:pPr>
    </w:p>
    <w:p w14:paraId="55B85744">
      <w:pPr>
        <w:autoSpaceDE w:val="0"/>
        <w:autoSpaceDN w:val="0"/>
        <w:jc w:val="center"/>
        <w:rPr>
          <w:rFonts w:hint="eastAsia" w:ascii="宋体" w:hAnsi="宋体" w:eastAsia="宋体" w:cs="宋体"/>
          <w:b/>
          <w:color w:val="auto"/>
          <w:spacing w:val="6"/>
          <w:sz w:val="32"/>
          <w:szCs w:val="32"/>
        </w:rPr>
      </w:pPr>
    </w:p>
    <w:p w14:paraId="49F8EFAF">
      <w:pPr>
        <w:autoSpaceDE w:val="0"/>
        <w:autoSpaceDN w:val="0"/>
        <w:jc w:val="center"/>
        <w:rPr>
          <w:rFonts w:hint="eastAsia" w:ascii="宋体" w:hAnsi="宋体" w:eastAsia="宋体" w:cs="宋体"/>
          <w:b/>
          <w:color w:val="auto"/>
          <w:spacing w:val="6"/>
          <w:sz w:val="32"/>
          <w:szCs w:val="32"/>
        </w:rPr>
      </w:pPr>
    </w:p>
    <w:p w14:paraId="6DF67AE5">
      <w:pPr>
        <w:autoSpaceDE w:val="0"/>
        <w:autoSpaceDN w:val="0"/>
        <w:jc w:val="center"/>
        <w:rPr>
          <w:rFonts w:hint="eastAsia" w:ascii="宋体" w:hAnsi="宋体" w:eastAsia="宋体" w:cs="宋体"/>
          <w:b/>
          <w:color w:val="auto"/>
          <w:spacing w:val="6"/>
          <w:sz w:val="32"/>
          <w:szCs w:val="32"/>
        </w:rPr>
      </w:pPr>
    </w:p>
    <w:p w14:paraId="194CAC4A">
      <w:pPr>
        <w:autoSpaceDE w:val="0"/>
        <w:autoSpaceDN w:val="0"/>
        <w:jc w:val="center"/>
        <w:rPr>
          <w:rFonts w:hint="eastAsia" w:ascii="宋体" w:hAnsi="宋体" w:eastAsia="宋体" w:cs="宋体"/>
          <w:b/>
          <w:color w:val="auto"/>
          <w:spacing w:val="6"/>
          <w:sz w:val="32"/>
          <w:szCs w:val="32"/>
        </w:rPr>
      </w:pPr>
    </w:p>
    <w:p w14:paraId="14377BB8">
      <w:pPr>
        <w:autoSpaceDE w:val="0"/>
        <w:autoSpaceDN w:val="0"/>
        <w:jc w:val="center"/>
        <w:rPr>
          <w:rFonts w:hint="eastAsia" w:ascii="宋体" w:hAnsi="宋体" w:eastAsia="宋体" w:cs="宋体"/>
          <w:b/>
          <w:color w:val="auto"/>
          <w:spacing w:val="6"/>
          <w:sz w:val="32"/>
          <w:szCs w:val="32"/>
        </w:rPr>
      </w:pPr>
    </w:p>
    <w:p w14:paraId="035BBF03">
      <w:pPr>
        <w:autoSpaceDE w:val="0"/>
        <w:autoSpaceDN w:val="0"/>
        <w:jc w:val="center"/>
        <w:rPr>
          <w:rFonts w:hint="eastAsia" w:ascii="宋体" w:hAnsi="宋体" w:eastAsia="宋体" w:cs="宋体"/>
          <w:b/>
          <w:color w:val="auto"/>
          <w:spacing w:val="6"/>
          <w:sz w:val="32"/>
          <w:szCs w:val="32"/>
        </w:rPr>
      </w:pPr>
    </w:p>
    <w:p w14:paraId="5792AF88">
      <w:pPr>
        <w:autoSpaceDE w:val="0"/>
        <w:autoSpaceDN w:val="0"/>
        <w:jc w:val="center"/>
        <w:rPr>
          <w:rFonts w:hint="eastAsia" w:ascii="宋体" w:hAnsi="宋体" w:eastAsia="宋体" w:cs="宋体"/>
          <w:b/>
          <w:color w:val="auto"/>
          <w:spacing w:val="6"/>
          <w:sz w:val="32"/>
          <w:szCs w:val="32"/>
        </w:rPr>
      </w:pPr>
    </w:p>
    <w:p w14:paraId="4EF8614C">
      <w:pPr>
        <w:autoSpaceDE w:val="0"/>
        <w:autoSpaceDN w:val="0"/>
        <w:jc w:val="center"/>
        <w:rPr>
          <w:rFonts w:hint="eastAsia" w:ascii="宋体" w:hAnsi="宋体" w:eastAsia="宋体" w:cs="宋体"/>
          <w:b/>
          <w:color w:val="auto"/>
          <w:spacing w:val="6"/>
          <w:sz w:val="32"/>
          <w:szCs w:val="32"/>
        </w:rPr>
      </w:pPr>
    </w:p>
    <w:p w14:paraId="75568155">
      <w:pPr>
        <w:snapToGrid w:val="0"/>
        <w:spacing w:line="360" w:lineRule="auto"/>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附件7：中小企业声明函</w:t>
      </w:r>
    </w:p>
    <w:p w14:paraId="2709A280">
      <w:pPr>
        <w:spacing w:line="360" w:lineRule="auto"/>
        <w:jc w:val="center"/>
        <w:rPr>
          <w:rFonts w:hint="eastAsia" w:ascii="宋体" w:hAnsi="宋体" w:eastAsia="宋体" w:cs="宋体"/>
          <w:color w:val="auto"/>
          <w:sz w:val="24"/>
          <w:u w:val="single"/>
        </w:rPr>
      </w:pPr>
    </w:p>
    <w:p w14:paraId="72BB6838">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中小企业声明函（货物）</w:t>
      </w:r>
    </w:p>
    <w:p w14:paraId="7332B20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（采购人）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的 </w:t>
      </w:r>
      <w:r>
        <w:rPr>
          <w:rFonts w:hint="eastAsia" w:ascii="宋体" w:hAnsi="宋体" w:eastAsia="宋体" w:cs="宋体"/>
          <w:color w:val="auto"/>
          <w:sz w:val="24"/>
          <w:u w:val="single"/>
        </w:rPr>
        <w:t>（</w:t>
      </w:r>
      <w:r>
        <w:rPr>
          <w:rFonts w:hint="eastAsia" w:ascii="宋体" w:hAnsi="宋体" w:cs="宋体"/>
          <w:color w:val="auto"/>
          <w:sz w:val="24"/>
          <w:u w:val="single"/>
          <w:lang w:eastAsia="zh-CN"/>
        </w:rPr>
        <w:t>项目名称</w:t>
      </w:r>
      <w:r>
        <w:rPr>
          <w:rFonts w:hint="eastAsia" w:ascii="宋体" w:hAnsi="宋体" w:eastAsia="宋体" w:cs="宋体"/>
          <w:color w:val="auto"/>
          <w:sz w:val="24"/>
          <w:u w:val="single"/>
        </w:rPr>
        <w:t>）</w:t>
      </w:r>
      <w:r>
        <w:rPr>
          <w:rFonts w:hint="eastAsia" w:ascii="宋体" w:hAnsi="宋体" w:eastAsia="宋体" w:cs="宋体"/>
          <w:color w:val="auto"/>
          <w:sz w:val="24"/>
        </w:rPr>
        <w:t xml:space="preserve"> 采购活动，提供的货物全部由符合政策要求的中小企业制造。相关企业（含联合体中的中小企业、签订分包意向协议的中小企业）的具体情况如下：</w:t>
      </w:r>
    </w:p>
    <w:p w14:paraId="337CDE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color w:val="auto"/>
          <w:kern w:val="0"/>
          <w:sz w:val="24"/>
          <w:highlight w:val="none"/>
          <w:u w:val="single"/>
        </w:rPr>
        <w:t>（</w:t>
      </w:r>
      <w:r>
        <w:rPr>
          <w:rFonts w:hint="eastAsia" w:ascii="宋体" w:hAnsi="宋体" w:cs="宋体"/>
          <w:color w:val="auto"/>
          <w:kern w:val="0"/>
          <w:sz w:val="24"/>
          <w:highlight w:val="none"/>
          <w:u w:val="single"/>
          <w:lang w:eastAsia="zh-CN"/>
        </w:rPr>
        <w:t>标的名称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 xml:space="preserve"> ；</w:t>
      </w:r>
    </w:p>
    <w:p w14:paraId="3E827B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 </w:t>
      </w:r>
      <w:r>
        <w:rPr>
          <w:rFonts w:hint="eastAsia" w:ascii="宋体" w:hAnsi="宋体" w:eastAsia="宋体" w:cs="宋体"/>
          <w:color w:val="auto"/>
          <w:kern w:val="0"/>
          <w:sz w:val="24"/>
          <w:highlight w:val="none"/>
          <w:u w:val="single"/>
        </w:rPr>
        <w:t>（</w:t>
      </w:r>
      <w:r>
        <w:rPr>
          <w:rFonts w:hint="eastAsia" w:ascii="宋体" w:hAnsi="宋体" w:cs="宋体"/>
          <w:color w:val="auto"/>
          <w:kern w:val="0"/>
          <w:sz w:val="24"/>
          <w:highlight w:val="none"/>
          <w:u w:val="single"/>
          <w:lang w:eastAsia="zh-CN"/>
        </w:rPr>
        <w:t>标的名称</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 xml:space="preserve"> ；</w:t>
      </w:r>
    </w:p>
    <w:p w14:paraId="26E4FE1A">
      <w:pPr>
        <w:spacing w:line="360" w:lineRule="auto"/>
        <w:ind w:firstLine="480" w:firstLineChars="200"/>
        <w:rPr>
          <w:rFonts w:hint="eastAsia"/>
        </w:rPr>
      </w:pPr>
      <w:r>
        <w:rPr>
          <w:rFonts w:hint="eastAsia" w:ascii="宋体" w:hAnsi="宋体" w:eastAsia="宋体" w:cs="宋体"/>
          <w:sz w:val="24"/>
          <w:highlight w:val="none"/>
        </w:rPr>
        <w:t>……</w:t>
      </w:r>
    </w:p>
    <w:p w14:paraId="0E19F8C8">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以上企业，不属于大企业的分支机构，不存在控股股东为大企业的情形，也不存在与大企业的负责人为同一人的情形。</w:t>
      </w:r>
    </w:p>
    <w:p w14:paraId="6BF8D089">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本企业对上述声明内容的真实性负责。如有虚假，将依法承担相应责任。</w:t>
      </w:r>
    </w:p>
    <w:p w14:paraId="62C7D8C1">
      <w:pPr>
        <w:snapToGrid w:val="0"/>
        <w:spacing w:line="360" w:lineRule="auto"/>
        <w:ind w:firstLine="5160" w:firstLineChars="215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0F945A3A">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w:t>
      </w:r>
    </w:p>
    <w:p w14:paraId="709DDDBC">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从业人员、营业收入、资产总额填报上一年度数据，无上一年度数据的新成立企业可不填报。</w:t>
      </w:r>
    </w:p>
    <w:p w14:paraId="4FA6EA0B">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33B01DEC">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w:t>
      </w:r>
      <w:r>
        <w:rPr>
          <w:rFonts w:hint="eastAsia" w:ascii="宋体" w:hAnsi="宋体" w:eastAsia="宋体" w:cs="宋体"/>
          <w:b/>
          <w:bCs/>
          <w:color w:val="auto"/>
          <w:sz w:val="24"/>
        </w:rPr>
        <w:t>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宋体" w:hAnsi="宋体" w:eastAsia="宋体" w:cs="宋体"/>
          <w:color w:val="auto"/>
          <w:sz w:val="24"/>
        </w:rPr>
        <w:t>声明内容不实的，属于提供虚假材料谋取中标、成交的，依法承担法律责任。</w:t>
      </w:r>
    </w:p>
    <w:p w14:paraId="1FECE58A">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262C721">
      <w:pPr>
        <w:autoSpaceDE w:val="0"/>
        <w:autoSpaceDN w:val="0"/>
        <w:jc w:val="center"/>
        <w:rPr>
          <w:rFonts w:hint="eastAsia" w:ascii="宋体" w:hAnsi="宋体" w:eastAsia="宋体" w:cs="宋体"/>
          <w:b/>
          <w:color w:val="auto"/>
          <w:spacing w:val="6"/>
          <w:sz w:val="32"/>
          <w:szCs w:val="32"/>
        </w:rPr>
      </w:pPr>
    </w:p>
    <w:p w14:paraId="3183468F">
      <w:pPr>
        <w:autoSpaceDE w:val="0"/>
        <w:autoSpaceDN w:val="0"/>
        <w:jc w:val="center"/>
        <w:rPr>
          <w:rFonts w:hint="eastAsia" w:ascii="宋体" w:hAnsi="宋体" w:eastAsia="宋体" w:cs="宋体"/>
          <w:b/>
          <w:color w:val="auto"/>
          <w:spacing w:val="6"/>
          <w:sz w:val="32"/>
          <w:szCs w:val="32"/>
        </w:rPr>
      </w:pPr>
    </w:p>
    <w:p w14:paraId="501EEB2F">
      <w:pPr>
        <w:widowControl/>
        <w:adjustRightInd/>
        <w:jc w:val="left"/>
        <w:rPr>
          <w:rFonts w:hint="eastAsia" w:ascii="宋体" w:hAnsi="宋体" w:eastAsia="宋体" w:cs="宋体"/>
          <w:b/>
          <w:color w:val="auto"/>
          <w:sz w:val="32"/>
          <w:szCs w:val="32"/>
        </w:rPr>
      </w:pPr>
    </w:p>
    <w:p w14:paraId="17A1FEE9">
      <w:pPr>
        <w:spacing w:line="360" w:lineRule="auto"/>
        <w:jc w:val="center"/>
        <w:rPr>
          <w:rFonts w:hint="eastAsia" w:ascii="宋体" w:hAnsi="宋体" w:eastAsia="宋体" w:cs="宋体"/>
          <w:b/>
          <w:color w:val="auto"/>
          <w:sz w:val="32"/>
          <w:szCs w:val="32"/>
        </w:rPr>
      </w:pPr>
    </w:p>
    <w:p w14:paraId="682B1407">
      <w:pPr>
        <w:spacing w:line="360" w:lineRule="auto"/>
        <w:jc w:val="center"/>
        <w:rPr>
          <w:rFonts w:hint="eastAsia" w:ascii="宋体" w:hAnsi="宋体" w:eastAsia="宋体" w:cs="宋体"/>
          <w:b/>
          <w:color w:val="auto"/>
          <w:sz w:val="32"/>
          <w:szCs w:val="32"/>
        </w:rPr>
      </w:pPr>
    </w:p>
    <w:p w14:paraId="0EEF2F1B">
      <w:pPr>
        <w:spacing w:line="360" w:lineRule="auto"/>
        <w:jc w:val="center"/>
        <w:rPr>
          <w:rFonts w:hint="eastAsia" w:ascii="宋体" w:hAnsi="宋体" w:eastAsia="宋体" w:cs="宋体"/>
          <w:b/>
          <w:color w:val="auto"/>
          <w:sz w:val="32"/>
          <w:szCs w:val="32"/>
        </w:rPr>
      </w:pPr>
    </w:p>
    <w:p w14:paraId="1025EFAE">
      <w:pPr>
        <w:spacing w:line="360" w:lineRule="auto"/>
        <w:jc w:val="center"/>
        <w:rPr>
          <w:rFonts w:hint="eastAsia" w:ascii="宋体" w:hAnsi="宋体" w:eastAsia="宋体" w:cs="宋体"/>
          <w:b/>
          <w:color w:val="auto"/>
          <w:sz w:val="32"/>
          <w:szCs w:val="32"/>
        </w:rPr>
      </w:pPr>
    </w:p>
    <w:p w14:paraId="42EC5C01">
      <w:pPr>
        <w:spacing w:line="360" w:lineRule="auto"/>
        <w:jc w:val="center"/>
        <w:rPr>
          <w:rFonts w:hint="eastAsia" w:ascii="宋体" w:hAnsi="宋体" w:eastAsia="宋体" w:cs="宋体"/>
          <w:b/>
          <w:color w:val="auto"/>
          <w:sz w:val="32"/>
          <w:szCs w:val="32"/>
        </w:rPr>
      </w:pPr>
    </w:p>
    <w:p w14:paraId="0876FCF5">
      <w:pPr>
        <w:spacing w:line="360" w:lineRule="auto"/>
        <w:jc w:val="center"/>
        <w:rPr>
          <w:rFonts w:hint="eastAsia" w:ascii="宋体" w:hAnsi="宋体" w:eastAsia="宋体" w:cs="宋体"/>
          <w:b/>
          <w:color w:val="auto"/>
          <w:sz w:val="32"/>
          <w:szCs w:val="32"/>
        </w:rPr>
      </w:pPr>
    </w:p>
    <w:p w14:paraId="470BB3CE">
      <w:pPr>
        <w:spacing w:line="360" w:lineRule="auto"/>
        <w:jc w:val="center"/>
        <w:rPr>
          <w:rFonts w:hint="eastAsia" w:ascii="宋体" w:hAnsi="宋体" w:eastAsia="宋体" w:cs="宋体"/>
          <w:b/>
          <w:color w:val="auto"/>
          <w:sz w:val="32"/>
          <w:szCs w:val="32"/>
        </w:rPr>
      </w:pPr>
    </w:p>
    <w:p w14:paraId="3C6C95C4">
      <w:pPr>
        <w:spacing w:line="360" w:lineRule="auto"/>
        <w:jc w:val="center"/>
        <w:rPr>
          <w:rFonts w:hint="eastAsia" w:ascii="宋体" w:hAnsi="宋体" w:eastAsia="宋体" w:cs="宋体"/>
          <w:b/>
          <w:color w:val="auto"/>
          <w:sz w:val="32"/>
          <w:szCs w:val="32"/>
        </w:rPr>
      </w:pPr>
    </w:p>
    <w:p w14:paraId="54937949">
      <w:pPr>
        <w:spacing w:line="360" w:lineRule="auto"/>
        <w:jc w:val="center"/>
        <w:rPr>
          <w:rFonts w:hint="eastAsia" w:ascii="宋体" w:hAnsi="宋体" w:eastAsia="宋体" w:cs="宋体"/>
          <w:b/>
          <w:sz w:val="32"/>
          <w:szCs w:val="32"/>
        </w:rPr>
      </w:pPr>
    </w:p>
    <w:p w14:paraId="3E8145E1">
      <w:pPr>
        <w:spacing w:line="360" w:lineRule="auto"/>
        <w:rPr>
          <w:rFonts w:hint="eastAsia" w:ascii="宋体" w:hAnsi="宋体" w:eastAsia="宋体" w:cs="宋体"/>
          <w:bCs/>
          <w:sz w:val="24"/>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3725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FB2C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E6C8">
    <w:pPr>
      <w:pStyle w:val="39"/>
      <w:framePr w:wrap="around" w:vAnchor="text" w:hAnchor="margin" w:xAlign="right" w:y="1"/>
      <w:rPr>
        <w:rStyle w:val="72"/>
      </w:rPr>
    </w:pPr>
    <w:r>
      <w:fldChar w:fldCharType="begin"/>
    </w:r>
    <w:r>
      <w:rPr>
        <w:rStyle w:val="72"/>
      </w:rPr>
      <w:instrText xml:space="preserve">PAGE  </w:instrText>
    </w:r>
    <w:r>
      <w:fldChar w:fldCharType="end"/>
    </w:r>
  </w:p>
  <w:p w14:paraId="027983C9">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5DE8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564" w:name="_Toc164085800"/>
    <w:bookmarkStart w:id="565" w:name="_Toc131845147"/>
    <w:bookmarkStart w:id="566" w:name="_Toc91899912"/>
    <w:bookmarkStart w:id="567" w:name="_Toc36110187"/>
    <w:r>
      <w:rPr>
        <w:rFonts w:hint="eastAsia" w:ascii="仿宋_GB2312" w:eastAsia="仿宋_GB2312"/>
        <w:kern w:val="0"/>
        <w:szCs w:val="21"/>
      </w:rPr>
      <w:t xml:space="preserve"> 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CA99">
    <w:pPr>
      <w:pStyle w:val="39"/>
      <w:framePr w:wrap="around" w:vAnchor="text" w:hAnchor="margin" w:xAlign="right" w:y="1"/>
      <w:rPr>
        <w:rStyle w:val="72"/>
      </w:rPr>
    </w:pPr>
    <w:r>
      <w:fldChar w:fldCharType="begin"/>
    </w:r>
    <w:r>
      <w:rPr>
        <w:rStyle w:val="72"/>
      </w:rPr>
      <w:instrText xml:space="preserve">PAGE  </w:instrText>
    </w:r>
    <w:r>
      <w:fldChar w:fldCharType="end"/>
    </w:r>
  </w:p>
  <w:p w14:paraId="7D195C9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BB3C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977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2BF907B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F67B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10279D0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8C44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25AA5ED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D8E7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042CBBD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39C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5A8DDA4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90D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734DBC6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71D54">
    <w:pPr>
      <w:pStyle w:val="40"/>
      <w:pBdr>
        <w:bottom w:val="single" w:color="auto" w:sz="6" w:space="4"/>
      </w:pBdr>
      <w:jc w:val="right"/>
      <w:rPr>
        <w:lang w:val="en-US"/>
      </w:rPr>
    </w:pP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D75E2">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8B53F">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7F2CA">
    <w:pPr>
      <w:pStyle w:val="40"/>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1479">
    <w:pPr>
      <w:pStyle w:val="40"/>
    </w:pPr>
    <w:r>
      <w:t></w:t>
    </w:r>
  </w:p>
  <w:p w14:paraId="0F0D37A0">
    <w:pPr>
      <w:pStyle w:val="40"/>
    </w:pPr>
    <w:r>
      <w:rPr>
        <w:rFonts w:hint="eastAsia"/>
        <w:lang w:val="en-US" w:eastAsia="zh-CN"/>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ED8B">
    <w:pPr>
      <w:pStyle w:val="40"/>
      <w:rPr>
        <w:rFonts w:ascii="仿宋_GB2312" w:eastAsia="仿宋_GB2312"/>
        <w:b/>
        <w:i/>
        <w:u w:val="single"/>
      </w:rPr>
    </w:pPr>
    <w:r>
      <w:t> 杭州市政府采购公开招标文件</w:t>
    </w:r>
  </w:p>
  <w:p w14:paraId="406E077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47FA">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6362">
    <w:pPr>
      <w:pStyle w:val="40"/>
      <w:jc w:val="right"/>
      <w:rPr>
        <w:rFonts w:ascii="仿宋_GB2312" w:eastAsia="仿宋_GB2312"/>
        <w:b/>
        <w:i/>
        <w:u w:val="single"/>
      </w:rPr>
    </w:pPr>
    <w:r>
      <w:t>杭州市政府采购公开招标文件</w:t>
    </w:r>
  </w:p>
  <w:p w14:paraId="08E45FD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9CFA8">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9725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99475"/>
    <w:multiLevelType w:val="singleLevel"/>
    <w:tmpl w:val="EEE99475"/>
    <w:lvl w:ilvl="0" w:tentative="0">
      <w:start w:val="1"/>
      <w:numFmt w:val="chineseCounting"/>
      <w:suff w:val="nothing"/>
      <w:lvlText w:val="%1、"/>
      <w:lvlJc w:val="left"/>
      <w:rPr>
        <w:rFonts w:hint="eastAsia"/>
      </w:rPr>
    </w:lvl>
  </w:abstractNum>
  <w:abstractNum w:abstractNumId="1">
    <w:nsid w:val="2943CF73"/>
    <w:multiLevelType w:val="singleLevel"/>
    <w:tmpl w:val="2943CF7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E1NDNmYTJjNDM2ZjY1ZTJlNDQ1NWRiYjFiN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3D0E"/>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589"/>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364"/>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795"/>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400"/>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E89"/>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A0B"/>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C0502"/>
    <w:rsid w:val="011F6449"/>
    <w:rsid w:val="01236AFB"/>
    <w:rsid w:val="01633E9B"/>
    <w:rsid w:val="01655E65"/>
    <w:rsid w:val="01666EB8"/>
    <w:rsid w:val="018F49C9"/>
    <w:rsid w:val="01903238"/>
    <w:rsid w:val="019F7441"/>
    <w:rsid w:val="01B37585"/>
    <w:rsid w:val="01D55165"/>
    <w:rsid w:val="01DF6BF8"/>
    <w:rsid w:val="01EC2C57"/>
    <w:rsid w:val="02232F51"/>
    <w:rsid w:val="025F0711"/>
    <w:rsid w:val="026B2E25"/>
    <w:rsid w:val="02824D4D"/>
    <w:rsid w:val="02987B74"/>
    <w:rsid w:val="02AF383B"/>
    <w:rsid w:val="02B50726"/>
    <w:rsid w:val="02D0730E"/>
    <w:rsid w:val="02D72B3A"/>
    <w:rsid w:val="02DC4B10"/>
    <w:rsid w:val="02DD76CE"/>
    <w:rsid w:val="02F36323"/>
    <w:rsid w:val="02F5619C"/>
    <w:rsid w:val="03031491"/>
    <w:rsid w:val="0326446A"/>
    <w:rsid w:val="032D5555"/>
    <w:rsid w:val="036634D2"/>
    <w:rsid w:val="037F065C"/>
    <w:rsid w:val="038416F7"/>
    <w:rsid w:val="039E11BA"/>
    <w:rsid w:val="03DD35E4"/>
    <w:rsid w:val="04076900"/>
    <w:rsid w:val="041A5A3B"/>
    <w:rsid w:val="041A6372"/>
    <w:rsid w:val="042311BA"/>
    <w:rsid w:val="042B157A"/>
    <w:rsid w:val="045C1E29"/>
    <w:rsid w:val="04600447"/>
    <w:rsid w:val="04611158"/>
    <w:rsid w:val="047F0FEB"/>
    <w:rsid w:val="048F763B"/>
    <w:rsid w:val="049F330E"/>
    <w:rsid w:val="04AA775C"/>
    <w:rsid w:val="04AF1889"/>
    <w:rsid w:val="04C83B1D"/>
    <w:rsid w:val="04D047D6"/>
    <w:rsid w:val="04D35B8E"/>
    <w:rsid w:val="04F66F48"/>
    <w:rsid w:val="04F94F7F"/>
    <w:rsid w:val="05251E14"/>
    <w:rsid w:val="052B1173"/>
    <w:rsid w:val="05622E1E"/>
    <w:rsid w:val="05A16594"/>
    <w:rsid w:val="05A7762D"/>
    <w:rsid w:val="05CC64B2"/>
    <w:rsid w:val="05D215EF"/>
    <w:rsid w:val="060E5941"/>
    <w:rsid w:val="06110FAF"/>
    <w:rsid w:val="06456265"/>
    <w:rsid w:val="06471FDD"/>
    <w:rsid w:val="06493CA7"/>
    <w:rsid w:val="065A6178"/>
    <w:rsid w:val="065B4047"/>
    <w:rsid w:val="0662512B"/>
    <w:rsid w:val="066F1CF3"/>
    <w:rsid w:val="06930BB8"/>
    <w:rsid w:val="069872E2"/>
    <w:rsid w:val="06A72A7B"/>
    <w:rsid w:val="06B07B82"/>
    <w:rsid w:val="06C74ECC"/>
    <w:rsid w:val="06E635A4"/>
    <w:rsid w:val="06FC6923"/>
    <w:rsid w:val="0701218C"/>
    <w:rsid w:val="07097292"/>
    <w:rsid w:val="07174993"/>
    <w:rsid w:val="07245D42"/>
    <w:rsid w:val="07264C62"/>
    <w:rsid w:val="074978E1"/>
    <w:rsid w:val="0779354C"/>
    <w:rsid w:val="077E028C"/>
    <w:rsid w:val="07A31495"/>
    <w:rsid w:val="07C86D9E"/>
    <w:rsid w:val="08061376"/>
    <w:rsid w:val="08297BEC"/>
    <w:rsid w:val="08452D77"/>
    <w:rsid w:val="08630C76"/>
    <w:rsid w:val="086401F8"/>
    <w:rsid w:val="086504F8"/>
    <w:rsid w:val="08662BC9"/>
    <w:rsid w:val="08751CAA"/>
    <w:rsid w:val="087C4758"/>
    <w:rsid w:val="087E4C40"/>
    <w:rsid w:val="089D7C92"/>
    <w:rsid w:val="08A632D3"/>
    <w:rsid w:val="08A871D0"/>
    <w:rsid w:val="08AE200D"/>
    <w:rsid w:val="08C43471"/>
    <w:rsid w:val="08D66AD6"/>
    <w:rsid w:val="08DA33A3"/>
    <w:rsid w:val="08DC4173"/>
    <w:rsid w:val="08E80F13"/>
    <w:rsid w:val="092E1232"/>
    <w:rsid w:val="09335624"/>
    <w:rsid w:val="0944690F"/>
    <w:rsid w:val="09526CCE"/>
    <w:rsid w:val="09535675"/>
    <w:rsid w:val="095F057D"/>
    <w:rsid w:val="09642282"/>
    <w:rsid w:val="09733572"/>
    <w:rsid w:val="09772C16"/>
    <w:rsid w:val="0980017F"/>
    <w:rsid w:val="098353B5"/>
    <w:rsid w:val="09A92330"/>
    <w:rsid w:val="09B06B87"/>
    <w:rsid w:val="09B41737"/>
    <w:rsid w:val="09C13146"/>
    <w:rsid w:val="09E04166"/>
    <w:rsid w:val="09FB216D"/>
    <w:rsid w:val="0A011390"/>
    <w:rsid w:val="0A1C0718"/>
    <w:rsid w:val="0A342878"/>
    <w:rsid w:val="0A3E7710"/>
    <w:rsid w:val="0A5847B8"/>
    <w:rsid w:val="0A5B7E63"/>
    <w:rsid w:val="0A800499"/>
    <w:rsid w:val="0AA374A5"/>
    <w:rsid w:val="0AAB7649"/>
    <w:rsid w:val="0ABC5606"/>
    <w:rsid w:val="0ACE05D7"/>
    <w:rsid w:val="0ADF4592"/>
    <w:rsid w:val="0B27418B"/>
    <w:rsid w:val="0B30404E"/>
    <w:rsid w:val="0B494101"/>
    <w:rsid w:val="0B4C6C14"/>
    <w:rsid w:val="0B547599"/>
    <w:rsid w:val="0B631A88"/>
    <w:rsid w:val="0B666A61"/>
    <w:rsid w:val="0B683D45"/>
    <w:rsid w:val="0B6E3B68"/>
    <w:rsid w:val="0B7078E0"/>
    <w:rsid w:val="0B7F3F11"/>
    <w:rsid w:val="0B884417"/>
    <w:rsid w:val="0BBA6DAD"/>
    <w:rsid w:val="0BF6188C"/>
    <w:rsid w:val="0BF73C91"/>
    <w:rsid w:val="0BF75B37"/>
    <w:rsid w:val="0C170175"/>
    <w:rsid w:val="0C2F4DD2"/>
    <w:rsid w:val="0C571A41"/>
    <w:rsid w:val="0C5C1171"/>
    <w:rsid w:val="0C5E1CBC"/>
    <w:rsid w:val="0C615B50"/>
    <w:rsid w:val="0C673C16"/>
    <w:rsid w:val="0C80404E"/>
    <w:rsid w:val="0C8445DA"/>
    <w:rsid w:val="0C87121B"/>
    <w:rsid w:val="0CC007F7"/>
    <w:rsid w:val="0CC617AC"/>
    <w:rsid w:val="0CE618DF"/>
    <w:rsid w:val="0CFE707A"/>
    <w:rsid w:val="0D063BDA"/>
    <w:rsid w:val="0D08375F"/>
    <w:rsid w:val="0D097FEC"/>
    <w:rsid w:val="0D0B7EE5"/>
    <w:rsid w:val="0D184CFB"/>
    <w:rsid w:val="0D47102B"/>
    <w:rsid w:val="0D4A5F0F"/>
    <w:rsid w:val="0D4A7419"/>
    <w:rsid w:val="0D4B23B2"/>
    <w:rsid w:val="0D827401"/>
    <w:rsid w:val="0D84094E"/>
    <w:rsid w:val="0D8A00E9"/>
    <w:rsid w:val="0D8D589E"/>
    <w:rsid w:val="0DA01C73"/>
    <w:rsid w:val="0DAA6471"/>
    <w:rsid w:val="0DB00467"/>
    <w:rsid w:val="0DB1358C"/>
    <w:rsid w:val="0DCE553E"/>
    <w:rsid w:val="0DD63300"/>
    <w:rsid w:val="0DF50604"/>
    <w:rsid w:val="0DF702FE"/>
    <w:rsid w:val="0E060E51"/>
    <w:rsid w:val="0E356BBF"/>
    <w:rsid w:val="0E4D5CB6"/>
    <w:rsid w:val="0E5604B2"/>
    <w:rsid w:val="0E6D5D79"/>
    <w:rsid w:val="0E8813E4"/>
    <w:rsid w:val="0E9D0089"/>
    <w:rsid w:val="0EB803EE"/>
    <w:rsid w:val="0EC341CA"/>
    <w:rsid w:val="0EDB32C2"/>
    <w:rsid w:val="0EF94D4B"/>
    <w:rsid w:val="0F4958DC"/>
    <w:rsid w:val="0F4C320E"/>
    <w:rsid w:val="0F515DF7"/>
    <w:rsid w:val="0F596BA8"/>
    <w:rsid w:val="0F6248D2"/>
    <w:rsid w:val="0F693536"/>
    <w:rsid w:val="0F784FB5"/>
    <w:rsid w:val="0F7B0511"/>
    <w:rsid w:val="0F7B76D9"/>
    <w:rsid w:val="0F816ACD"/>
    <w:rsid w:val="0F9832DB"/>
    <w:rsid w:val="0FB06EB6"/>
    <w:rsid w:val="0FBF3FD2"/>
    <w:rsid w:val="0FBF7FF3"/>
    <w:rsid w:val="0FD22917"/>
    <w:rsid w:val="0FFE370C"/>
    <w:rsid w:val="10042CED"/>
    <w:rsid w:val="10101691"/>
    <w:rsid w:val="10240C99"/>
    <w:rsid w:val="10582C35"/>
    <w:rsid w:val="10646583"/>
    <w:rsid w:val="10651B78"/>
    <w:rsid w:val="10741C20"/>
    <w:rsid w:val="107D4B15"/>
    <w:rsid w:val="108A3C80"/>
    <w:rsid w:val="109438D7"/>
    <w:rsid w:val="10AE35A2"/>
    <w:rsid w:val="10C26171"/>
    <w:rsid w:val="10D51697"/>
    <w:rsid w:val="10ED4ECC"/>
    <w:rsid w:val="10F33360"/>
    <w:rsid w:val="10F3555E"/>
    <w:rsid w:val="10FC16EA"/>
    <w:rsid w:val="110F1D40"/>
    <w:rsid w:val="11266F33"/>
    <w:rsid w:val="112D17C0"/>
    <w:rsid w:val="11310212"/>
    <w:rsid w:val="117B0D8C"/>
    <w:rsid w:val="118963A1"/>
    <w:rsid w:val="11A622AD"/>
    <w:rsid w:val="11C0791A"/>
    <w:rsid w:val="11C6522A"/>
    <w:rsid w:val="11E104CC"/>
    <w:rsid w:val="11E20309"/>
    <w:rsid w:val="1205095B"/>
    <w:rsid w:val="12255233"/>
    <w:rsid w:val="12280F14"/>
    <w:rsid w:val="12436070"/>
    <w:rsid w:val="12530213"/>
    <w:rsid w:val="12554350"/>
    <w:rsid w:val="127723A9"/>
    <w:rsid w:val="12862074"/>
    <w:rsid w:val="12883966"/>
    <w:rsid w:val="129E45B4"/>
    <w:rsid w:val="12D75C05"/>
    <w:rsid w:val="12D81596"/>
    <w:rsid w:val="13072A44"/>
    <w:rsid w:val="13313DF9"/>
    <w:rsid w:val="1355718A"/>
    <w:rsid w:val="135F4BE2"/>
    <w:rsid w:val="137E5CA2"/>
    <w:rsid w:val="137F4B64"/>
    <w:rsid w:val="139B1A0A"/>
    <w:rsid w:val="139D25C7"/>
    <w:rsid w:val="13BF3CE4"/>
    <w:rsid w:val="14042DB7"/>
    <w:rsid w:val="141008D8"/>
    <w:rsid w:val="14125FE6"/>
    <w:rsid w:val="146D271E"/>
    <w:rsid w:val="146D4ED5"/>
    <w:rsid w:val="14833986"/>
    <w:rsid w:val="14982588"/>
    <w:rsid w:val="149A5AD9"/>
    <w:rsid w:val="14A7619D"/>
    <w:rsid w:val="14E629C1"/>
    <w:rsid w:val="14FC21E4"/>
    <w:rsid w:val="150536C3"/>
    <w:rsid w:val="150C1963"/>
    <w:rsid w:val="150F1F18"/>
    <w:rsid w:val="151439D2"/>
    <w:rsid w:val="151447A0"/>
    <w:rsid w:val="154A6454"/>
    <w:rsid w:val="156C736A"/>
    <w:rsid w:val="15762120"/>
    <w:rsid w:val="157E2009"/>
    <w:rsid w:val="15AB0B88"/>
    <w:rsid w:val="15E213AD"/>
    <w:rsid w:val="15F829AC"/>
    <w:rsid w:val="16481B85"/>
    <w:rsid w:val="164B6F7F"/>
    <w:rsid w:val="16556050"/>
    <w:rsid w:val="1683496B"/>
    <w:rsid w:val="16A63E9D"/>
    <w:rsid w:val="16A8729C"/>
    <w:rsid w:val="16B33777"/>
    <w:rsid w:val="16BA3C77"/>
    <w:rsid w:val="16BC70A7"/>
    <w:rsid w:val="16C6339E"/>
    <w:rsid w:val="16E32888"/>
    <w:rsid w:val="172F2D79"/>
    <w:rsid w:val="17325DB2"/>
    <w:rsid w:val="17557BEF"/>
    <w:rsid w:val="17D349C1"/>
    <w:rsid w:val="17F04282"/>
    <w:rsid w:val="18244F26"/>
    <w:rsid w:val="18272ABF"/>
    <w:rsid w:val="1830729E"/>
    <w:rsid w:val="1870062C"/>
    <w:rsid w:val="18817102"/>
    <w:rsid w:val="18830A15"/>
    <w:rsid w:val="18852B28"/>
    <w:rsid w:val="188B5321"/>
    <w:rsid w:val="188F365D"/>
    <w:rsid w:val="18956BD8"/>
    <w:rsid w:val="18EB4A4A"/>
    <w:rsid w:val="19094ED0"/>
    <w:rsid w:val="190D676E"/>
    <w:rsid w:val="192A5572"/>
    <w:rsid w:val="19932372"/>
    <w:rsid w:val="19A20DD5"/>
    <w:rsid w:val="19AE03F1"/>
    <w:rsid w:val="1A071A03"/>
    <w:rsid w:val="1A1F16AE"/>
    <w:rsid w:val="1A3B5C77"/>
    <w:rsid w:val="1A3F6834"/>
    <w:rsid w:val="1A443726"/>
    <w:rsid w:val="1A984BAD"/>
    <w:rsid w:val="1AB8220E"/>
    <w:rsid w:val="1AC40468"/>
    <w:rsid w:val="1ADE4866"/>
    <w:rsid w:val="1AE4166C"/>
    <w:rsid w:val="1AF06CFB"/>
    <w:rsid w:val="1AF11B8D"/>
    <w:rsid w:val="1AFF2141"/>
    <w:rsid w:val="1B0642DB"/>
    <w:rsid w:val="1B11359C"/>
    <w:rsid w:val="1B2A271F"/>
    <w:rsid w:val="1B4072CF"/>
    <w:rsid w:val="1B4F7512"/>
    <w:rsid w:val="1B530544"/>
    <w:rsid w:val="1B713184"/>
    <w:rsid w:val="1B7C02BE"/>
    <w:rsid w:val="1BA209CF"/>
    <w:rsid w:val="1BB4777D"/>
    <w:rsid w:val="1BB824B6"/>
    <w:rsid w:val="1BD75AB8"/>
    <w:rsid w:val="1BDD2D6F"/>
    <w:rsid w:val="1BF327F9"/>
    <w:rsid w:val="1C0459C2"/>
    <w:rsid w:val="1C1B3B4A"/>
    <w:rsid w:val="1C5A2CC2"/>
    <w:rsid w:val="1C870B63"/>
    <w:rsid w:val="1C88086E"/>
    <w:rsid w:val="1CE617B0"/>
    <w:rsid w:val="1D036806"/>
    <w:rsid w:val="1D266CE1"/>
    <w:rsid w:val="1D3963AF"/>
    <w:rsid w:val="1D681BE4"/>
    <w:rsid w:val="1D6A673C"/>
    <w:rsid w:val="1D9247AE"/>
    <w:rsid w:val="1DB567EC"/>
    <w:rsid w:val="1DE57CB9"/>
    <w:rsid w:val="1DF51A98"/>
    <w:rsid w:val="1E051CD9"/>
    <w:rsid w:val="1E200CF1"/>
    <w:rsid w:val="1E3D060F"/>
    <w:rsid w:val="1E3F7D2E"/>
    <w:rsid w:val="1E4134E4"/>
    <w:rsid w:val="1E4D4965"/>
    <w:rsid w:val="1E5062B3"/>
    <w:rsid w:val="1E523514"/>
    <w:rsid w:val="1E5A7ADD"/>
    <w:rsid w:val="1E714A66"/>
    <w:rsid w:val="1E802593"/>
    <w:rsid w:val="1E8B6156"/>
    <w:rsid w:val="1EA703CC"/>
    <w:rsid w:val="1EB7330C"/>
    <w:rsid w:val="1F073C5F"/>
    <w:rsid w:val="1F0A0FF3"/>
    <w:rsid w:val="1F4D1FBA"/>
    <w:rsid w:val="1F5771FF"/>
    <w:rsid w:val="1F8D685B"/>
    <w:rsid w:val="1FA94D17"/>
    <w:rsid w:val="1FCA360B"/>
    <w:rsid w:val="1FD52574"/>
    <w:rsid w:val="1FDB508D"/>
    <w:rsid w:val="1FE868A9"/>
    <w:rsid w:val="1FF82F2B"/>
    <w:rsid w:val="20034907"/>
    <w:rsid w:val="20173E4B"/>
    <w:rsid w:val="202C6073"/>
    <w:rsid w:val="20337402"/>
    <w:rsid w:val="204E48BC"/>
    <w:rsid w:val="20586E69"/>
    <w:rsid w:val="208921B3"/>
    <w:rsid w:val="20973DEB"/>
    <w:rsid w:val="20A72147"/>
    <w:rsid w:val="20B16579"/>
    <w:rsid w:val="20B26522"/>
    <w:rsid w:val="20B44310"/>
    <w:rsid w:val="20E701EC"/>
    <w:rsid w:val="21022930"/>
    <w:rsid w:val="21052421"/>
    <w:rsid w:val="210668C5"/>
    <w:rsid w:val="211116EB"/>
    <w:rsid w:val="212E5E1B"/>
    <w:rsid w:val="21425423"/>
    <w:rsid w:val="21432BFC"/>
    <w:rsid w:val="215D04AF"/>
    <w:rsid w:val="216133FC"/>
    <w:rsid w:val="21D56769"/>
    <w:rsid w:val="21E52EF3"/>
    <w:rsid w:val="21FB5D7B"/>
    <w:rsid w:val="22015E94"/>
    <w:rsid w:val="220B1C3D"/>
    <w:rsid w:val="221D1D20"/>
    <w:rsid w:val="22334A87"/>
    <w:rsid w:val="22BE6801"/>
    <w:rsid w:val="22C5455D"/>
    <w:rsid w:val="233500BF"/>
    <w:rsid w:val="23362D65"/>
    <w:rsid w:val="23377FF7"/>
    <w:rsid w:val="236B425F"/>
    <w:rsid w:val="236B6EB3"/>
    <w:rsid w:val="23836192"/>
    <w:rsid w:val="23901F29"/>
    <w:rsid w:val="239C0061"/>
    <w:rsid w:val="23B908A4"/>
    <w:rsid w:val="23C12F77"/>
    <w:rsid w:val="23C9435D"/>
    <w:rsid w:val="23E95BEF"/>
    <w:rsid w:val="23FC5D5D"/>
    <w:rsid w:val="23FD0064"/>
    <w:rsid w:val="241430A6"/>
    <w:rsid w:val="245375B0"/>
    <w:rsid w:val="24635DDC"/>
    <w:rsid w:val="24642C0A"/>
    <w:rsid w:val="249C59CF"/>
    <w:rsid w:val="24B22173"/>
    <w:rsid w:val="24B95AD9"/>
    <w:rsid w:val="24BE24DA"/>
    <w:rsid w:val="24CF5825"/>
    <w:rsid w:val="24D663E6"/>
    <w:rsid w:val="24D77F2B"/>
    <w:rsid w:val="24EB75C0"/>
    <w:rsid w:val="25317B97"/>
    <w:rsid w:val="255816B9"/>
    <w:rsid w:val="258B00E2"/>
    <w:rsid w:val="25A917A6"/>
    <w:rsid w:val="25BE27CC"/>
    <w:rsid w:val="25D90851"/>
    <w:rsid w:val="25F74A5C"/>
    <w:rsid w:val="26247F32"/>
    <w:rsid w:val="2628662C"/>
    <w:rsid w:val="262D45DE"/>
    <w:rsid w:val="26871DC8"/>
    <w:rsid w:val="26A53EF9"/>
    <w:rsid w:val="26A94201"/>
    <w:rsid w:val="26AC274F"/>
    <w:rsid w:val="26B56851"/>
    <w:rsid w:val="26F378D8"/>
    <w:rsid w:val="26FE0A65"/>
    <w:rsid w:val="27044A29"/>
    <w:rsid w:val="27174C5C"/>
    <w:rsid w:val="271D34C8"/>
    <w:rsid w:val="276142BF"/>
    <w:rsid w:val="27783712"/>
    <w:rsid w:val="27840543"/>
    <w:rsid w:val="27907362"/>
    <w:rsid w:val="27B22248"/>
    <w:rsid w:val="27C76682"/>
    <w:rsid w:val="27F63B56"/>
    <w:rsid w:val="27FA48DC"/>
    <w:rsid w:val="27FF5E1C"/>
    <w:rsid w:val="28333E1D"/>
    <w:rsid w:val="28454BD6"/>
    <w:rsid w:val="28455253"/>
    <w:rsid w:val="28551971"/>
    <w:rsid w:val="28575C58"/>
    <w:rsid w:val="285B1C53"/>
    <w:rsid w:val="285C326E"/>
    <w:rsid w:val="288C5DA0"/>
    <w:rsid w:val="288D53D3"/>
    <w:rsid w:val="289F7086"/>
    <w:rsid w:val="28C32028"/>
    <w:rsid w:val="28CC490F"/>
    <w:rsid w:val="28DE40AA"/>
    <w:rsid w:val="29345E77"/>
    <w:rsid w:val="294C65AD"/>
    <w:rsid w:val="295E63E2"/>
    <w:rsid w:val="296548E8"/>
    <w:rsid w:val="29806583"/>
    <w:rsid w:val="298B3C4C"/>
    <w:rsid w:val="299B2C39"/>
    <w:rsid w:val="29E2640D"/>
    <w:rsid w:val="29F26D24"/>
    <w:rsid w:val="2A15033F"/>
    <w:rsid w:val="2A1662C1"/>
    <w:rsid w:val="2A1C7367"/>
    <w:rsid w:val="2A2815FA"/>
    <w:rsid w:val="2A302AEF"/>
    <w:rsid w:val="2A6D6092"/>
    <w:rsid w:val="2A7D76B4"/>
    <w:rsid w:val="2AAA1A30"/>
    <w:rsid w:val="2AF21C68"/>
    <w:rsid w:val="2B437463"/>
    <w:rsid w:val="2B4D6F1D"/>
    <w:rsid w:val="2B5613EC"/>
    <w:rsid w:val="2B610862"/>
    <w:rsid w:val="2B7807EE"/>
    <w:rsid w:val="2B7C41F6"/>
    <w:rsid w:val="2B7F799F"/>
    <w:rsid w:val="2BA50BF7"/>
    <w:rsid w:val="2BBF00EC"/>
    <w:rsid w:val="2BC37CFD"/>
    <w:rsid w:val="2BD33847"/>
    <w:rsid w:val="2BD5237F"/>
    <w:rsid w:val="2BD87295"/>
    <w:rsid w:val="2BE536CE"/>
    <w:rsid w:val="2BE758D9"/>
    <w:rsid w:val="2BF346BB"/>
    <w:rsid w:val="2C09049E"/>
    <w:rsid w:val="2C0A653C"/>
    <w:rsid w:val="2C191F85"/>
    <w:rsid w:val="2C2B5431"/>
    <w:rsid w:val="2C550700"/>
    <w:rsid w:val="2C7C7A3B"/>
    <w:rsid w:val="2CCF6D28"/>
    <w:rsid w:val="2CE37ABA"/>
    <w:rsid w:val="2CE82D6F"/>
    <w:rsid w:val="2D007472"/>
    <w:rsid w:val="2D0630BC"/>
    <w:rsid w:val="2D2C1795"/>
    <w:rsid w:val="2D343236"/>
    <w:rsid w:val="2D4F6EFD"/>
    <w:rsid w:val="2D575011"/>
    <w:rsid w:val="2D720E3E"/>
    <w:rsid w:val="2D744BB6"/>
    <w:rsid w:val="2D9E1C33"/>
    <w:rsid w:val="2DD15014"/>
    <w:rsid w:val="2DF72DE4"/>
    <w:rsid w:val="2DFA2C60"/>
    <w:rsid w:val="2E0220AF"/>
    <w:rsid w:val="2E383E35"/>
    <w:rsid w:val="2E4B082A"/>
    <w:rsid w:val="2E573752"/>
    <w:rsid w:val="2E5D4E86"/>
    <w:rsid w:val="2E5D790B"/>
    <w:rsid w:val="2E67471B"/>
    <w:rsid w:val="2E921B81"/>
    <w:rsid w:val="2E9A3C18"/>
    <w:rsid w:val="2EA66FF1"/>
    <w:rsid w:val="2EBB0FEE"/>
    <w:rsid w:val="2EC63002"/>
    <w:rsid w:val="2ED00512"/>
    <w:rsid w:val="2F0A6B38"/>
    <w:rsid w:val="2F0D52C2"/>
    <w:rsid w:val="2F5E78CC"/>
    <w:rsid w:val="2F946CCB"/>
    <w:rsid w:val="2F946FCB"/>
    <w:rsid w:val="2FCC0CD9"/>
    <w:rsid w:val="2FD25781"/>
    <w:rsid w:val="2FDC745C"/>
    <w:rsid w:val="2FDE0A0C"/>
    <w:rsid w:val="2FFD7934"/>
    <w:rsid w:val="2FFE4E3E"/>
    <w:rsid w:val="303E08D4"/>
    <w:rsid w:val="305E12B6"/>
    <w:rsid w:val="306A7304"/>
    <w:rsid w:val="30733ACD"/>
    <w:rsid w:val="308C3862"/>
    <w:rsid w:val="309379D8"/>
    <w:rsid w:val="309F019C"/>
    <w:rsid w:val="30A270F7"/>
    <w:rsid w:val="30AB2FE7"/>
    <w:rsid w:val="30D00948"/>
    <w:rsid w:val="30DF1478"/>
    <w:rsid w:val="30EC586F"/>
    <w:rsid w:val="314174A5"/>
    <w:rsid w:val="31436D79"/>
    <w:rsid w:val="31855F32"/>
    <w:rsid w:val="3192701B"/>
    <w:rsid w:val="3194017B"/>
    <w:rsid w:val="319C6071"/>
    <w:rsid w:val="31AC537E"/>
    <w:rsid w:val="31DE42F5"/>
    <w:rsid w:val="31E3679B"/>
    <w:rsid w:val="31E732FD"/>
    <w:rsid w:val="322143AE"/>
    <w:rsid w:val="32517576"/>
    <w:rsid w:val="326F1DF0"/>
    <w:rsid w:val="327756B1"/>
    <w:rsid w:val="329F3D86"/>
    <w:rsid w:val="32AA00FD"/>
    <w:rsid w:val="32BE5C2C"/>
    <w:rsid w:val="32FB6478"/>
    <w:rsid w:val="33263B3F"/>
    <w:rsid w:val="333B2538"/>
    <w:rsid w:val="336963EB"/>
    <w:rsid w:val="33816EEB"/>
    <w:rsid w:val="33AF4B9A"/>
    <w:rsid w:val="33EB55CD"/>
    <w:rsid w:val="33EC4C02"/>
    <w:rsid w:val="33F144C4"/>
    <w:rsid w:val="33F16E2F"/>
    <w:rsid w:val="33FB4FA0"/>
    <w:rsid w:val="340D2360"/>
    <w:rsid w:val="3410665D"/>
    <w:rsid w:val="34191FEB"/>
    <w:rsid w:val="34211214"/>
    <w:rsid w:val="342E63AB"/>
    <w:rsid w:val="344A1390"/>
    <w:rsid w:val="348222AE"/>
    <w:rsid w:val="34950E68"/>
    <w:rsid w:val="34986E94"/>
    <w:rsid w:val="34AF62C9"/>
    <w:rsid w:val="34CB4388"/>
    <w:rsid w:val="34D165AB"/>
    <w:rsid w:val="34D36666"/>
    <w:rsid w:val="34E61A2F"/>
    <w:rsid w:val="34FA6E12"/>
    <w:rsid w:val="354D7158"/>
    <w:rsid w:val="355552CD"/>
    <w:rsid w:val="358D5588"/>
    <w:rsid w:val="35C47314"/>
    <w:rsid w:val="36080DFB"/>
    <w:rsid w:val="361E22E4"/>
    <w:rsid w:val="36304BD5"/>
    <w:rsid w:val="363A3B40"/>
    <w:rsid w:val="365302AE"/>
    <w:rsid w:val="36607A0A"/>
    <w:rsid w:val="366A124C"/>
    <w:rsid w:val="366E227C"/>
    <w:rsid w:val="366F2E0D"/>
    <w:rsid w:val="36745C27"/>
    <w:rsid w:val="367B6A5C"/>
    <w:rsid w:val="368C042F"/>
    <w:rsid w:val="36A74ADA"/>
    <w:rsid w:val="36A91156"/>
    <w:rsid w:val="36AD60D5"/>
    <w:rsid w:val="36B224F9"/>
    <w:rsid w:val="36C546D4"/>
    <w:rsid w:val="36CE17DB"/>
    <w:rsid w:val="36EC0CC9"/>
    <w:rsid w:val="37083929"/>
    <w:rsid w:val="37362EDC"/>
    <w:rsid w:val="373F410B"/>
    <w:rsid w:val="374970B3"/>
    <w:rsid w:val="3776648E"/>
    <w:rsid w:val="37BE4DAE"/>
    <w:rsid w:val="37BF2ED1"/>
    <w:rsid w:val="37EE7094"/>
    <w:rsid w:val="380A7EA0"/>
    <w:rsid w:val="3810372D"/>
    <w:rsid w:val="38296C89"/>
    <w:rsid w:val="383002EB"/>
    <w:rsid w:val="38586797"/>
    <w:rsid w:val="385B7786"/>
    <w:rsid w:val="385D15DF"/>
    <w:rsid w:val="38847EFF"/>
    <w:rsid w:val="38BC0149"/>
    <w:rsid w:val="38D87D1C"/>
    <w:rsid w:val="38ED3A6E"/>
    <w:rsid w:val="39203503"/>
    <w:rsid w:val="393D2C48"/>
    <w:rsid w:val="39636459"/>
    <w:rsid w:val="396B7F6C"/>
    <w:rsid w:val="398D6432"/>
    <w:rsid w:val="39B417A9"/>
    <w:rsid w:val="39FC5695"/>
    <w:rsid w:val="3A006D8E"/>
    <w:rsid w:val="3A0B76DD"/>
    <w:rsid w:val="3A0D261A"/>
    <w:rsid w:val="3A3651E5"/>
    <w:rsid w:val="3A744481"/>
    <w:rsid w:val="3A7F15EC"/>
    <w:rsid w:val="3A8C7BEF"/>
    <w:rsid w:val="3A906246"/>
    <w:rsid w:val="3A9E3272"/>
    <w:rsid w:val="3AAC74C7"/>
    <w:rsid w:val="3AB57C56"/>
    <w:rsid w:val="3AED6033"/>
    <w:rsid w:val="3B2349B7"/>
    <w:rsid w:val="3B4000ED"/>
    <w:rsid w:val="3B616CFF"/>
    <w:rsid w:val="3B6259F6"/>
    <w:rsid w:val="3B781D15"/>
    <w:rsid w:val="3B976654"/>
    <w:rsid w:val="3BC01EFC"/>
    <w:rsid w:val="3BC431AC"/>
    <w:rsid w:val="3BCA786A"/>
    <w:rsid w:val="3BD31E2F"/>
    <w:rsid w:val="3BD9330C"/>
    <w:rsid w:val="3BF15831"/>
    <w:rsid w:val="3C105946"/>
    <w:rsid w:val="3C471448"/>
    <w:rsid w:val="3C4944FC"/>
    <w:rsid w:val="3C5F759A"/>
    <w:rsid w:val="3C6C525A"/>
    <w:rsid w:val="3C7047FD"/>
    <w:rsid w:val="3C7060DA"/>
    <w:rsid w:val="3C907D67"/>
    <w:rsid w:val="3CB1160C"/>
    <w:rsid w:val="3CCB2319"/>
    <w:rsid w:val="3CCE23CB"/>
    <w:rsid w:val="3CD17D17"/>
    <w:rsid w:val="3D3C7F39"/>
    <w:rsid w:val="3D440F09"/>
    <w:rsid w:val="3D4504A0"/>
    <w:rsid w:val="3D630BAD"/>
    <w:rsid w:val="3D6F76D8"/>
    <w:rsid w:val="3D8734BB"/>
    <w:rsid w:val="3D9A11D4"/>
    <w:rsid w:val="3DA16D89"/>
    <w:rsid w:val="3DA364BE"/>
    <w:rsid w:val="3DCE5BF4"/>
    <w:rsid w:val="3DE041CB"/>
    <w:rsid w:val="3DFD29A6"/>
    <w:rsid w:val="3E0D48F6"/>
    <w:rsid w:val="3E1868B4"/>
    <w:rsid w:val="3E377251"/>
    <w:rsid w:val="3E42664B"/>
    <w:rsid w:val="3E473F20"/>
    <w:rsid w:val="3E4F1453"/>
    <w:rsid w:val="3E5A7334"/>
    <w:rsid w:val="3E5E1696"/>
    <w:rsid w:val="3E7B5D6B"/>
    <w:rsid w:val="3E8135D7"/>
    <w:rsid w:val="3E843E66"/>
    <w:rsid w:val="3E8E6F67"/>
    <w:rsid w:val="3E8F1850"/>
    <w:rsid w:val="3E8F51FE"/>
    <w:rsid w:val="3E920F2B"/>
    <w:rsid w:val="3E926F87"/>
    <w:rsid w:val="3E9A59DE"/>
    <w:rsid w:val="3EA348C5"/>
    <w:rsid w:val="3EAF4836"/>
    <w:rsid w:val="3EB61088"/>
    <w:rsid w:val="3EC33DFA"/>
    <w:rsid w:val="3EF26D60"/>
    <w:rsid w:val="3EF913BF"/>
    <w:rsid w:val="3EFB0C93"/>
    <w:rsid w:val="3F05474B"/>
    <w:rsid w:val="3F060E16"/>
    <w:rsid w:val="3F1D1096"/>
    <w:rsid w:val="3F2F0234"/>
    <w:rsid w:val="3F6363FE"/>
    <w:rsid w:val="3F756B8F"/>
    <w:rsid w:val="3F80388E"/>
    <w:rsid w:val="3F95482B"/>
    <w:rsid w:val="3FB47D1B"/>
    <w:rsid w:val="3FF322B2"/>
    <w:rsid w:val="4019356B"/>
    <w:rsid w:val="404E6FB3"/>
    <w:rsid w:val="40592157"/>
    <w:rsid w:val="406E1CAE"/>
    <w:rsid w:val="407F6989"/>
    <w:rsid w:val="40955117"/>
    <w:rsid w:val="40A0133A"/>
    <w:rsid w:val="40C31A53"/>
    <w:rsid w:val="40FF545D"/>
    <w:rsid w:val="410067C8"/>
    <w:rsid w:val="41326E0A"/>
    <w:rsid w:val="418F0D2A"/>
    <w:rsid w:val="41911D83"/>
    <w:rsid w:val="41B65345"/>
    <w:rsid w:val="41C31810"/>
    <w:rsid w:val="41D01505"/>
    <w:rsid w:val="420820FD"/>
    <w:rsid w:val="421233DB"/>
    <w:rsid w:val="421344ED"/>
    <w:rsid w:val="4214291C"/>
    <w:rsid w:val="42225526"/>
    <w:rsid w:val="42245A15"/>
    <w:rsid w:val="42336996"/>
    <w:rsid w:val="423D17E1"/>
    <w:rsid w:val="42474939"/>
    <w:rsid w:val="424C3C57"/>
    <w:rsid w:val="42613FF3"/>
    <w:rsid w:val="42660D96"/>
    <w:rsid w:val="42786A9F"/>
    <w:rsid w:val="428667D2"/>
    <w:rsid w:val="429D02B3"/>
    <w:rsid w:val="42AE0FD2"/>
    <w:rsid w:val="42CD1CE0"/>
    <w:rsid w:val="42E1381E"/>
    <w:rsid w:val="42ED6459"/>
    <w:rsid w:val="42FE58DD"/>
    <w:rsid w:val="43174B3D"/>
    <w:rsid w:val="431C38CE"/>
    <w:rsid w:val="433062D1"/>
    <w:rsid w:val="434B790E"/>
    <w:rsid w:val="4360274F"/>
    <w:rsid w:val="43977AB6"/>
    <w:rsid w:val="43A3342B"/>
    <w:rsid w:val="43A7763B"/>
    <w:rsid w:val="43C77C27"/>
    <w:rsid w:val="43CE1B59"/>
    <w:rsid w:val="43DE09EE"/>
    <w:rsid w:val="43DE12EE"/>
    <w:rsid w:val="43E22422"/>
    <w:rsid w:val="44002FAD"/>
    <w:rsid w:val="441C5F3D"/>
    <w:rsid w:val="445D5F4C"/>
    <w:rsid w:val="449101DD"/>
    <w:rsid w:val="44CE6E4A"/>
    <w:rsid w:val="44DE1391"/>
    <w:rsid w:val="44ED5522"/>
    <w:rsid w:val="44F322C0"/>
    <w:rsid w:val="44F52628"/>
    <w:rsid w:val="451B225C"/>
    <w:rsid w:val="451E392D"/>
    <w:rsid w:val="452004DE"/>
    <w:rsid w:val="452410C9"/>
    <w:rsid w:val="45317DFB"/>
    <w:rsid w:val="45441ABB"/>
    <w:rsid w:val="45456081"/>
    <w:rsid w:val="456D3CE4"/>
    <w:rsid w:val="4579042C"/>
    <w:rsid w:val="457F0571"/>
    <w:rsid w:val="45851176"/>
    <w:rsid w:val="45C63B94"/>
    <w:rsid w:val="460E7DA5"/>
    <w:rsid w:val="46354038"/>
    <w:rsid w:val="46422483"/>
    <w:rsid w:val="4659254A"/>
    <w:rsid w:val="465B0637"/>
    <w:rsid w:val="465E3F0D"/>
    <w:rsid w:val="466A16E6"/>
    <w:rsid w:val="46756D42"/>
    <w:rsid w:val="46893F2B"/>
    <w:rsid w:val="46935C55"/>
    <w:rsid w:val="469B7E5F"/>
    <w:rsid w:val="46C15FBB"/>
    <w:rsid w:val="46C4686E"/>
    <w:rsid w:val="470202F9"/>
    <w:rsid w:val="470D5A07"/>
    <w:rsid w:val="472745EF"/>
    <w:rsid w:val="472D42FC"/>
    <w:rsid w:val="476A40CC"/>
    <w:rsid w:val="477B778F"/>
    <w:rsid w:val="478203EC"/>
    <w:rsid w:val="47B025FA"/>
    <w:rsid w:val="47BE4F54"/>
    <w:rsid w:val="47E30E5E"/>
    <w:rsid w:val="47F10A2B"/>
    <w:rsid w:val="47F40975"/>
    <w:rsid w:val="4809698F"/>
    <w:rsid w:val="4811697D"/>
    <w:rsid w:val="48260E1C"/>
    <w:rsid w:val="487A3E25"/>
    <w:rsid w:val="488B5503"/>
    <w:rsid w:val="48937E21"/>
    <w:rsid w:val="489A0361"/>
    <w:rsid w:val="48B94FF3"/>
    <w:rsid w:val="48BC19D6"/>
    <w:rsid w:val="48D569F9"/>
    <w:rsid w:val="48E37AAB"/>
    <w:rsid w:val="48FD4B4C"/>
    <w:rsid w:val="490A68E0"/>
    <w:rsid w:val="491055FE"/>
    <w:rsid w:val="491C0184"/>
    <w:rsid w:val="49417BEA"/>
    <w:rsid w:val="495F5B3E"/>
    <w:rsid w:val="496F77D7"/>
    <w:rsid w:val="497654FD"/>
    <w:rsid w:val="499E09DD"/>
    <w:rsid w:val="499F7D64"/>
    <w:rsid w:val="49AF152D"/>
    <w:rsid w:val="49B64211"/>
    <w:rsid w:val="49E52C6C"/>
    <w:rsid w:val="49F6167F"/>
    <w:rsid w:val="4A064FA0"/>
    <w:rsid w:val="4A16615C"/>
    <w:rsid w:val="4A4424D7"/>
    <w:rsid w:val="4AB82D0F"/>
    <w:rsid w:val="4AC759C7"/>
    <w:rsid w:val="4AEB7664"/>
    <w:rsid w:val="4AFD7C19"/>
    <w:rsid w:val="4B0215FB"/>
    <w:rsid w:val="4B0567D1"/>
    <w:rsid w:val="4B125CE2"/>
    <w:rsid w:val="4B236AAE"/>
    <w:rsid w:val="4B4614E8"/>
    <w:rsid w:val="4B707271"/>
    <w:rsid w:val="4B9739F7"/>
    <w:rsid w:val="4B9A091D"/>
    <w:rsid w:val="4BEE2503"/>
    <w:rsid w:val="4C245A30"/>
    <w:rsid w:val="4C3B7578"/>
    <w:rsid w:val="4C83051A"/>
    <w:rsid w:val="4CB6685F"/>
    <w:rsid w:val="4CC367FE"/>
    <w:rsid w:val="4CD47E71"/>
    <w:rsid w:val="4D077F3C"/>
    <w:rsid w:val="4D123355"/>
    <w:rsid w:val="4D1C6403"/>
    <w:rsid w:val="4D2A3B31"/>
    <w:rsid w:val="4D312C52"/>
    <w:rsid w:val="4D3857A8"/>
    <w:rsid w:val="4D553C64"/>
    <w:rsid w:val="4D7A7B6F"/>
    <w:rsid w:val="4D905305"/>
    <w:rsid w:val="4D964A72"/>
    <w:rsid w:val="4D9C1254"/>
    <w:rsid w:val="4DA30E74"/>
    <w:rsid w:val="4DC529FE"/>
    <w:rsid w:val="4E2D698F"/>
    <w:rsid w:val="4E5E2FEC"/>
    <w:rsid w:val="4E793892"/>
    <w:rsid w:val="4E7E368F"/>
    <w:rsid w:val="4E800872"/>
    <w:rsid w:val="4EA56E6D"/>
    <w:rsid w:val="4EBE1CDD"/>
    <w:rsid w:val="4EC569ED"/>
    <w:rsid w:val="4ED50EA1"/>
    <w:rsid w:val="4EEC050C"/>
    <w:rsid w:val="4EFE20DA"/>
    <w:rsid w:val="4F0944C2"/>
    <w:rsid w:val="4F104EC3"/>
    <w:rsid w:val="4F47354A"/>
    <w:rsid w:val="4F7F146C"/>
    <w:rsid w:val="4F911C54"/>
    <w:rsid w:val="4FA233AD"/>
    <w:rsid w:val="4FB410CF"/>
    <w:rsid w:val="4FE625E0"/>
    <w:rsid w:val="5021480F"/>
    <w:rsid w:val="50504BB7"/>
    <w:rsid w:val="50962ECB"/>
    <w:rsid w:val="50A42E38"/>
    <w:rsid w:val="50A4577F"/>
    <w:rsid w:val="50A7559D"/>
    <w:rsid w:val="50B73D1F"/>
    <w:rsid w:val="50BD5BC9"/>
    <w:rsid w:val="50C11EEE"/>
    <w:rsid w:val="50DE6667"/>
    <w:rsid w:val="50E97CFC"/>
    <w:rsid w:val="50FA4028"/>
    <w:rsid w:val="510D65B7"/>
    <w:rsid w:val="511157AB"/>
    <w:rsid w:val="51142088"/>
    <w:rsid w:val="512A3015"/>
    <w:rsid w:val="5142540C"/>
    <w:rsid w:val="516E3547"/>
    <w:rsid w:val="518832C8"/>
    <w:rsid w:val="519D3C50"/>
    <w:rsid w:val="51A0432A"/>
    <w:rsid w:val="51A86090"/>
    <w:rsid w:val="51AC406F"/>
    <w:rsid w:val="51B7396D"/>
    <w:rsid w:val="51C22F78"/>
    <w:rsid w:val="51E90E1F"/>
    <w:rsid w:val="522E4CC3"/>
    <w:rsid w:val="5244713B"/>
    <w:rsid w:val="524E4EAC"/>
    <w:rsid w:val="524F6EE1"/>
    <w:rsid w:val="52615633"/>
    <w:rsid w:val="526F4DE4"/>
    <w:rsid w:val="52770B21"/>
    <w:rsid w:val="52977FD4"/>
    <w:rsid w:val="52A25790"/>
    <w:rsid w:val="52A96B6F"/>
    <w:rsid w:val="52B45975"/>
    <w:rsid w:val="52CA29FF"/>
    <w:rsid w:val="52D711AA"/>
    <w:rsid w:val="52D94AA4"/>
    <w:rsid w:val="52DE294E"/>
    <w:rsid w:val="52EA3A62"/>
    <w:rsid w:val="52F50BB8"/>
    <w:rsid w:val="53097272"/>
    <w:rsid w:val="532F4F57"/>
    <w:rsid w:val="535138C9"/>
    <w:rsid w:val="53544462"/>
    <w:rsid w:val="5397158E"/>
    <w:rsid w:val="53D16716"/>
    <w:rsid w:val="54013861"/>
    <w:rsid w:val="5413297B"/>
    <w:rsid w:val="543C5B7E"/>
    <w:rsid w:val="54464E65"/>
    <w:rsid w:val="54487265"/>
    <w:rsid w:val="544D6070"/>
    <w:rsid w:val="545B5523"/>
    <w:rsid w:val="54605E1E"/>
    <w:rsid w:val="547A4B11"/>
    <w:rsid w:val="54A656ED"/>
    <w:rsid w:val="54B3506A"/>
    <w:rsid w:val="54CA0D16"/>
    <w:rsid w:val="54DD4057"/>
    <w:rsid w:val="54E12390"/>
    <w:rsid w:val="54E7490F"/>
    <w:rsid w:val="550764A4"/>
    <w:rsid w:val="550B2BF6"/>
    <w:rsid w:val="55214EB5"/>
    <w:rsid w:val="55364EFD"/>
    <w:rsid w:val="555D4828"/>
    <w:rsid w:val="55627866"/>
    <w:rsid w:val="557A4C8B"/>
    <w:rsid w:val="55850C4A"/>
    <w:rsid w:val="558931E1"/>
    <w:rsid w:val="55923347"/>
    <w:rsid w:val="55925180"/>
    <w:rsid w:val="55983B1B"/>
    <w:rsid w:val="55A81BA0"/>
    <w:rsid w:val="55A8376B"/>
    <w:rsid w:val="55C11E80"/>
    <w:rsid w:val="55DC29B6"/>
    <w:rsid w:val="55DD4241"/>
    <w:rsid w:val="55EB160A"/>
    <w:rsid w:val="560721BC"/>
    <w:rsid w:val="56530F5D"/>
    <w:rsid w:val="565B6BB1"/>
    <w:rsid w:val="5661367A"/>
    <w:rsid w:val="566B6D1E"/>
    <w:rsid w:val="56794E67"/>
    <w:rsid w:val="568F7A40"/>
    <w:rsid w:val="56DC53F6"/>
    <w:rsid w:val="56F978F7"/>
    <w:rsid w:val="57032A2C"/>
    <w:rsid w:val="570F5219"/>
    <w:rsid w:val="573D142B"/>
    <w:rsid w:val="575D12B5"/>
    <w:rsid w:val="57610A87"/>
    <w:rsid w:val="577B1140"/>
    <w:rsid w:val="577B7F21"/>
    <w:rsid w:val="577F181B"/>
    <w:rsid w:val="57921984"/>
    <w:rsid w:val="579737F0"/>
    <w:rsid w:val="57A75A04"/>
    <w:rsid w:val="57AB7B30"/>
    <w:rsid w:val="57AF5251"/>
    <w:rsid w:val="57B26373"/>
    <w:rsid w:val="57B63F04"/>
    <w:rsid w:val="57C02622"/>
    <w:rsid w:val="57CD20C2"/>
    <w:rsid w:val="57D675AB"/>
    <w:rsid w:val="57D73717"/>
    <w:rsid w:val="57D95FDD"/>
    <w:rsid w:val="584E7C2E"/>
    <w:rsid w:val="58801DB1"/>
    <w:rsid w:val="58917D2F"/>
    <w:rsid w:val="5894085C"/>
    <w:rsid w:val="58947C0D"/>
    <w:rsid w:val="58AE4F0C"/>
    <w:rsid w:val="58B85899"/>
    <w:rsid w:val="58C16652"/>
    <w:rsid w:val="58E10AA2"/>
    <w:rsid w:val="58E363A9"/>
    <w:rsid w:val="5900361E"/>
    <w:rsid w:val="590D5D3B"/>
    <w:rsid w:val="59116E1E"/>
    <w:rsid w:val="59166304"/>
    <w:rsid w:val="5938522F"/>
    <w:rsid w:val="595E1678"/>
    <w:rsid w:val="596C730B"/>
    <w:rsid w:val="596D5BD4"/>
    <w:rsid w:val="597E3DD8"/>
    <w:rsid w:val="59B47F65"/>
    <w:rsid w:val="59F80043"/>
    <w:rsid w:val="5A09252F"/>
    <w:rsid w:val="5A0B0FEA"/>
    <w:rsid w:val="5A0B2778"/>
    <w:rsid w:val="5A2A7C7B"/>
    <w:rsid w:val="5A315A59"/>
    <w:rsid w:val="5A364E1D"/>
    <w:rsid w:val="5A3E2560"/>
    <w:rsid w:val="5A55415A"/>
    <w:rsid w:val="5A5C0D28"/>
    <w:rsid w:val="5A5D3B6E"/>
    <w:rsid w:val="5A637A76"/>
    <w:rsid w:val="5A6D33BA"/>
    <w:rsid w:val="5A792B1F"/>
    <w:rsid w:val="5A7A1172"/>
    <w:rsid w:val="5A874767"/>
    <w:rsid w:val="5AA85BE2"/>
    <w:rsid w:val="5AAD6F28"/>
    <w:rsid w:val="5AB87E0C"/>
    <w:rsid w:val="5ACF7EA7"/>
    <w:rsid w:val="5AD63A24"/>
    <w:rsid w:val="5AF6602A"/>
    <w:rsid w:val="5B230D16"/>
    <w:rsid w:val="5B2E1A1D"/>
    <w:rsid w:val="5B3D459F"/>
    <w:rsid w:val="5B5419FF"/>
    <w:rsid w:val="5B600BEF"/>
    <w:rsid w:val="5B843A1C"/>
    <w:rsid w:val="5B873E3F"/>
    <w:rsid w:val="5B945AD5"/>
    <w:rsid w:val="5BC3354F"/>
    <w:rsid w:val="5BCC3C8B"/>
    <w:rsid w:val="5C02690E"/>
    <w:rsid w:val="5C196DA7"/>
    <w:rsid w:val="5C2A048C"/>
    <w:rsid w:val="5C2C472A"/>
    <w:rsid w:val="5C317F92"/>
    <w:rsid w:val="5C4C26D6"/>
    <w:rsid w:val="5C7D6D34"/>
    <w:rsid w:val="5C80234E"/>
    <w:rsid w:val="5C872117"/>
    <w:rsid w:val="5C89392A"/>
    <w:rsid w:val="5C8A680C"/>
    <w:rsid w:val="5CA222E6"/>
    <w:rsid w:val="5CC826A5"/>
    <w:rsid w:val="5CF93F17"/>
    <w:rsid w:val="5D0C4701"/>
    <w:rsid w:val="5D0F0395"/>
    <w:rsid w:val="5D221076"/>
    <w:rsid w:val="5D397964"/>
    <w:rsid w:val="5D526412"/>
    <w:rsid w:val="5D5A391C"/>
    <w:rsid w:val="5D5F10C0"/>
    <w:rsid w:val="5D891B7B"/>
    <w:rsid w:val="5DAD38EE"/>
    <w:rsid w:val="5DDD4A74"/>
    <w:rsid w:val="5E005327"/>
    <w:rsid w:val="5E006862"/>
    <w:rsid w:val="5E0207B9"/>
    <w:rsid w:val="5E1834A1"/>
    <w:rsid w:val="5E261785"/>
    <w:rsid w:val="5E4A7017"/>
    <w:rsid w:val="5E552BBA"/>
    <w:rsid w:val="5E611C10"/>
    <w:rsid w:val="5E7A0F3F"/>
    <w:rsid w:val="5E920F9E"/>
    <w:rsid w:val="5EAF371A"/>
    <w:rsid w:val="5ED13367"/>
    <w:rsid w:val="5EE050AA"/>
    <w:rsid w:val="5EFC7377"/>
    <w:rsid w:val="5F06174D"/>
    <w:rsid w:val="5F1020E1"/>
    <w:rsid w:val="5F116E01"/>
    <w:rsid w:val="5F391129"/>
    <w:rsid w:val="5F3A3602"/>
    <w:rsid w:val="5F45733B"/>
    <w:rsid w:val="5F6277C6"/>
    <w:rsid w:val="5F6D0B1D"/>
    <w:rsid w:val="5F812FDF"/>
    <w:rsid w:val="5F8D0B82"/>
    <w:rsid w:val="5F8E1258"/>
    <w:rsid w:val="5F8E7868"/>
    <w:rsid w:val="5FCC5339"/>
    <w:rsid w:val="5FCF5AF8"/>
    <w:rsid w:val="5FE13DD4"/>
    <w:rsid w:val="5FE34A5B"/>
    <w:rsid w:val="5FFD4934"/>
    <w:rsid w:val="5FFE1E36"/>
    <w:rsid w:val="60232584"/>
    <w:rsid w:val="60487659"/>
    <w:rsid w:val="607330CE"/>
    <w:rsid w:val="60825176"/>
    <w:rsid w:val="60890C34"/>
    <w:rsid w:val="609F2AC4"/>
    <w:rsid w:val="60F5158E"/>
    <w:rsid w:val="60FA2EE8"/>
    <w:rsid w:val="61054A27"/>
    <w:rsid w:val="610A52BC"/>
    <w:rsid w:val="610F1EA7"/>
    <w:rsid w:val="611D2366"/>
    <w:rsid w:val="61421856"/>
    <w:rsid w:val="615227C4"/>
    <w:rsid w:val="615838CB"/>
    <w:rsid w:val="61654E3F"/>
    <w:rsid w:val="6182292A"/>
    <w:rsid w:val="61946FF9"/>
    <w:rsid w:val="619F7F92"/>
    <w:rsid w:val="61E64C2D"/>
    <w:rsid w:val="61EF4230"/>
    <w:rsid w:val="61F45CEA"/>
    <w:rsid w:val="61F94C26"/>
    <w:rsid w:val="62000E56"/>
    <w:rsid w:val="6200643D"/>
    <w:rsid w:val="624F3E49"/>
    <w:rsid w:val="62586279"/>
    <w:rsid w:val="62632286"/>
    <w:rsid w:val="62885958"/>
    <w:rsid w:val="62C35015"/>
    <w:rsid w:val="62F40B65"/>
    <w:rsid w:val="62FC2CFE"/>
    <w:rsid w:val="63024505"/>
    <w:rsid w:val="633B057C"/>
    <w:rsid w:val="635600A5"/>
    <w:rsid w:val="635B1DB5"/>
    <w:rsid w:val="636379BF"/>
    <w:rsid w:val="63711FED"/>
    <w:rsid w:val="63880DDC"/>
    <w:rsid w:val="638D750D"/>
    <w:rsid w:val="63AC6CC0"/>
    <w:rsid w:val="64055776"/>
    <w:rsid w:val="64240056"/>
    <w:rsid w:val="642D54E3"/>
    <w:rsid w:val="643E143A"/>
    <w:rsid w:val="64491666"/>
    <w:rsid w:val="648B6EEF"/>
    <w:rsid w:val="64C158BF"/>
    <w:rsid w:val="64CE2EAA"/>
    <w:rsid w:val="653C3090"/>
    <w:rsid w:val="654A059C"/>
    <w:rsid w:val="65501489"/>
    <w:rsid w:val="65566374"/>
    <w:rsid w:val="65854376"/>
    <w:rsid w:val="658767BE"/>
    <w:rsid w:val="65892531"/>
    <w:rsid w:val="65A6554D"/>
    <w:rsid w:val="65C47EB2"/>
    <w:rsid w:val="65C9123C"/>
    <w:rsid w:val="65D5373C"/>
    <w:rsid w:val="65D80734"/>
    <w:rsid w:val="65F85430"/>
    <w:rsid w:val="65FC33BF"/>
    <w:rsid w:val="66195831"/>
    <w:rsid w:val="6626043C"/>
    <w:rsid w:val="662E75B1"/>
    <w:rsid w:val="66342C2E"/>
    <w:rsid w:val="663E784C"/>
    <w:rsid w:val="66483705"/>
    <w:rsid w:val="668B6A45"/>
    <w:rsid w:val="66B31ED6"/>
    <w:rsid w:val="66D82CB4"/>
    <w:rsid w:val="66E04A8F"/>
    <w:rsid w:val="66E81A87"/>
    <w:rsid w:val="67095D94"/>
    <w:rsid w:val="672F3F24"/>
    <w:rsid w:val="673E055F"/>
    <w:rsid w:val="67551CE3"/>
    <w:rsid w:val="675B27B0"/>
    <w:rsid w:val="67844B3C"/>
    <w:rsid w:val="6793565D"/>
    <w:rsid w:val="67A22552"/>
    <w:rsid w:val="67B22DCC"/>
    <w:rsid w:val="67B657F0"/>
    <w:rsid w:val="67BE71AA"/>
    <w:rsid w:val="67D90273"/>
    <w:rsid w:val="67DE5875"/>
    <w:rsid w:val="67E55852"/>
    <w:rsid w:val="67EB1AB4"/>
    <w:rsid w:val="67EE31DB"/>
    <w:rsid w:val="67FA1285"/>
    <w:rsid w:val="68551F4F"/>
    <w:rsid w:val="686E4F90"/>
    <w:rsid w:val="687C10C9"/>
    <w:rsid w:val="68840C16"/>
    <w:rsid w:val="68876EFB"/>
    <w:rsid w:val="68884654"/>
    <w:rsid w:val="689F444F"/>
    <w:rsid w:val="68B96DBB"/>
    <w:rsid w:val="68CA2805"/>
    <w:rsid w:val="68E937A3"/>
    <w:rsid w:val="691C78D4"/>
    <w:rsid w:val="693B5FAC"/>
    <w:rsid w:val="693E15D3"/>
    <w:rsid w:val="69565BFA"/>
    <w:rsid w:val="69627681"/>
    <w:rsid w:val="69694C28"/>
    <w:rsid w:val="6977531D"/>
    <w:rsid w:val="69CA51C1"/>
    <w:rsid w:val="69CC2BFF"/>
    <w:rsid w:val="69FA3BC2"/>
    <w:rsid w:val="69FD55B8"/>
    <w:rsid w:val="6A0B1C62"/>
    <w:rsid w:val="6A2406C8"/>
    <w:rsid w:val="6A5A4B58"/>
    <w:rsid w:val="6A626F1C"/>
    <w:rsid w:val="6A794FDE"/>
    <w:rsid w:val="6AC67AF8"/>
    <w:rsid w:val="6AD46C1B"/>
    <w:rsid w:val="6ADE0BD1"/>
    <w:rsid w:val="6AE96859"/>
    <w:rsid w:val="6B147746"/>
    <w:rsid w:val="6B24787C"/>
    <w:rsid w:val="6B573233"/>
    <w:rsid w:val="6B5B6274"/>
    <w:rsid w:val="6B633598"/>
    <w:rsid w:val="6B935D53"/>
    <w:rsid w:val="6BF677C1"/>
    <w:rsid w:val="6C196F71"/>
    <w:rsid w:val="6C226FCB"/>
    <w:rsid w:val="6C31226F"/>
    <w:rsid w:val="6C552F0B"/>
    <w:rsid w:val="6C5A0E3F"/>
    <w:rsid w:val="6C8C67B7"/>
    <w:rsid w:val="6C9D744C"/>
    <w:rsid w:val="6CD44FD6"/>
    <w:rsid w:val="6D0112BB"/>
    <w:rsid w:val="6D167928"/>
    <w:rsid w:val="6D26299B"/>
    <w:rsid w:val="6D4772EC"/>
    <w:rsid w:val="6D9078AF"/>
    <w:rsid w:val="6DA87BD7"/>
    <w:rsid w:val="6DAA3FEF"/>
    <w:rsid w:val="6DBC0C59"/>
    <w:rsid w:val="6DC0172B"/>
    <w:rsid w:val="6DCB690C"/>
    <w:rsid w:val="6DD41A5B"/>
    <w:rsid w:val="6DF43C2E"/>
    <w:rsid w:val="6DF51CA3"/>
    <w:rsid w:val="6E1A0C80"/>
    <w:rsid w:val="6E1B1057"/>
    <w:rsid w:val="6E1B45FE"/>
    <w:rsid w:val="6E8335BD"/>
    <w:rsid w:val="6E8E12EF"/>
    <w:rsid w:val="6E9248C1"/>
    <w:rsid w:val="6E972936"/>
    <w:rsid w:val="6EA32509"/>
    <w:rsid w:val="6ED446C5"/>
    <w:rsid w:val="6F0244CC"/>
    <w:rsid w:val="6F280D81"/>
    <w:rsid w:val="6F2A7D94"/>
    <w:rsid w:val="6F8331F1"/>
    <w:rsid w:val="6F8F64C7"/>
    <w:rsid w:val="6F941511"/>
    <w:rsid w:val="6FAE1A09"/>
    <w:rsid w:val="6FB94A59"/>
    <w:rsid w:val="6FD75BF8"/>
    <w:rsid w:val="6FE74798"/>
    <w:rsid w:val="701337DF"/>
    <w:rsid w:val="704D5D09"/>
    <w:rsid w:val="70676164"/>
    <w:rsid w:val="70763D6E"/>
    <w:rsid w:val="707723D0"/>
    <w:rsid w:val="70CD59C6"/>
    <w:rsid w:val="70D56CE6"/>
    <w:rsid w:val="70E21403"/>
    <w:rsid w:val="70F5661B"/>
    <w:rsid w:val="71360107"/>
    <w:rsid w:val="713B688E"/>
    <w:rsid w:val="71461992"/>
    <w:rsid w:val="717C53B4"/>
    <w:rsid w:val="719F2BF1"/>
    <w:rsid w:val="71A36DE5"/>
    <w:rsid w:val="71CD3E62"/>
    <w:rsid w:val="71D43752"/>
    <w:rsid w:val="71E23DC6"/>
    <w:rsid w:val="71F1796A"/>
    <w:rsid w:val="72154626"/>
    <w:rsid w:val="72207574"/>
    <w:rsid w:val="72262B5D"/>
    <w:rsid w:val="72283FF7"/>
    <w:rsid w:val="722E7212"/>
    <w:rsid w:val="72303324"/>
    <w:rsid w:val="723A0474"/>
    <w:rsid w:val="725923E4"/>
    <w:rsid w:val="725D42D9"/>
    <w:rsid w:val="72677B41"/>
    <w:rsid w:val="726C4546"/>
    <w:rsid w:val="72864BF7"/>
    <w:rsid w:val="729023FC"/>
    <w:rsid w:val="72C405F2"/>
    <w:rsid w:val="72DF401A"/>
    <w:rsid w:val="730727F4"/>
    <w:rsid w:val="732C4573"/>
    <w:rsid w:val="733330EE"/>
    <w:rsid w:val="733356A7"/>
    <w:rsid w:val="73487A08"/>
    <w:rsid w:val="736226CA"/>
    <w:rsid w:val="73685BF0"/>
    <w:rsid w:val="738549F4"/>
    <w:rsid w:val="73C0646E"/>
    <w:rsid w:val="73CC2623"/>
    <w:rsid w:val="73CC7170"/>
    <w:rsid w:val="73D94D40"/>
    <w:rsid w:val="74116287"/>
    <w:rsid w:val="74143FCA"/>
    <w:rsid w:val="742222F5"/>
    <w:rsid w:val="74476126"/>
    <w:rsid w:val="744F04F5"/>
    <w:rsid w:val="74681C20"/>
    <w:rsid w:val="74706664"/>
    <w:rsid w:val="747F3682"/>
    <w:rsid w:val="749C4185"/>
    <w:rsid w:val="74E9006D"/>
    <w:rsid w:val="75067759"/>
    <w:rsid w:val="752E6DCD"/>
    <w:rsid w:val="753C37D8"/>
    <w:rsid w:val="7551380D"/>
    <w:rsid w:val="75600BE5"/>
    <w:rsid w:val="7564475C"/>
    <w:rsid w:val="7583797F"/>
    <w:rsid w:val="75D20F1D"/>
    <w:rsid w:val="75DA2C18"/>
    <w:rsid w:val="75F54412"/>
    <w:rsid w:val="761D08E0"/>
    <w:rsid w:val="765D347C"/>
    <w:rsid w:val="765E2243"/>
    <w:rsid w:val="76733229"/>
    <w:rsid w:val="76826699"/>
    <w:rsid w:val="76C87133"/>
    <w:rsid w:val="76CD08D5"/>
    <w:rsid w:val="76DB4B92"/>
    <w:rsid w:val="77052AA4"/>
    <w:rsid w:val="770D7644"/>
    <w:rsid w:val="77136511"/>
    <w:rsid w:val="77340A39"/>
    <w:rsid w:val="77351FD0"/>
    <w:rsid w:val="77472422"/>
    <w:rsid w:val="776668EA"/>
    <w:rsid w:val="777F31F2"/>
    <w:rsid w:val="77911D71"/>
    <w:rsid w:val="77B7162F"/>
    <w:rsid w:val="77C12158"/>
    <w:rsid w:val="77D1700D"/>
    <w:rsid w:val="77EC04CC"/>
    <w:rsid w:val="78775729"/>
    <w:rsid w:val="78A42DB0"/>
    <w:rsid w:val="78A656AB"/>
    <w:rsid w:val="78B2245C"/>
    <w:rsid w:val="78E172CC"/>
    <w:rsid w:val="78EA1D1F"/>
    <w:rsid w:val="7904172F"/>
    <w:rsid w:val="790F7E27"/>
    <w:rsid w:val="792A231A"/>
    <w:rsid w:val="792A5C36"/>
    <w:rsid w:val="79316829"/>
    <w:rsid w:val="794762A8"/>
    <w:rsid w:val="79493695"/>
    <w:rsid w:val="795416E0"/>
    <w:rsid w:val="79554E68"/>
    <w:rsid w:val="79570BE0"/>
    <w:rsid w:val="797E66A9"/>
    <w:rsid w:val="798518A4"/>
    <w:rsid w:val="79A97383"/>
    <w:rsid w:val="79E27E8B"/>
    <w:rsid w:val="79F37B10"/>
    <w:rsid w:val="79F850CE"/>
    <w:rsid w:val="79F857F4"/>
    <w:rsid w:val="79FD443C"/>
    <w:rsid w:val="7A0D74F1"/>
    <w:rsid w:val="7A1D1975"/>
    <w:rsid w:val="7A3E5150"/>
    <w:rsid w:val="7A4670D6"/>
    <w:rsid w:val="7A4D699E"/>
    <w:rsid w:val="7A534B63"/>
    <w:rsid w:val="7A615382"/>
    <w:rsid w:val="7A67303B"/>
    <w:rsid w:val="7A715CD2"/>
    <w:rsid w:val="7AAB1D04"/>
    <w:rsid w:val="7ABA4368"/>
    <w:rsid w:val="7AD05746"/>
    <w:rsid w:val="7B0F7299"/>
    <w:rsid w:val="7B257FFD"/>
    <w:rsid w:val="7B26319D"/>
    <w:rsid w:val="7B343476"/>
    <w:rsid w:val="7B4F58E7"/>
    <w:rsid w:val="7B4F7695"/>
    <w:rsid w:val="7B5A2978"/>
    <w:rsid w:val="7B5A7E4C"/>
    <w:rsid w:val="7B667AF9"/>
    <w:rsid w:val="7B7468F8"/>
    <w:rsid w:val="7B825CBD"/>
    <w:rsid w:val="7BBC33B5"/>
    <w:rsid w:val="7BC01FB0"/>
    <w:rsid w:val="7BEE0103"/>
    <w:rsid w:val="7BEE3A64"/>
    <w:rsid w:val="7BF62A01"/>
    <w:rsid w:val="7C0A0FE4"/>
    <w:rsid w:val="7C211C0B"/>
    <w:rsid w:val="7C254906"/>
    <w:rsid w:val="7C4A67DB"/>
    <w:rsid w:val="7C590818"/>
    <w:rsid w:val="7C5D3644"/>
    <w:rsid w:val="7C7C10F6"/>
    <w:rsid w:val="7C853BEA"/>
    <w:rsid w:val="7C881368"/>
    <w:rsid w:val="7CD479E4"/>
    <w:rsid w:val="7CD61022"/>
    <w:rsid w:val="7CE27788"/>
    <w:rsid w:val="7CF06A63"/>
    <w:rsid w:val="7CF14EA8"/>
    <w:rsid w:val="7CF30519"/>
    <w:rsid w:val="7CF74734"/>
    <w:rsid w:val="7D0C32F1"/>
    <w:rsid w:val="7D0F408D"/>
    <w:rsid w:val="7D114C6C"/>
    <w:rsid w:val="7D491C6C"/>
    <w:rsid w:val="7D5429C0"/>
    <w:rsid w:val="7D5B4A17"/>
    <w:rsid w:val="7D6E6D43"/>
    <w:rsid w:val="7D7B6E68"/>
    <w:rsid w:val="7DA168CE"/>
    <w:rsid w:val="7DB57A34"/>
    <w:rsid w:val="7DC9372F"/>
    <w:rsid w:val="7DE60973"/>
    <w:rsid w:val="7DEF0916"/>
    <w:rsid w:val="7E1E5218"/>
    <w:rsid w:val="7E3808B5"/>
    <w:rsid w:val="7E517FB5"/>
    <w:rsid w:val="7E9A4E1F"/>
    <w:rsid w:val="7EA7723A"/>
    <w:rsid w:val="7EC5039A"/>
    <w:rsid w:val="7EF56FBB"/>
    <w:rsid w:val="7F0768EB"/>
    <w:rsid w:val="7F143BEC"/>
    <w:rsid w:val="7F277082"/>
    <w:rsid w:val="7F4A4D43"/>
    <w:rsid w:val="7F715AF2"/>
    <w:rsid w:val="7F886E69"/>
    <w:rsid w:val="7FB126CD"/>
    <w:rsid w:val="7FB936D0"/>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5"/>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8"/>
    <w:qFormat/>
    <w:uiPriority w:val="0"/>
    <w:rPr>
      <w:b/>
      <w:bCs/>
    </w:rPr>
  </w:style>
  <w:style w:type="paragraph" w:styleId="60">
    <w:name w:val="Body Text First Indent"/>
    <w:basedOn w:val="23"/>
    <w:next w:val="50"/>
    <w:link w:val="322"/>
    <w:qFormat/>
    <w:uiPriority w:val="0"/>
    <w:pPr>
      <w:ind w:firstLine="420"/>
    </w:pPr>
    <w:rPr>
      <w:rFonts w:hAnsi="Calibri" w:cs="Times New Roman"/>
      <w:snapToGrid/>
      <w:szCs w:val="20"/>
    </w:rPr>
  </w:style>
  <w:style w:type="paragraph" w:styleId="61">
    <w:name w:val="Body Text First Indent 2"/>
    <w:basedOn w:val="24"/>
    <w:next w:val="60"/>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首行缩进2字符"/>
    <w:basedOn w:val="1"/>
    <w:qFormat/>
    <w:uiPriority w:val="0"/>
    <w:pPr>
      <w:widowControl/>
      <w:adjustRightInd w:val="0"/>
    </w:pPr>
  </w:style>
  <w:style w:type="paragraph" w:customStyle="1" w:styleId="8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2">
    <w:name w:val="正文1"/>
    <w:basedOn w:val="31"/>
    <w:next w:val="1"/>
    <w:qFormat/>
    <w:uiPriority w:val="0"/>
    <w:pPr>
      <w:ind w:left="0" w:leftChars="0" w:firstLine="480" w:firstLineChars="200"/>
    </w:pPr>
    <w:rPr>
      <w:rFonts w:ascii="仿宋_GB2312" w:hAnsi="Courier New" w:eastAsia="仿宋_GB2312"/>
      <w:kern w:val="28"/>
      <w:sz w:val="24"/>
    </w:rPr>
  </w:style>
  <w:style w:type="paragraph" w:styleId="83">
    <w:name w:val="List Paragraph"/>
    <w:basedOn w:val="1"/>
    <w:qFormat/>
    <w:uiPriority w:val="34"/>
    <w:pPr>
      <w:spacing w:line="360" w:lineRule="auto"/>
      <w:ind w:firstLine="200" w:firstLineChars="200"/>
    </w:pPr>
    <w:rPr>
      <w:rFonts w:eastAsia="楷体_GB2312" w:cs="Lucida Sans"/>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59"/>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5"/>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3"/>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basedOn w:val="69"/>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9"/>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3"/>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Basistekst Batenburg"/>
    <w:basedOn w:val="965"/>
    <w:qFormat/>
    <w:uiPriority w:val="0"/>
  </w:style>
  <w:style w:type="paragraph" w:customStyle="1" w:styleId="965">
    <w:name w:val="Zsysbasis Batenburg"/>
    <w:next w:val="964"/>
    <w:qFormat/>
    <w:uiPriority w:val="0"/>
    <w:pPr>
      <w:spacing w:line="300" w:lineRule="atLeast"/>
    </w:pPr>
    <w:rPr>
      <w:rFonts w:ascii="Times New Roman" w:hAnsi="Times New Roman" w:eastAsia="宋体" w:cs="Times New Roman"/>
      <w:sz w:val="22"/>
      <w:szCs w:val="18"/>
      <w:lang w:val="en-US" w:eastAsia="zh-CN" w:bidi="ar-SA"/>
    </w:rPr>
  </w:style>
  <w:style w:type="character" w:customStyle="1" w:styleId="966">
    <w:name w:val="NormalCharacter"/>
    <w:qFormat/>
    <w:uiPriority w:val="0"/>
    <w:rPr>
      <w:rFonts w:hint="eastAsia" w:ascii="仿宋_GB2312" w:eastAsia="仿宋_GB2312"/>
      <w:b/>
      <w:sz w:val="32"/>
      <w:szCs w:val="32"/>
    </w:rPr>
  </w:style>
  <w:style w:type="paragraph" w:customStyle="1" w:styleId="967">
    <w:name w:val="BodyText1I2"/>
    <w:basedOn w:val="968"/>
    <w:next w:val="1"/>
    <w:qFormat/>
    <w:uiPriority w:val="99"/>
    <w:pPr>
      <w:spacing w:after="120" w:line="240" w:lineRule="auto"/>
      <w:ind w:left="420" w:leftChars="200" w:firstLine="420" w:firstLineChars="200"/>
    </w:pPr>
    <w:rPr>
      <w:sz w:val="21"/>
    </w:rPr>
  </w:style>
  <w:style w:type="paragraph" w:customStyle="1" w:styleId="968">
    <w:name w:val="BodyTextIndent"/>
    <w:basedOn w:val="1"/>
    <w:next w:val="1"/>
    <w:qFormat/>
    <w:uiPriority w:val="99"/>
    <w:pPr>
      <w:spacing w:line="480" w:lineRule="auto"/>
      <w:ind w:firstLine="600"/>
    </w:pPr>
    <w:rPr>
      <w:sz w:val="28"/>
    </w:rPr>
  </w:style>
  <w:style w:type="paragraph" w:customStyle="1" w:styleId="969">
    <w:name w:val="msonospacing"/>
    <w:basedOn w:val="1"/>
    <w:qFormat/>
    <w:uiPriority w:val="0"/>
    <w:rPr>
      <w:szCs w:val="22"/>
    </w:rPr>
  </w:style>
  <w:style w:type="paragraph" w:customStyle="1" w:styleId="970">
    <w:name w:val="表"/>
    <w:basedOn w:val="1"/>
    <w:qFormat/>
    <w:uiPriority w:val="0"/>
    <w:pPr>
      <w:adjustRightInd w:val="0"/>
      <w:snapToGrid w:val="0"/>
      <w:spacing w:line="312" w:lineRule="auto"/>
    </w:pPr>
    <w:rPr>
      <w:rFonts w:ascii="Calibri" w:hAnsi="Calibri" w:cs="宋体"/>
      <w:kern w:val="0"/>
      <w:sz w:val="21"/>
      <w:szCs w:val="20"/>
    </w:rPr>
  </w:style>
  <w:style w:type="character" w:customStyle="1" w:styleId="971">
    <w:name w:val="font112"/>
    <w:basedOn w:val="69"/>
    <w:qFormat/>
    <w:uiPriority w:val="0"/>
    <w:rPr>
      <w:rFonts w:hint="eastAsia" w:ascii="宋体" w:hAnsi="宋体" w:eastAsia="宋体" w:cs="宋体"/>
      <w:b/>
      <w:bCs/>
      <w:color w:val="FF0000"/>
      <w:sz w:val="20"/>
      <w:szCs w:val="20"/>
      <w:u w:val="none"/>
    </w:rPr>
  </w:style>
  <w:style w:type="paragraph" w:customStyle="1" w:styleId="972">
    <w:name w:val="List2"/>
    <w:basedOn w:val="1"/>
    <w:autoRedefine/>
    <w:qFormat/>
    <w:uiPriority w:val="0"/>
    <w:pPr>
      <w:ind w:left="100" w:leftChars="200" w:hanging="200" w:hangingChars="200"/>
      <w:contextualSpacing/>
      <w:textAlignment w:val="baseline"/>
    </w:pPr>
    <w:rPr>
      <w:szCs w:val="20"/>
    </w:rPr>
  </w:style>
  <w:style w:type="paragraph" w:customStyle="1" w:styleId="9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4">
    <w:name w:val="acbfdd8b-e11b-4d36-88ff-6049b138f862"/>
    <w:basedOn w:val="23"/>
    <w:qFormat/>
    <w:uiPriority w:val="0"/>
    <w:pPr>
      <w:adjustRightInd w:val="0"/>
      <w:spacing w:after="0" w:line="288" w:lineRule="auto"/>
      <w:jc w:val="left"/>
    </w:pPr>
    <w:rPr>
      <w:rFonts w:ascii="微软雅黑" w:hAnsi="微软雅黑" w:eastAsia="微软雅黑" w:cs="Times New Roman"/>
      <w:bCs/>
      <w:color w:val="000000"/>
      <w:kern w:val="0"/>
      <w:sz w:val="22"/>
      <w:szCs w:val="28"/>
    </w:rPr>
  </w:style>
  <w:style w:type="paragraph" w:customStyle="1" w:styleId="975">
    <w:name w:val="71e7dc79-1ff7-45e8-997d-0ebda3762b91"/>
    <w:basedOn w:val="3"/>
    <w:next w:val="974"/>
    <w:qFormat/>
    <w:uiPriority w:val="0"/>
    <w:pPr>
      <w:spacing w:before="0" w:after="0" w:line="288" w:lineRule="auto"/>
    </w:pPr>
    <w:rPr>
      <w:rFonts w:ascii="微软雅黑" w:hAnsi="微软雅黑" w:eastAsia="微软雅黑" w:cs="Times New Roman"/>
      <w:bCs w:val="0"/>
      <w:iCs/>
      <w:sz w:val="28"/>
      <w:szCs w:val="24"/>
    </w:rPr>
  </w:style>
  <w:style w:type="paragraph" w:customStyle="1" w:styleId="976">
    <w:name w:val="21bc9c4b-6a32-43e5-beaa-fd2d792c5735"/>
    <w:basedOn w:val="2"/>
    <w:next w:val="974"/>
    <w:qFormat/>
    <w:uiPriority w:val="0"/>
    <w:pPr>
      <w:adjustRightInd w:val="0"/>
      <w:spacing w:before="0" w:after="0" w:line="288" w:lineRule="auto"/>
    </w:pPr>
    <w:rPr>
      <w:rFonts w:ascii="微软雅黑" w:hAnsi="微软雅黑" w:eastAsia="微软雅黑" w:cs="Times New Roman"/>
      <w:bCs w:val="0"/>
      <w:color w:val="000000"/>
      <w:sz w:val="32"/>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115</Pages>
  <Words>783</Words>
  <Characters>892</Characters>
  <Lines>49</Lines>
  <Paragraphs>84</Paragraphs>
  <TotalTime>4</TotalTime>
  <ScaleCrop>false</ScaleCrop>
  <LinksUpToDate>false</LinksUpToDate>
  <CharactersWithSpaces>1004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梗</cp:lastModifiedBy>
  <cp:lastPrinted>2025-01-06T08:42:00Z</cp:lastPrinted>
  <dcterms:modified xsi:type="dcterms:W3CDTF">2025-07-02T02:14:54Z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036FC73F3B3A4FB3B0AF682DF2587299_13</vt:lpwstr>
  </property>
  <property fmtid="{D5CDD505-2E9C-101B-9397-08002B2CF9AE}" pid="5" name="KSOTemplateDocerSaveRecord">
    <vt:lpwstr>eyJoZGlkIjoiZjZhYTJhNmJiY2ExYTY2NTAxNTNiZjVkOWY5ZmM1MWYiLCJ1c2VySWQiOiIyNDA3MTUyNTcifQ==</vt:lpwstr>
  </property>
</Properties>
</file>